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D54C80">
      <w:pPr>
        <w:adjustRightInd w:val="0"/>
        <w:snapToGrid w:val="0"/>
        <w:ind w:firstLine="0" w:firstLineChars="0"/>
        <w:rPr>
          <w:rFonts w:hint="eastAsia" w:eastAsia="方正小标宋_GBK"/>
          <w:bCs/>
          <w:color w:val="000000" w:themeColor="text1"/>
          <w:sz w:val="72"/>
          <w:szCs w:val="72"/>
        </w:rPr>
      </w:pPr>
    </w:p>
    <w:p w14:paraId="306953CD">
      <w:pPr>
        <w:adjustRightInd w:val="0"/>
        <w:snapToGrid w:val="0"/>
        <w:spacing w:before="120" w:beforeLines="50" w:line="240" w:lineRule="auto"/>
        <w:ind w:firstLine="0" w:firstLineChars="0"/>
        <w:jc w:val="center"/>
        <w:rPr>
          <w:rFonts w:eastAsia="方正小标宋_GBK"/>
          <w:bCs/>
          <w:color w:val="000000" w:themeColor="text1"/>
          <w:sz w:val="72"/>
          <w:szCs w:val="72"/>
        </w:rPr>
      </w:pPr>
      <w:r>
        <w:rPr>
          <w:rFonts w:eastAsia="方正小标宋_GBK"/>
          <w:bCs/>
          <w:color w:val="000000" w:themeColor="text1"/>
          <w:sz w:val="72"/>
          <w:szCs w:val="72"/>
        </w:rPr>
        <w:t>建设项目环境影响报告表</w:t>
      </w:r>
    </w:p>
    <w:p w14:paraId="546FF839">
      <w:pPr>
        <w:adjustRightInd w:val="0"/>
        <w:snapToGrid w:val="0"/>
        <w:spacing w:before="120" w:beforeLines="50" w:line="240" w:lineRule="auto"/>
        <w:ind w:firstLine="0" w:firstLineChars="0"/>
        <w:jc w:val="center"/>
        <w:rPr>
          <w:rFonts w:eastAsia="楷体_GB2312"/>
          <w:bCs/>
          <w:color w:val="000000" w:themeColor="text1"/>
          <w:sz w:val="48"/>
          <w:szCs w:val="48"/>
        </w:rPr>
      </w:pPr>
      <w:r>
        <w:rPr>
          <w:rFonts w:eastAsia="楷体_GB2312"/>
          <w:bCs/>
          <w:color w:val="000000" w:themeColor="text1"/>
          <w:sz w:val="48"/>
          <w:szCs w:val="48"/>
        </w:rPr>
        <w:t>（</w:t>
      </w:r>
      <w:r>
        <w:rPr>
          <w:rFonts w:hint="eastAsia" w:ascii="楷体" w:hAnsi="楷体" w:eastAsia="楷体" w:cs="微软雅黑"/>
          <w:bCs/>
          <w:color w:val="000000" w:themeColor="text1"/>
          <w:sz w:val="48"/>
          <w:szCs w:val="48"/>
        </w:rPr>
        <w:t>污染</w:t>
      </w:r>
      <w:r>
        <w:rPr>
          <w:rFonts w:hint="eastAsia" w:ascii="楷体" w:hAnsi="楷体" w:eastAsia="楷体"/>
          <w:bCs/>
          <w:color w:val="000000" w:themeColor="text1"/>
          <w:sz w:val="48"/>
          <w:szCs w:val="48"/>
        </w:rPr>
        <w:t>影响</w:t>
      </w:r>
      <w:r>
        <w:rPr>
          <w:rFonts w:ascii="楷体" w:hAnsi="楷体" w:eastAsia="楷体"/>
          <w:bCs/>
          <w:color w:val="000000" w:themeColor="text1"/>
          <w:sz w:val="48"/>
          <w:szCs w:val="48"/>
        </w:rPr>
        <w:t>类</w:t>
      </w:r>
      <w:r>
        <w:rPr>
          <w:rFonts w:eastAsia="楷体_GB2312"/>
          <w:bCs/>
          <w:color w:val="000000" w:themeColor="text1"/>
          <w:sz w:val="48"/>
          <w:szCs w:val="48"/>
        </w:rPr>
        <w:t>）</w:t>
      </w:r>
    </w:p>
    <w:p w14:paraId="3BEC5707">
      <w:pPr>
        <w:adjustRightInd w:val="0"/>
        <w:snapToGrid w:val="0"/>
        <w:spacing w:line="288" w:lineRule="auto"/>
        <w:ind w:firstLine="880"/>
        <w:jc w:val="center"/>
        <w:rPr>
          <w:rFonts w:eastAsia="华文仿宋"/>
          <w:color w:val="000000" w:themeColor="text1"/>
          <w:kern w:val="44"/>
          <w:sz w:val="44"/>
          <w:szCs w:val="44"/>
        </w:rPr>
      </w:pPr>
    </w:p>
    <w:p w14:paraId="573F7695">
      <w:pPr>
        <w:ind w:firstLine="1040"/>
        <w:jc w:val="center"/>
        <w:rPr>
          <w:rFonts w:eastAsia="仿宋"/>
          <w:color w:val="000000" w:themeColor="text1"/>
          <w:sz w:val="52"/>
          <w:szCs w:val="52"/>
        </w:rPr>
      </w:pPr>
    </w:p>
    <w:p w14:paraId="2FDC7008">
      <w:pPr>
        <w:pStyle w:val="23"/>
        <w:ind w:firstLine="560"/>
        <w:rPr>
          <w:rFonts w:hint="eastAsia"/>
          <w:color w:val="000000" w:themeColor="text1"/>
        </w:rPr>
      </w:pPr>
    </w:p>
    <w:p w14:paraId="0D0D8FFD">
      <w:pPr>
        <w:ind w:firstLine="880"/>
        <w:rPr>
          <w:rFonts w:eastAsia="仿宋"/>
          <w:color w:val="000000" w:themeColor="text1"/>
          <w:sz w:val="44"/>
          <w:szCs w:val="44"/>
        </w:rPr>
      </w:pPr>
    </w:p>
    <w:p w14:paraId="1AF879A6">
      <w:pPr>
        <w:pStyle w:val="23"/>
        <w:rPr>
          <w:color w:val="000000" w:themeColor="text1"/>
        </w:rPr>
      </w:pPr>
    </w:p>
    <w:p w14:paraId="7D8EBBE3">
      <w:pPr>
        <w:adjustRightInd w:val="0"/>
        <w:snapToGrid w:val="0"/>
        <w:ind w:left="0" w:leftChars="0" w:firstLine="0" w:firstLineChars="0"/>
        <w:jc w:val="center"/>
        <w:rPr>
          <w:rFonts w:eastAsia="仿宋_GB2312"/>
          <w:color w:val="000000" w:themeColor="text1"/>
          <w:sz w:val="36"/>
          <w:szCs w:val="36"/>
          <w:u w:val="single"/>
        </w:rPr>
      </w:pPr>
      <w:r>
        <w:rPr>
          <w:rFonts w:eastAsia="仿宋_GB2312"/>
          <w:color w:val="000000" w:themeColor="text1"/>
          <w:sz w:val="36"/>
          <w:szCs w:val="36"/>
        </w:rPr>
        <w:t>项目名称：</w:t>
      </w:r>
      <w:r>
        <w:rPr>
          <w:rFonts w:hint="eastAsia" w:eastAsia="仿宋_GB2312"/>
          <w:color w:val="000000" w:themeColor="text1"/>
          <w:sz w:val="36"/>
          <w:szCs w:val="36"/>
          <w:u w:val="single"/>
        </w:rPr>
        <w:t>新建(搬迁)年产3亿片纸浆模塑包装制品项目</w:t>
      </w:r>
    </w:p>
    <w:p w14:paraId="18078A54">
      <w:pPr>
        <w:adjustRightInd w:val="0"/>
        <w:snapToGrid w:val="0"/>
        <w:ind w:left="0" w:leftChars="0" w:firstLine="0" w:firstLineChars="0"/>
        <w:rPr>
          <w:rFonts w:hint="default" w:eastAsia="仿宋_GB2312"/>
          <w:color w:val="000000" w:themeColor="text1"/>
          <w:sz w:val="36"/>
          <w:szCs w:val="36"/>
          <w:u w:val="single"/>
          <w:lang w:val="en-US" w:eastAsia="zh-CN"/>
        </w:rPr>
      </w:pPr>
      <w:r>
        <w:rPr>
          <w:rFonts w:eastAsia="仿宋_GB2312"/>
          <w:color w:val="000000" w:themeColor="text1"/>
          <w:sz w:val="36"/>
          <w:szCs w:val="36"/>
        </w:rPr>
        <w:t>建设单位（盖章）：</w:t>
      </w:r>
      <w:r>
        <w:rPr>
          <w:rFonts w:hint="eastAsia" w:eastAsia="仿宋_GB2312"/>
          <w:color w:val="000000" w:themeColor="text1"/>
          <w:sz w:val="36"/>
          <w:szCs w:val="36"/>
          <w:u w:val="single"/>
          <w:lang w:val="en-US" w:eastAsia="zh-CN"/>
        </w:rPr>
        <w:t xml:space="preserve"> </w:t>
      </w:r>
      <w:r>
        <w:rPr>
          <w:rFonts w:hint="eastAsia" w:eastAsia="仿宋_GB2312"/>
          <w:color w:val="000000" w:themeColor="text1"/>
          <w:sz w:val="36"/>
          <w:szCs w:val="36"/>
          <w:u w:val="single"/>
        </w:rPr>
        <w:t>通海云禾纸模包装制品有限公司</w:t>
      </w:r>
      <w:r>
        <w:rPr>
          <w:rFonts w:hint="eastAsia" w:eastAsia="仿宋_GB2312"/>
          <w:color w:val="000000" w:themeColor="text1"/>
          <w:sz w:val="36"/>
          <w:szCs w:val="36"/>
          <w:u w:val="single"/>
          <w:lang w:val="en-US" w:eastAsia="zh-CN"/>
        </w:rPr>
        <w:t xml:space="preserve">  </w:t>
      </w:r>
    </w:p>
    <w:p w14:paraId="7A2C1FDC">
      <w:pPr>
        <w:adjustRightInd w:val="0"/>
        <w:snapToGrid w:val="0"/>
        <w:ind w:left="0" w:leftChars="0" w:firstLine="0" w:firstLineChars="0"/>
        <w:rPr>
          <w:rFonts w:eastAsia="仿宋_GB2312"/>
          <w:color w:val="000000" w:themeColor="text1"/>
          <w:sz w:val="36"/>
          <w:szCs w:val="36"/>
          <w:u w:val="single"/>
        </w:rPr>
      </w:pPr>
      <w:r>
        <w:rPr>
          <w:rFonts w:eastAsia="仿宋_GB2312"/>
          <w:color w:val="000000" w:themeColor="text1"/>
          <w:sz w:val="36"/>
          <w:szCs w:val="36"/>
        </w:rPr>
        <w:t>编制日期：</w:t>
      </w:r>
      <w:r>
        <w:rPr>
          <w:rFonts w:hint="eastAsia" w:eastAsia="仿宋_GB2312"/>
          <w:color w:val="000000" w:themeColor="text1"/>
          <w:sz w:val="36"/>
          <w:szCs w:val="36"/>
          <w:u w:val="single"/>
        </w:rPr>
        <w:t xml:space="preserve"> </w:t>
      </w:r>
      <w:r>
        <w:rPr>
          <w:rFonts w:eastAsia="仿宋_GB2312"/>
          <w:color w:val="000000" w:themeColor="text1"/>
          <w:sz w:val="36"/>
          <w:szCs w:val="36"/>
          <w:u w:val="single"/>
        </w:rPr>
        <w:t xml:space="preserve">  </w:t>
      </w:r>
      <w:r>
        <w:rPr>
          <w:rFonts w:hint="eastAsia" w:eastAsia="仿宋_GB2312"/>
          <w:color w:val="000000" w:themeColor="text1"/>
          <w:sz w:val="36"/>
          <w:szCs w:val="36"/>
          <w:u w:val="single"/>
          <w:lang w:val="en-US" w:eastAsia="zh-CN"/>
        </w:rPr>
        <w:t xml:space="preserve"> </w:t>
      </w:r>
      <w:r>
        <w:rPr>
          <w:rFonts w:eastAsia="仿宋_GB2312"/>
          <w:color w:val="000000" w:themeColor="text1"/>
          <w:sz w:val="36"/>
          <w:szCs w:val="36"/>
          <w:u w:val="single"/>
        </w:rPr>
        <w:t xml:space="preserve">      </w:t>
      </w:r>
      <w:r>
        <w:rPr>
          <w:rFonts w:hint="eastAsia" w:eastAsia="仿宋_GB2312"/>
          <w:color w:val="000000" w:themeColor="text1"/>
          <w:sz w:val="36"/>
          <w:szCs w:val="36"/>
          <w:u w:val="single"/>
          <w:lang w:val="en-US" w:eastAsia="zh-CN"/>
        </w:rPr>
        <w:t xml:space="preserve">   </w:t>
      </w:r>
      <w:r>
        <w:rPr>
          <w:rFonts w:eastAsia="仿宋_GB2312"/>
          <w:color w:val="000000" w:themeColor="text1"/>
          <w:sz w:val="36"/>
          <w:szCs w:val="36"/>
          <w:u w:val="single"/>
        </w:rPr>
        <w:t>二零二</w:t>
      </w:r>
      <w:r>
        <w:rPr>
          <w:rFonts w:hint="eastAsia" w:eastAsia="仿宋_GB2312"/>
          <w:color w:val="000000" w:themeColor="text1"/>
          <w:sz w:val="36"/>
          <w:szCs w:val="36"/>
          <w:u w:val="single"/>
        </w:rPr>
        <w:t>四</w:t>
      </w:r>
      <w:r>
        <w:rPr>
          <w:rFonts w:eastAsia="仿宋_GB2312"/>
          <w:color w:val="000000" w:themeColor="text1"/>
          <w:sz w:val="36"/>
          <w:szCs w:val="36"/>
          <w:u w:val="single"/>
        </w:rPr>
        <w:t>年</w:t>
      </w:r>
      <w:r>
        <w:rPr>
          <w:rFonts w:hint="eastAsia" w:eastAsia="仿宋_GB2312"/>
          <w:color w:val="000000" w:themeColor="text1"/>
          <w:sz w:val="36"/>
          <w:szCs w:val="36"/>
          <w:u w:val="single"/>
          <w:lang w:val="en-US" w:eastAsia="zh-CN"/>
        </w:rPr>
        <w:t>十一</w:t>
      </w:r>
      <w:r>
        <w:rPr>
          <w:rFonts w:eastAsia="仿宋_GB2312"/>
          <w:color w:val="000000" w:themeColor="text1"/>
          <w:sz w:val="36"/>
          <w:szCs w:val="36"/>
          <w:u w:val="single"/>
        </w:rPr>
        <w:t>月</w:t>
      </w:r>
      <w:r>
        <w:rPr>
          <w:rFonts w:hint="eastAsia" w:eastAsia="仿宋_GB2312"/>
          <w:color w:val="000000" w:themeColor="text1"/>
          <w:sz w:val="36"/>
          <w:szCs w:val="36"/>
          <w:u w:val="single"/>
        </w:rPr>
        <w:t xml:space="preserve"> </w:t>
      </w:r>
      <w:r>
        <w:rPr>
          <w:rFonts w:eastAsia="仿宋_GB2312"/>
          <w:color w:val="000000" w:themeColor="text1"/>
          <w:sz w:val="36"/>
          <w:szCs w:val="36"/>
          <w:u w:val="single"/>
        </w:rPr>
        <w:t xml:space="preserve">  </w:t>
      </w:r>
      <w:r>
        <w:rPr>
          <w:rFonts w:hint="eastAsia" w:eastAsia="仿宋_GB2312"/>
          <w:color w:val="000000" w:themeColor="text1"/>
          <w:sz w:val="36"/>
          <w:szCs w:val="36"/>
          <w:u w:val="single"/>
          <w:lang w:val="en-US" w:eastAsia="zh-CN"/>
        </w:rPr>
        <w:t xml:space="preserve">   </w:t>
      </w:r>
      <w:r>
        <w:rPr>
          <w:rFonts w:eastAsia="仿宋_GB2312"/>
          <w:color w:val="000000" w:themeColor="text1"/>
          <w:sz w:val="36"/>
          <w:szCs w:val="36"/>
          <w:u w:val="single"/>
        </w:rPr>
        <w:t xml:space="preserve">      </w:t>
      </w:r>
    </w:p>
    <w:p w14:paraId="391A194D">
      <w:pPr>
        <w:adjustRightInd w:val="0"/>
        <w:snapToGrid w:val="0"/>
        <w:spacing w:line="288" w:lineRule="auto"/>
        <w:ind w:firstLine="720"/>
        <w:rPr>
          <w:rFonts w:eastAsia="仿宋_GB2312"/>
          <w:color w:val="000000" w:themeColor="text1"/>
          <w:sz w:val="36"/>
          <w:szCs w:val="36"/>
          <w:u w:val="single"/>
        </w:rPr>
      </w:pPr>
      <w:bookmarkStart w:id="0" w:name="_Hlk57884087"/>
    </w:p>
    <w:p w14:paraId="5FD02C42">
      <w:pPr>
        <w:adjustRightInd w:val="0"/>
        <w:snapToGrid w:val="0"/>
        <w:spacing w:line="288" w:lineRule="auto"/>
        <w:ind w:firstLine="720"/>
        <w:rPr>
          <w:rFonts w:eastAsia="仿宋_GB2312"/>
          <w:color w:val="000000" w:themeColor="text1"/>
          <w:sz w:val="36"/>
          <w:szCs w:val="36"/>
        </w:rPr>
      </w:pPr>
    </w:p>
    <w:p w14:paraId="60B6C593">
      <w:pPr>
        <w:adjustRightInd w:val="0"/>
        <w:snapToGrid w:val="0"/>
        <w:spacing w:line="288" w:lineRule="auto"/>
        <w:ind w:firstLine="720"/>
        <w:rPr>
          <w:rFonts w:eastAsia="仿宋_GB2312"/>
          <w:color w:val="000000" w:themeColor="text1"/>
          <w:sz w:val="36"/>
          <w:szCs w:val="36"/>
        </w:rPr>
      </w:pPr>
    </w:p>
    <w:p w14:paraId="058A95AB">
      <w:pPr>
        <w:adjustRightInd w:val="0"/>
        <w:snapToGrid w:val="0"/>
        <w:spacing w:line="288" w:lineRule="auto"/>
        <w:ind w:firstLine="720"/>
        <w:rPr>
          <w:rFonts w:hint="eastAsia" w:eastAsia="仿宋_GB2312"/>
          <w:color w:val="000000" w:themeColor="text1"/>
          <w:sz w:val="36"/>
          <w:szCs w:val="36"/>
        </w:rPr>
      </w:pPr>
    </w:p>
    <w:p w14:paraId="67ADF43F">
      <w:pPr>
        <w:pStyle w:val="23"/>
        <w:rPr>
          <w:rFonts w:hint="eastAsia"/>
          <w:color w:val="000000" w:themeColor="text1"/>
        </w:rPr>
      </w:pPr>
    </w:p>
    <w:bookmarkEnd w:id="0"/>
    <w:p w14:paraId="2146CB7C">
      <w:pPr>
        <w:adjustRightInd w:val="0"/>
        <w:snapToGrid w:val="0"/>
        <w:spacing w:line="288" w:lineRule="auto"/>
        <w:ind w:firstLine="0" w:firstLineChars="0"/>
        <w:jc w:val="center"/>
        <w:rPr>
          <w:rFonts w:eastAsia="楷体_GB2312"/>
          <w:color w:val="000000" w:themeColor="text1"/>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eastAsia="楷体_GB2312"/>
          <w:color w:val="000000" w:themeColor="text1"/>
          <w:sz w:val="36"/>
          <w:szCs w:val="36"/>
        </w:rPr>
        <w:t>中华人民共和国生态环境部制</w:t>
      </w:r>
    </w:p>
    <w:p w14:paraId="74CB4265">
      <w:pPr>
        <w:keepNext w:val="0"/>
        <w:keepLines w:val="0"/>
        <w:pageBreakBefore w:val="0"/>
        <w:widowControl w:val="0"/>
        <w:kinsoku/>
        <w:wordWrap/>
        <w:overflowPunct/>
        <w:topLinePunct w:val="0"/>
        <w:autoSpaceDE/>
        <w:autoSpaceDN/>
        <w:bidi w:val="0"/>
        <w:adjustRightInd w:val="0"/>
        <w:snapToGrid w:val="0"/>
        <w:spacing w:before="157" w:beforeLines="50" w:after="157" w:afterLines="50" w:line="500" w:lineRule="exact"/>
        <w:ind w:firstLine="0" w:firstLineChars="0"/>
        <w:jc w:val="center"/>
        <w:textAlignment w:val="auto"/>
        <w:rPr>
          <w:b/>
          <w:bCs/>
          <w:color w:val="000000" w:themeColor="text1"/>
          <w:sz w:val="44"/>
          <w:szCs w:val="44"/>
        </w:rPr>
      </w:pPr>
      <w:bookmarkStart w:id="1" w:name="_Toc14279"/>
      <w:bookmarkStart w:id="2" w:name="_Toc7142"/>
      <w:r>
        <w:rPr>
          <w:b/>
          <w:bCs/>
          <w:color w:val="000000" w:themeColor="text1"/>
          <w:sz w:val="44"/>
          <w:szCs w:val="44"/>
          <w:lang w:val="zh-CN"/>
        </w:rPr>
        <w:t>目  录</w:t>
      </w:r>
      <w:bookmarkEnd w:id="1"/>
      <w:bookmarkEnd w:id="2"/>
    </w:p>
    <w:p w14:paraId="7900F4E2">
      <w:pPr>
        <w:pStyle w:val="29"/>
        <w:keepNext w:val="0"/>
        <w:keepLines w:val="0"/>
        <w:pageBreakBefore w:val="0"/>
        <w:widowControl w:val="0"/>
        <w:tabs>
          <w:tab w:val="right" w:leader="dot" w:pos="8306"/>
        </w:tabs>
        <w:kinsoku/>
        <w:wordWrap/>
        <w:overflowPunct/>
        <w:topLinePunct w:val="0"/>
        <w:autoSpaceDE/>
        <w:autoSpaceDN/>
        <w:bidi w:val="0"/>
        <w:adjustRightInd w:val="0"/>
        <w:snapToGrid w:val="0"/>
        <w:spacing w:line="500" w:lineRule="exact"/>
        <w:ind w:left="0" w:leftChars="0" w:firstLine="0" w:firstLineChars="0"/>
        <w:textAlignment w:val="auto"/>
        <w:rPr>
          <w:color w:val="000000" w:themeColor="text1"/>
          <w:sz w:val="28"/>
          <w:szCs w:val="28"/>
        </w:rPr>
      </w:pPr>
      <w:r>
        <w:rPr>
          <w:color w:val="000000" w:themeColor="text1"/>
          <w:sz w:val="28"/>
          <w:szCs w:val="28"/>
        </w:rPr>
        <w:fldChar w:fldCharType="begin"/>
      </w:r>
      <w:r>
        <w:rPr>
          <w:color w:val="000000" w:themeColor="text1"/>
          <w:sz w:val="28"/>
          <w:szCs w:val="28"/>
        </w:rPr>
        <w:instrText xml:space="preserve">TOC \o "1-1" \h \u </w:instrText>
      </w:r>
      <w:r>
        <w:rPr>
          <w:color w:val="000000" w:themeColor="text1"/>
          <w:sz w:val="28"/>
          <w:szCs w:val="28"/>
        </w:rPr>
        <w:fldChar w:fldCharType="separate"/>
      </w:r>
      <w:r>
        <w:rPr>
          <w:color w:val="000000" w:themeColor="text1"/>
          <w:sz w:val="28"/>
          <w:szCs w:val="28"/>
        </w:rPr>
        <w:fldChar w:fldCharType="begin"/>
      </w:r>
      <w:r>
        <w:rPr>
          <w:color w:val="000000" w:themeColor="text1"/>
          <w:sz w:val="28"/>
          <w:szCs w:val="28"/>
        </w:rPr>
        <w:instrText xml:space="preserve"> HYPERLINK \l _Toc16420 </w:instrText>
      </w:r>
      <w:r>
        <w:rPr>
          <w:color w:val="000000" w:themeColor="text1"/>
          <w:sz w:val="28"/>
          <w:szCs w:val="28"/>
        </w:rPr>
        <w:fldChar w:fldCharType="separate"/>
      </w:r>
      <w:r>
        <w:rPr>
          <w:color w:val="000000" w:themeColor="text1"/>
          <w:sz w:val="28"/>
          <w:szCs w:val="28"/>
        </w:rPr>
        <w:t>一、建设项目基本情况</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_Toc16420 \h </w:instrText>
      </w:r>
      <w:r>
        <w:rPr>
          <w:color w:val="000000" w:themeColor="text1"/>
          <w:sz w:val="28"/>
          <w:szCs w:val="28"/>
        </w:rPr>
        <w:fldChar w:fldCharType="separate"/>
      </w:r>
      <w:r>
        <w:rPr>
          <w:color w:val="000000" w:themeColor="text1"/>
          <w:sz w:val="28"/>
          <w:szCs w:val="28"/>
        </w:rPr>
        <w:t>1</w:t>
      </w:r>
      <w:r>
        <w:rPr>
          <w:color w:val="000000" w:themeColor="text1"/>
          <w:sz w:val="28"/>
          <w:szCs w:val="28"/>
        </w:rPr>
        <w:fldChar w:fldCharType="end"/>
      </w:r>
      <w:r>
        <w:rPr>
          <w:color w:val="000000" w:themeColor="text1"/>
          <w:sz w:val="28"/>
          <w:szCs w:val="28"/>
        </w:rPr>
        <w:fldChar w:fldCharType="end"/>
      </w:r>
    </w:p>
    <w:p w14:paraId="10F63E38">
      <w:pPr>
        <w:pStyle w:val="29"/>
        <w:keepNext w:val="0"/>
        <w:keepLines w:val="0"/>
        <w:pageBreakBefore w:val="0"/>
        <w:widowControl w:val="0"/>
        <w:tabs>
          <w:tab w:val="right" w:leader="dot" w:pos="8306"/>
        </w:tabs>
        <w:kinsoku/>
        <w:wordWrap/>
        <w:overflowPunct/>
        <w:topLinePunct w:val="0"/>
        <w:autoSpaceDE/>
        <w:autoSpaceDN/>
        <w:bidi w:val="0"/>
        <w:adjustRightInd w:val="0"/>
        <w:snapToGrid w:val="0"/>
        <w:spacing w:line="500" w:lineRule="exact"/>
        <w:ind w:left="0" w:leftChars="0" w:firstLine="0" w:firstLineChars="0"/>
        <w:textAlignment w:val="auto"/>
        <w:rPr>
          <w:color w:val="000000" w:themeColor="text1"/>
          <w:sz w:val="28"/>
          <w:szCs w:val="28"/>
        </w:rPr>
      </w:pPr>
      <w:r>
        <w:rPr>
          <w:color w:val="000000" w:themeColor="text1"/>
          <w:sz w:val="28"/>
          <w:szCs w:val="28"/>
        </w:rPr>
        <w:fldChar w:fldCharType="begin"/>
      </w:r>
      <w:r>
        <w:rPr>
          <w:color w:val="000000" w:themeColor="text1"/>
          <w:sz w:val="28"/>
          <w:szCs w:val="28"/>
        </w:rPr>
        <w:instrText xml:space="preserve"> HYPERLINK \l _Toc1466 </w:instrText>
      </w:r>
      <w:r>
        <w:rPr>
          <w:color w:val="000000" w:themeColor="text1"/>
          <w:sz w:val="28"/>
          <w:szCs w:val="28"/>
        </w:rPr>
        <w:fldChar w:fldCharType="separate"/>
      </w:r>
      <w:r>
        <w:rPr>
          <w:color w:val="000000" w:themeColor="text1"/>
          <w:sz w:val="28"/>
          <w:szCs w:val="28"/>
        </w:rPr>
        <w:t>二、建设项目</w:t>
      </w:r>
      <w:r>
        <w:rPr>
          <w:rFonts w:hint="eastAsia"/>
          <w:color w:val="000000" w:themeColor="text1"/>
          <w:sz w:val="28"/>
          <w:szCs w:val="28"/>
        </w:rPr>
        <w:t>工程分析</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_Toc1466 \h </w:instrText>
      </w:r>
      <w:r>
        <w:rPr>
          <w:color w:val="000000" w:themeColor="text1"/>
          <w:sz w:val="28"/>
          <w:szCs w:val="28"/>
        </w:rPr>
        <w:fldChar w:fldCharType="separate"/>
      </w:r>
      <w:r>
        <w:rPr>
          <w:color w:val="000000" w:themeColor="text1"/>
          <w:sz w:val="28"/>
          <w:szCs w:val="28"/>
        </w:rPr>
        <w:t>28</w:t>
      </w:r>
      <w:r>
        <w:rPr>
          <w:color w:val="000000" w:themeColor="text1"/>
          <w:sz w:val="28"/>
          <w:szCs w:val="28"/>
        </w:rPr>
        <w:fldChar w:fldCharType="end"/>
      </w:r>
      <w:r>
        <w:rPr>
          <w:color w:val="000000" w:themeColor="text1"/>
          <w:sz w:val="28"/>
          <w:szCs w:val="28"/>
        </w:rPr>
        <w:fldChar w:fldCharType="end"/>
      </w:r>
    </w:p>
    <w:p w14:paraId="27F090CC">
      <w:pPr>
        <w:pStyle w:val="29"/>
        <w:keepNext w:val="0"/>
        <w:keepLines w:val="0"/>
        <w:pageBreakBefore w:val="0"/>
        <w:widowControl w:val="0"/>
        <w:tabs>
          <w:tab w:val="right" w:leader="dot" w:pos="8306"/>
        </w:tabs>
        <w:kinsoku/>
        <w:wordWrap/>
        <w:overflowPunct/>
        <w:topLinePunct w:val="0"/>
        <w:autoSpaceDE/>
        <w:autoSpaceDN/>
        <w:bidi w:val="0"/>
        <w:adjustRightInd w:val="0"/>
        <w:snapToGrid w:val="0"/>
        <w:spacing w:line="500" w:lineRule="exact"/>
        <w:ind w:left="0" w:leftChars="0" w:firstLine="0" w:firstLineChars="0"/>
        <w:textAlignment w:val="auto"/>
        <w:rPr>
          <w:color w:val="000000" w:themeColor="text1"/>
          <w:sz w:val="28"/>
          <w:szCs w:val="28"/>
        </w:rPr>
      </w:pPr>
      <w:r>
        <w:rPr>
          <w:color w:val="000000" w:themeColor="text1"/>
          <w:sz w:val="28"/>
          <w:szCs w:val="28"/>
        </w:rPr>
        <w:fldChar w:fldCharType="begin"/>
      </w:r>
      <w:r>
        <w:rPr>
          <w:color w:val="000000" w:themeColor="text1"/>
          <w:sz w:val="28"/>
          <w:szCs w:val="28"/>
        </w:rPr>
        <w:instrText xml:space="preserve"> HYPERLINK \l _Toc13895 </w:instrText>
      </w:r>
      <w:r>
        <w:rPr>
          <w:color w:val="000000" w:themeColor="text1"/>
          <w:sz w:val="28"/>
          <w:szCs w:val="28"/>
        </w:rPr>
        <w:fldChar w:fldCharType="separate"/>
      </w:r>
      <w:r>
        <w:rPr>
          <w:rFonts w:hint="eastAsia"/>
          <w:color w:val="000000" w:themeColor="text1"/>
          <w:sz w:val="28"/>
          <w:szCs w:val="28"/>
        </w:rPr>
        <w:t>三</w:t>
      </w:r>
      <w:r>
        <w:rPr>
          <w:color w:val="000000" w:themeColor="text1"/>
          <w:sz w:val="28"/>
          <w:szCs w:val="28"/>
        </w:rPr>
        <w:t>、</w:t>
      </w:r>
      <w:r>
        <w:rPr>
          <w:rFonts w:hint="eastAsia"/>
          <w:color w:val="000000" w:themeColor="text1"/>
          <w:sz w:val="28"/>
          <w:szCs w:val="28"/>
        </w:rPr>
        <w:t>区域环境质量现状、环境保护目标及评价标准</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_Toc13895 \h </w:instrText>
      </w:r>
      <w:r>
        <w:rPr>
          <w:color w:val="000000" w:themeColor="text1"/>
          <w:sz w:val="28"/>
          <w:szCs w:val="28"/>
        </w:rPr>
        <w:fldChar w:fldCharType="separate"/>
      </w:r>
      <w:r>
        <w:rPr>
          <w:color w:val="000000" w:themeColor="text1"/>
          <w:sz w:val="28"/>
          <w:szCs w:val="28"/>
        </w:rPr>
        <w:t>41</w:t>
      </w:r>
      <w:r>
        <w:rPr>
          <w:color w:val="000000" w:themeColor="text1"/>
          <w:sz w:val="28"/>
          <w:szCs w:val="28"/>
        </w:rPr>
        <w:fldChar w:fldCharType="end"/>
      </w:r>
      <w:r>
        <w:rPr>
          <w:color w:val="000000" w:themeColor="text1"/>
          <w:sz w:val="28"/>
          <w:szCs w:val="28"/>
        </w:rPr>
        <w:fldChar w:fldCharType="end"/>
      </w:r>
    </w:p>
    <w:p w14:paraId="7116FA37">
      <w:pPr>
        <w:pStyle w:val="29"/>
        <w:keepNext w:val="0"/>
        <w:keepLines w:val="0"/>
        <w:pageBreakBefore w:val="0"/>
        <w:widowControl w:val="0"/>
        <w:tabs>
          <w:tab w:val="right" w:leader="dot" w:pos="8306"/>
        </w:tabs>
        <w:kinsoku/>
        <w:wordWrap/>
        <w:overflowPunct/>
        <w:topLinePunct w:val="0"/>
        <w:autoSpaceDE/>
        <w:autoSpaceDN/>
        <w:bidi w:val="0"/>
        <w:adjustRightInd w:val="0"/>
        <w:snapToGrid w:val="0"/>
        <w:spacing w:line="500" w:lineRule="exact"/>
        <w:ind w:left="0" w:leftChars="0" w:firstLine="0" w:firstLineChars="0"/>
        <w:textAlignment w:val="auto"/>
        <w:rPr>
          <w:color w:val="000000" w:themeColor="text1"/>
          <w:sz w:val="28"/>
          <w:szCs w:val="28"/>
        </w:rPr>
      </w:pPr>
      <w:r>
        <w:rPr>
          <w:color w:val="000000" w:themeColor="text1"/>
          <w:sz w:val="28"/>
          <w:szCs w:val="28"/>
        </w:rPr>
        <w:fldChar w:fldCharType="begin"/>
      </w:r>
      <w:r>
        <w:rPr>
          <w:color w:val="000000" w:themeColor="text1"/>
          <w:sz w:val="28"/>
          <w:szCs w:val="28"/>
        </w:rPr>
        <w:instrText xml:space="preserve"> HYPERLINK \l _Toc8033 </w:instrText>
      </w:r>
      <w:r>
        <w:rPr>
          <w:color w:val="000000" w:themeColor="text1"/>
          <w:sz w:val="28"/>
          <w:szCs w:val="28"/>
        </w:rPr>
        <w:fldChar w:fldCharType="separate"/>
      </w:r>
      <w:r>
        <w:rPr>
          <w:rFonts w:hint="eastAsia"/>
          <w:color w:val="000000" w:themeColor="text1"/>
          <w:sz w:val="28"/>
          <w:szCs w:val="28"/>
        </w:rPr>
        <w:t>四</w:t>
      </w:r>
      <w:r>
        <w:rPr>
          <w:color w:val="000000" w:themeColor="text1"/>
          <w:sz w:val="28"/>
          <w:szCs w:val="28"/>
        </w:rPr>
        <w:t>、</w:t>
      </w:r>
      <w:r>
        <w:rPr>
          <w:rFonts w:hint="eastAsia"/>
          <w:color w:val="000000" w:themeColor="text1"/>
          <w:sz w:val="28"/>
          <w:szCs w:val="28"/>
        </w:rPr>
        <w:t>主要环境影响和保护措施</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_Toc8033 \h </w:instrText>
      </w:r>
      <w:r>
        <w:rPr>
          <w:color w:val="000000" w:themeColor="text1"/>
          <w:sz w:val="28"/>
          <w:szCs w:val="28"/>
        </w:rPr>
        <w:fldChar w:fldCharType="separate"/>
      </w:r>
      <w:r>
        <w:rPr>
          <w:color w:val="000000" w:themeColor="text1"/>
          <w:sz w:val="28"/>
          <w:szCs w:val="28"/>
        </w:rPr>
        <w:t>49</w:t>
      </w:r>
      <w:r>
        <w:rPr>
          <w:color w:val="000000" w:themeColor="text1"/>
          <w:sz w:val="28"/>
          <w:szCs w:val="28"/>
        </w:rPr>
        <w:fldChar w:fldCharType="end"/>
      </w:r>
      <w:r>
        <w:rPr>
          <w:color w:val="000000" w:themeColor="text1"/>
          <w:sz w:val="28"/>
          <w:szCs w:val="28"/>
        </w:rPr>
        <w:fldChar w:fldCharType="end"/>
      </w:r>
    </w:p>
    <w:p w14:paraId="1F588041">
      <w:pPr>
        <w:pStyle w:val="29"/>
        <w:keepNext w:val="0"/>
        <w:keepLines w:val="0"/>
        <w:pageBreakBefore w:val="0"/>
        <w:widowControl w:val="0"/>
        <w:tabs>
          <w:tab w:val="right" w:leader="dot" w:pos="8306"/>
        </w:tabs>
        <w:kinsoku/>
        <w:wordWrap/>
        <w:overflowPunct/>
        <w:topLinePunct w:val="0"/>
        <w:autoSpaceDE/>
        <w:autoSpaceDN/>
        <w:bidi w:val="0"/>
        <w:adjustRightInd w:val="0"/>
        <w:snapToGrid w:val="0"/>
        <w:spacing w:line="500" w:lineRule="exact"/>
        <w:ind w:left="0" w:leftChars="0" w:firstLine="0" w:firstLineChars="0"/>
        <w:textAlignment w:val="auto"/>
        <w:rPr>
          <w:color w:val="000000" w:themeColor="text1"/>
          <w:sz w:val="28"/>
          <w:szCs w:val="28"/>
        </w:rPr>
      </w:pPr>
      <w:r>
        <w:rPr>
          <w:color w:val="000000" w:themeColor="text1"/>
          <w:sz w:val="28"/>
          <w:szCs w:val="28"/>
        </w:rPr>
        <w:fldChar w:fldCharType="begin"/>
      </w:r>
      <w:r>
        <w:rPr>
          <w:color w:val="000000" w:themeColor="text1"/>
          <w:sz w:val="28"/>
          <w:szCs w:val="28"/>
        </w:rPr>
        <w:instrText xml:space="preserve"> HYPERLINK \l _Toc14275 </w:instrText>
      </w:r>
      <w:r>
        <w:rPr>
          <w:color w:val="000000" w:themeColor="text1"/>
          <w:sz w:val="28"/>
          <w:szCs w:val="28"/>
        </w:rPr>
        <w:fldChar w:fldCharType="separate"/>
      </w:r>
      <w:r>
        <w:rPr>
          <w:rFonts w:hint="eastAsia"/>
          <w:color w:val="000000" w:themeColor="text1"/>
          <w:sz w:val="28"/>
          <w:szCs w:val="28"/>
        </w:rPr>
        <w:t>五</w:t>
      </w:r>
      <w:r>
        <w:rPr>
          <w:color w:val="000000" w:themeColor="text1"/>
          <w:sz w:val="28"/>
          <w:szCs w:val="28"/>
        </w:rPr>
        <w:t>、</w:t>
      </w:r>
      <w:r>
        <w:rPr>
          <w:rFonts w:hint="eastAsia"/>
          <w:color w:val="000000" w:themeColor="text1"/>
          <w:sz w:val="28"/>
          <w:szCs w:val="28"/>
        </w:rPr>
        <w:t>环境保护措施监督检查清单</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_Toc14275 \h </w:instrText>
      </w:r>
      <w:r>
        <w:rPr>
          <w:color w:val="000000" w:themeColor="text1"/>
          <w:sz w:val="28"/>
          <w:szCs w:val="28"/>
        </w:rPr>
        <w:fldChar w:fldCharType="separate"/>
      </w:r>
      <w:r>
        <w:rPr>
          <w:color w:val="000000" w:themeColor="text1"/>
          <w:sz w:val="28"/>
          <w:szCs w:val="28"/>
        </w:rPr>
        <w:t>83</w:t>
      </w:r>
      <w:r>
        <w:rPr>
          <w:color w:val="000000" w:themeColor="text1"/>
          <w:sz w:val="28"/>
          <w:szCs w:val="28"/>
        </w:rPr>
        <w:fldChar w:fldCharType="end"/>
      </w:r>
      <w:r>
        <w:rPr>
          <w:color w:val="000000" w:themeColor="text1"/>
          <w:sz w:val="28"/>
          <w:szCs w:val="28"/>
        </w:rPr>
        <w:fldChar w:fldCharType="end"/>
      </w:r>
    </w:p>
    <w:p w14:paraId="26BA67D7">
      <w:pPr>
        <w:pStyle w:val="29"/>
        <w:keepNext w:val="0"/>
        <w:keepLines w:val="0"/>
        <w:pageBreakBefore w:val="0"/>
        <w:widowControl w:val="0"/>
        <w:tabs>
          <w:tab w:val="right" w:leader="dot" w:pos="8306"/>
        </w:tabs>
        <w:kinsoku/>
        <w:wordWrap/>
        <w:overflowPunct/>
        <w:topLinePunct w:val="0"/>
        <w:autoSpaceDE/>
        <w:autoSpaceDN/>
        <w:bidi w:val="0"/>
        <w:adjustRightInd w:val="0"/>
        <w:snapToGrid w:val="0"/>
        <w:spacing w:line="500" w:lineRule="exact"/>
        <w:ind w:left="0" w:leftChars="0" w:firstLine="0" w:firstLineChars="0"/>
        <w:textAlignment w:val="auto"/>
        <w:rPr>
          <w:color w:val="000000" w:themeColor="text1"/>
          <w:sz w:val="28"/>
          <w:szCs w:val="28"/>
        </w:rPr>
      </w:pPr>
      <w:r>
        <w:rPr>
          <w:color w:val="000000" w:themeColor="text1"/>
          <w:sz w:val="28"/>
          <w:szCs w:val="28"/>
        </w:rPr>
        <w:fldChar w:fldCharType="begin"/>
      </w:r>
      <w:r>
        <w:rPr>
          <w:color w:val="000000" w:themeColor="text1"/>
          <w:sz w:val="28"/>
          <w:szCs w:val="28"/>
        </w:rPr>
        <w:instrText xml:space="preserve"> HYPERLINK \l _Toc26558 </w:instrText>
      </w:r>
      <w:r>
        <w:rPr>
          <w:color w:val="000000" w:themeColor="text1"/>
          <w:sz w:val="28"/>
          <w:szCs w:val="28"/>
        </w:rPr>
        <w:fldChar w:fldCharType="separate"/>
      </w:r>
      <w:r>
        <w:rPr>
          <w:rFonts w:hint="eastAsia"/>
          <w:color w:val="000000" w:themeColor="text1"/>
          <w:sz w:val="28"/>
          <w:szCs w:val="28"/>
        </w:rPr>
        <w:t>六</w:t>
      </w:r>
      <w:r>
        <w:rPr>
          <w:color w:val="000000" w:themeColor="text1"/>
          <w:sz w:val="28"/>
          <w:szCs w:val="28"/>
        </w:rPr>
        <w:t>、</w:t>
      </w:r>
      <w:r>
        <w:rPr>
          <w:rFonts w:hint="eastAsia"/>
          <w:color w:val="000000" w:themeColor="text1"/>
          <w:sz w:val="28"/>
          <w:szCs w:val="28"/>
        </w:rPr>
        <w:t>结论</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_Toc26558 \h </w:instrText>
      </w:r>
      <w:r>
        <w:rPr>
          <w:color w:val="000000" w:themeColor="text1"/>
          <w:sz w:val="28"/>
          <w:szCs w:val="28"/>
        </w:rPr>
        <w:fldChar w:fldCharType="separate"/>
      </w:r>
      <w:r>
        <w:rPr>
          <w:color w:val="000000" w:themeColor="text1"/>
          <w:sz w:val="28"/>
          <w:szCs w:val="28"/>
        </w:rPr>
        <w:t>86</w:t>
      </w:r>
      <w:r>
        <w:rPr>
          <w:color w:val="000000" w:themeColor="text1"/>
          <w:sz w:val="28"/>
          <w:szCs w:val="28"/>
        </w:rPr>
        <w:fldChar w:fldCharType="end"/>
      </w:r>
      <w:r>
        <w:rPr>
          <w:color w:val="000000" w:themeColor="text1"/>
          <w:sz w:val="28"/>
          <w:szCs w:val="28"/>
        </w:rPr>
        <w:fldChar w:fldCharType="end"/>
      </w:r>
    </w:p>
    <w:p w14:paraId="03FA0497">
      <w:pPr>
        <w:pStyle w:val="21"/>
        <w:pageBreakBefore w:val="0"/>
        <w:widowControl w:val="0"/>
        <w:kinsoku/>
        <w:wordWrap/>
        <w:overflowPunct/>
        <w:topLinePunct w:val="0"/>
        <w:autoSpaceDE/>
        <w:autoSpaceDN/>
        <w:bidi w:val="0"/>
        <w:adjustRightInd w:val="0"/>
        <w:snapToGrid w:val="0"/>
        <w:spacing w:line="360" w:lineRule="auto"/>
        <w:ind w:left="0" w:leftChars="0" w:firstLine="0" w:firstLineChars="0"/>
        <w:contextualSpacing/>
        <w:textAlignment w:val="auto"/>
        <w:rPr>
          <w:rFonts w:hint="eastAsia"/>
          <w:b/>
          <w:color w:val="000000" w:themeColor="text1"/>
        </w:rPr>
      </w:pPr>
      <w:r>
        <w:rPr>
          <w:color w:val="000000" w:themeColor="text1"/>
          <w:sz w:val="28"/>
          <w:szCs w:val="28"/>
        </w:rPr>
        <w:fldChar w:fldCharType="end"/>
      </w:r>
      <w:r>
        <w:rPr>
          <w:rFonts w:hint="eastAsia"/>
          <w:b/>
          <w:color w:val="000000" w:themeColor="text1"/>
        </w:rPr>
        <w:t>附表：</w:t>
      </w:r>
    </w:p>
    <w:p w14:paraId="269D5E60">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color w:val="000000" w:themeColor="text1"/>
        </w:rPr>
      </w:pPr>
      <w:r>
        <w:rPr>
          <w:rFonts w:hint="eastAsia"/>
          <w:color w:val="000000" w:themeColor="text1"/>
        </w:rPr>
        <w:t>建设项目污染物排放量汇总表</w:t>
      </w:r>
    </w:p>
    <w:p w14:paraId="5F9D6E60">
      <w:pPr>
        <w:pStyle w:val="21"/>
        <w:pageBreakBefore w:val="0"/>
        <w:widowControl w:val="0"/>
        <w:kinsoku/>
        <w:wordWrap/>
        <w:overflowPunct/>
        <w:topLinePunct w:val="0"/>
        <w:autoSpaceDE/>
        <w:autoSpaceDN/>
        <w:bidi w:val="0"/>
        <w:adjustRightInd w:val="0"/>
        <w:snapToGrid w:val="0"/>
        <w:spacing w:line="360" w:lineRule="auto"/>
        <w:ind w:left="0" w:leftChars="0" w:firstLine="0" w:firstLineChars="0"/>
        <w:contextualSpacing/>
        <w:textAlignment w:val="auto"/>
        <w:rPr>
          <w:b/>
          <w:color w:val="000000" w:themeColor="text1"/>
        </w:rPr>
      </w:pPr>
      <w:r>
        <w:rPr>
          <w:b/>
          <w:color w:val="000000" w:themeColor="text1"/>
        </w:rPr>
        <w:t>附件：</w:t>
      </w:r>
    </w:p>
    <w:p w14:paraId="3709983F">
      <w:pPr>
        <w:pStyle w:val="21"/>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hint="eastAsia" w:eastAsia="宋体"/>
          <w:color w:val="000000" w:themeColor="text1"/>
          <w:lang w:eastAsia="zh-CN"/>
        </w:rPr>
      </w:pPr>
      <w:r>
        <w:rPr>
          <w:color w:val="000000" w:themeColor="text1"/>
        </w:rPr>
        <w:t>附件</w:t>
      </w:r>
      <w:r>
        <w:rPr>
          <w:rFonts w:hint="eastAsia"/>
          <w:color w:val="000000" w:themeColor="text1"/>
        </w:rPr>
        <w:t>1</w:t>
      </w:r>
      <w:r>
        <w:rPr>
          <w:rFonts w:hint="eastAsia"/>
          <w:color w:val="000000" w:themeColor="text1"/>
          <w:lang w:eastAsia="zh-CN"/>
        </w:rPr>
        <w:t>：</w:t>
      </w:r>
      <w:r>
        <w:rPr>
          <w:rFonts w:hint="eastAsia"/>
          <w:color w:val="000000" w:themeColor="text1"/>
        </w:rPr>
        <w:t>委托书</w:t>
      </w:r>
      <w:r>
        <w:rPr>
          <w:rFonts w:hint="eastAsia"/>
          <w:color w:val="000000" w:themeColor="text1"/>
          <w:lang w:eastAsia="zh-CN"/>
        </w:rPr>
        <w:t>；</w:t>
      </w:r>
    </w:p>
    <w:p w14:paraId="2794BEE7">
      <w:pPr>
        <w:pStyle w:val="21"/>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hint="eastAsia" w:eastAsia="宋体"/>
          <w:color w:val="000000" w:themeColor="text1"/>
          <w:lang w:eastAsia="zh-CN"/>
        </w:rPr>
      </w:pPr>
      <w:r>
        <w:rPr>
          <w:color w:val="000000" w:themeColor="text1"/>
        </w:rPr>
        <w:t>附件</w:t>
      </w:r>
      <w:r>
        <w:rPr>
          <w:rFonts w:hint="eastAsia"/>
          <w:color w:val="000000" w:themeColor="text1"/>
        </w:rPr>
        <w:t>2</w:t>
      </w:r>
      <w:r>
        <w:rPr>
          <w:rFonts w:hint="eastAsia"/>
          <w:color w:val="000000" w:themeColor="text1"/>
          <w:lang w:eastAsia="zh-CN"/>
        </w:rPr>
        <w:t>：</w:t>
      </w:r>
      <w:r>
        <w:rPr>
          <w:rFonts w:hint="eastAsia"/>
          <w:color w:val="000000" w:themeColor="text1"/>
        </w:rPr>
        <w:t>项目投资备案证</w:t>
      </w:r>
      <w:r>
        <w:rPr>
          <w:rFonts w:hint="eastAsia"/>
          <w:color w:val="000000" w:themeColor="text1"/>
          <w:lang w:eastAsia="zh-CN"/>
        </w:rPr>
        <w:t>；</w:t>
      </w:r>
    </w:p>
    <w:p w14:paraId="0A50A4D4">
      <w:pPr>
        <w:pStyle w:val="21"/>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hint="eastAsia" w:eastAsia="宋体"/>
          <w:color w:val="000000" w:themeColor="text1"/>
          <w:lang w:eastAsia="zh-CN"/>
        </w:rPr>
      </w:pPr>
      <w:r>
        <w:rPr>
          <w:color w:val="000000" w:themeColor="text1"/>
        </w:rPr>
        <w:t>附件</w:t>
      </w:r>
      <w:r>
        <w:rPr>
          <w:rFonts w:hint="eastAsia"/>
          <w:color w:val="000000" w:themeColor="text1"/>
        </w:rPr>
        <w:t>3</w:t>
      </w:r>
      <w:r>
        <w:rPr>
          <w:rFonts w:hint="eastAsia"/>
          <w:color w:val="000000" w:themeColor="text1"/>
          <w:lang w:eastAsia="zh-CN"/>
        </w:rPr>
        <w:t>：</w:t>
      </w:r>
      <w:r>
        <w:rPr>
          <w:rFonts w:hint="eastAsia"/>
          <w:color w:val="000000" w:themeColor="text1"/>
        </w:rPr>
        <w:t>营业执照</w:t>
      </w:r>
      <w:r>
        <w:rPr>
          <w:rFonts w:hint="eastAsia"/>
          <w:color w:val="000000" w:themeColor="text1"/>
          <w:lang w:eastAsia="zh-CN"/>
        </w:rPr>
        <w:t>；</w:t>
      </w:r>
    </w:p>
    <w:p w14:paraId="04F3481C">
      <w:pPr>
        <w:pStyle w:val="21"/>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hint="eastAsia" w:eastAsia="宋体"/>
          <w:color w:val="000000" w:themeColor="text1"/>
          <w:lang w:eastAsia="zh-CN"/>
        </w:rPr>
      </w:pPr>
      <w:r>
        <w:rPr>
          <w:rFonts w:hint="eastAsia"/>
          <w:color w:val="000000" w:themeColor="text1"/>
        </w:rPr>
        <w:t>附件</w:t>
      </w:r>
      <w:r>
        <w:rPr>
          <w:rFonts w:hint="eastAsia"/>
          <w:color w:val="000000" w:themeColor="text1"/>
          <w:lang w:val="en-US" w:eastAsia="zh-CN"/>
        </w:rPr>
        <w:t>4</w:t>
      </w:r>
      <w:r>
        <w:rPr>
          <w:rFonts w:hint="eastAsia"/>
          <w:color w:val="000000" w:themeColor="text1"/>
          <w:lang w:eastAsia="zh-CN"/>
        </w:rPr>
        <w:t>：</w:t>
      </w:r>
      <w:r>
        <w:rPr>
          <w:rFonts w:hint="eastAsia"/>
          <w:color w:val="000000" w:themeColor="text1"/>
        </w:rPr>
        <w:t>通海云禾纸模包装制品有限公司新建(搬迁)年产3亿片纸浆模塑包装制品项目</w:t>
      </w:r>
      <w:r>
        <w:rPr>
          <w:rFonts w:hint="eastAsia"/>
          <w:color w:val="000000" w:themeColor="text1"/>
          <w:lang w:val="en-US" w:eastAsia="zh-CN"/>
        </w:rPr>
        <w:t>入</w:t>
      </w:r>
      <w:r>
        <w:rPr>
          <w:rFonts w:hint="eastAsia"/>
          <w:color w:val="000000" w:themeColor="text1"/>
        </w:rPr>
        <w:t>园通知</w:t>
      </w:r>
      <w:r>
        <w:rPr>
          <w:rFonts w:hint="eastAsia"/>
          <w:color w:val="000000" w:themeColor="text1"/>
          <w:lang w:eastAsia="zh-CN"/>
        </w:rPr>
        <w:t>；</w:t>
      </w:r>
    </w:p>
    <w:p w14:paraId="2882B541">
      <w:pPr>
        <w:pStyle w:val="21"/>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hint="eastAsia"/>
          <w:color w:val="00B050"/>
          <w:lang w:val="en-US" w:eastAsia="zh-CN"/>
        </w:rPr>
      </w:pPr>
      <w:r>
        <w:rPr>
          <w:rFonts w:hint="eastAsia"/>
          <w:color w:val="00B050"/>
          <w:lang w:val="en-US" w:eastAsia="zh-CN"/>
        </w:rPr>
        <w:t>附件5：通海县杞麓湖管理局关于云南云禾纸模包装制品有限公司选址的意见；</w:t>
      </w:r>
    </w:p>
    <w:p w14:paraId="34EE9B41">
      <w:pPr>
        <w:pStyle w:val="21"/>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hint="eastAsia"/>
          <w:color w:val="00B050"/>
          <w:lang w:eastAsia="zh-CN"/>
        </w:rPr>
      </w:pPr>
      <w:r>
        <w:rPr>
          <w:rFonts w:hint="eastAsia"/>
          <w:color w:val="00B050"/>
          <w:lang w:eastAsia="zh-CN"/>
        </w:rPr>
        <w:t>附件6：云禾纸膜包装制品有限公司三区三线查询结果；</w:t>
      </w:r>
    </w:p>
    <w:p w14:paraId="1FE34EAE">
      <w:pPr>
        <w:pStyle w:val="21"/>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hint="default"/>
          <w:color w:val="00B050"/>
          <w:lang w:val="en-US" w:eastAsia="zh-CN"/>
        </w:rPr>
      </w:pPr>
      <w:r>
        <w:rPr>
          <w:rFonts w:hint="eastAsia"/>
          <w:color w:val="00B050"/>
          <w:lang w:eastAsia="zh-CN"/>
        </w:rPr>
        <w:t>附件7：项目“三线一单”管控单元查询结果；</w:t>
      </w:r>
    </w:p>
    <w:p w14:paraId="767192B2">
      <w:pPr>
        <w:pStyle w:val="21"/>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hint="eastAsia"/>
          <w:color w:val="00B050"/>
          <w:lang w:eastAsia="zh-CN"/>
        </w:rPr>
      </w:pPr>
      <w:r>
        <w:rPr>
          <w:rFonts w:hint="eastAsia"/>
          <w:color w:val="00B050"/>
          <w:lang w:eastAsia="zh-CN"/>
        </w:rPr>
        <w:t>附件8：《云南通海产业园区总体规划修编（2021-2035年）环境影响报告书》审查意见；</w:t>
      </w:r>
    </w:p>
    <w:p w14:paraId="49C89E38">
      <w:pPr>
        <w:pStyle w:val="21"/>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hint="eastAsia" w:eastAsia="宋体"/>
          <w:color w:val="000000" w:themeColor="text1"/>
          <w:lang w:eastAsia="zh-CN"/>
        </w:rPr>
      </w:pPr>
      <w:r>
        <w:rPr>
          <w:rFonts w:hint="eastAsia"/>
          <w:color w:val="00B050"/>
          <w:lang w:eastAsia="zh-CN"/>
        </w:rPr>
        <w:t>附件9：生物质燃料成分分析单</w:t>
      </w:r>
      <w:r>
        <w:rPr>
          <w:rFonts w:hint="eastAsia"/>
          <w:color w:val="000000" w:themeColor="text1"/>
          <w:lang w:eastAsia="zh-CN"/>
        </w:rPr>
        <w:t>。</w:t>
      </w:r>
    </w:p>
    <w:p w14:paraId="48B38EB5">
      <w:pPr>
        <w:pStyle w:val="21"/>
        <w:pageBreakBefore w:val="0"/>
        <w:widowControl w:val="0"/>
        <w:kinsoku/>
        <w:wordWrap/>
        <w:overflowPunct/>
        <w:topLinePunct w:val="0"/>
        <w:autoSpaceDE/>
        <w:autoSpaceDN/>
        <w:bidi w:val="0"/>
        <w:adjustRightInd w:val="0"/>
        <w:snapToGrid w:val="0"/>
        <w:spacing w:line="360" w:lineRule="auto"/>
        <w:ind w:left="0" w:leftChars="0" w:firstLine="0" w:firstLineChars="0"/>
        <w:contextualSpacing/>
        <w:textAlignment w:val="auto"/>
        <w:rPr>
          <w:b/>
          <w:color w:val="000000" w:themeColor="text1"/>
        </w:rPr>
      </w:pPr>
      <w:r>
        <w:rPr>
          <w:b/>
          <w:color w:val="000000" w:themeColor="text1"/>
        </w:rPr>
        <w:t>附图：</w:t>
      </w:r>
    </w:p>
    <w:p w14:paraId="44B4C218">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eastAsia="宋体"/>
          <w:color w:val="000000" w:themeColor="text1"/>
          <w:lang w:eastAsia="zh-CN"/>
        </w:rPr>
      </w:pPr>
      <w:r>
        <w:rPr>
          <w:color w:val="000000" w:themeColor="text1"/>
        </w:rPr>
        <w:t>附图1</w:t>
      </w:r>
      <w:r>
        <w:rPr>
          <w:rFonts w:hint="eastAsia"/>
          <w:color w:val="000000" w:themeColor="text1"/>
          <w:lang w:eastAsia="zh-CN"/>
        </w:rPr>
        <w:t>：</w:t>
      </w:r>
      <w:r>
        <w:rPr>
          <w:color w:val="000000" w:themeColor="text1"/>
        </w:rPr>
        <w:t>建设项目地理位置图</w:t>
      </w:r>
      <w:r>
        <w:rPr>
          <w:rFonts w:hint="eastAsia"/>
          <w:color w:val="000000" w:themeColor="text1"/>
          <w:lang w:eastAsia="zh-CN"/>
        </w:rPr>
        <w:t>；</w:t>
      </w:r>
    </w:p>
    <w:p w14:paraId="43457B55">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eastAsia="宋体"/>
          <w:color w:val="000000" w:themeColor="text1"/>
          <w:lang w:eastAsia="zh-CN"/>
        </w:rPr>
      </w:pPr>
      <w:r>
        <w:rPr>
          <w:color w:val="000000" w:themeColor="text1"/>
        </w:rPr>
        <w:t>附图2</w:t>
      </w:r>
      <w:r>
        <w:rPr>
          <w:rFonts w:hint="eastAsia"/>
          <w:color w:val="000000" w:themeColor="text1"/>
          <w:lang w:eastAsia="zh-CN"/>
        </w:rPr>
        <w:t>：</w:t>
      </w:r>
      <w:r>
        <w:rPr>
          <w:color w:val="000000" w:themeColor="text1"/>
        </w:rPr>
        <w:t>项目区域水系图</w:t>
      </w:r>
      <w:r>
        <w:rPr>
          <w:rFonts w:hint="eastAsia"/>
          <w:color w:val="000000" w:themeColor="text1"/>
          <w:lang w:eastAsia="zh-CN"/>
        </w:rPr>
        <w:t>；</w:t>
      </w:r>
    </w:p>
    <w:p w14:paraId="41ACCE3A">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eastAsia="宋体"/>
          <w:color w:val="000000" w:themeColor="text1"/>
          <w:lang w:eastAsia="zh-CN"/>
        </w:rPr>
      </w:pPr>
      <w:r>
        <w:rPr>
          <w:color w:val="000000" w:themeColor="text1"/>
        </w:rPr>
        <w:t>附图</w:t>
      </w:r>
      <w:r>
        <w:rPr>
          <w:rFonts w:hint="eastAsia"/>
          <w:color w:val="000000" w:themeColor="text1"/>
        </w:rPr>
        <w:t>3</w:t>
      </w:r>
      <w:r>
        <w:rPr>
          <w:rFonts w:hint="eastAsia"/>
          <w:color w:val="000000" w:themeColor="text1"/>
          <w:lang w:eastAsia="zh-CN"/>
        </w:rPr>
        <w:t>：</w:t>
      </w:r>
      <w:r>
        <w:rPr>
          <w:color w:val="000000" w:themeColor="text1"/>
        </w:rPr>
        <w:t>项目</w:t>
      </w:r>
      <w:r>
        <w:rPr>
          <w:rFonts w:hint="eastAsia"/>
          <w:color w:val="000000" w:themeColor="text1"/>
        </w:rPr>
        <w:t>厂区总</w:t>
      </w:r>
      <w:r>
        <w:rPr>
          <w:color w:val="000000" w:themeColor="text1"/>
        </w:rPr>
        <w:t>平面布置示意图</w:t>
      </w:r>
      <w:r>
        <w:rPr>
          <w:rFonts w:hint="eastAsia"/>
          <w:color w:val="000000" w:themeColor="text1"/>
          <w:lang w:eastAsia="zh-CN"/>
        </w:rPr>
        <w:t>；</w:t>
      </w:r>
    </w:p>
    <w:p w14:paraId="2DEFBAC8">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color w:val="000000" w:themeColor="text1"/>
          <w:lang w:eastAsia="zh-CN"/>
        </w:rPr>
      </w:pPr>
      <w:r>
        <w:rPr>
          <w:rFonts w:hint="eastAsia"/>
          <w:color w:val="000000" w:themeColor="text1"/>
        </w:rPr>
        <w:t>附图4</w:t>
      </w:r>
      <w:r>
        <w:rPr>
          <w:rFonts w:hint="eastAsia"/>
          <w:color w:val="000000" w:themeColor="text1"/>
          <w:lang w:eastAsia="zh-CN"/>
        </w:rPr>
        <w:t>：</w:t>
      </w:r>
      <w:r>
        <w:rPr>
          <w:color w:val="000000" w:themeColor="text1"/>
        </w:rPr>
        <w:t>项目</w:t>
      </w:r>
      <w:r>
        <w:rPr>
          <w:rFonts w:hint="eastAsia"/>
          <w:color w:val="000000" w:themeColor="text1"/>
        </w:rPr>
        <w:t>厂区</w:t>
      </w:r>
      <w:r>
        <w:rPr>
          <w:rFonts w:hint="eastAsia"/>
          <w:color w:val="000000" w:themeColor="text1"/>
          <w:lang w:val="en-US" w:eastAsia="zh-CN"/>
        </w:rPr>
        <w:t>环保措施分布</w:t>
      </w:r>
      <w:r>
        <w:rPr>
          <w:color w:val="000000" w:themeColor="text1"/>
        </w:rPr>
        <w:t>示意图</w:t>
      </w:r>
      <w:r>
        <w:rPr>
          <w:rFonts w:hint="eastAsia"/>
          <w:color w:val="000000" w:themeColor="text1"/>
          <w:lang w:eastAsia="zh-CN"/>
        </w:rPr>
        <w:t>；</w:t>
      </w:r>
    </w:p>
    <w:p w14:paraId="65CA87F3">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color w:val="000000" w:themeColor="text1"/>
        </w:rPr>
      </w:pPr>
      <w:r>
        <w:rPr>
          <w:rFonts w:hint="eastAsia"/>
          <w:color w:val="000000" w:themeColor="text1"/>
        </w:rPr>
        <w:t>附图</w:t>
      </w:r>
      <w:r>
        <w:rPr>
          <w:rFonts w:hint="eastAsia"/>
          <w:color w:val="000000" w:themeColor="text1"/>
          <w:lang w:val="en-US" w:eastAsia="zh-CN"/>
        </w:rPr>
        <w:t>5</w:t>
      </w:r>
      <w:r>
        <w:rPr>
          <w:rFonts w:hint="eastAsia"/>
          <w:color w:val="000000" w:themeColor="text1"/>
          <w:lang w:eastAsia="zh-CN"/>
        </w:rPr>
        <w:t>：</w:t>
      </w:r>
      <w:r>
        <w:rPr>
          <w:rFonts w:hint="eastAsia"/>
          <w:color w:val="000000" w:themeColor="text1"/>
        </w:rPr>
        <w:t>项目周边关系图</w:t>
      </w:r>
    </w:p>
    <w:p w14:paraId="4F1CA8F0">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eastAsia="宋体"/>
          <w:color w:val="000000" w:themeColor="text1"/>
          <w:lang w:eastAsia="zh-CN"/>
        </w:rPr>
      </w:pPr>
      <w:r>
        <w:rPr>
          <w:rFonts w:hint="eastAsia"/>
          <w:color w:val="00B050"/>
          <w:lang w:val="en-US" w:eastAsia="zh-CN"/>
        </w:rPr>
        <w:t>附图6：项目分区防渗图</w:t>
      </w:r>
      <w:r>
        <w:rPr>
          <w:rFonts w:hint="eastAsia"/>
          <w:color w:val="000000" w:themeColor="text1"/>
          <w:lang w:eastAsia="zh-CN"/>
        </w:rPr>
        <w:t>。</w:t>
      </w:r>
    </w:p>
    <w:p w14:paraId="0DEEBE73">
      <w:pPr>
        <w:pStyle w:val="2"/>
        <w:pageBreakBefore w:val="0"/>
        <w:widowControl w:val="0"/>
        <w:kinsoku/>
        <w:wordWrap/>
        <w:overflowPunct/>
        <w:topLinePunct w:val="0"/>
        <w:autoSpaceDE/>
        <w:autoSpaceDN/>
        <w:bidi w:val="0"/>
        <w:adjustRightInd w:val="0"/>
        <w:snapToGrid w:val="0"/>
        <w:spacing w:beforeLines="0" w:afterLines="0" w:line="360" w:lineRule="auto"/>
        <w:ind w:left="0" w:leftChars="0" w:firstLine="562" w:firstLineChars="200"/>
        <w:textAlignment w:val="auto"/>
        <w:rPr>
          <w:color w:val="000000" w:themeColor="text1"/>
        </w:rPr>
        <w:sectPr>
          <w:headerReference r:id="rId11" w:type="default"/>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bookmarkStart w:id="3" w:name="_Toc23153"/>
    </w:p>
    <w:p w14:paraId="23790F84">
      <w:pPr>
        <w:pStyle w:val="2"/>
        <w:jc w:val="center"/>
        <w:rPr>
          <w:color w:val="000000" w:themeColor="text1"/>
        </w:rPr>
      </w:pPr>
      <w:bookmarkStart w:id="4" w:name="_Toc16420"/>
      <w:r>
        <w:rPr>
          <w:color w:val="000000" w:themeColor="text1"/>
        </w:rPr>
        <w:t>一、建设项目基本情况</w:t>
      </w:r>
      <w:bookmarkEnd w:id="3"/>
      <w:bookmarkEnd w:id="4"/>
    </w:p>
    <w:tbl>
      <w:tblPr>
        <w:tblStyle w:val="43"/>
        <w:tblW w:w="8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028"/>
        <w:gridCol w:w="2271"/>
        <w:gridCol w:w="1818"/>
        <w:gridCol w:w="2917"/>
      </w:tblGrid>
      <w:tr w14:paraId="2650D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2" w:type="dxa"/>
            <w:gridSpan w:val="2"/>
            <w:noWrap w:val="0"/>
            <w:vAlign w:val="center"/>
          </w:tcPr>
          <w:p w14:paraId="593D03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项目名称</w:t>
            </w:r>
          </w:p>
        </w:tc>
        <w:tc>
          <w:tcPr>
            <w:tcW w:w="7006" w:type="dxa"/>
            <w:gridSpan w:val="3"/>
            <w:noWrap w:val="0"/>
            <w:vAlign w:val="center"/>
          </w:tcPr>
          <w:p w14:paraId="462D68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snapToGrid w:val="0"/>
                <w:color w:val="000000" w:themeColor="text1"/>
                <w:spacing w:val="0"/>
                <w:kern w:val="0"/>
                <w:sz w:val="21"/>
                <w:szCs w:val="21"/>
              </w:rPr>
              <w:t>新建(搬迁)年产3亿片纸浆模塑包装制品项目</w:t>
            </w:r>
          </w:p>
        </w:tc>
      </w:tr>
      <w:tr w14:paraId="3007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2" w:type="dxa"/>
            <w:gridSpan w:val="2"/>
            <w:noWrap w:val="0"/>
            <w:vAlign w:val="center"/>
          </w:tcPr>
          <w:p w14:paraId="4F8A8A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项目代码</w:t>
            </w:r>
          </w:p>
        </w:tc>
        <w:tc>
          <w:tcPr>
            <w:tcW w:w="7006" w:type="dxa"/>
            <w:gridSpan w:val="3"/>
            <w:noWrap w:val="0"/>
            <w:vAlign w:val="center"/>
          </w:tcPr>
          <w:p w14:paraId="2D40B7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2103-530423-04-01-930969</w:t>
            </w:r>
          </w:p>
        </w:tc>
      </w:tr>
      <w:tr w14:paraId="1ABD1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2" w:type="dxa"/>
            <w:gridSpan w:val="2"/>
            <w:noWrap w:val="0"/>
            <w:vAlign w:val="center"/>
          </w:tcPr>
          <w:p w14:paraId="54FCDB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建设单位</w:t>
            </w:r>
          </w:p>
          <w:p w14:paraId="353A45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联系人</w:t>
            </w:r>
          </w:p>
        </w:tc>
        <w:tc>
          <w:tcPr>
            <w:tcW w:w="2271" w:type="dxa"/>
            <w:noWrap w:val="0"/>
            <w:vAlign w:val="center"/>
          </w:tcPr>
          <w:p w14:paraId="22AE44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eastAsia" w:ascii="Times New Roman" w:hAnsi="Times New Roman" w:eastAsia="宋体" w:cs="Times New Roman"/>
                <w:color w:val="000000" w:themeColor="text1"/>
                <w:spacing w:val="0"/>
                <w:kern w:val="0"/>
                <w:sz w:val="21"/>
                <w:szCs w:val="21"/>
                <w:lang w:val="en-US" w:eastAsia="zh-CN"/>
              </w:rPr>
            </w:pPr>
            <w:r>
              <w:rPr>
                <w:rFonts w:hint="eastAsia" w:ascii="Times New Roman" w:hAnsi="Times New Roman" w:eastAsia="宋体" w:cs="Times New Roman"/>
                <w:color w:val="000000" w:themeColor="text1"/>
                <w:spacing w:val="0"/>
                <w:kern w:val="0"/>
                <w:sz w:val="21"/>
                <w:szCs w:val="21"/>
                <w:lang w:val="en-US" w:eastAsia="zh-CN"/>
              </w:rPr>
              <w:t>龚总</w:t>
            </w:r>
          </w:p>
        </w:tc>
        <w:tc>
          <w:tcPr>
            <w:tcW w:w="1818" w:type="dxa"/>
            <w:noWrap w:val="0"/>
            <w:vAlign w:val="center"/>
          </w:tcPr>
          <w:p w14:paraId="3FB90E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联系方式</w:t>
            </w:r>
          </w:p>
        </w:tc>
        <w:tc>
          <w:tcPr>
            <w:tcW w:w="2917" w:type="dxa"/>
            <w:noWrap w:val="0"/>
            <w:vAlign w:val="center"/>
          </w:tcPr>
          <w:p w14:paraId="58438F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lang w:val="en-US" w:eastAsia="zh-CN"/>
              </w:rPr>
            </w:pPr>
            <w:r>
              <w:rPr>
                <w:rFonts w:hint="eastAsia" w:ascii="Times New Roman" w:hAnsi="Times New Roman" w:eastAsia="宋体" w:cs="Times New Roman"/>
                <w:color w:val="000000" w:themeColor="text1"/>
                <w:spacing w:val="0"/>
                <w:kern w:val="0"/>
                <w:sz w:val="21"/>
                <w:szCs w:val="21"/>
                <w:lang w:val="en-US" w:eastAsia="zh-CN"/>
              </w:rPr>
              <w:t>13388892879</w:t>
            </w:r>
          </w:p>
        </w:tc>
      </w:tr>
      <w:tr w14:paraId="3F19E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2" w:type="dxa"/>
            <w:gridSpan w:val="2"/>
            <w:noWrap w:val="0"/>
            <w:vAlign w:val="center"/>
          </w:tcPr>
          <w:p w14:paraId="17762B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建设地点</w:t>
            </w:r>
          </w:p>
        </w:tc>
        <w:tc>
          <w:tcPr>
            <w:tcW w:w="7006" w:type="dxa"/>
            <w:gridSpan w:val="3"/>
            <w:noWrap w:val="0"/>
            <w:vAlign w:val="center"/>
          </w:tcPr>
          <w:p w14:paraId="44C79C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通海五金产业园区里山片区</w:t>
            </w:r>
          </w:p>
        </w:tc>
      </w:tr>
      <w:tr w14:paraId="29045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2" w:type="dxa"/>
            <w:gridSpan w:val="2"/>
            <w:noWrap w:val="0"/>
            <w:vAlign w:val="center"/>
          </w:tcPr>
          <w:p w14:paraId="118E9B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地理坐标</w:t>
            </w:r>
          </w:p>
        </w:tc>
        <w:tc>
          <w:tcPr>
            <w:tcW w:w="7006" w:type="dxa"/>
            <w:gridSpan w:val="3"/>
            <w:noWrap w:val="0"/>
            <w:vAlign w:val="center"/>
          </w:tcPr>
          <w:p w14:paraId="63B9F0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东经：102°4</w:t>
            </w:r>
            <w:r>
              <w:rPr>
                <w:rFonts w:hint="eastAsia" w:ascii="Times New Roman" w:hAnsi="Times New Roman" w:eastAsia="宋体" w:cs="Times New Roman"/>
                <w:color w:val="000000" w:themeColor="text1"/>
                <w:spacing w:val="0"/>
                <w:kern w:val="0"/>
                <w:sz w:val="21"/>
                <w:szCs w:val="21"/>
                <w:lang w:val="en-US" w:eastAsia="zh-CN"/>
              </w:rPr>
              <w:t>6</w:t>
            </w:r>
            <w:r>
              <w:rPr>
                <w:rFonts w:hint="default" w:ascii="Times New Roman" w:hAnsi="Times New Roman" w:eastAsia="宋体" w:cs="Times New Roman"/>
                <w:color w:val="000000" w:themeColor="text1"/>
                <w:spacing w:val="0"/>
                <w:kern w:val="0"/>
                <w:sz w:val="21"/>
                <w:szCs w:val="21"/>
              </w:rPr>
              <w:t>′</w:t>
            </w:r>
            <w:r>
              <w:rPr>
                <w:rFonts w:hint="eastAsia" w:ascii="Times New Roman" w:hAnsi="Times New Roman" w:eastAsia="宋体" w:cs="Times New Roman"/>
                <w:color w:val="000000" w:themeColor="text1"/>
                <w:spacing w:val="0"/>
                <w:kern w:val="0"/>
                <w:sz w:val="21"/>
                <w:szCs w:val="21"/>
                <w:lang w:val="en-US" w:eastAsia="zh-CN"/>
              </w:rPr>
              <w:t>03.315</w:t>
            </w:r>
            <w:r>
              <w:rPr>
                <w:rFonts w:hint="default" w:ascii="Times New Roman" w:hAnsi="Times New Roman" w:eastAsia="宋体" w:cs="Times New Roman"/>
                <w:color w:val="000000" w:themeColor="text1"/>
                <w:spacing w:val="0"/>
                <w:kern w:val="0"/>
                <w:sz w:val="21"/>
                <w:szCs w:val="21"/>
              </w:rPr>
              <w:t>″；北纬：24°</w:t>
            </w:r>
            <w:r>
              <w:rPr>
                <w:rFonts w:hint="eastAsia" w:ascii="Times New Roman" w:hAnsi="Times New Roman" w:eastAsia="宋体" w:cs="Times New Roman"/>
                <w:color w:val="000000" w:themeColor="text1"/>
                <w:spacing w:val="0"/>
                <w:kern w:val="0"/>
                <w:sz w:val="21"/>
                <w:szCs w:val="21"/>
                <w:lang w:val="en-US" w:eastAsia="zh-CN"/>
              </w:rPr>
              <w:t>05</w:t>
            </w:r>
            <w:r>
              <w:rPr>
                <w:rFonts w:hint="default" w:ascii="Times New Roman" w:hAnsi="Times New Roman" w:eastAsia="宋体" w:cs="Times New Roman"/>
                <w:color w:val="000000" w:themeColor="text1"/>
                <w:spacing w:val="0"/>
                <w:kern w:val="0"/>
                <w:sz w:val="21"/>
                <w:szCs w:val="21"/>
              </w:rPr>
              <w:t>′</w:t>
            </w:r>
            <w:r>
              <w:rPr>
                <w:rFonts w:hint="eastAsia" w:ascii="Times New Roman" w:hAnsi="Times New Roman" w:eastAsia="宋体" w:cs="Times New Roman"/>
                <w:color w:val="000000" w:themeColor="text1"/>
                <w:spacing w:val="0"/>
                <w:kern w:val="0"/>
                <w:sz w:val="21"/>
                <w:szCs w:val="21"/>
                <w:lang w:val="en-US" w:eastAsia="zh-CN"/>
              </w:rPr>
              <w:t>00.298</w:t>
            </w:r>
            <w:r>
              <w:rPr>
                <w:rFonts w:hint="default" w:ascii="Times New Roman" w:hAnsi="Times New Roman" w:eastAsia="宋体" w:cs="Times New Roman"/>
                <w:color w:val="000000" w:themeColor="text1"/>
                <w:spacing w:val="0"/>
                <w:kern w:val="0"/>
                <w:sz w:val="21"/>
                <w:szCs w:val="21"/>
              </w:rPr>
              <w:t>″</w:t>
            </w:r>
          </w:p>
        </w:tc>
      </w:tr>
      <w:tr w14:paraId="51689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2" w:type="dxa"/>
            <w:gridSpan w:val="2"/>
            <w:noWrap w:val="0"/>
            <w:vAlign w:val="center"/>
          </w:tcPr>
          <w:p w14:paraId="1F0C5B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国民经济</w:t>
            </w:r>
          </w:p>
          <w:p w14:paraId="1F2071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行业类别</w:t>
            </w:r>
          </w:p>
        </w:tc>
        <w:tc>
          <w:tcPr>
            <w:tcW w:w="2271" w:type="dxa"/>
            <w:noWrap w:val="0"/>
            <w:vAlign w:val="center"/>
          </w:tcPr>
          <w:p w14:paraId="72730E64">
            <w:pPr>
              <w:keepNext w:val="0"/>
              <w:keepLines w:val="0"/>
              <w:widowControl w:val="0"/>
              <w:suppressLineNumbers w:val="0"/>
              <w:spacing w:before="0" w:beforeAutospacing="0" w:after="0" w:afterAutospacing="0" w:line="320" w:lineRule="exact"/>
              <w:ind w:left="0" w:right="0" w:firstLine="0" w:firstLineChars="0"/>
              <w:jc w:val="center"/>
              <w:rPr>
                <w:rFonts w:hint="eastAsia" w:ascii="宋体" w:hAnsi="宋体" w:eastAsia="宋体" w:cs="宋体"/>
                <w:color w:val="000000" w:themeColor="text1"/>
                <w:kern w:val="0"/>
                <w:sz w:val="21"/>
                <w:szCs w:val="21"/>
                <w:lang w:val="en-US"/>
              </w:rPr>
            </w:pPr>
            <w:r>
              <w:rPr>
                <w:rFonts w:hint="eastAsia" w:ascii="宋体" w:hAnsi="宋体" w:eastAsia="宋体" w:cs="宋体"/>
                <w:color w:val="000000" w:themeColor="text1"/>
                <w:kern w:val="0"/>
                <w:sz w:val="21"/>
                <w:szCs w:val="21"/>
                <w:lang w:val="en-US" w:eastAsia="zh-CN" w:bidi="ar"/>
              </w:rPr>
              <w:t>C2239</w:t>
            </w:r>
          </w:p>
          <w:p w14:paraId="108A9FEF">
            <w:pPr>
              <w:keepNext w:val="0"/>
              <w:keepLines w:val="0"/>
              <w:widowControl w:val="0"/>
              <w:suppressLineNumbers w:val="0"/>
              <w:spacing w:before="0" w:beforeAutospacing="0" w:after="0" w:afterAutospacing="0" w:line="320" w:lineRule="exact"/>
              <w:ind w:left="0" w:right="0" w:firstLine="0" w:firstLineChars="0"/>
              <w:jc w:val="center"/>
              <w:rPr>
                <w:rFonts w:hint="eastAsia" w:ascii="宋体" w:hAnsi="宋体" w:eastAsia="宋体" w:cs="宋体"/>
                <w:color w:val="000000" w:themeColor="text1"/>
                <w:spacing w:val="0"/>
                <w:kern w:val="0"/>
                <w:sz w:val="21"/>
                <w:szCs w:val="21"/>
              </w:rPr>
            </w:pPr>
            <w:r>
              <w:rPr>
                <w:rFonts w:hint="eastAsia" w:ascii="宋体" w:hAnsi="宋体" w:eastAsia="宋体" w:cs="宋体"/>
                <w:color w:val="000000" w:themeColor="text1"/>
                <w:kern w:val="0"/>
                <w:sz w:val="21"/>
                <w:szCs w:val="21"/>
                <w:lang w:val="en-US" w:eastAsia="zh-CN" w:bidi="ar"/>
              </w:rPr>
              <w:t>其他纸制品制造</w:t>
            </w:r>
          </w:p>
        </w:tc>
        <w:tc>
          <w:tcPr>
            <w:tcW w:w="1818" w:type="dxa"/>
            <w:noWrap w:val="0"/>
            <w:vAlign w:val="center"/>
          </w:tcPr>
          <w:p w14:paraId="1A2041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eastAsia" w:ascii="宋体" w:hAnsi="宋体" w:eastAsia="宋体" w:cs="宋体"/>
                <w:color w:val="000000" w:themeColor="text1"/>
                <w:spacing w:val="0"/>
                <w:kern w:val="0"/>
                <w:sz w:val="21"/>
                <w:szCs w:val="21"/>
              </w:rPr>
            </w:pPr>
            <w:r>
              <w:rPr>
                <w:rFonts w:hint="eastAsia" w:ascii="宋体" w:hAnsi="宋体" w:eastAsia="宋体" w:cs="宋体"/>
                <w:color w:val="000000" w:themeColor="text1"/>
                <w:spacing w:val="0"/>
                <w:kern w:val="0"/>
                <w:sz w:val="21"/>
                <w:szCs w:val="21"/>
              </w:rPr>
              <w:t>建设项目</w:t>
            </w:r>
          </w:p>
          <w:p w14:paraId="6B3020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eastAsia" w:ascii="宋体" w:hAnsi="宋体" w:eastAsia="宋体" w:cs="宋体"/>
                <w:color w:val="000000" w:themeColor="text1"/>
                <w:spacing w:val="0"/>
                <w:kern w:val="0"/>
                <w:sz w:val="21"/>
                <w:szCs w:val="21"/>
              </w:rPr>
            </w:pPr>
            <w:r>
              <w:rPr>
                <w:rFonts w:hint="eastAsia" w:ascii="宋体" w:hAnsi="宋体" w:eastAsia="宋体" w:cs="宋体"/>
                <w:color w:val="000000" w:themeColor="text1"/>
                <w:spacing w:val="0"/>
                <w:kern w:val="0"/>
                <w:sz w:val="21"/>
                <w:szCs w:val="21"/>
              </w:rPr>
              <w:t>行业类别</w:t>
            </w:r>
          </w:p>
        </w:tc>
        <w:tc>
          <w:tcPr>
            <w:tcW w:w="2917" w:type="dxa"/>
            <w:noWrap w:val="0"/>
            <w:vAlign w:val="center"/>
          </w:tcPr>
          <w:p w14:paraId="560A35B9">
            <w:pPr>
              <w:pStyle w:val="23"/>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宋体" w:hAnsi="宋体" w:eastAsia="宋体" w:cs="宋体"/>
                <w:color w:val="000000" w:themeColor="text1"/>
                <w:sz w:val="21"/>
                <w:szCs w:val="21"/>
                <w:lang w:val="en-US" w:eastAsia="zh-CN" w:bidi="ar"/>
              </w:rPr>
            </w:pPr>
            <w:r>
              <w:rPr>
                <w:rFonts w:hint="eastAsia" w:ascii="宋体" w:hAnsi="宋体" w:eastAsia="宋体" w:cs="宋体"/>
                <w:color w:val="000000" w:themeColor="text1"/>
                <w:sz w:val="21"/>
                <w:szCs w:val="21"/>
                <w:lang w:val="en-US" w:eastAsia="zh-CN" w:bidi="ar"/>
              </w:rPr>
              <w:t>造纸和纸制品业</w:t>
            </w:r>
          </w:p>
          <w:p w14:paraId="2E943AF8">
            <w:pPr>
              <w:pStyle w:val="2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leftChars="0" w:right="0"/>
              <w:jc w:val="center"/>
              <w:textAlignment w:val="auto"/>
              <w:rPr>
                <w:rFonts w:hint="eastAsia" w:ascii="宋体" w:hAnsi="宋体" w:eastAsia="宋体" w:cs="宋体"/>
                <w:color w:val="000000" w:themeColor="text1"/>
                <w:sz w:val="21"/>
                <w:szCs w:val="21"/>
                <w:lang w:eastAsia="zh-CN"/>
              </w:rPr>
            </w:pPr>
            <w:r>
              <w:rPr>
                <w:rFonts w:hint="eastAsia" w:ascii="宋体" w:hAnsi="宋体" w:eastAsia="宋体" w:cs="宋体"/>
                <w:color w:val="000000" w:themeColor="text1"/>
                <w:sz w:val="21"/>
                <w:szCs w:val="21"/>
                <w:lang w:val="en-US" w:eastAsia="zh-CN" w:bidi="ar"/>
              </w:rPr>
              <w:t>22-38纸制品制造223*。</w:t>
            </w:r>
          </w:p>
        </w:tc>
      </w:tr>
      <w:tr w14:paraId="5B3D6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2" w:type="dxa"/>
            <w:gridSpan w:val="2"/>
            <w:noWrap w:val="0"/>
            <w:vAlign w:val="center"/>
          </w:tcPr>
          <w:p w14:paraId="3BB450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建设性质</w:t>
            </w:r>
          </w:p>
        </w:tc>
        <w:tc>
          <w:tcPr>
            <w:tcW w:w="2271" w:type="dxa"/>
            <w:noWrap w:val="0"/>
            <w:vAlign w:val="center"/>
          </w:tcPr>
          <w:p w14:paraId="0050DC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left"/>
              <w:textAlignment w:val="auto"/>
              <w:rPr>
                <w:rFonts w:hint="eastAsia" w:ascii="宋体" w:hAnsi="宋体" w:eastAsia="宋体" w:cs="宋体"/>
                <w:color w:val="000000" w:themeColor="text1"/>
                <w:spacing w:val="0"/>
                <w:kern w:val="0"/>
                <w:sz w:val="21"/>
                <w:szCs w:val="21"/>
              </w:rPr>
            </w:pPr>
            <w:r>
              <w:rPr>
                <w:rFonts w:hint="eastAsia" w:ascii="宋体" w:hAnsi="宋体" w:eastAsia="宋体" w:cs="宋体"/>
                <w:color w:val="000000" w:themeColor="text1"/>
                <w:spacing w:val="0"/>
                <w:kern w:val="0"/>
                <w:sz w:val="21"/>
                <w:szCs w:val="21"/>
              </w:rPr>
              <w:sym w:font="Wingdings 2" w:char="0052"/>
            </w:r>
            <w:r>
              <w:rPr>
                <w:rFonts w:hint="eastAsia" w:ascii="宋体" w:hAnsi="宋体" w:eastAsia="宋体" w:cs="宋体"/>
                <w:color w:val="000000" w:themeColor="text1"/>
                <w:spacing w:val="0"/>
                <w:kern w:val="0"/>
                <w:sz w:val="21"/>
                <w:szCs w:val="21"/>
              </w:rPr>
              <w:t>新建（迁建）</w:t>
            </w:r>
          </w:p>
          <w:p w14:paraId="72C3FE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left"/>
              <w:textAlignment w:val="auto"/>
              <w:rPr>
                <w:rFonts w:hint="eastAsia" w:ascii="宋体" w:hAnsi="宋体" w:eastAsia="宋体" w:cs="宋体"/>
                <w:color w:val="000000" w:themeColor="text1"/>
                <w:spacing w:val="0"/>
                <w:kern w:val="0"/>
                <w:sz w:val="21"/>
                <w:szCs w:val="21"/>
              </w:rPr>
            </w:pPr>
            <w:r>
              <w:rPr>
                <w:rFonts w:hint="eastAsia" w:ascii="宋体" w:hAnsi="宋体" w:eastAsia="宋体" w:cs="宋体"/>
                <w:color w:val="000000" w:themeColor="text1"/>
                <w:spacing w:val="0"/>
                <w:kern w:val="0"/>
                <w:sz w:val="21"/>
                <w:szCs w:val="21"/>
              </w:rPr>
              <w:sym w:font="Wingdings 2" w:char="00A3"/>
            </w:r>
            <w:r>
              <w:rPr>
                <w:rFonts w:hint="eastAsia" w:ascii="宋体" w:hAnsi="宋体" w:eastAsia="宋体" w:cs="宋体"/>
                <w:color w:val="000000" w:themeColor="text1"/>
                <w:spacing w:val="0"/>
                <w:kern w:val="0"/>
                <w:sz w:val="21"/>
                <w:szCs w:val="21"/>
              </w:rPr>
              <w:t>改建</w:t>
            </w:r>
          </w:p>
          <w:p w14:paraId="320F1E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left"/>
              <w:textAlignment w:val="auto"/>
              <w:rPr>
                <w:rFonts w:hint="eastAsia" w:ascii="宋体" w:hAnsi="宋体" w:eastAsia="宋体" w:cs="宋体"/>
                <w:color w:val="000000" w:themeColor="text1"/>
                <w:spacing w:val="0"/>
                <w:kern w:val="0"/>
                <w:sz w:val="21"/>
                <w:szCs w:val="21"/>
              </w:rPr>
            </w:pPr>
            <w:r>
              <w:rPr>
                <w:rFonts w:hint="eastAsia" w:ascii="宋体" w:hAnsi="宋体" w:eastAsia="宋体" w:cs="宋体"/>
                <w:color w:val="000000" w:themeColor="text1"/>
                <w:spacing w:val="0"/>
                <w:kern w:val="0"/>
                <w:sz w:val="21"/>
                <w:szCs w:val="21"/>
              </w:rPr>
              <w:sym w:font="Wingdings 2" w:char="00A3"/>
            </w:r>
            <w:r>
              <w:rPr>
                <w:rFonts w:hint="eastAsia" w:ascii="宋体" w:hAnsi="宋体" w:eastAsia="宋体" w:cs="宋体"/>
                <w:color w:val="000000" w:themeColor="text1"/>
                <w:spacing w:val="0"/>
                <w:kern w:val="0"/>
                <w:sz w:val="21"/>
                <w:szCs w:val="21"/>
              </w:rPr>
              <w:t>扩建</w:t>
            </w:r>
          </w:p>
          <w:p w14:paraId="43FE26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left"/>
              <w:textAlignment w:val="auto"/>
              <w:rPr>
                <w:rFonts w:hint="eastAsia" w:ascii="宋体" w:hAnsi="宋体" w:eastAsia="宋体" w:cs="宋体"/>
                <w:color w:val="000000" w:themeColor="text1"/>
                <w:spacing w:val="0"/>
                <w:kern w:val="0"/>
                <w:sz w:val="21"/>
                <w:szCs w:val="21"/>
              </w:rPr>
            </w:pPr>
            <w:r>
              <w:rPr>
                <w:rFonts w:hint="eastAsia" w:ascii="宋体" w:hAnsi="宋体" w:eastAsia="宋体" w:cs="宋体"/>
                <w:color w:val="000000" w:themeColor="text1"/>
                <w:spacing w:val="0"/>
                <w:kern w:val="0"/>
                <w:sz w:val="21"/>
                <w:szCs w:val="21"/>
              </w:rPr>
              <w:sym w:font="Wingdings 2" w:char="00A3"/>
            </w:r>
            <w:r>
              <w:rPr>
                <w:rFonts w:hint="eastAsia" w:ascii="宋体" w:hAnsi="宋体" w:eastAsia="宋体" w:cs="宋体"/>
                <w:color w:val="000000" w:themeColor="text1"/>
                <w:spacing w:val="0"/>
                <w:kern w:val="0"/>
                <w:sz w:val="21"/>
                <w:szCs w:val="21"/>
              </w:rPr>
              <w:t>技术改造</w:t>
            </w:r>
          </w:p>
        </w:tc>
        <w:tc>
          <w:tcPr>
            <w:tcW w:w="1818" w:type="dxa"/>
            <w:noWrap w:val="0"/>
            <w:vAlign w:val="center"/>
          </w:tcPr>
          <w:p w14:paraId="6EE109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eastAsia" w:ascii="宋体" w:hAnsi="宋体" w:eastAsia="宋体" w:cs="宋体"/>
                <w:color w:val="000000" w:themeColor="text1"/>
                <w:spacing w:val="0"/>
                <w:kern w:val="0"/>
                <w:sz w:val="21"/>
                <w:szCs w:val="21"/>
              </w:rPr>
            </w:pPr>
            <w:r>
              <w:rPr>
                <w:rFonts w:hint="eastAsia" w:ascii="宋体" w:hAnsi="宋体" w:eastAsia="宋体" w:cs="宋体"/>
                <w:color w:val="000000" w:themeColor="text1"/>
                <w:spacing w:val="0"/>
                <w:kern w:val="0"/>
                <w:sz w:val="21"/>
                <w:szCs w:val="21"/>
              </w:rPr>
              <w:t>建设项目</w:t>
            </w:r>
          </w:p>
          <w:p w14:paraId="4DE284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eastAsia" w:ascii="宋体" w:hAnsi="宋体" w:eastAsia="宋体" w:cs="宋体"/>
                <w:color w:val="000000" w:themeColor="text1"/>
                <w:spacing w:val="0"/>
                <w:kern w:val="0"/>
                <w:sz w:val="21"/>
                <w:szCs w:val="21"/>
              </w:rPr>
            </w:pPr>
            <w:r>
              <w:rPr>
                <w:rFonts w:hint="eastAsia" w:ascii="宋体" w:hAnsi="宋体" w:eastAsia="宋体" w:cs="宋体"/>
                <w:color w:val="000000" w:themeColor="text1"/>
                <w:spacing w:val="0"/>
                <w:kern w:val="0"/>
                <w:sz w:val="21"/>
                <w:szCs w:val="21"/>
              </w:rPr>
              <w:t>申报情形</w:t>
            </w:r>
          </w:p>
        </w:tc>
        <w:tc>
          <w:tcPr>
            <w:tcW w:w="2917" w:type="dxa"/>
            <w:noWrap w:val="0"/>
            <w:vAlign w:val="center"/>
          </w:tcPr>
          <w:p w14:paraId="3F8FA0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left"/>
              <w:textAlignment w:val="auto"/>
              <w:rPr>
                <w:rFonts w:hint="eastAsia" w:ascii="宋体" w:hAnsi="宋体" w:eastAsia="宋体" w:cs="宋体"/>
                <w:color w:val="000000" w:themeColor="text1"/>
                <w:spacing w:val="0"/>
                <w:kern w:val="0"/>
                <w:sz w:val="21"/>
                <w:szCs w:val="21"/>
              </w:rPr>
            </w:pPr>
            <w:r>
              <w:rPr>
                <w:rFonts w:hint="eastAsia" w:ascii="宋体" w:hAnsi="宋体" w:eastAsia="宋体" w:cs="宋体"/>
                <w:color w:val="000000" w:themeColor="text1"/>
                <w:spacing w:val="0"/>
                <w:kern w:val="0"/>
                <w:sz w:val="21"/>
                <w:szCs w:val="21"/>
              </w:rPr>
              <w:sym w:font="Wingdings 2" w:char="0052"/>
            </w:r>
            <w:r>
              <w:rPr>
                <w:rFonts w:hint="eastAsia" w:ascii="宋体" w:hAnsi="宋体" w:eastAsia="宋体" w:cs="宋体"/>
                <w:color w:val="000000" w:themeColor="text1"/>
                <w:spacing w:val="0"/>
                <w:kern w:val="0"/>
                <w:sz w:val="21"/>
                <w:szCs w:val="21"/>
              </w:rPr>
              <w:t>首次申报项目</w:t>
            </w:r>
          </w:p>
          <w:p w14:paraId="4E152B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left"/>
              <w:textAlignment w:val="auto"/>
              <w:rPr>
                <w:rFonts w:hint="eastAsia" w:ascii="宋体" w:hAnsi="宋体" w:eastAsia="宋体" w:cs="宋体"/>
                <w:color w:val="000000" w:themeColor="text1"/>
                <w:spacing w:val="0"/>
                <w:kern w:val="0"/>
                <w:sz w:val="21"/>
                <w:szCs w:val="21"/>
              </w:rPr>
            </w:pPr>
            <w:r>
              <w:rPr>
                <w:rFonts w:hint="eastAsia" w:ascii="宋体" w:hAnsi="宋体" w:eastAsia="宋体" w:cs="宋体"/>
                <w:color w:val="000000" w:themeColor="text1"/>
                <w:spacing w:val="0"/>
                <w:kern w:val="0"/>
                <w:sz w:val="21"/>
                <w:szCs w:val="21"/>
              </w:rPr>
              <w:t>□不予批准后再次申报项目</w:t>
            </w:r>
          </w:p>
          <w:p w14:paraId="03A4C6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left"/>
              <w:textAlignment w:val="auto"/>
              <w:rPr>
                <w:rFonts w:hint="eastAsia" w:ascii="宋体" w:hAnsi="宋体" w:eastAsia="宋体" w:cs="宋体"/>
                <w:color w:val="000000" w:themeColor="text1"/>
                <w:spacing w:val="0"/>
                <w:kern w:val="0"/>
                <w:sz w:val="21"/>
                <w:szCs w:val="21"/>
              </w:rPr>
            </w:pPr>
            <w:r>
              <w:rPr>
                <w:rFonts w:hint="eastAsia" w:ascii="宋体" w:hAnsi="宋体" w:eastAsia="宋体" w:cs="宋体"/>
                <w:color w:val="000000" w:themeColor="text1"/>
                <w:spacing w:val="0"/>
                <w:kern w:val="0"/>
                <w:sz w:val="21"/>
                <w:szCs w:val="21"/>
              </w:rPr>
              <w:sym w:font="Wingdings 2" w:char="00A3"/>
            </w:r>
            <w:r>
              <w:rPr>
                <w:rFonts w:hint="eastAsia" w:ascii="宋体" w:hAnsi="宋体" w:eastAsia="宋体" w:cs="宋体"/>
                <w:color w:val="000000" w:themeColor="text1"/>
                <w:spacing w:val="0"/>
                <w:kern w:val="0"/>
                <w:sz w:val="21"/>
                <w:szCs w:val="21"/>
              </w:rPr>
              <w:t>超五年重新审核项目</w:t>
            </w:r>
          </w:p>
          <w:p w14:paraId="281026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left"/>
              <w:textAlignment w:val="auto"/>
              <w:rPr>
                <w:rFonts w:hint="eastAsia" w:ascii="宋体" w:hAnsi="宋体" w:eastAsia="宋体" w:cs="宋体"/>
                <w:color w:val="000000" w:themeColor="text1"/>
                <w:spacing w:val="0"/>
                <w:kern w:val="0"/>
                <w:sz w:val="21"/>
                <w:szCs w:val="21"/>
              </w:rPr>
            </w:pPr>
            <w:r>
              <w:rPr>
                <w:rFonts w:hint="eastAsia" w:ascii="宋体" w:hAnsi="宋体" w:eastAsia="宋体" w:cs="宋体"/>
                <w:color w:val="000000" w:themeColor="text1"/>
                <w:spacing w:val="0"/>
                <w:kern w:val="0"/>
                <w:sz w:val="21"/>
                <w:szCs w:val="21"/>
              </w:rPr>
              <w:sym w:font="Wingdings 2" w:char="00A3"/>
            </w:r>
            <w:r>
              <w:rPr>
                <w:rFonts w:hint="eastAsia" w:ascii="宋体" w:hAnsi="宋体" w:eastAsia="宋体" w:cs="宋体"/>
                <w:color w:val="000000" w:themeColor="text1"/>
                <w:spacing w:val="0"/>
                <w:kern w:val="0"/>
                <w:sz w:val="21"/>
                <w:szCs w:val="21"/>
              </w:rPr>
              <w:t>重大变动重新报批项目</w:t>
            </w:r>
          </w:p>
        </w:tc>
      </w:tr>
      <w:tr w14:paraId="3D8D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2" w:type="dxa"/>
            <w:gridSpan w:val="2"/>
            <w:noWrap w:val="0"/>
            <w:vAlign w:val="center"/>
          </w:tcPr>
          <w:p w14:paraId="02CD98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项目审批（核准/备案）部门（选填）</w:t>
            </w:r>
          </w:p>
        </w:tc>
        <w:tc>
          <w:tcPr>
            <w:tcW w:w="2271" w:type="dxa"/>
            <w:noWrap w:val="0"/>
            <w:vAlign w:val="center"/>
          </w:tcPr>
          <w:p w14:paraId="79C85E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通海县</w:t>
            </w:r>
          </w:p>
          <w:p w14:paraId="2544C3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发展和改革局</w:t>
            </w:r>
          </w:p>
        </w:tc>
        <w:tc>
          <w:tcPr>
            <w:tcW w:w="1818" w:type="dxa"/>
            <w:noWrap w:val="0"/>
            <w:vAlign w:val="center"/>
          </w:tcPr>
          <w:p w14:paraId="38BD25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项目审批（核准/备案）文号（选填）</w:t>
            </w:r>
          </w:p>
        </w:tc>
        <w:tc>
          <w:tcPr>
            <w:tcW w:w="2917" w:type="dxa"/>
            <w:noWrap w:val="0"/>
            <w:vAlign w:val="center"/>
          </w:tcPr>
          <w:p w14:paraId="22CED4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lang w:val="en-US" w:eastAsia="zh-CN"/>
              </w:rPr>
            </w:pPr>
            <w:r>
              <w:rPr>
                <w:rFonts w:hint="default" w:ascii="Times New Roman" w:hAnsi="Times New Roman" w:eastAsia="宋体" w:cs="Times New Roman"/>
                <w:color w:val="000000" w:themeColor="text1"/>
                <w:spacing w:val="0"/>
                <w:kern w:val="0"/>
                <w:sz w:val="21"/>
                <w:szCs w:val="21"/>
              </w:rPr>
              <w:t>通发改</w:t>
            </w:r>
            <w:r>
              <w:rPr>
                <w:rFonts w:hint="eastAsia" w:ascii="Times New Roman" w:hAnsi="Times New Roman" w:eastAsia="宋体" w:cs="Times New Roman"/>
                <w:color w:val="000000" w:themeColor="text1"/>
                <w:spacing w:val="0"/>
                <w:kern w:val="0"/>
                <w:sz w:val="21"/>
                <w:szCs w:val="21"/>
                <w:lang w:val="en-US" w:eastAsia="zh-CN"/>
              </w:rPr>
              <w:t>基</w:t>
            </w:r>
            <w:r>
              <w:rPr>
                <w:rFonts w:hint="eastAsia" w:ascii="Times New Roman" w:hAnsi="Times New Roman" w:eastAsia="宋体" w:cs="Times New Roman"/>
                <w:color w:val="000000" w:themeColor="text1"/>
                <w:spacing w:val="0"/>
                <w:kern w:val="0"/>
                <w:sz w:val="21"/>
                <w:szCs w:val="21"/>
                <w:lang w:eastAsia="zh-CN"/>
              </w:rPr>
              <w:t>【</w:t>
            </w:r>
            <w:r>
              <w:rPr>
                <w:rFonts w:hint="eastAsia" w:ascii="Times New Roman" w:hAnsi="Times New Roman" w:eastAsia="宋体" w:cs="Times New Roman"/>
                <w:color w:val="000000" w:themeColor="text1"/>
                <w:spacing w:val="0"/>
                <w:kern w:val="0"/>
                <w:sz w:val="21"/>
                <w:szCs w:val="21"/>
                <w:lang w:val="en-US" w:eastAsia="zh-CN"/>
              </w:rPr>
              <w:t>2023</w:t>
            </w:r>
            <w:r>
              <w:rPr>
                <w:rFonts w:hint="eastAsia" w:ascii="Times New Roman" w:hAnsi="Times New Roman" w:eastAsia="宋体" w:cs="Times New Roman"/>
                <w:color w:val="000000" w:themeColor="text1"/>
                <w:spacing w:val="0"/>
                <w:kern w:val="0"/>
                <w:sz w:val="21"/>
                <w:szCs w:val="21"/>
                <w:lang w:eastAsia="zh-CN"/>
              </w:rPr>
              <w:t>】</w:t>
            </w:r>
            <w:r>
              <w:rPr>
                <w:rFonts w:hint="eastAsia" w:ascii="Times New Roman" w:hAnsi="Times New Roman" w:eastAsia="宋体" w:cs="Times New Roman"/>
                <w:color w:val="000000" w:themeColor="text1"/>
                <w:spacing w:val="0"/>
                <w:kern w:val="0"/>
                <w:sz w:val="21"/>
                <w:szCs w:val="21"/>
                <w:lang w:val="en-US" w:eastAsia="zh-CN"/>
              </w:rPr>
              <w:t>17</w:t>
            </w:r>
            <w:r>
              <w:rPr>
                <w:rFonts w:hint="default" w:ascii="Times New Roman" w:hAnsi="Times New Roman" w:eastAsia="宋体" w:cs="Times New Roman"/>
                <w:color w:val="000000" w:themeColor="text1"/>
                <w:spacing w:val="0"/>
                <w:kern w:val="0"/>
                <w:sz w:val="21"/>
                <w:szCs w:val="21"/>
              </w:rPr>
              <w:t>号</w:t>
            </w:r>
          </w:p>
        </w:tc>
      </w:tr>
      <w:tr w14:paraId="36B96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2" w:type="dxa"/>
            <w:gridSpan w:val="2"/>
            <w:noWrap w:val="0"/>
            <w:vAlign w:val="center"/>
          </w:tcPr>
          <w:p w14:paraId="5F8CCA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总投资</w:t>
            </w:r>
          </w:p>
          <w:p w14:paraId="228154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（万元）</w:t>
            </w:r>
          </w:p>
        </w:tc>
        <w:tc>
          <w:tcPr>
            <w:tcW w:w="2271" w:type="dxa"/>
            <w:noWrap w:val="0"/>
            <w:vAlign w:val="center"/>
          </w:tcPr>
          <w:p w14:paraId="1FE988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rPr>
            </w:pPr>
            <w:r>
              <w:rPr>
                <w:rFonts w:hint="eastAsia" w:ascii="Times New Roman" w:hAnsi="Times New Roman" w:eastAsia="宋体" w:cs="Times New Roman"/>
                <w:color w:val="000000" w:themeColor="text1"/>
                <w:spacing w:val="0"/>
                <w:kern w:val="0"/>
                <w:sz w:val="21"/>
                <w:szCs w:val="21"/>
                <w:lang w:val="en-US" w:eastAsia="zh-CN"/>
              </w:rPr>
              <w:t>2400</w:t>
            </w:r>
            <w:r>
              <w:rPr>
                <w:rFonts w:hint="default" w:ascii="Times New Roman" w:hAnsi="Times New Roman" w:eastAsia="宋体" w:cs="Times New Roman"/>
                <w:color w:val="000000" w:themeColor="text1"/>
                <w:spacing w:val="0"/>
                <w:kern w:val="0"/>
                <w:sz w:val="21"/>
                <w:szCs w:val="21"/>
              </w:rPr>
              <w:t>万</w:t>
            </w:r>
          </w:p>
        </w:tc>
        <w:tc>
          <w:tcPr>
            <w:tcW w:w="1818" w:type="dxa"/>
            <w:noWrap w:val="0"/>
            <w:vAlign w:val="center"/>
          </w:tcPr>
          <w:p w14:paraId="7AE9ED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环保投资</w:t>
            </w:r>
          </w:p>
          <w:p w14:paraId="67E42D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（万元）</w:t>
            </w:r>
          </w:p>
        </w:tc>
        <w:tc>
          <w:tcPr>
            <w:tcW w:w="2917" w:type="dxa"/>
            <w:noWrap w:val="0"/>
            <w:vAlign w:val="center"/>
          </w:tcPr>
          <w:p w14:paraId="294320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lang w:val="en-US" w:eastAsia="zh-CN"/>
              </w:rPr>
            </w:pPr>
            <w:r>
              <w:rPr>
                <w:rFonts w:hint="eastAsia" w:ascii="Times New Roman" w:hAnsi="Times New Roman" w:eastAsia="宋体" w:cs="Times New Roman"/>
                <w:color w:val="000000" w:themeColor="text1"/>
                <w:spacing w:val="0"/>
                <w:kern w:val="0"/>
                <w:sz w:val="21"/>
                <w:szCs w:val="21"/>
                <w:lang w:val="en-US" w:eastAsia="zh-CN"/>
              </w:rPr>
              <w:t>65.55</w:t>
            </w:r>
          </w:p>
        </w:tc>
      </w:tr>
      <w:tr w14:paraId="4A735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2" w:type="dxa"/>
            <w:gridSpan w:val="2"/>
            <w:noWrap w:val="0"/>
            <w:vAlign w:val="center"/>
          </w:tcPr>
          <w:p w14:paraId="3FA6A7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环保投资占比（%）</w:t>
            </w:r>
          </w:p>
        </w:tc>
        <w:tc>
          <w:tcPr>
            <w:tcW w:w="2271" w:type="dxa"/>
            <w:noWrap w:val="0"/>
            <w:vAlign w:val="center"/>
          </w:tcPr>
          <w:p w14:paraId="44B6C4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lang w:val="en-US" w:eastAsia="zh-CN"/>
              </w:rPr>
            </w:pPr>
            <w:r>
              <w:rPr>
                <w:rFonts w:hint="eastAsia" w:ascii="Times New Roman" w:hAnsi="Times New Roman" w:eastAsia="宋体" w:cs="Times New Roman"/>
                <w:color w:val="000000" w:themeColor="text1"/>
                <w:spacing w:val="0"/>
                <w:kern w:val="0"/>
                <w:sz w:val="21"/>
                <w:szCs w:val="21"/>
                <w:lang w:val="en-US" w:eastAsia="zh-CN"/>
              </w:rPr>
              <w:t>2.73</w:t>
            </w:r>
          </w:p>
        </w:tc>
        <w:tc>
          <w:tcPr>
            <w:tcW w:w="1818" w:type="dxa"/>
            <w:noWrap w:val="0"/>
            <w:vAlign w:val="center"/>
          </w:tcPr>
          <w:p w14:paraId="2FA12B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施工工期</w:t>
            </w:r>
          </w:p>
        </w:tc>
        <w:tc>
          <w:tcPr>
            <w:tcW w:w="2917" w:type="dxa"/>
            <w:noWrap w:val="0"/>
            <w:vAlign w:val="center"/>
          </w:tcPr>
          <w:p w14:paraId="07BBD7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lang w:val="en-US" w:eastAsia="zh-CN"/>
              </w:rPr>
            </w:pPr>
            <w:r>
              <w:rPr>
                <w:rFonts w:hint="eastAsia" w:ascii="Times New Roman" w:hAnsi="Times New Roman" w:eastAsia="宋体" w:cs="Times New Roman"/>
                <w:color w:val="000000" w:themeColor="text1"/>
                <w:spacing w:val="0"/>
                <w:kern w:val="0"/>
                <w:sz w:val="21"/>
                <w:szCs w:val="21"/>
                <w:lang w:val="en-US" w:eastAsia="zh-CN"/>
              </w:rPr>
              <w:t>12个月</w:t>
            </w:r>
          </w:p>
        </w:tc>
      </w:tr>
      <w:tr w14:paraId="5B0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2" w:type="dxa"/>
            <w:gridSpan w:val="2"/>
            <w:noWrap w:val="0"/>
            <w:vAlign w:val="center"/>
          </w:tcPr>
          <w:p w14:paraId="43D72E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是否开工建设</w:t>
            </w:r>
          </w:p>
        </w:tc>
        <w:tc>
          <w:tcPr>
            <w:tcW w:w="2271" w:type="dxa"/>
            <w:noWrap w:val="0"/>
            <w:vAlign w:val="center"/>
          </w:tcPr>
          <w:p w14:paraId="548250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left"/>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sym w:font="Wingdings 2" w:char="0052"/>
            </w:r>
            <w:r>
              <w:rPr>
                <w:rFonts w:hint="default" w:ascii="Times New Roman" w:hAnsi="Times New Roman" w:eastAsia="宋体" w:cs="Times New Roman"/>
                <w:color w:val="000000" w:themeColor="text1"/>
                <w:spacing w:val="0"/>
                <w:kern w:val="0"/>
                <w:sz w:val="21"/>
                <w:szCs w:val="21"/>
              </w:rPr>
              <w:t>否</w:t>
            </w:r>
          </w:p>
          <w:p w14:paraId="385F23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left"/>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sym w:font="Wingdings 2" w:char="00A3"/>
            </w:r>
            <w:r>
              <w:rPr>
                <w:rFonts w:hint="default" w:ascii="Times New Roman" w:hAnsi="Times New Roman" w:eastAsia="宋体" w:cs="Times New Roman"/>
                <w:color w:val="000000" w:themeColor="text1"/>
                <w:spacing w:val="0"/>
                <w:kern w:val="0"/>
                <w:sz w:val="21"/>
                <w:szCs w:val="21"/>
              </w:rPr>
              <w:t>是</w:t>
            </w:r>
          </w:p>
        </w:tc>
        <w:tc>
          <w:tcPr>
            <w:tcW w:w="1818" w:type="dxa"/>
            <w:noWrap w:val="0"/>
            <w:vAlign w:val="center"/>
          </w:tcPr>
          <w:p w14:paraId="6A2E87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用地（用海）</w:t>
            </w:r>
          </w:p>
          <w:p w14:paraId="3D99E6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面积（㎡）</w:t>
            </w:r>
          </w:p>
        </w:tc>
        <w:tc>
          <w:tcPr>
            <w:tcW w:w="2917" w:type="dxa"/>
            <w:noWrap w:val="0"/>
            <w:vAlign w:val="center"/>
          </w:tcPr>
          <w:p w14:paraId="0B8497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contextualSpacing/>
              <w:jc w:val="center"/>
              <w:textAlignment w:val="auto"/>
              <w:rPr>
                <w:rFonts w:hint="default" w:ascii="Times New Roman" w:hAnsi="Times New Roman" w:eastAsia="宋体" w:cs="Times New Roman"/>
                <w:color w:val="000000" w:themeColor="text1"/>
                <w:spacing w:val="0"/>
                <w:kern w:val="0"/>
                <w:sz w:val="21"/>
                <w:szCs w:val="21"/>
                <w:lang w:val="en-US" w:eastAsia="zh-CN"/>
              </w:rPr>
            </w:pPr>
            <w:r>
              <w:rPr>
                <w:rFonts w:hint="eastAsia" w:ascii="Times New Roman" w:hAnsi="Times New Roman" w:eastAsia="宋体" w:cs="Times New Roman"/>
                <w:color w:val="000000" w:themeColor="text1"/>
                <w:spacing w:val="0"/>
                <w:kern w:val="0"/>
                <w:sz w:val="21"/>
                <w:szCs w:val="21"/>
                <w:lang w:val="en-US" w:eastAsia="zh-CN"/>
              </w:rPr>
              <w:t>9826.67</w:t>
            </w:r>
          </w:p>
        </w:tc>
      </w:tr>
      <w:tr w14:paraId="16588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4" w:type="dxa"/>
            <w:noWrap w:val="0"/>
            <w:vAlign w:val="center"/>
          </w:tcPr>
          <w:p w14:paraId="4BBB090F">
            <w:pPr>
              <w:keepNext w:val="0"/>
              <w:keepLines w:val="0"/>
              <w:suppressLineNumbers w:val="0"/>
              <w:spacing w:before="0" w:beforeAutospacing="0" w:after="0" w:afterAutospacing="0" w:line="240" w:lineRule="atLeast"/>
              <w:ind w:left="0" w:right="0" w:firstLine="0" w:firstLineChars="0"/>
              <w:contextualSpacing/>
              <w:jc w:val="center"/>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专项评价设置情况</w:t>
            </w:r>
          </w:p>
        </w:tc>
        <w:tc>
          <w:tcPr>
            <w:tcW w:w="8034" w:type="dxa"/>
            <w:gridSpan w:val="4"/>
            <w:noWrap w:val="0"/>
            <w:vAlign w:val="center"/>
          </w:tcPr>
          <w:p w14:paraId="49C931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根据《建设项目环境影响报告表编制技术指南》（污染影响类）（试行）“表1专项评价设置原则表”的要求，本项目专项评价设置情况具体如下表所示。</w:t>
            </w:r>
          </w:p>
          <w:p w14:paraId="63D46A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color w:val="000000" w:themeColor="text1"/>
                <w:spacing w:val="0"/>
                <w:kern w:val="0"/>
                <w:sz w:val="21"/>
                <w:szCs w:val="21"/>
              </w:rPr>
            </w:pPr>
            <w:r>
              <w:rPr>
                <w:rFonts w:hint="default" w:ascii="Times New Roman" w:hAnsi="Times New Roman" w:eastAsia="宋体" w:cs="Times New Roman"/>
                <w:b/>
                <w:color w:val="000000" w:themeColor="text1"/>
                <w:spacing w:val="0"/>
                <w:kern w:val="0"/>
                <w:sz w:val="21"/>
                <w:szCs w:val="21"/>
              </w:rPr>
              <w:t xml:space="preserve">表1-1 </w:t>
            </w:r>
            <w:r>
              <w:rPr>
                <w:rFonts w:hint="eastAsia" w:ascii="Times New Roman" w:hAnsi="Times New Roman" w:eastAsia="宋体" w:cs="Times New Roman"/>
                <w:b/>
                <w:color w:val="000000" w:themeColor="text1"/>
                <w:spacing w:val="0"/>
                <w:kern w:val="0"/>
                <w:sz w:val="21"/>
                <w:szCs w:val="21"/>
                <w:lang w:val="en-US" w:eastAsia="zh-CN"/>
              </w:rPr>
              <w:t xml:space="preserve"> </w:t>
            </w:r>
            <w:r>
              <w:rPr>
                <w:rFonts w:hint="default" w:ascii="Times New Roman" w:hAnsi="Times New Roman" w:eastAsia="宋体" w:cs="Times New Roman"/>
                <w:b/>
                <w:color w:val="000000" w:themeColor="text1"/>
                <w:spacing w:val="0"/>
                <w:kern w:val="0"/>
                <w:sz w:val="21"/>
                <w:szCs w:val="21"/>
              </w:rPr>
              <w:t>专项评价设置情况分析表</w:t>
            </w:r>
          </w:p>
          <w:tbl>
            <w:tblPr>
              <w:tblStyle w:val="43"/>
              <w:tblW w:w="7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2745"/>
              <w:gridCol w:w="2746"/>
              <w:gridCol w:w="968"/>
            </w:tblGrid>
            <w:tr w14:paraId="2DAF1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1" w:type="dxa"/>
                  <w:noWrap w:val="0"/>
                  <w:vAlign w:val="center"/>
                </w:tcPr>
                <w:p w14:paraId="4F5F5BC9">
                  <w:pPr>
                    <w:keepNext w:val="0"/>
                    <w:keepLines w:val="0"/>
                    <w:pageBreakBefore w:val="0"/>
                    <w:widowControl/>
                    <w:suppressLineNumbers w:val="0"/>
                    <w:tabs>
                      <w:tab w:val="left" w:pos="540"/>
                      <w:tab w:val="left" w:pos="851"/>
                      <w:tab w:val="left" w:pos="994"/>
                      <w:tab w:val="left" w:pos="1260"/>
                      <w:tab w:val="left" w:pos="3108"/>
                      <w:tab w:val="left" w:pos="3150"/>
                    </w:tabs>
                    <w:kinsoku/>
                    <w:wordWrap/>
                    <w:overflowPunct w:val="0"/>
                    <w:topLinePunct w:val="0"/>
                    <w:autoSpaceDE/>
                    <w:autoSpaceDN/>
                    <w:bidi w:val="0"/>
                    <w:adjustRightInd w:val="0"/>
                    <w:snapToGrid w:val="0"/>
                    <w:spacing w:before="0" w:beforeAutospacing="0" w:after="0" w:afterAutospacing="0" w:line="320" w:lineRule="exact"/>
                    <w:ind w:left="0" w:right="0" w:firstLine="0" w:firstLineChars="0"/>
                    <w:jc w:val="center"/>
                    <w:textAlignment w:val="baseline"/>
                    <w:rPr>
                      <w:rFonts w:hint="default" w:ascii="Times New Roman" w:hAnsi="Times New Roman" w:eastAsia="宋体" w:cs="Times New Roman"/>
                      <w:b/>
                      <w:bCs w:val="0"/>
                      <w:snapToGrid w:val="0"/>
                      <w:color w:val="000000" w:themeColor="text1"/>
                      <w:spacing w:val="0"/>
                      <w:kern w:val="0"/>
                      <w:sz w:val="21"/>
                      <w:szCs w:val="21"/>
                      <w:lang w:val="en-US" w:eastAsia="zh-CN"/>
                    </w:rPr>
                  </w:pPr>
                  <w:r>
                    <w:rPr>
                      <w:rFonts w:hint="default" w:ascii="Times New Roman" w:hAnsi="Times New Roman" w:eastAsia="宋体" w:cs="Times New Roman"/>
                      <w:b/>
                      <w:bCs w:val="0"/>
                      <w:snapToGrid w:val="0"/>
                      <w:color w:val="000000" w:themeColor="text1"/>
                      <w:spacing w:val="0"/>
                      <w:kern w:val="0"/>
                      <w:sz w:val="21"/>
                      <w:szCs w:val="21"/>
                      <w:lang w:val="en-US" w:eastAsia="zh-CN"/>
                    </w:rPr>
                    <w:t>专项评价类别</w:t>
                  </w:r>
                </w:p>
              </w:tc>
              <w:tc>
                <w:tcPr>
                  <w:tcW w:w="2745" w:type="dxa"/>
                  <w:noWrap w:val="0"/>
                  <w:vAlign w:val="center"/>
                </w:tcPr>
                <w:p w14:paraId="565E60ED">
                  <w:pPr>
                    <w:keepNext w:val="0"/>
                    <w:keepLines w:val="0"/>
                    <w:pageBreakBefore w:val="0"/>
                    <w:widowControl/>
                    <w:suppressLineNumbers w:val="0"/>
                    <w:tabs>
                      <w:tab w:val="left" w:pos="540"/>
                      <w:tab w:val="left" w:pos="851"/>
                      <w:tab w:val="left" w:pos="994"/>
                      <w:tab w:val="left" w:pos="1260"/>
                      <w:tab w:val="left" w:pos="3108"/>
                      <w:tab w:val="left" w:pos="3150"/>
                    </w:tabs>
                    <w:kinsoku/>
                    <w:wordWrap/>
                    <w:overflowPunct w:val="0"/>
                    <w:topLinePunct w:val="0"/>
                    <w:autoSpaceDE/>
                    <w:autoSpaceDN/>
                    <w:bidi w:val="0"/>
                    <w:adjustRightInd w:val="0"/>
                    <w:snapToGrid w:val="0"/>
                    <w:spacing w:before="0" w:beforeAutospacing="0" w:after="0" w:afterAutospacing="0" w:line="320" w:lineRule="exact"/>
                    <w:ind w:left="0" w:right="0" w:firstLine="0" w:firstLineChars="0"/>
                    <w:jc w:val="center"/>
                    <w:textAlignment w:val="baseline"/>
                    <w:rPr>
                      <w:rFonts w:hint="default" w:ascii="Times New Roman" w:hAnsi="Times New Roman" w:eastAsia="宋体" w:cs="Times New Roman"/>
                      <w:b/>
                      <w:bCs w:val="0"/>
                      <w:snapToGrid w:val="0"/>
                      <w:color w:val="000000" w:themeColor="text1"/>
                      <w:spacing w:val="0"/>
                      <w:kern w:val="0"/>
                      <w:sz w:val="21"/>
                      <w:szCs w:val="21"/>
                      <w:lang w:val="zh-CN"/>
                    </w:rPr>
                  </w:pPr>
                  <w:r>
                    <w:rPr>
                      <w:rFonts w:hint="default" w:ascii="Times New Roman" w:hAnsi="Times New Roman" w:eastAsia="宋体" w:cs="Times New Roman"/>
                      <w:b/>
                      <w:bCs w:val="0"/>
                      <w:snapToGrid w:val="0"/>
                      <w:color w:val="000000" w:themeColor="text1"/>
                      <w:spacing w:val="0"/>
                      <w:kern w:val="0"/>
                      <w:sz w:val="21"/>
                      <w:szCs w:val="21"/>
                      <w:lang w:val="zh-CN"/>
                    </w:rPr>
                    <w:t>专项设置原则</w:t>
                  </w:r>
                </w:p>
              </w:tc>
              <w:tc>
                <w:tcPr>
                  <w:tcW w:w="2746" w:type="dxa"/>
                  <w:noWrap w:val="0"/>
                  <w:vAlign w:val="center"/>
                </w:tcPr>
                <w:p w14:paraId="3BAB688A">
                  <w:pPr>
                    <w:keepNext w:val="0"/>
                    <w:keepLines w:val="0"/>
                    <w:pageBreakBefore w:val="0"/>
                    <w:widowControl/>
                    <w:suppressLineNumbers w:val="0"/>
                    <w:tabs>
                      <w:tab w:val="left" w:pos="540"/>
                      <w:tab w:val="left" w:pos="851"/>
                      <w:tab w:val="left" w:pos="994"/>
                      <w:tab w:val="left" w:pos="1260"/>
                      <w:tab w:val="left" w:pos="3108"/>
                      <w:tab w:val="left" w:pos="3150"/>
                    </w:tabs>
                    <w:kinsoku/>
                    <w:wordWrap/>
                    <w:overflowPunct w:val="0"/>
                    <w:topLinePunct w:val="0"/>
                    <w:autoSpaceDE/>
                    <w:autoSpaceDN/>
                    <w:bidi w:val="0"/>
                    <w:adjustRightInd w:val="0"/>
                    <w:snapToGrid w:val="0"/>
                    <w:spacing w:before="0" w:beforeAutospacing="0" w:after="0" w:afterAutospacing="0" w:line="320" w:lineRule="exact"/>
                    <w:ind w:left="0" w:right="0" w:firstLine="0" w:firstLineChars="0"/>
                    <w:jc w:val="center"/>
                    <w:textAlignment w:val="baseline"/>
                    <w:rPr>
                      <w:rFonts w:hint="default" w:ascii="Times New Roman" w:hAnsi="Times New Roman" w:eastAsia="宋体" w:cs="Times New Roman"/>
                      <w:b/>
                      <w:bCs w:val="0"/>
                      <w:snapToGrid w:val="0"/>
                      <w:color w:val="000000" w:themeColor="text1"/>
                      <w:spacing w:val="0"/>
                      <w:kern w:val="0"/>
                      <w:sz w:val="21"/>
                      <w:szCs w:val="21"/>
                      <w:lang w:val="zh-CN"/>
                    </w:rPr>
                  </w:pPr>
                  <w:r>
                    <w:rPr>
                      <w:rFonts w:hint="default" w:ascii="Times New Roman" w:hAnsi="Times New Roman" w:eastAsia="宋体" w:cs="Times New Roman"/>
                      <w:b/>
                      <w:bCs w:val="0"/>
                      <w:snapToGrid w:val="0"/>
                      <w:color w:val="000000" w:themeColor="text1"/>
                      <w:spacing w:val="0"/>
                      <w:kern w:val="0"/>
                      <w:sz w:val="21"/>
                      <w:szCs w:val="21"/>
                      <w:lang w:val="zh-CN"/>
                    </w:rPr>
                    <w:t>本项目情况</w:t>
                  </w:r>
                </w:p>
              </w:tc>
              <w:tc>
                <w:tcPr>
                  <w:tcW w:w="968" w:type="dxa"/>
                  <w:noWrap w:val="0"/>
                  <w:vAlign w:val="center"/>
                </w:tcPr>
                <w:p w14:paraId="620ECEF7">
                  <w:pPr>
                    <w:keepNext w:val="0"/>
                    <w:keepLines w:val="0"/>
                    <w:pageBreakBefore w:val="0"/>
                    <w:widowControl/>
                    <w:suppressLineNumbers w:val="0"/>
                    <w:tabs>
                      <w:tab w:val="left" w:pos="540"/>
                      <w:tab w:val="left" w:pos="851"/>
                      <w:tab w:val="left" w:pos="994"/>
                      <w:tab w:val="left" w:pos="1260"/>
                      <w:tab w:val="left" w:pos="3108"/>
                      <w:tab w:val="left" w:pos="3150"/>
                    </w:tabs>
                    <w:kinsoku/>
                    <w:wordWrap/>
                    <w:overflowPunct w:val="0"/>
                    <w:topLinePunct w:val="0"/>
                    <w:autoSpaceDE/>
                    <w:autoSpaceDN/>
                    <w:bidi w:val="0"/>
                    <w:adjustRightInd w:val="0"/>
                    <w:snapToGrid w:val="0"/>
                    <w:spacing w:before="0" w:beforeAutospacing="0" w:after="0" w:afterAutospacing="0" w:line="320" w:lineRule="exact"/>
                    <w:ind w:left="0" w:right="0" w:firstLine="0" w:firstLineChars="0"/>
                    <w:jc w:val="center"/>
                    <w:textAlignment w:val="baseline"/>
                    <w:rPr>
                      <w:rFonts w:hint="default" w:ascii="Times New Roman" w:hAnsi="Times New Roman" w:eastAsia="宋体" w:cs="Times New Roman"/>
                      <w:b/>
                      <w:bCs w:val="0"/>
                      <w:snapToGrid w:val="0"/>
                      <w:color w:val="000000" w:themeColor="text1"/>
                      <w:spacing w:val="0"/>
                      <w:kern w:val="0"/>
                      <w:sz w:val="21"/>
                      <w:szCs w:val="21"/>
                      <w:lang w:val="zh-CN"/>
                    </w:rPr>
                  </w:pPr>
                  <w:r>
                    <w:rPr>
                      <w:rFonts w:hint="default" w:ascii="Times New Roman" w:hAnsi="Times New Roman" w:eastAsia="宋体" w:cs="Times New Roman"/>
                      <w:b/>
                      <w:bCs w:val="0"/>
                      <w:snapToGrid w:val="0"/>
                      <w:color w:val="000000" w:themeColor="text1"/>
                      <w:spacing w:val="0"/>
                      <w:kern w:val="0"/>
                      <w:sz w:val="21"/>
                      <w:szCs w:val="21"/>
                      <w:lang w:val="zh-CN"/>
                    </w:rPr>
                    <w:t>是否设置专项</w:t>
                  </w:r>
                </w:p>
              </w:tc>
            </w:tr>
            <w:tr w14:paraId="2797E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1" w:type="dxa"/>
                  <w:noWrap w:val="0"/>
                  <w:vAlign w:val="center"/>
                </w:tcPr>
                <w:p w14:paraId="06B8F562">
                  <w:pPr>
                    <w:keepNext w:val="0"/>
                    <w:keepLines w:val="0"/>
                    <w:pageBreakBefore w:val="0"/>
                    <w:widowControl/>
                    <w:suppressLineNumbers w:val="0"/>
                    <w:tabs>
                      <w:tab w:val="left" w:pos="540"/>
                      <w:tab w:val="left" w:pos="851"/>
                      <w:tab w:val="left" w:pos="994"/>
                      <w:tab w:val="left" w:pos="1260"/>
                      <w:tab w:val="left" w:pos="3108"/>
                      <w:tab w:val="left" w:pos="3150"/>
                    </w:tabs>
                    <w:kinsoku/>
                    <w:wordWrap/>
                    <w:overflowPunct w:val="0"/>
                    <w:topLinePunct w:val="0"/>
                    <w:autoSpaceDE/>
                    <w:autoSpaceDN/>
                    <w:bidi w:val="0"/>
                    <w:adjustRightInd w:val="0"/>
                    <w:snapToGrid w:val="0"/>
                    <w:spacing w:before="0" w:beforeAutospacing="0" w:after="0" w:afterAutospacing="0" w:line="320" w:lineRule="exact"/>
                    <w:ind w:left="0" w:right="0" w:firstLine="0" w:firstLineChars="0"/>
                    <w:jc w:val="center"/>
                    <w:textAlignment w:val="baseline"/>
                    <w:rPr>
                      <w:rFonts w:hint="default" w:ascii="Times New Roman" w:hAnsi="Times New Roman" w:eastAsia="宋体" w:cs="Times New Roman"/>
                      <w:bCs/>
                      <w:snapToGrid w:val="0"/>
                      <w:color w:val="000000" w:themeColor="text1"/>
                      <w:spacing w:val="0"/>
                      <w:kern w:val="0"/>
                      <w:sz w:val="21"/>
                      <w:szCs w:val="21"/>
                      <w:lang w:val="zh-CN"/>
                    </w:rPr>
                  </w:pPr>
                  <w:r>
                    <w:rPr>
                      <w:rFonts w:hint="default" w:ascii="Times New Roman" w:hAnsi="Times New Roman" w:eastAsia="宋体" w:cs="Times New Roman"/>
                      <w:bCs/>
                      <w:snapToGrid w:val="0"/>
                      <w:color w:val="000000" w:themeColor="text1"/>
                      <w:spacing w:val="0"/>
                      <w:kern w:val="0"/>
                      <w:sz w:val="21"/>
                      <w:szCs w:val="21"/>
                      <w:lang w:val="zh-CN"/>
                    </w:rPr>
                    <w:t>大气</w:t>
                  </w:r>
                </w:p>
              </w:tc>
              <w:tc>
                <w:tcPr>
                  <w:tcW w:w="2745" w:type="dxa"/>
                  <w:noWrap w:val="0"/>
                  <w:vAlign w:val="center"/>
                </w:tcPr>
                <w:p w14:paraId="64323FEB">
                  <w:pPr>
                    <w:keepNext w:val="0"/>
                    <w:keepLines w:val="0"/>
                    <w:pageBreakBefore w:val="0"/>
                    <w:widowControl/>
                    <w:suppressLineNumbers w:val="0"/>
                    <w:tabs>
                      <w:tab w:val="left" w:pos="540"/>
                      <w:tab w:val="left" w:pos="851"/>
                      <w:tab w:val="left" w:pos="994"/>
                      <w:tab w:val="left" w:pos="1260"/>
                      <w:tab w:val="left" w:pos="3108"/>
                      <w:tab w:val="left" w:pos="3150"/>
                    </w:tabs>
                    <w:kinsoku/>
                    <w:wordWrap/>
                    <w:overflowPunct w:val="0"/>
                    <w:topLinePunct w:val="0"/>
                    <w:autoSpaceDE/>
                    <w:autoSpaceDN/>
                    <w:bidi w:val="0"/>
                    <w:adjustRightInd w:val="0"/>
                    <w:snapToGrid w:val="0"/>
                    <w:spacing w:before="0" w:beforeAutospacing="0" w:after="0" w:afterAutospacing="0" w:line="320" w:lineRule="exact"/>
                    <w:ind w:left="0" w:right="0" w:firstLine="420" w:firstLineChars="200"/>
                    <w:textAlignment w:val="baseline"/>
                    <w:rPr>
                      <w:rFonts w:hint="default" w:ascii="Times New Roman" w:hAnsi="Times New Roman" w:eastAsia="宋体" w:cs="Times New Roman"/>
                      <w:bCs/>
                      <w:snapToGrid w:val="0"/>
                      <w:color w:val="000000" w:themeColor="text1"/>
                      <w:spacing w:val="0"/>
                      <w:kern w:val="0"/>
                      <w:sz w:val="21"/>
                      <w:szCs w:val="21"/>
                      <w:lang w:val="zh-CN"/>
                    </w:rPr>
                  </w:pPr>
                  <w:r>
                    <w:rPr>
                      <w:rFonts w:hint="default" w:ascii="Times New Roman" w:hAnsi="Times New Roman" w:eastAsia="宋体" w:cs="Times New Roman"/>
                      <w:bCs/>
                      <w:snapToGrid w:val="0"/>
                      <w:color w:val="000000" w:themeColor="text1"/>
                      <w:spacing w:val="0"/>
                      <w:kern w:val="0"/>
                      <w:sz w:val="21"/>
                      <w:szCs w:val="21"/>
                      <w:lang w:val="zh-CN"/>
                    </w:rPr>
                    <w:t>排放废气含有《有毒有害大气污染物名录》的污染物（不包括无排放标准的污染物）、二噁英、苯并[a]芘、氰化物、氯气且厂界外500米范围内有环境空气保护目标的建设项目。</w:t>
                  </w:r>
                </w:p>
              </w:tc>
              <w:tc>
                <w:tcPr>
                  <w:tcW w:w="2746" w:type="dxa"/>
                  <w:noWrap w:val="0"/>
                  <w:vAlign w:val="center"/>
                </w:tcPr>
                <w:p w14:paraId="05D1DD78">
                  <w:pPr>
                    <w:keepNext w:val="0"/>
                    <w:keepLines w:val="0"/>
                    <w:pageBreakBefore w:val="0"/>
                    <w:widowControl/>
                    <w:suppressLineNumbers w:val="0"/>
                    <w:tabs>
                      <w:tab w:val="left" w:pos="540"/>
                      <w:tab w:val="left" w:pos="851"/>
                      <w:tab w:val="left" w:pos="994"/>
                      <w:tab w:val="left" w:pos="1260"/>
                      <w:tab w:val="left" w:pos="3108"/>
                      <w:tab w:val="left" w:pos="3150"/>
                    </w:tabs>
                    <w:kinsoku/>
                    <w:wordWrap/>
                    <w:overflowPunct w:val="0"/>
                    <w:topLinePunct w:val="0"/>
                    <w:autoSpaceDE/>
                    <w:autoSpaceDN/>
                    <w:bidi w:val="0"/>
                    <w:adjustRightInd w:val="0"/>
                    <w:snapToGrid w:val="0"/>
                    <w:spacing w:before="0" w:beforeAutospacing="0" w:after="0" w:afterAutospacing="0" w:line="320" w:lineRule="exact"/>
                    <w:ind w:left="0" w:right="0" w:firstLine="420" w:firstLineChars="200"/>
                    <w:textAlignment w:val="baseline"/>
                    <w:rPr>
                      <w:rFonts w:hint="default" w:ascii="Times New Roman" w:hAnsi="Times New Roman" w:eastAsia="宋体" w:cs="Times New Roman"/>
                      <w:bCs/>
                      <w:snapToGrid w:val="0"/>
                      <w:color w:val="000000" w:themeColor="text1"/>
                      <w:spacing w:val="0"/>
                      <w:kern w:val="0"/>
                      <w:sz w:val="21"/>
                      <w:szCs w:val="21"/>
                      <w:lang w:val="zh-CN"/>
                    </w:rPr>
                  </w:pPr>
                  <w:r>
                    <w:rPr>
                      <w:rFonts w:hint="default" w:ascii="Times New Roman" w:hAnsi="Times New Roman" w:eastAsia="宋体" w:cs="Times New Roman"/>
                      <w:bCs/>
                      <w:snapToGrid w:val="0"/>
                      <w:color w:val="000000" w:themeColor="text1"/>
                      <w:spacing w:val="0"/>
                      <w:kern w:val="0"/>
                      <w:sz w:val="21"/>
                      <w:szCs w:val="21"/>
                      <w:lang w:val="zh-CN"/>
                    </w:rPr>
                    <w:t>本项目厂界外</w:t>
                  </w:r>
                  <w:r>
                    <w:rPr>
                      <w:rFonts w:hint="eastAsia" w:ascii="Times New Roman" w:hAnsi="Times New Roman" w:eastAsia="宋体" w:cs="Times New Roman"/>
                      <w:bCs/>
                      <w:snapToGrid w:val="0"/>
                      <w:color w:val="000000" w:themeColor="text1"/>
                      <w:spacing w:val="0"/>
                      <w:kern w:val="0"/>
                      <w:sz w:val="21"/>
                      <w:szCs w:val="21"/>
                      <w:lang w:val="en-US" w:eastAsia="zh-CN"/>
                    </w:rPr>
                    <w:t>270</w:t>
                  </w:r>
                  <w:r>
                    <w:rPr>
                      <w:rFonts w:hint="default" w:ascii="Times New Roman" w:hAnsi="Times New Roman" w:eastAsia="宋体" w:cs="Times New Roman"/>
                      <w:bCs/>
                      <w:snapToGrid w:val="0"/>
                      <w:color w:val="000000" w:themeColor="text1"/>
                      <w:spacing w:val="0"/>
                      <w:kern w:val="0"/>
                      <w:sz w:val="21"/>
                      <w:szCs w:val="21"/>
                      <w:lang w:val="zh-CN"/>
                    </w:rPr>
                    <w:t>米有环境空气保护目标</w:t>
                  </w:r>
                  <w:r>
                    <w:rPr>
                      <w:rFonts w:hint="eastAsia" w:ascii="Times New Roman" w:hAnsi="Times New Roman" w:eastAsia="宋体" w:cs="Times New Roman"/>
                      <w:bCs/>
                      <w:snapToGrid w:val="0"/>
                      <w:color w:val="000000" w:themeColor="text1"/>
                      <w:spacing w:val="0"/>
                      <w:kern w:val="0"/>
                      <w:sz w:val="21"/>
                      <w:szCs w:val="21"/>
                      <w:lang w:val="en-US" w:eastAsia="zh-CN"/>
                    </w:rPr>
                    <w:t>落江冲，但排放的废气</w:t>
                  </w:r>
                  <w:r>
                    <w:rPr>
                      <w:rFonts w:hint="default" w:ascii="Times New Roman" w:hAnsi="Times New Roman" w:eastAsia="宋体" w:cs="Times New Roman"/>
                      <w:bCs/>
                      <w:snapToGrid w:val="0"/>
                      <w:color w:val="000000" w:themeColor="text1"/>
                      <w:spacing w:val="0"/>
                      <w:kern w:val="0"/>
                      <w:sz w:val="21"/>
                      <w:szCs w:val="21"/>
                      <w:lang w:val="zh-CN"/>
                    </w:rPr>
                    <w:t>不属于有毒有害污染物、二噁英、苯并[a]芘、氰化物、氯气的建设项目，因此不设大气专项。</w:t>
                  </w:r>
                </w:p>
              </w:tc>
              <w:tc>
                <w:tcPr>
                  <w:tcW w:w="968" w:type="dxa"/>
                  <w:noWrap w:val="0"/>
                  <w:vAlign w:val="center"/>
                </w:tcPr>
                <w:p w14:paraId="42ED88F3">
                  <w:pPr>
                    <w:keepNext w:val="0"/>
                    <w:keepLines w:val="0"/>
                    <w:pageBreakBefore w:val="0"/>
                    <w:widowControl/>
                    <w:suppressLineNumbers w:val="0"/>
                    <w:tabs>
                      <w:tab w:val="left" w:pos="540"/>
                      <w:tab w:val="left" w:pos="851"/>
                      <w:tab w:val="left" w:pos="994"/>
                      <w:tab w:val="left" w:pos="1260"/>
                      <w:tab w:val="left" w:pos="3108"/>
                      <w:tab w:val="left" w:pos="3150"/>
                    </w:tabs>
                    <w:kinsoku/>
                    <w:wordWrap/>
                    <w:overflowPunct w:val="0"/>
                    <w:topLinePunct w:val="0"/>
                    <w:autoSpaceDE/>
                    <w:autoSpaceDN/>
                    <w:bidi w:val="0"/>
                    <w:adjustRightInd w:val="0"/>
                    <w:snapToGrid w:val="0"/>
                    <w:spacing w:before="0" w:beforeAutospacing="0" w:after="0" w:afterAutospacing="0" w:line="320" w:lineRule="exact"/>
                    <w:ind w:left="0" w:right="0" w:firstLine="0" w:firstLineChars="0"/>
                    <w:jc w:val="center"/>
                    <w:textAlignment w:val="baseline"/>
                    <w:rPr>
                      <w:rFonts w:hint="default" w:ascii="Times New Roman" w:hAnsi="Times New Roman" w:eastAsia="宋体" w:cs="Times New Roman"/>
                      <w:bCs/>
                      <w:snapToGrid w:val="0"/>
                      <w:color w:val="000000" w:themeColor="text1"/>
                      <w:spacing w:val="0"/>
                      <w:kern w:val="0"/>
                      <w:sz w:val="21"/>
                      <w:szCs w:val="21"/>
                    </w:rPr>
                  </w:pPr>
                  <w:r>
                    <w:rPr>
                      <w:rFonts w:hint="default" w:ascii="Times New Roman" w:hAnsi="Times New Roman" w:eastAsia="宋体" w:cs="Times New Roman"/>
                      <w:bCs/>
                      <w:snapToGrid w:val="0"/>
                      <w:color w:val="000000" w:themeColor="text1"/>
                      <w:spacing w:val="0"/>
                      <w:kern w:val="0"/>
                      <w:sz w:val="21"/>
                      <w:szCs w:val="21"/>
                    </w:rPr>
                    <w:t>否</w:t>
                  </w:r>
                </w:p>
              </w:tc>
            </w:tr>
            <w:tr w14:paraId="4B135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1" w:type="dxa"/>
                  <w:noWrap w:val="0"/>
                  <w:vAlign w:val="center"/>
                </w:tcPr>
                <w:p w14:paraId="189D6F14">
                  <w:pPr>
                    <w:keepNext w:val="0"/>
                    <w:keepLines w:val="0"/>
                    <w:pageBreakBefore w:val="0"/>
                    <w:widowControl/>
                    <w:suppressLineNumbers w:val="0"/>
                    <w:tabs>
                      <w:tab w:val="left" w:pos="540"/>
                      <w:tab w:val="left" w:pos="851"/>
                      <w:tab w:val="left" w:pos="994"/>
                      <w:tab w:val="left" w:pos="1260"/>
                      <w:tab w:val="left" w:pos="3108"/>
                      <w:tab w:val="left" w:pos="3150"/>
                    </w:tabs>
                    <w:kinsoku/>
                    <w:wordWrap/>
                    <w:overflowPunct w:val="0"/>
                    <w:topLinePunct w:val="0"/>
                    <w:autoSpaceDE/>
                    <w:autoSpaceDN/>
                    <w:bidi w:val="0"/>
                    <w:adjustRightInd w:val="0"/>
                    <w:snapToGrid w:val="0"/>
                    <w:spacing w:before="0" w:beforeAutospacing="0" w:after="0" w:afterAutospacing="0" w:line="320" w:lineRule="exact"/>
                    <w:ind w:left="0" w:right="0" w:firstLine="0" w:firstLineChars="0"/>
                    <w:jc w:val="center"/>
                    <w:textAlignment w:val="baseline"/>
                    <w:rPr>
                      <w:rFonts w:hint="default" w:ascii="Times New Roman" w:hAnsi="Times New Roman" w:eastAsia="宋体" w:cs="Times New Roman"/>
                      <w:bCs/>
                      <w:snapToGrid w:val="0"/>
                      <w:color w:val="000000" w:themeColor="text1"/>
                      <w:spacing w:val="0"/>
                      <w:kern w:val="0"/>
                      <w:sz w:val="21"/>
                      <w:szCs w:val="21"/>
                      <w:lang w:val="zh-CN"/>
                    </w:rPr>
                  </w:pPr>
                  <w:r>
                    <w:rPr>
                      <w:rFonts w:hint="default" w:ascii="Times New Roman" w:hAnsi="Times New Roman" w:eastAsia="宋体" w:cs="Times New Roman"/>
                      <w:bCs/>
                      <w:snapToGrid w:val="0"/>
                      <w:color w:val="000000" w:themeColor="text1"/>
                      <w:spacing w:val="0"/>
                      <w:kern w:val="0"/>
                      <w:sz w:val="21"/>
                      <w:szCs w:val="21"/>
                      <w:lang w:val="zh-CN"/>
                    </w:rPr>
                    <w:t>地表水</w:t>
                  </w:r>
                </w:p>
              </w:tc>
              <w:tc>
                <w:tcPr>
                  <w:tcW w:w="2745" w:type="dxa"/>
                  <w:noWrap w:val="0"/>
                  <w:vAlign w:val="center"/>
                </w:tcPr>
                <w:p w14:paraId="0E066BCF">
                  <w:pPr>
                    <w:keepNext w:val="0"/>
                    <w:keepLines w:val="0"/>
                    <w:pageBreakBefore w:val="0"/>
                    <w:widowControl/>
                    <w:suppressLineNumbers w:val="0"/>
                    <w:tabs>
                      <w:tab w:val="left" w:pos="540"/>
                      <w:tab w:val="left" w:pos="851"/>
                      <w:tab w:val="left" w:pos="994"/>
                      <w:tab w:val="left" w:pos="1260"/>
                      <w:tab w:val="left" w:pos="3108"/>
                      <w:tab w:val="left" w:pos="3150"/>
                    </w:tabs>
                    <w:kinsoku/>
                    <w:wordWrap/>
                    <w:overflowPunct w:val="0"/>
                    <w:topLinePunct w:val="0"/>
                    <w:autoSpaceDE/>
                    <w:autoSpaceDN/>
                    <w:bidi w:val="0"/>
                    <w:adjustRightInd w:val="0"/>
                    <w:snapToGrid w:val="0"/>
                    <w:spacing w:before="0" w:beforeAutospacing="0" w:after="0" w:afterAutospacing="0" w:line="320" w:lineRule="exact"/>
                    <w:ind w:left="0" w:right="0" w:firstLine="420" w:firstLineChars="200"/>
                    <w:textAlignment w:val="baseline"/>
                    <w:rPr>
                      <w:rFonts w:hint="default" w:ascii="Times New Roman" w:hAnsi="Times New Roman" w:eastAsia="宋体" w:cs="Times New Roman"/>
                      <w:bCs/>
                      <w:snapToGrid w:val="0"/>
                      <w:color w:val="000000" w:themeColor="text1"/>
                      <w:spacing w:val="0"/>
                      <w:kern w:val="0"/>
                      <w:sz w:val="21"/>
                      <w:szCs w:val="21"/>
                      <w:lang w:val="zh-CN"/>
                    </w:rPr>
                  </w:pPr>
                  <w:r>
                    <w:rPr>
                      <w:rFonts w:hint="default" w:ascii="Times New Roman" w:hAnsi="Times New Roman" w:eastAsia="宋体" w:cs="Times New Roman"/>
                      <w:bCs/>
                      <w:snapToGrid w:val="0"/>
                      <w:color w:val="000000" w:themeColor="text1"/>
                      <w:spacing w:val="0"/>
                      <w:kern w:val="0"/>
                      <w:sz w:val="21"/>
                      <w:szCs w:val="21"/>
                      <w:lang w:val="zh-CN"/>
                    </w:rPr>
                    <w:t>新增工业废水直排建设项目（槽罐车外送污水处理厂的除外）；新增废水直排的污水集中处理厂。</w:t>
                  </w:r>
                </w:p>
              </w:tc>
              <w:tc>
                <w:tcPr>
                  <w:tcW w:w="2746" w:type="dxa"/>
                  <w:noWrap w:val="0"/>
                  <w:vAlign w:val="center"/>
                </w:tcPr>
                <w:p w14:paraId="63CF9F27">
                  <w:pPr>
                    <w:keepNext w:val="0"/>
                    <w:keepLines w:val="0"/>
                    <w:pageBreakBefore w:val="0"/>
                    <w:widowControl/>
                    <w:suppressLineNumbers w:val="0"/>
                    <w:tabs>
                      <w:tab w:val="left" w:pos="540"/>
                      <w:tab w:val="left" w:pos="851"/>
                      <w:tab w:val="left" w:pos="994"/>
                      <w:tab w:val="left" w:pos="1260"/>
                      <w:tab w:val="left" w:pos="3108"/>
                      <w:tab w:val="left" w:pos="3150"/>
                    </w:tabs>
                    <w:kinsoku/>
                    <w:wordWrap/>
                    <w:overflowPunct w:val="0"/>
                    <w:topLinePunct w:val="0"/>
                    <w:autoSpaceDE/>
                    <w:autoSpaceDN/>
                    <w:bidi w:val="0"/>
                    <w:adjustRightInd w:val="0"/>
                    <w:snapToGrid w:val="0"/>
                    <w:spacing w:before="0" w:beforeAutospacing="0" w:after="0" w:afterAutospacing="0" w:line="320" w:lineRule="exact"/>
                    <w:ind w:left="0" w:right="0" w:firstLine="420" w:firstLineChars="200"/>
                    <w:textAlignment w:val="baseline"/>
                    <w:rPr>
                      <w:rFonts w:hint="default" w:ascii="Times New Roman" w:hAnsi="Times New Roman" w:eastAsia="宋体" w:cs="Times New Roman"/>
                      <w:bCs/>
                      <w:snapToGrid w:val="0"/>
                      <w:color w:val="000000" w:themeColor="text1"/>
                      <w:spacing w:val="0"/>
                      <w:kern w:val="0"/>
                      <w:sz w:val="21"/>
                      <w:szCs w:val="21"/>
                      <w:lang w:val="zh-CN"/>
                    </w:rPr>
                  </w:pPr>
                  <w:r>
                    <w:rPr>
                      <w:rFonts w:hint="default" w:ascii="Times New Roman" w:hAnsi="Times New Roman" w:eastAsia="宋体" w:cs="Times New Roman"/>
                      <w:bCs/>
                      <w:snapToGrid w:val="0"/>
                      <w:color w:val="000000" w:themeColor="text1"/>
                      <w:spacing w:val="0"/>
                      <w:kern w:val="0"/>
                      <w:sz w:val="21"/>
                      <w:szCs w:val="21"/>
                      <w:lang w:val="zh-CN"/>
                    </w:rPr>
                    <w:t>项目无工业废水外排，不设地表水专项。</w:t>
                  </w:r>
                </w:p>
              </w:tc>
              <w:tc>
                <w:tcPr>
                  <w:tcW w:w="968" w:type="dxa"/>
                  <w:noWrap w:val="0"/>
                  <w:vAlign w:val="center"/>
                </w:tcPr>
                <w:p w14:paraId="3EFB2A60">
                  <w:pPr>
                    <w:keepNext w:val="0"/>
                    <w:keepLines w:val="0"/>
                    <w:pageBreakBefore w:val="0"/>
                    <w:widowControl/>
                    <w:suppressLineNumbers w:val="0"/>
                    <w:tabs>
                      <w:tab w:val="left" w:pos="540"/>
                      <w:tab w:val="left" w:pos="851"/>
                      <w:tab w:val="left" w:pos="994"/>
                      <w:tab w:val="left" w:pos="1260"/>
                      <w:tab w:val="left" w:pos="3108"/>
                      <w:tab w:val="left" w:pos="3150"/>
                    </w:tabs>
                    <w:kinsoku/>
                    <w:wordWrap/>
                    <w:overflowPunct w:val="0"/>
                    <w:topLinePunct w:val="0"/>
                    <w:autoSpaceDE/>
                    <w:autoSpaceDN/>
                    <w:bidi w:val="0"/>
                    <w:adjustRightInd w:val="0"/>
                    <w:snapToGrid w:val="0"/>
                    <w:spacing w:before="0" w:beforeAutospacing="0" w:after="0" w:afterAutospacing="0" w:line="320" w:lineRule="exact"/>
                    <w:ind w:left="0" w:right="0" w:firstLine="0" w:firstLineChars="0"/>
                    <w:jc w:val="center"/>
                    <w:textAlignment w:val="baseline"/>
                    <w:rPr>
                      <w:rFonts w:hint="default" w:ascii="Times New Roman" w:hAnsi="Times New Roman" w:eastAsia="宋体" w:cs="Times New Roman"/>
                      <w:bCs/>
                      <w:snapToGrid w:val="0"/>
                      <w:color w:val="000000" w:themeColor="text1"/>
                      <w:spacing w:val="0"/>
                      <w:kern w:val="0"/>
                      <w:sz w:val="21"/>
                      <w:szCs w:val="21"/>
                      <w:lang w:val="zh-CN"/>
                    </w:rPr>
                  </w:pPr>
                  <w:r>
                    <w:rPr>
                      <w:rFonts w:hint="default" w:ascii="Times New Roman" w:hAnsi="Times New Roman" w:eastAsia="宋体" w:cs="Times New Roman"/>
                      <w:bCs/>
                      <w:snapToGrid w:val="0"/>
                      <w:color w:val="000000" w:themeColor="text1"/>
                      <w:spacing w:val="0"/>
                      <w:kern w:val="0"/>
                      <w:sz w:val="21"/>
                      <w:szCs w:val="21"/>
                    </w:rPr>
                    <w:t>否</w:t>
                  </w:r>
                </w:p>
              </w:tc>
            </w:tr>
            <w:tr w14:paraId="51819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1" w:type="dxa"/>
                  <w:noWrap w:val="0"/>
                  <w:vAlign w:val="center"/>
                </w:tcPr>
                <w:p w14:paraId="07F21C46">
                  <w:pPr>
                    <w:keepNext w:val="0"/>
                    <w:keepLines w:val="0"/>
                    <w:pageBreakBefore w:val="0"/>
                    <w:widowControl/>
                    <w:suppressLineNumbers w:val="0"/>
                    <w:tabs>
                      <w:tab w:val="left" w:pos="540"/>
                      <w:tab w:val="left" w:pos="851"/>
                      <w:tab w:val="left" w:pos="994"/>
                      <w:tab w:val="left" w:pos="1260"/>
                      <w:tab w:val="left" w:pos="3108"/>
                      <w:tab w:val="left" w:pos="3150"/>
                    </w:tabs>
                    <w:kinsoku/>
                    <w:wordWrap/>
                    <w:overflowPunct w:val="0"/>
                    <w:topLinePunct w:val="0"/>
                    <w:autoSpaceDE/>
                    <w:autoSpaceDN/>
                    <w:bidi w:val="0"/>
                    <w:adjustRightInd w:val="0"/>
                    <w:snapToGrid w:val="0"/>
                    <w:spacing w:before="0" w:beforeAutospacing="0" w:after="0" w:afterAutospacing="0" w:line="320" w:lineRule="exact"/>
                    <w:ind w:left="0" w:right="0" w:firstLine="0" w:firstLineChars="0"/>
                    <w:jc w:val="center"/>
                    <w:textAlignment w:val="baseline"/>
                    <w:rPr>
                      <w:rFonts w:hint="default" w:ascii="Times New Roman" w:hAnsi="Times New Roman" w:eastAsia="宋体" w:cs="Times New Roman"/>
                      <w:bCs/>
                      <w:snapToGrid w:val="0"/>
                      <w:color w:val="000000" w:themeColor="text1"/>
                      <w:spacing w:val="0"/>
                      <w:kern w:val="0"/>
                      <w:sz w:val="21"/>
                      <w:szCs w:val="21"/>
                      <w:lang w:val="zh-CN"/>
                    </w:rPr>
                  </w:pPr>
                  <w:r>
                    <w:rPr>
                      <w:rFonts w:hint="default" w:ascii="Times New Roman" w:hAnsi="Times New Roman" w:eastAsia="宋体" w:cs="Times New Roman"/>
                      <w:bCs/>
                      <w:snapToGrid w:val="0"/>
                      <w:color w:val="000000" w:themeColor="text1"/>
                      <w:spacing w:val="0"/>
                      <w:kern w:val="0"/>
                      <w:sz w:val="21"/>
                      <w:szCs w:val="21"/>
                      <w:lang w:val="zh-CN"/>
                    </w:rPr>
                    <w:t>环境风险</w:t>
                  </w:r>
                </w:p>
              </w:tc>
              <w:tc>
                <w:tcPr>
                  <w:tcW w:w="2745" w:type="dxa"/>
                  <w:noWrap w:val="0"/>
                  <w:vAlign w:val="center"/>
                </w:tcPr>
                <w:p w14:paraId="5F99B3E2">
                  <w:pPr>
                    <w:keepNext w:val="0"/>
                    <w:keepLines w:val="0"/>
                    <w:pageBreakBefore w:val="0"/>
                    <w:widowControl/>
                    <w:suppressLineNumbers w:val="0"/>
                    <w:tabs>
                      <w:tab w:val="left" w:pos="540"/>
                      <w:tab w:val="left" w:pos="851"/>
                      <w:tab w:val="left" w:pos="994"/>
                      <w:tab w:val="left" w:pos="1260"/>
                      <w:tab w:val="left" w:pos="3108"/>
                      <w:tab w:val="left" w:pos="3150"/>
                    </w:tabs>
                    <w:kinsoku/>
                    <w:wordWrap/>
                    <w:overflowPunct w:val="0"/>
                    <w:topLinePunct w:val="0"/>
                    <w:autoSpaceDE/>
                    <w:autoSpaceDN/>
                    <w:bidi w:val="0"/>
                    <w:adjustRightInd w:val="0"/>
                    <w:snapToGrid w:val="0"/>
                    <w:spacing w:before="0" w:beforeAutospacing="0" w:after="0" w:afterAutospacing="0" w:line="320" w:lineRule="exact"/>
                    <w:ind w:left="0" w:right="0" w:firstLine="420" w:firstLineChars="200"/>
                    <w:textAlignment w:val="baseline"/>
                    <w:rPr>
                      <w:rFonts w:hint="default" w:ascii="Times New Roman" w:hAnsi="Times New Roman" w:eastAsia="宋体" w:cs="Times New Roman"/>
                      <w:bCs/>
                      <w:snapToGrid w:val="0"/>
                      <w:color w:val="000000" w:themeColor="text1"/>
                      <w:spacing w:val="0"/>
                      <w:kern w:val="0"/>
                      <w:sz w:val="21"/>
                      <w:szCs w:val="21"/>
                      <w:lang w:val="zh-CN"/>
                    </w:rPr>
                  </w:pPr>
                  <w:r>
                    <w:rPr>
                      <w:rFonts w:hint="default" w:ascii="Times New Roman" w:hAnsi="Times New Roman" w:eastAsia="宋体" w:cs="Times New Roman"/>
                      <w:bCs/>
                      <w:snapToGrid w:val="0"/>
                      <w:color w:val="000000" w:themeColor="text1"/>
                      <w:spacing w:val="0"/>
                      <w:kern w:val="0"/>
                      <w:sz w:val="21"/>
                      <w:szCs w:val="21"/>
                      <w:lang w:val="zh-CN"/>
                    </w:rPr>
                    <w:t>有毒有害和易燃易爆危险物质存储量超过临界量的建设项目。</w:t>
                  </w:r>
                </w:p>
              </w:tc>
              <w:tc>
                <w:tcPr>
                  <w:tcW w:w="2746" w:type="dxa"/>
                  <w:noWrap w:val="0"/>
                  <w:vAlign w:val="center"/>
                </w:tcPr>
                <w:p w14:paraId="7405C16E">
                  <w:pPr>
                    <w:keepNext w:val="0"/>
                    <w:keepLines w:val="0"/>
                    <w:pageBreakBefore w:val="0"/>
                    <w:widowControl/>
                    <w:suppressLineNumbers w:val="0"/>
                    <w:tabs>
                      <w:tab w:val="left" w:pos="540"/>
                      <w:tab w:val="left" w:pos="851"/>
                      <w:tab w:val="left" w:pos="994"/>
                      <w:tab w:val="left" w:pos="1260"/>
                      <w:tab w:val="left" w:pos="3108"/>
                      <w:tab w:val="left" w:pos="3150"/>
                    </w:tabs>
                    <w:kinsoku/>
                    <w:wordWrap/>
                    <w:overflowPunct w:val="0"/>
                    <w:topLinePunct w:val="0"/>
                    <w:autoSpaceDE/>
                    <w:autoSpaceDN/>
                    <w:bidi w:val="0"/>
                    <w:adjustRightInd w:val="0"/>
                    <w:snapToGrid w:val="0"/>
                    <w:spacing w:before="0" w:beforeAutospacing="0" w:after="0" w:afterAutospacing="0" w:line="320" w:lineRule="exact"/>
                    <w:ind w:left="0" w:right="0" w:firstLine="420" w:firstLineChars="200"/>
                    <w:textAlignment w:val="baseline"/>
                    <w:rPr>
                      <w:rFonts w:hint="default" w:ascii="Times New Roman" w:hAnsi="Times New Roman" w:eastAsia="宋体" w:cs="Times New Roman"/>
                      <w:bCs/>
                      <w:snapToGrid w:val="0"/>
                      <w:color w:val="000000" w:themeColor="text1"/>
                      <w:spacing w:val="0"/>
                      <w:kern w:val="0"/>
                      <w:sz w:val="21"/>
                      <w:szCs w:val="21"/>
                      <w:highlight w:val="yellow"/>
                      <w:lang w:val="zh-CN"/>
                    </w:rPr>
                  </w:pPr>
                  <w:r>
                    <w:rPr>
                      <w:rFonts w:hint="default" w:ascii="Times New Roman" w:hAnsi="Times New Roman" w:eastAsia="宋体" w:cs="Times New Roman"/>
                      <w:bCs/>
                      <w:snapToGrid w:val="0"/>
                      <w:color w:val="000000" w:themeColor="text1"/>
                      <w:spacing w:val="0"/>
                      <w:kern w:val="0"/>
                      <w:sz w:val="21"/>
                      <w:szCs w:val="21"/>
                      <w:lang w:val="zh-CN"/>
                    </w:rPr>
                    <w:t>本项目涉及的危险物质</w:t>
                  </w:r>
                  <w:r>
                    <w:rPr>
                      <w:rFonts w:hint="eastAsia" w:ascii="Times New Roman" w:hAnsi="Times New Roman" w:eastAsia="宋体" w:cs="Times New Roman"/>
                      <w:bCs/>
                      <w:snapToGrid w:val="0"/>
                      <w:color w:val="000000" w:themeColor="text1"/>
                      <w:spacing w:val="0"/>
                      <w:kern w:val="0"/>
                      <w:sz w:val="21"/>
                      <w:szCs w:val="21"/>
                      <w:lang w:val="en-US" w:eastAsia="zh-CN"/>
                    </w:rPr>
                    <w:t>为</w:t>
                  </w:r>
                  <w:r>
                    <w:rPr>
                      <w:rFonts w:hint="default" w:ascii="Times New Roman" w:hAnsi="Times New Roman" w:eastAsia="宋体" w:cs="Times New Roman"/>
                      <w:bCs/>
                      <w:snapToGrid w:val="0"/>
                      <w:color w:val="000000" w:themeColor="text1"/>
                      <w:spacing w:val="0"/>
                      <w:kern w:val="0"/>
                      <w:sz w:val="21"/>
                      <w:szCs w:val="21"/>
                      <w:lang w:val="zh-CN"/>
                    </w:rPr>
                    <w:t>暂存的废机油，其最大储存量未超过临界量，因此，不设环境风险</w:t>
                  </w:r>
                  <w:r>
                    <w:rPr>
                      <w:rFonts w:hint="eastAsia" w:ascii="Times New Roman" w:hAnsi="Times New Roman" w:eastAsia="宋体" w:cs="Times New Roman"/>
                      <w:bCs/>
                      <w:snapToGrid w:val="0"/>
                      <w:color w:val="000000" w:themeColor="text1"/>
                      <w:spacing w:val="0"/>
                      <w:kern w:val="0"/>
                      <w:sz w:val="21"/>
                      <w:szCs w:val="21"/>
                      <w:lang w:val="en-US" w:eastAsia="zh-CN"/>
                    </w:rPr>
                    <w:t>专项评价</w:t>
                  </w:r>
                  <w:r>
                    <w:rPr>
                      <w:rFonts w:hint="default" w:ascii="Times New Roman" w:hAnsi="Times New Roman" w:eastAsia="宋体" w:cs="Times New Roman"/>
                      <w:bCs/>
                      <w:snapToGrid w:val="0"/>
                      <w:color w:val="000000" w:themeColor="text1"/>
                      <w:spacing w:val="0"/>
                      <w:kern w:val="0"/>
                      <w:sz w:val="21"/>
                      <w:szCs w:val="21"/>
                      <w:lang w:val="zh-CN"/>
                    </w:rPr>
                    <w:t>。</w:t>
                  </w:r>
                </w:p>
              </w:tc>
              <w:tc>
                <w:tcPr>
                  <w:tcW w:w="968" w:type="dxa"/>
                  <w:noWrap w:val="0"/>
                  <w:vAlign w:val="center"/>
                </w:tcPr>
                <w:p w14:paraId="39C7B7F5">
                  <w:pPr>
                    <w:keepNext w:val="0"/>
                    <w:keepLines w:val="0"/>
                    <w:pageBreakBefore w:val="0"/>
                    <w:widowControl/>
                    <w:suppressLineNumbers w:val="0"/>
                    <w:tabs>
                      <w:tab w:val="left" w:pos="540"/>
                      <w:tab w:val="left" w:pos="851"/>
                      <w:tab w:val="left" w:pos="994"/>
                      <w:tab w:val="left" w:pos="1260"/>
                      <w:tab w:val="left" w:pos="3108"/>
                      <w:tab w:val="left" w:pos="3150"/>
                    </w:tabs>
                    <w:kinsoku/>
                    <w:wordWrap/>
                    <w:overflowPunct w:val="0"/>
                    <w:topLinePunct w:val="0"/>
                    <w:autoSpaceDE/>
                    <w:autoSpaceDN/>
                    <w:bidi w:val="0"/>
                    <w:adjustRightInd w:val="0"/>
                    <w:snapToGrid w:val="0"/>
                    <w:spacing w:before="0" w:beforeAutospacing="0" w:after="0" w:afterAutospacing="0" w:line="320" w:lineRule="exact"/>
                    <w:ind w:left="0" w:right="0" w:firstLine="0" w:firstLineChars="0"/>
                    <w:jc w:val="center"/>
                    <w:textAlignment w:val="baseline"/>
                    <w:rPr>
                      <w:rFonts w:hint="default" w:ascii="Times New Roman" w:hAnsi="Times New Roman" w:eastAsia="宋体" w:cs="Times New Roman"/>
                      <w:bCs/>
                      <w:snapToGrid w:val="0"/>
                      <w:color w:val="000000" w:themeColor="text1"/>
                      <w:spacing w:val="0"/>
                      <w:kern w:val="0"/>
                      <w:sz w:val="21"/>
                      <w:szCs w:val="21"/>
                      <w:lang w:val="zh-CN"/>
                    </w:rPr>
                  </w:pPr>
                  <w:r>
                    <w:rPr>
                      <w:rFonts w:hint="default" w:ascii="Times New Roman" w:hAnsi="Times New Roman" w:eastAsia="宋体" w:cs="Times New Roman"/>
                      <w:bCs/>
                      <w:snapToGrid w:val="0"/>
                      <w:color w:val="000000" w:themeColor="text1"/>
                      <w:spacing w:val="0"/>
                      <w:kern w:val="0"/>
                      <w:sz w:val="21"/>
                      <w:szCs w:val="21"/>
                    </w:rPr>
                    <w:t>否</w:t>
                  </w:r>
                </w:p>
              </w:tc>
            </w:tr>
            <w:tr w14:paraId="6903B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1" w:type="dxa"/>
                  <w:noWrap w:val="0"/>
                  <w:vAlign w:val="center"/>
                </w:tcPr>
                <w:p w14:paraId="2EE06644">
                  <w:pPr>
                    <w:keepNext w:val="0"/>
                    <w:keepLines w:val="0"/>
                    <w:pageBreakBefore w:val="0"/>
                    <w:widowControl/>
                    <w:suppressLineNumbers w:val="0"/>
                    <w:tabs>
                      <w:tab w:val="left" w:pos="540"/>
                      <w:tab w:val="left" w:pos="851"/>
                      <w:tab w:val="left" w:pos="994"/>
                      <w:tab w:val="left" w:pos="1260"/>
                      <w:tab w:val="left" w:pos="3108"/>
                      <w:tab w:val="left" w:pos="3150"/>
                    </w:tabs>
                    <w:kinsoku/>
                    <w:wordWrap/>
                    <w:overflowPunct w:val="0"/>
                    <w:topLinePunct w:val="0"/>
                    <w:autoSpaceDE/>
                    <w:autoSpaceDN/>
                    <w:bidi w:val="0"/>
                    <w:adjustRightInd w:val="0"/>
                    <w:snapToGrid w:val="0"/>
                    <w:spacing w:before="0" w:beforeAutospacing="0" w:after="0" w:afterAutospacing="0" w:line="320" w:lineRule="exact"/>
                    <w:ind w:left="0" w:right="0" w:firstLine="0" w:firstLineChars="0"/>
                    <w:jc w:val="center"/>
                    <w:textAlignment w:val="baseline"/>
                    <w:rPr>
                      <w:rFonts w:hint="default" w:ascii="Times New Roman" w:hAnsi="Times New Roman" w:eastAsia="宋体" w:cs="Times New Roman"/>
                      <w:bCs/>
                      <w:snapToGrid w:val="0"/>
                      <w:color w:val="000000" w:themeColor="text1"/>
                      <w:spacing w:val="0"/>
                      <w:kern w:val="0"/>
                      <w:sz w:val="21"/>
                      <w:szCs w:val="21"/>
                      <w:lang w:val="zh-CN"/>
                    </w:rPr>
                  </w:pPr>
                  <w:r>
                    <w:rPr>
                      <w:rFonts w:hint="default" w:ascii="Times New Roman" w:hAnsi="Times New Roman" w:eastAsia="宋体" w:cs="Times New Roman"/>
                      <w:bCs/>
                      <w:snapToGrid w:val="0"/>
                      <w:color w:val="000000" w:themeColor="text1"/>
                      <w:spacing w:val="0"/>
                      <w:kern w:val="0"/>
                      <w:sz w:val="21"/>
                      <w:szCs w:val="21"/>
                      <w:lang w:val="zh-CN"/>
                    </w:rPr>
                    <w:t>生态</w:t>
                  </w:r>
                </w:p>
              </w:tc>
              <w:tc>
                <w:tcPr>
                  <w:tcW w:w="2745" w:type="dxa"/>
                  <w:noWrap w:val="0"/>
                  <w:vAlign w:val="center"/>
                </w:tcPr>
                <w:p w14:paraId="105F97AA">
                  <w:pPr>
                    <w:keepNext w:val="0"/>
                    <w:keepLines w:val="0"/>
                    <w:pageBreakBefore w:val="0"/>
                    <w:widowControl/>
                    <w:suppressLineNumbers w:val="0"/>
                    <w:tabs>
                      <w:tab w:val="left" w:pos="540"/>
                      <w:tab w:val="left" w:pos="851"/>
                      <w:tab w:val="left" w:pos="994"/>
                      <w:tab w:val="left" w:pos="1260"/>
                      <w:tab w:val="left" w:pos="3108"/>
                      <w:tab w:val="left" w:pos="3150"/>
                    </w:tabs>
                    <w:kinsoku/>
                    <w:wordWrap/>
                    <w:overflowPunct w:val="0"/>
                    <w:topLinePunct w:val="0"/>
                    <w:autoSpaceDE/>
                    <w:autoSpaceDN/>
                    <w:bidi w:val="0"/>
                    <w:adjustRightInd w:val="0"/>
                    <w:snapToGrid w:val="0"/>
                    <w:spacing w:before="0" w:beforeAutospacing="0" w:after="0" w:afterAutospacing="0" w:line="320" w:lineRule="exact"/>
                    <w:ind w:left="0" w:right="0" w:firstLine="420" w:firstLineChars="200"/>
                    <w:textAlignment w:val="baseline"/>
                    <w:rPr>
                      <w:rFonts w:hint="default" w:ascii="Times New Roman" w:hAnsi="Times New Roman" w:eastAsia="宋体" w:cs="Times New Roman"/>
                      <w:bCs/>
                      <w:snapToGrid w:val="0"/>
                      <w:color w:val="000000" w:themeColor="text1"/>
                      <w:spacing w:val="0"/>
                      <w:kern w:val="0"/>
                      <w:sz w:val="21"/>
                      <w:szCs w:val="21"/>
                      <w:lang w:val="zh-CN"/>
                    </w:rPr>
                  </w:pPr>
                  <w:r>
                    <w:rPr>
                      <w:rFonts w:hint="default" w:ascii="Times New Roman" w:hAnsi="Times New Roman" w:eastAsia="宋体" w:cs="Times New Roman"/>
                      <w:bCs/>
                      <w:snapToGrid w:val="0"/>
                      <w:color w:val="000000" w:themeColor="text1"/>
                      <w:spacing w:val="0"/>
                      <w:kern w:val="0"/>
                      <w:sz w:val="21"/>
                      <w:szCs w:val="21"/>
                      <w:lang w:val="zh-CN"/>
                    </w:rPr>
                    <w:t>取水口下游500米范围内有重要水生生物的自然产卵场、索饵场、越冬场和洄游通道的新增河道取水的污染类建设项目。</w:t>
                  </w:r>
                </w:p>
              </w:tc>
              <w:tc>
                <w:tcPr>
                  <w:tcW w:w="2746" w:type="dxa"/>
                  <w:noWrap w:val="0"/>
                  <w:vAlign w:val="center"/>
                </w:tcPr>
                <w:p w14:paraId="1E0773BA">
                  <w:pPr>
                    <w:keepNext w:val="0"/>
                    <w:keepLines w:val="0"/>
                    <w:pageBreakBefore w:val="0"/>
                    <w:widowControl/>
                    <w:suppressLineNumbers w:val="0"/>
                    <w:tabs>
                      <w:tab w:val="left" w:pos="540"/>
                      <w:tab w:val="left" w:pos="851"/>
                      <w:tab w:val="left" w:pos="994"/>
                      <w:tab w:val="left" w:pos="1260"/>
                      <w:tab w:val="left" w:pos="3108"/>
                      <w:tab w:val="left" w:pos="3150"/>
                    </w:tabs>
                    <w:kinsoku/>
                    <w:wordWrap/>
                    <w:overflowPunct w:val="0"/>
                    <w:topLinePunct w:val="0"/>
                    <w:autoSpaceDE/>
                    <w:autoSpaceDN/>
                    <w:bidi w:val="0"/>
                    <w:adjustRightInd w:val="0"/>
                    <w:snapToGrid w:val="0"/>
                    <w:spacing w:before="0" w:beforeAutospacing="0" w:after="0" w:afterAutospacing="0" w:line="320" w:lineRule="exact"/>
                    <w:ind w:left="0" w:right="0" w:firstLine="420" w:firstLineChars="200"/>
                    <w:textAlignment w:val="baseline"/>
                    <w:rPr>
                      <w:rFonts w:hint="default" w:ascii="Times New Roman" w:hAnsi="Times New Roman" w:eastAsia="宋体" w:cs="Times New Roman"/>
                      <w:bCs/>
                      <w:snapToGrid w:val="0"/>
                      <w:color w:val="000000" w:themeColor="text1"/>
                      <w:spacing w:val="0"/>
                      <w:kern w:val="0"/>
                      <w:sz w:val="21"/>
                      <w:szCs w:val="21"/>
                    </w:rPr>
                  </w:pPr>
                  <w:r>
                    <w:rPr>
                      <w:rFonts w:hint="default" w:ascii="Times New Roman" w:hAnsi="Times New Roman" w:eastAsia="宋体" w:cs="Times New Roman"/>
                      <w:bCs/>
                      <w:snapToGrid w:val="0"/>
                      <w:color w:val="000000" w:themeColor="text1"/>
                      <w:spacing w:val="0"/>
                      <w:kern w:val="0"/>
                      <w:sz w:val="21"/>
                      <w:szCs w:val="21"/>
                      <w:lang w:val="zh-CN"/>
                    </w:rPr>
                    <w:t>本项目不涉及河道取水，因此不设置生态专项评价。</w:t>
                  </w:r>
                </w:p>
              </w:tc>
              <w:tc>
                <w:tcPr>
                  <w:tcW w:w="968" w:type="dxa"/>
                  <w:noWrap w:val="0"/>
                  <w:vAlign w:val="center"/>
                </w:tcPr>
                <w:p w14:paraId="2F44866F">
                  <w:pPr>
                    <w:keepNext w:val="0"/>
                    <w:keepLines w:val="0"/>
                    <w:pageBreakBefore w:val="0"/>
                    <w:widowControl/>
                    <w:suppressLineNumbers w:val="0"/>
                    <w:tabs>
                      <w:tab w:val="left" w:pos="540"/>
                      <w:tab w:val="left" w:pos="851"/>
                      <w:tab w:val="left" w:pos="994"/>
                      <w:tab w:val="left" w:pos="1260"/>
                      <w:tab w:val="left" w:pos="3108"/>
                      <w:tab w:val="left" w:pos="3150"/>
                    </w:tabs>
                    <w:kinsoku/>
                    <w:wordWrap/>
                    <w:overflowPunct w:val="0"/>
                    <w:topLinePunct w:val="0"/>
                    <w:autoSpaceDE/>
                    <w:autoSpaceDN/>
                    <w:bidi w:val="0"/>
                    <w:adjustRightInd w:val="0"/>
                    <w:snapToGrid w:val="0"/>
                    <w:spacing w:before="0" w:beforeAutospacing="0" w:after="0" w:afterAutospacing="0" w:line="320" w:lineRule="exact"/>
                    <w:ind w:left="0" w:right="0" w:firstLine="0" w:firstLineChars="0"/>
                    <w:jc w:val="center"/>
                    <w:textAlignment w:val="baseline"/>
                    <w:rPr>
                      <w:rFonts w:hint="default" w:ascii="Times New Roman" w:hAnsi="Times New Roman" w:eastAsia="宋体" w:cs="Times New Roman"/>
                      <w:bCs/>
                      <w:snapToGrid w:val="0"/>
                      <w:color w:val="000000" w:themeColor="text1"/>
                      <w:spacing w:val="0"/>
                      <w:kern w:val="0"/>
                      <w:sz w:val="21"/>
                      <w:szCs w:val="21"/>
                    </w:rPr>
                  </w:pPr>
                  <w:r>
                    <w:rPr>
                      <w:rFonts w:hint="default" w:ascii="Times New Roman" w:hAnsi="Times New Roman" w:eastAsia="宋体" w:cs="Times New Roman"/>
                      <w:bCs/>
                      <w:snapToGrid w:val="0"/>
                      <w:color w:val="000000" w:themeColor="text1"/>
                      <w:spacing w:val="0"/>
                      <w:kern w:val="0"/>
                      <w:sz w:val="21"/>
                      <w:szCs w:val="21"/>
                    </w:rPr>
                    <w:t>否</w:t>
                  </w:r>
                </w:p>
              </w:tc>
            </w:tr>
            <w:tr w14:paraId="1F8E5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1" w:type="dxa"/>
                  <w:noWrap w:val="0"/>
                  <w:vAlign w:val="center"/>
                </w:tcPr>
                <w:p w14:paraId="6DDA424F">
                  <w:pPr>
                    <w:keepNext w:val="0"/>
                    <w:keepLines w:val="0"/>
                    <w:pageBreakBefore w:val="0"/>
                    <w:widowControl/>
                    <w:suppressLineNumbers w:val="0"/>
                    <w:tabs>
                      <w:tab w:val="left" w:pos="540"/>
                      <w:tab w:val="left" w:pos="851"/>
                      <w:tab w:val="left" w:pos="994"/>
                      <w:tab w:val="left" w:pos="1260"/>
                      <w:tab w:val="left" w:pos="3108"/>
                      <w:tab w:val="left" w:pos="3150"/>
                    </w:tabs>
                    <w:kinsoku/>
                    <w:wordWrap/>
                    <w:overflowPunct w:val="0"/>
                    <w:topLinePunct w:val="0"/>
                    <w:autoSpaceDE/>
                    <w:autoSpaceDN/>
                    <w:bidi w:val="0"/>
                    <w:adjustRightInd w:val="0"/>
                    <w:snapToGrid w:val="0"/>
                    <w:spacing w:before="0" w:beforeAutospacing="0" w:after="0" w:afterAutospacing="0" w:line="320" w:lineRule="exact"/>
                    <w:ind w:left="0" w:right="0" w:firstLine="0" w:firstLineChars="0"/>
                    <w:jc w:val="center"/>
                    <w:textAlignment w:val="baseline"/>
                    <w:rPr>
                      <w:rFonts w:hint="default" w:ascii="Times New Roman" w:hAnsi="Times New Roman" w:eastAsia="宋体" w:cs="Times New Roman"/>
                      <w:bCs/>
                      <w:snapToGrid w:val="0"/>
                      <w:color w:val="000000" w:themeColor="text1"/>
                      <w:spacing w:val="0"/>
                      <w:kern w:val="0"/>
                      <w:sz w:val="21"/>
                      <w:szCs w:val="21"/>
                      <w:lang w:val="zh-CN"/>
                    </w:rPr>
                  </w:pPr>
                  <w:r>
                    <w:rPr>
                      <w:rFonts w:hint="default" w:ascii="Times New Roman" w:hAnsi="Times New Roman" w:eastAsia="宋体" w:cs="Times New Roman"/>
                      <w:bCs/>
                      <w:snapToGrid w:val="0"/>
                      <w:color w:val="000000" w:themeColor="text1"/>
                      <w:spacing w:val="0"/>
                      <w:kern w:val="0"/>
                      <w:sz w:val="21"/>
                      <w:szCs w:val="21"/>
                      <w:lang w:val="zh-CN"/>
                    </w:rPr>
                    <w:t>海洋</w:t>
                  </w:r>
                </w:p>
              </w:tc>
              <w:tc>
                <w:tcPr>
                  <w:tcW w:w="2745" w:type="dxa"/>
                  <w:noWrap w:val="0"/>
                  <w:vAlign w:val="center"/>
                </w:tcPr>
                <w:p w14:paraId="10DC18CD">
                  <w:pPr>
                    <w:keepNext w:val="0"/>
                    <w:keepLines w:val="0"/>
                    <w:pageBreakBefore w:val="0"/>
                    <w:widowControl/>
                    <w:suppressLineNumbers w:val="0"/>
                    <w:tabs>
                      <w:tab w:val="left" w:pos="540"/>
                      <w:tab w:val="left" w:pos="851"/>
                      <w:tab w:val="left" w:pos="994"/>
                      <w:tab w:val="left" w:pos="1260"/>
                      <w:tab w:val="left" w:pos="3108"/>
                      <w:tab w:val="left" w:pos="3150"/>
                    </w:tabs>
                    <w:kinsoku/>
                    <w:wordWrap/>
                    <w:overflowPunct w:val="0"/>
                    <w:topLinePunct w:val="0"/>
                    <w:autoSpaceDE/>
                    <w:autoSpaceDN/>
                    <w:bidi w:val="0"/>
                    <w:adjustRightInd w:val="0"/>
                    <w:snapToGrid w:val="0"/>
                    <w:spacing w:before="0" w:beforeAutospacing="0" w:after="0" w:afterAutospacing="0" w:line="320" w:lineRule="exact"/>
                    <w:ind w:left="0" w:right="0" w:firstLine="420" w:firstLineChars="200"/>
                    <w:textAlignment w:val="baseline"/>
                    <w:rPr>
                      <w:rFonts w:hint="default" w:ascii="Times New Roman" w:hAnsi="Times New Roman" w:eastAsia="宋体" w:cs="Times New Roman"/>
                      <w:bCs/>
                      <w:snapToGrid w:val="0"/>
                      <w:color w:val="000000" w:themeColor="text1"/>
                      <w:spacing w:val="0"/>
                      <w:kern w:val="0"/>
                      <w:sz w:val="21"/>
                      <w:szCs w:val="21"/>
                      <w:lang w:val="zh-CN"/>
                    </w:rPr>
                  </w:pPr>
                  <w:r>
                    <w:rPr>
                      <w:rFonts w:hint="default" w:ascii="Times New Roman" w:hAnsi="Times New Roman" w:eastAsia="宋体" w:cs="Times New Roman"/>
                      <w:bCs/>
                      <w:snapToGrid w:val="0"/>
                      <w:color w:val="000000" w:themeColor="text1"/>
                      <w:spacing w:val="0"/>
                      <w:kern w:val="0"/>
                      <w:sz w:val="21"/>
                      <w:szCs w:val="21"/>
                      <w:lang w:val="zh-CN"/>
                    </w:rPr>
                    <w:t>直接向海排放污染物的海洋工程建设项目。</w:t>
                  </w:r>
                </w:p>
              </w:tc>
              <w:tc>
                <w:tcPr>
                  <w:tcW w:w="2746" w:type="dxa"/>
                  <w:noWrap w:val="0"/>
                  <w:vAlign w:val="center"/>
                </w:tcPr>
                <w:p w14:paraId="1D77A704">
                  <w:pPr>
                    <w:keepNext w:val="0"/>
                    <w:keepLines w:val="0"/>
                    <w:pageBreakBefore w:val="0"/>
                    <w:widowControl/>
                    <w:suppressLineNumbers w:val="0"/>
                    <w:tabs>
                      <w:tab w:val="left" w:pos="540"/>
                      <w:tab w:val="left" w:pos="851"/>
                      <w:tab w:val="left" w:pos="994"/>
                      <w:tab w:val="left" w:pos="1260"/>
                      <w:tab w:val="left" w:pos="3108"/>
                      <w:tab w:val="left" w:pos="3150"/>
                    </w:tabs>
                    <w:kinsoku/>
                    <w:wordWrap/>
                    <w:overflowPunct w:val="0"/>
                    <w:topLinePunct w:val="0"/>
                    <w:autoSpaceDE/>
                    <w:autoSpaceDN/>
                    <w:bidi w:val="0"/>
                    <w:adjustRightInd w:val="0"/>
                    <w:snapToGrid w:val="0"/>
                    <w:spacing w:before="0" w:beforeAutospacing="0" w:after="0" w:afterAutospacing="0" w:line="320" w:lineRule="exact"/>
                    <w:ind w:left="0" w:right="0" w:firstLine="420" w:firstLineChars="200"/>
                    <w:textAlignment w:val="baseline"/>
                    <w:rPr>
                      <w:rFonts w:hint="default" w:ascii="Times New Roman" w:hAnsi="Times New Roman" w:eastAsia="宋体" w:cs="Times New Roman"/>
                      <w:bCs/>
                      <w:snapToGrid w:val="0"/>
                      <w:color w:val="000000" w:themeColor="text1"/>
                      <w:spacing w:val="0"/>
                      <w:kern w:val="0"/>
                      <w:sz w:val="21"/>
                      <w:szCs w:val="21"/>
                      <w:lang w:val="zh-CN"/>
                    </w:rPr>
                  </w:pPr>
                  <w:r>
                    <w:rPr>
                      <w:rFonts w:hint="default" w:ascii="Times New Roman" w:hAnsi="Times New Roman" w:eastAsia="宋体" w:cs="Times New Roman"/>
                      <w:bCs/>
                      <w:snapToGrid w:val="0"/>
                      <w:color w:val="000000" w:themeColor="text1"/>
                      <w:spacing w:val="0"/>
                      <w:kern w:val="0"/>
                      <w:sz w:val="21"/>
                      <w:szCs w:val="21"/>
                      <w:lang w:val="zh-CN"/>
                    </w:rPr>
                    <w:t>本项目不涉及海洋，因此不设置海洋专项评价。</w:t>
                  </w:r>
                </w:p>
              </w:tc>
              <w:tc>
                <w:tcPr>
                  <w:tcW w:w="968" w:type="dxa"/>
                  <w:noWrap w:val="0"/>
                  <w:vAlign w:val="center"/>
                </w:tcPr>
                <w:p w14:paraId="2F138DF6">
                  <w:pPr>
                    <w:keepNext w:val="0"/>
                    <w:keepLines w:val="0"/>
                    <w:pageBreakBefore w:val="0"/>
                    <w:widowControl/>
                    <w:suppressLineNumbers w:val="0"/>
                    <w:tabs>
                      <w:tab w:val="left" w:pos="540"/>
                      <w:tab w:val="left" w:pos="851"/>
                      <w:tab w:val="left" w:pos="994"/>
                      <w:tab w:val="left" w:pos="1260"/>
                      <w:tab w:val="left" w:pos="3108"/>
                      <w:tab w:val="left" w:pos="3150"/>
                    </w:tabs>
                    <w:kinsoku/>
                    <w:wordWrap/>
                    <w:overflowPunct w:val="0"/>
                    <w:topLinePunct w:val="0"/>
                    <w:autoSpaceDE/>
                    <w:autoSpaceDN/>
                    <w:bidi w:val="0"/>
                    <w:adjustRightInd w:val="0"/>
                    <w:snapToGrid w:val="0"/>
                    <w:spacing w:before="0" w:beforeAutospacing="0" w:after="0" w:afterAutospacing="0" w:line="320" w:lineRule="exact"/>
                    <w:ind w:left="0" w:right="0" w:firstLine="0" w:firstLineChars="0"/>
                    <w:jc w:val="center"/>
                    <w:textAlignment w:val="baseline"/>
                    <w:rPr>
                      <w:rFonts w:hint="default" w:ascii="Times New Roman" w:hAnsi="Times New Roman" w:eastAsia="宋体" w:cs="Times New Roman"/>
                      <w:bCs/>
                      <w:snapToGrid w:val="0"/>
                      <w:color w:val="000000" w:themeColor="text1"/>
                      <w:spacing w:val="0"/>
                      <w:kern w:val="0"/>
                      <w:sz w:val="21"/>
                      <w:szCs w:val="21"/>
                    </w:rPr>
                  </w:pPr>
                  <w:r>
                    <w:rPr>
                      <w:rFonts w:hint="default" w:ascii="Times New Roman" w:hAnsi="Times New Roman" w:eastAsia="宋体" w:cs="Times New Roman"/>
                      <w:bCs/>
                      <w:snapToGrid w:val="0"/>
                      <w:color w:val="000000" w:themeColor="text1"/>
                      <w:spacing w:val="0"/>
                      <w:kern w:val="0"/>
                      <w:sz w:val="21"/>
                      <w:szCs w:val="21"/>
                    </w:rPr>
                    <w:t>否</w:t>
                  </w:r>
                </w:p>
              </w:tc>
            </w:tr>
          </w:tbl>
          <w:p w14:paraId="3F379930">
            <w:pPr>
              <w:keepNext w:val="0"/>
              <w:keepLines w:val="0"/>
              <w:suppressLineNumbers w:val="0"/>
              <w:spacing w:before="0" w:beforeAutospacing="0" w:after="0" w:afterAutospacing="0"/>
              <w:ind w:left="0" w:right="0" w:firstLine="420"/>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综上，项目不设置专项评价。</w:t>
            </w:r>
          </w:p>
        </w:tc>
      </w:tr>
      <w:tr w14:paraId="65E91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jc w:val="center"/>
        </w:trPr>
        <w:tc>
          <w:tcPr>
            <w:tcW w:w="724" w:type="dxa"/>
            <w:noWrap w:val="0"/>
            <w:vAlign w:val="center"/>
          </w:tcPr>
          <w:p w14:paraId="19629943">
            <w:pPr>
              <w:pStyle w:val="88"/>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规划情况</w:t>
            </w:r>
          </w:p>
        </w:tc>
        <w:tc>
          <w:tcPr>
            <w:tcW w:w="8034" w:type="dxa"/>
            <w:gridSpan w:val="4"/>
            <w:noWrap w:val="0"/>
            <w:vAlign w:val="center"/>
          </w:tcPr>
          <w:p w14:paraId="6B2397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b/>
                <w:bCs/>
                <w:color w:val="000000" w:themeColor="text1"/>
                <w:kern w:val="2"/>
                <w:sz w:val="21"/>
                <w:szCs w:val="21"/>
                <w:lang w:val="en-US" w:eastAsia="zh-CN" w:bidi="ar"/>
              </w:rPr>
              <w:t>规划名称：</w:t>
            </w:r>
            <w:r>
              <w:rPr>
                <w:rFonts w:hint="default" w:ascii="Times New Roman" w:hAnsi="Times New Roman" w:eastAsia="宋体" w:cs="Times New Roman"/>
                <w:color w:val="000000" w:themeColor="text1"/>
                <w:kern w:val="2"/>
                <w:sz w:val="21"/>
                <w:szCs w:val="21"/>
                <w:lang w:val="en-US" w:eastAsia="zh-CN" w:bidi="ar"/>
              </w:rPr>
              <w:t>《云南通海产业园区总体规划修编（2021~2035年）》</w:t>
            </w:r>
            <w:r>
              <w:rPr>
                <w:rFonts w:hint="eastAsia" w:ascii="Times New Roman" w:hAnsi="Times New Roman" w:eastAsia="宋体" w:cs="Times New Roman"/>
                <w:color w:val="000000" w:themeColor="text1"/>
                <w:kern w:val="2"/>
                <w:sz w:val="21"/>
                <w:szCs w:val="21"/>
                <w:lang w:val="en-US" w:eastAsia="zh-CN" w:bidi="ar"/>
              </w:rPr>
              <w:t>；</w:t>
            </w:r>
          </w:p>
          <w:p w14:paraId="458608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both"/>
              <w:textAlignment w:val="auto"/>
              <w:rPr>
                <w:rFonts w:hint="default" w:ascii="Times New Roman" w:hAnsi="Times New Roman" w:eastAsia="宋体" w:cs="Times New Roman"/>
                <w:color w:val="000000" w:themeColor="text1"/>
                <w:kern w:val="0"/>
                <w:sz w:val="21"/>
                <w:szCs w:val="21"/>
                <w:lang w:val="en-US"/>
              </w:rPr>
            </w:pPr>
            <w:r>
              <w:rPr>
                <w:rFonts w:hint="default" w:ascii="Times New Roman" w:hAnsi="Times New Roman" w:eastAsia="宋体" w:cs="Times New Roman"/>
                <w:b/>
                <w:bCs/>
                <w:color w:val="000000" w:themeColor="text1"/>
                <w:kern w:val="0"/>
                <w:sz w:val="21"/>
                <w:szCs w:val="21"/>
                <w:lang w:val="en-US" w:eastAsia="zh-CN" w:bidi="ar"/>
              </w:rPr>
              <w:t>审批机关：</w:t>
            </w:r>
            <w:r>
              <w:rPr>
                <w:rFonts w:hint="default" w:ascii="Times New Roman" w:hAnsi="Times New Roman" w:eastAsia="宋体" w:cs="Times New Roman"/>
                <w:color w:val="000000" w:themeColor="text1"/>
                <w:kern w:val="0"/>
                <w:sz w:val="21"/>
                <w:szCs w:val="21"/>
                <w:lang w:val="en-US" w:eastAsia="zh-CN" w:bidi="ar"/>
              </w:rPr>
              <w:t>玉溪市人民政府</w:t>
            </w:r>
            <w:r>
              <w:rPr>
                <w:rFonts w:hint="eastAsia" w:ascii="Times New Roman" w:hAnsi="Times New Roman" w:eastAsia="宋体" w:cs="Times New Roman"/>
                <w:color w:val="000000" w:themeColor="text1"/>
                <w:kern w:val="0"/>
                <w:sz w:val="21"/>
                <w:szCs w:val="21"/>
                <w:lang w:val="en-US" w:eastAsia="zh-CN" w:bidi="ar"/>
              </w:rPr>
              <w:t>；</w:t>
            </w:r>
          </w:p>
          <w:p w14:paraId="145F0C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40" w:lineRule="exact"/>
              <w:ind w:left="0" w:right="0"/>
              <w:jc w:val="left"/>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b/>
                <w:bCs/>
                <w:color w:val="000000" w:themeColor="text1"/>
                <w:kern w:val="2"/>
                <w:sz w:val="21"/>
                <w:szCs w:val="21"/>
                <w:lang w:val="en-US" w:eastAsia="zh-CN" w:bidi="ar"/>
              </w:rPr>
              <w:t>审批文件名称及文号：</w:t>
            </w:r>
            <w:r>
              <w:rPr>
                <w:rFonts w:hint="default" w:ascii="Times New Roman" w:hAnsi="Times New Roman" w:eastAsia="宋体" w:cs="Times New Roman"/>
                <w:color w:val="000000" w:themeColor="text1"/>
                <w:kern w:val="2"/>
                <w:sz w:val="21"/>
                <w:szCs w:val="21"/>
                <w:lang w:val="en-US" w:eastAsia="zh-CN" w:bidi="ar"/>
              </w:rPr>
              <w:t>玉政复〔2023〕6号</w:t>
            </w:r>
            <w:r>
              <w:rPr>
                <w:rFonts w:hint="eastAsia" w:ascii="Times New Roman" w:hAnsi="Times New Roman" w:eastAsia="宋体" w:cs="Times New Roman"/>
                <w:color w:val="000000" w:themeColor="text1"/>
                <w:kern w:val="2"/>
                <w:sz w:val="21"/>
                <w:szCs w:val="21"/>
                <w:lang w:val="en-US" w:eastAsia="zh-CN" w:bidi="ar"/>
              </w:rPr>
              <w:t>。</w:t>
            </w:r>
          </w:p>
        </w:tc>
      </w:tr>
      <w:tr w14:paraId="7050C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4" w:type="dxa"/>
            <w:noWrap w:val="0"/>
            <w:vAlign w:val="center"/>
          </w:tcPr>
          <w:p w14:paraId="3158D6EB">
            <w:pPr>
              <w:pStyle w:val="88"/>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规划环评影响评价情况</w:t>
            </w:r>
          </w:p>
        </w:tc>
        <w:tc>
          <w:tcPr>
            <w:tcW w:w="8034" w:type="dxa"/>
            <w:gridSpan w:val="4"/>
            <w:noWrap w:val="0"/>
            <w:vAlign w:val="center"/>
          </w:tcPr>
          <w:p w14:paraId="2C2504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firstLineChars="200"/>
              <w:jc w:val="left"/>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b/>
                <w:bCs/>
                <w:color w:val="000000" w:themeColor="text1"/>
                <w:spacing w:val="0"/>
                <w:kern w:val="0"/>
                <w:sz w:val="21"/>
                <w:szCs w:val="21"/>
              </w:rPr>
              <w:t>规划环评名称：</w:t>
            </w:r>
            <w:r>
              <w:rPr>
                <w:rFonts w:hint="default" w:ascii="Times New Roman" w:hAnsi="Times New Roman" w:eastAsia="宋体" w:cs="Times New Roman"/>
                <w:color w:val="000000" w:themeColor="text1"/>
                <w:spacing w:val="0"/>
                <w:kern w:val="0"/>
                <w:sz w:val="21"/>
                <w:szCs w:val="21"/>
              </w:rPr>
              <w:t>《云南通海产业园区总体规划修编（2021~2035年）环境影响报告书》；</w:t>
            </w:r>
          </w:p>
          <w:p w14:paraId="35E56E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firstLineChars="200"/>
              <w:jc w:val="left"/>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b/>
                <w:bCs/>
                <w:color w:val="000000" w:themeColor="text1"/>
                <w:spacing w:val="0"/>
                <w:kern w:val="0"/>
                <w:sz w:val="21"/>
                <w:szCs w:val="21"/>
              </w:rPr>
              <w:t>召集审查机关：</w:t>
            </w:r>
            <w:r>
              <w:rPr>
                <w:rFonts w:hint="default" w:ascii="Times New Roman" w:hAnsi="Times New Roman" w:eastAsia="宋体" w:cs="Times New Roman"/>
                <w:color w:val="000000" w:themeColor="text1"/>
                <w:spacing w:val="0"/>
                <w:kern w:val="0"/>
                <w:sz w:val="21"/>
                <w:szCs w:val="21"/>
              </w:rPr>
              <w:t>玉溪市生态环境局；</w:t>
            </w:r>
          </w:p>
          <w:p w14:paraId="7AD05B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firstLineChars="200"/>
              <w:jc w:val="left"/>
              <w:textAlignment w:val="auto"/>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b/>
                <w:bCs/>
                <w:color w:val="000000" w:themeColor="text1"/>
                <w:spacing w:val="0"/>
                <w:kern w:val="0"/>
                <w:sz w:val="21"/>
                <w:szCs w:val="21"/>
              </w:rPr>
              <w:t>审查文件名称及文号：</w:t>
            </w:r>
            <w:r>
              <w:rPr>
                <w:rFonts w:hint="default" w:ascii="Times New Roman" w:hAnsi="Times New Roman" w:eastAsia="宋体" w:cs="Times New Roman"/>
                <w:color w:val="000000" w:themeColor="text1"/>
                <w:spacing w:val="0"/>
                <w:kern w:val="0"/>
                <w:sz w:val="21"/>
                <w:szCs w:val="21"/>
              </w:rPr>
              <w:t>玉溪市生态环境局关于《云南通海产业园区总体规划修编（2021~2035年）环境影响报告书》审查意见的函</w:t>
            </w:r>
            <w:r>
              <w:rPr>
                <w:rFonts w:hint="default" w:ascii="Times New Roman" w:hAnsi="Times New Roman" w:eastAsia="宋体" w:cs="Times New Roman"/>
                <w:color w:val="00B050"/>
                <w:spacing w:val="0"/>
                <w:kern w:val="0"/>
                <w:sz w:val="21"/>
                <w:szCs w:val="21"/>
              </w:rPr>
              <w:t>（玉市环函〔202</w:t>
            </w:r>
            <w:r>
              <w:rPr>
                <w:rFonts w:hint="eastAsia" w:cs="Times New Roman"/>
                <w:color w:val="00B050"/>
                <w:spacing w:val="0"/>
                <w:kern w:val="0"/>
                <w:sz w:val="21"/>
                <w:szCs w:val="21"/>
                <w:lang w:val="en-US" w:eastAsia="zh-CN"/>
              </w:rPr>
              <w:t>3</w:t>
            </w:r>
            <w:r>
              <w:rPr>
                <w:rFonts w:hint="default" w:ascii="Times New Roman" w:hAnsi="Times New Roman" w:eastAsia="宋体" w:cs="Times New Roman"/>
                <w:color w:val="00B050"/>
                <w:spacing w:val="0"/>
                <w:kern w:val="0"/>
                <w:sz w:val="21"/>
                <w:szCs w:val="21"/>
              </w:rPr>
              <w:t>〕</w:t>
            </w:r>
            <w:r>
              <w:rPr>
                <w:rFonts w:hint="eastAsia" w:cs="Times New Roman"/>
                <w:color w:val="00B050"/>
                <w:spacing w:val="0"/>
                <w:kern w:val="0"/>
                <w:sz w:val="21"/>
                <w:szCs w:val="21"/>
                <w:lang w:val="en-US" w:eastAsia="zh-CN"/>
              </w:rPr>
              <w:t>25</w:t>
            </w:r>
            <w:r>
              <w:rPr>
                <w:rFonts w:hint="default" w:ascii="Times New Roman" w:hAnsi="Times New Roman" w:eastAsia="宋体" w:cs="Times New Roman"/>
                <w:color w:val="00B050"/>
                <w:spacing w:val="0"/>
                <w:kern w:val="0"/>
                <w:sz w:val="21"/>
                <w:szCs w:val="21"/>
              </w:rPr>
              <w:t>号）</w:t>
            </w:r>
            <w:r>
              <w:rPr>
                <w:rFonts w:hint="default" w:ascii="Times New Roman" w:hAnsi="Times New Roman" w:eastAsia="宋体" w:cs="Times New Roman"/>
                <w:color w:val="000000" w:themeColor="text1"/>
                <w:spacing w:val="0"/>
                <w:kern w:val="0"/>
                <w:sz w:val="21"/>
                <w:szCs w:val="21"/>
              </w:rPr>
              <w:t>。</w:t>
            </w:r>
          </w:p>
        </w:tc>
      </w:tr>
      <w:tr w14:paraId="6BDE3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4" w:type="dxa"/>
            <w:noWrap w:val="0"/>
            <w:vAlign w:val="center"/>
          </w:tcPr>
          <w:p w14:paraId="06A54729">
            <w:pPr>
              <w:pStyle w:val="88"/>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规划及规划环境影响评价符合性分析</w:t>
            </w:r>
          </w:p>
        </w:tc>
        <w:tc>
          <w:tcPr>
            <w:tcW w:w="8034" w:type="dxa"/>
            <w:gridSpan w:val="4"/>
            <w:noWrap w:val="0"/>
            <w:vAlign w:val="center"/>
          </w:tcPr>
          <w:p w14:paraId="7FA3789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leftChars="0" w:right="0" w:firstLine="0" w:firstLineChars="0"/>
              <w:jc w:val="both"/>
              <w:textAlignment w:val="auto"/>
              <w:rPr>
                <w:rFonts w:hint="default" w:ascii="Times New Roman" w:hAnsi="Times New Roman" w:eastAsia="宋体" w:cs="Times New Roman"/>
                <w:b/>
                <w:bCs/>
                <w:snapToGrid w:val="0"/>
                <w:color w:val="000000" w:themeColor="text1"/>
                <w:kern w:val="0"/>
                <w:sz w:val="21"/>
                <w:szCs w:val="21"/>
                <w:lang w:val="en-US"/>
              </w:rPr>
            </w:pPr>
            <w:r>
              <w:rPr>
                <w:rFonts w:hint="eastAsia" w:ascii="Times New Roman" w:hAnsi="Times New Roman" w:eastAsia="宋体" w:cs="Times New Roman"/>
                <w:b/>
                <w:bCs/>
                <w:snapToGrid w:val="0"/>
                <w:color w:val="000000" w:themeColor="text1"/>
                <w:kern w:val="0"/>
                <w:sz w:val="21"/>
                <w:szCs w:val="21"/>
                <w:lang w:val="en-US" w:eastAsia="zh-CN" w:bidi="ar"/>
              </w:rPr>
              <w:t>1、</w:t>
            </w:r>
            <w:r>
              <w:rPr>
                <w:rFonts w:hint="default" w:ascii="Times New Roman" w:hAnsi="Times New Roman" w:eastAsia="宋体" w:cs="Times New Roman"/>
                <w:b/>
                <w:bCs/>
                <w:snapToGrid w:val="0"/>
                <w:color w:val="000000" w:themeColor="text1"/>
                <w:kern w:val="0"/>
                <w:sz w:val="21"/>
                <w:szCs w:val="21"/>
                <w:lang w:val="en-US" w:eastAsia="zh-CN" w:bidi="ar"/>
              </w:rPr>
              <w:t>与《云南通海产业园区总体规划修编（2021~2035年）》相符性分析</w:t>
            </w:r>
          </w:p>
          <w:p w14:paraId="314F913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20" w:lineRule="exact"/>
              <w:ind w:left="0" w:right="0" w:firstLine="420" w:firstLineChars="200"/>
              <w:jc w:val="both"/>
              <w:textAlignment w:val="auto"/>
              <w:rPr>
                <w:rFonts w:hint="eastAsia" w:ascii="Times New Roman" w:hAnsi="Times New Roman" w:eastAsia="宋体" w:cs="Times New Roman"/>
                <w:snapToGrid w:val="0"/>
                <w:color w:val="000000" w:themeColor="text1"/>
                <w:kern w:val="0"/>
                <w:sz w:val="21"/>
                <w:szCs w:val="21"/>
                <w:lang w:val="en-US" w:eastAsia="zh-CN" w:bidi="ar"/>
              </w:rPr>
            </w:pPr>
            <w:r>
              <w:rPr>
                <w:rFonts w:hint="eastAsia" w:ascii="Times New Roman" w:hAnsi="Times New Roman" w:eastAsia="宋体" w:cs="Times New Roman"/>
                <w:snapToGrid w:val="0"/>
                <w:color w:val="000000" w:themeColor="text1"/>
                <w:kern w:val="0"/>
                <w:sz w:val="21"/>
                <w:szCs w:val="21"/>
                <w:lang w:val="en-US" w:eastAsia="zh-CN" w:bidi="ar"/>
              </w:rPr>
              <w:t>（1）空间布局</w:t>
            </w:r>
          </w:p>
          <w:p w14:paraId="7E04A6A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20" w:lineRule="exact"/>
              <w:ind w:left="0" w:right="0" w:firstLine="420" w:firstLineChars="200"/>
              <w:jc w:val="both"/>
              <w:textAlignment w:val="auto"/>
              <w:rPr>
                <w:rFonts w:hint="eastAsia" w:ascii="Times New Roman" w:hAnsi="Times New Roman" w:eastAsia="宋体" w:cs="Times New Roman"/>
                <w:snapToGrid w:val="0"/>
                <w:color w:val="000000" w:themeColor="text1"/>
                <w:kern w:val="0"/>
                <w:sz w:val="21"/>
                <w:szCs w:val="21"/>
                <w:lang w:val="en-US" w:eastAsia="zh-CN" w:bidi="ar"/>
              </w:rPr>
            </w:pPr>
            <w:r>
              <w:rPr>
                <w:rFonts w:hint="eastAsia" w:ascii="Times New Roman" w:hAnsi="Times New Roman" w:eastAsia="宋体" w:cs="Times New Roman"/>
                <w:snapToGrid w:val="0"/>
                <w:color w:val="000000" w:themeColor="text1"/>
                <w:kern w:val="0"/>
                <w:sz w:val="21"/>
                <w:szCs w:val="21"/>
                <w:lang w:val="en-US" w:eastAsia="zh-CN" w:bidi="ar"/>
              </w:rPr>
              <w:t>根据《云南通海产业园区总体规划修编（2021~2035年）》，</w:t>
            </w:r>
            <w:r>
              <w:rPr>
                <w:rFonts w:hint="default" w:ascii="Times New Roman" w:hAnsi="Times New Roman" w:eastAsia="宋体" w:cs="Times New Roman"/>
                <w:snapToGrid w:val="0"/>
                <w:color w:val="000000" w:themeColor="text1"/>
                <w:kern w:val="0"/>
                <w:sz w:val="21"/>
                <w:szCs w:val="21"/>
                <w:lang w:val="en-US" w:eastAsia="zh-CN" w:bidi="ar"/>
              </w:rPr>
              <w:t>园区总体规划按照“一主一辅一园</w:t>
            </w:r>
            <w:r>
              <w:rPr>
                <w:rFonts w:hint="eastAsia" w:ascii="Times New Roman" w:hAnsi="Times New Roman" w:eastAsia="宋体" w:cs="Times New Roman"/>
                <w:snapToGrid w:val="0"/>
                <w:color w:val="000000" w:themeColor="text1"/>
                <w:kern w:val="0"/>
                <w:sz w:val="21"/>
                <w:szCs w:val="21"/>
                <w:lang w:val="en-US" w:eastAsia="zh-CN" w:bidi="ar"/>
              </w:rPr>
              <w:t>五</w:t>
            </w:r>
            <w:r>
              <w:rPr>
                <w:rFonts w:hint="default" w:ascii="Times New Roman" w:hAnsi="Times New Roman" w:eastAsia="宋体" w:cs="Times New Roman"/>
                <w:snapToGrid w:val="0"/>
                <w:color w:val="000000" w:themeColor="text1"/>
                <w:kern w:val="0"/>
                <w:sz w:val="21"/>
                <w:szCs w:val="21"/>
                <w:lang w:val="en-US" w:eastAsia="zh-CN" w:bidi="ar"/>
              </w:rPr>
              <w:t>片区”的空间布局</w:t>
            </w:r>
            <w:r>
              <w:rPr>
                <w:rFonts w:hint="eastAsia" w:ascii="Times New Roman" w:hAnsi="Times New Roman" w:eastAsia="宋体" w:cs="Times New Roman"/>
                <w:snapToGrid w:val="0"/>
                <w:color w:val="000000" w:themeColor="text1"/>
                <w:kern w:val="0"/>
                <w:sz w:val="21"/>
                <w:szCs w:val="21"/>
                <w:lang w:val="en-US" w:eastAsia="zh-CN" w:bidi="ar"/>
              </w:rPr>
              <w:t>。</w:t>
            </w:r>
          </w:p>
          <w:p w14:paraId="5C2A5AF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20" w:lineRule="exact"/>
              <w:ind w:left="0" w:right="0" w:firstLine="420" w:firstLineChars="200"/>
              <w:jc w:val="both"/>
              <w:textAlignment w:val="auto"/>
              <w:rPr>
                <w:rFonts w:hint="default" w:ascii="Times New Roman" w:hAnsi="Times New Roman" w:eastAsia="宋体" w:cs="Times New Roman"/>
                <w:snapToGrid w:val="0"/>
                <w:color w:val="000000" w:themeColor="text1"/>
                <w:kern w:val="0"/>
                <w:sz w:val="21"/>
                <w:szCs w:val="21"/>
                <w:lang w:val="en-US" w:eastAsia="zh-CN" w:bidi="ar"/>
              </w:rPr>
            </w:pPr>
            <w:r>
              <w:rPr>
                <w:rFonts w:hint="default" w:ascii="Times New Roman" w:hAnsi="Times New Roman" w:eastAsia="宋体" w:cs="Times New Roman"/>
                <w:snapToGrid w:val="0"/>
                <w:color w:val="000000" w:themeColor="text1"/>
                <w:kern w:val="0"/>
                <w:sz w:val="21"/>
                <w:szCs w:val="21"/>
                <w:lang w:val="en-US" w:eastAsia="zh-CN" w:bidi="ar"/>
              </w:rPr>
              <w:t>“一主”是指位于通海由里山、芭蕉和乌龙潭三个主要片区组成的园区核心产业片区；</w:t>
            </w:r>
          </w:p>
          <w:p w14:paraId="7785B97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20" w:lineRule="exact"/>
              <w:ind w:left="0" w:right="0" w:firstLine="420" w:firstLineChars="200"/>
              <w:jc w:val="both"/>
              <w:textAlignment w:val="auto"/>
              <w:rPr>
                <w:rFonts w:hint="default" w:ascii="Times New Roman" w:hAnsi="Times New Roman" w:eastAsia="宋体" w:cs="Times New Roman"/>
                <w:snapToGrid w:val="0"/>
                <w:color w:val="000000" w:themeColor="text1"/>
                <w:kern w:val="0"/>
                <w:sz w:val="21"/>
                <w:szCs w:val="21"/>
                <w:lang w:val="en-US" w:eastAsia="zh-CN" w:bidi="ar"/>
              </w:rPr>
            </w:pPr>
            <w:r>
              <w:rPr>
                <w:rFonts w:hint="default" w:ascii="Times New Roman" w:hAnsi="Times New Roman" w:eastAsia="宋体" w:cs="Times New Roman"/>
                <w:snapToGrid w:val="0"/>
                <w:color w:val="000000" w:themeColor="text1"/>
                <w:kern w:val="0"/>
                <w:sz w:val="21"/>
                <w:szCs w:val="21"/>
                <w:lang w:val="en-US" w:eastAsia="zh-CN" w:bidi="ar"/>
              </w:rPr>
              <w:t>“一辅”是指位于华宁由新庄和盘溪两个辅助片区组成的园区辅助区；</w:t>
            </w:r>
          </w:p>
          <w:p w14:paraId="3B905AE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20" w:lineRule="exact"/>
              <w:ind w:left="0" w:right="0" w:firstLine="420" w:firstLineChars="200"/>
              <w:jc w:val="both"/>
              <w:textAlignment w:val="auto"/>
              <w:rPr>
                <w:rFonts w:hint="default" w:ascii="Times New Roman" w:hAnsi="Times New Roman" w:eastAsia="宋体" w:cs="Times New Roman"/>
                <w:snapToGrid w:val="0"/>
                <w:color w:val="000000" w:themeColor="text1"/>
                <w:kern w:val="0"/>
                <w:sz w:val="21"/>
                <w:szCs w:val="21"/>
                <w:lang w:val="en-US"/>
              </w:rPr>
            </w:pPr>
            <w:r>
              <w:rPr>
                <w:rFonts w:hint="default" w:ascii="Times New Roman" w:hAnsi="Times New Roman" w:eastAsia="宋体" w:cs="Times New Roman"/>
                <w:snapToGrid w:val="0"/>
                <w:color w:val="000000" w:themeColor="text1"/>
                <w:kern w:val="0"/>
                <w:sz w:val="21"/>
                <w:szCs w:val="21"/>
                <w:lang w:val="en-US" w:eastAsia="zh-CN" w:bidi="ar"/>
              </w:rPr>
              <w:t>“</w:t>
            </w:r>
            <w:r>
              <w:rPr>
                <w:rFonts w:hint="eastAsia" w:ascii="Times New Roman" w:hAnsi="Times New Roman" w:eastAsia="宋体" w:cs="Times New Roman"/>
                <w:snapToGrid w:val="0"/>
                <w:color w:val="000000" w:themeColor="text1"/>
                <w:kern w:val="0"/>
                <w:sz w:val="21"/>
                <w:szCs w:val="21"/>
                <w:lang w:val="en-US" w:eastAsia="zh-CN" w:bidi="ar"/>
              </w:rPr>
              <w:t>五</w:t>
            </w:r>
            <w:r>
              <w:rPr>
                <w:rFonts w:hint="default" w:ascii="Times New Roman" w:hAnsi="Times New Roman" w:eastAsia="宋体" w:cs="Times New Roman"/>
                <w:snapToGrid w:val="0"/>
                <w:color w:val="000000" w:themeColor="text1"/>
                <w:kern w:val="0"/>
                <w:sz w:val="21"/>
                <w:szCs w:val="21"/>
                <w:lang w:val="en-US" w:eastAsia="zh-CN" w:bidi="ar"/>
              </w:rPr>
              <w:t>片区”是指里山片区、芭蕉片区、乌龙潭片区、新庄片区和盘溪片区。</w:t>
            </w:r>
          </w:p>
          <w:p w14:paraId="13318BD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20" w:lineRule="exact"/>
              <w:ind w:left="0" w:right="0" w:firstLine="420" w:firstLineChars="200"/>
              <w:jc w:val="both"/>
              <w:textAlignment w:val="auto"/>
              <w:rPr>
                <w:rFonts w:hint="default" w:ascii="Times New Roman" w:hAnsi="Times New Roman" w:eastAsia="宋体" w:cs="Times New Roman"/>
                <w:bCs/>
                <w:snapToGrid w:val="0"/>
                <w:color w:val="000000" w:themeColor="text1"/>
                <w:kern w:val="0"/>
                <w:sz w:val="21"/>
                <w:szCs w:val="21"/>
                <w:lang w:val="en-US" w:eastAsia="zh-CN" w:bidi="ar"/>
              </w:rPr>
            </w:pPr>
            <w:r>
              <w:rPr>
                <w:rFonts w:hint="eastAsia" w:ascii="Times New Roman" w:hAnsi="Times New Roman" w:eastAsia="宋体" w:cs="Times New Roman"/>
                <w:bCs/>
                <w:snapToGrid w:val="0"/>
                <w:color w:val="000000" w:themeColor="text1"/>
                <w:kern w:val="0"/>
                <w:sz w:val="21"/>
                <w:szCs w:val="21"/>
                <w:lang w:val="en-US" w:eastAsia="zh-CN" w:bidi="ar"/>
              </w:rPr>
              <w:t>（2）片区定位</w:t>
            </w:r>
          </w:p>
          <w:p w14:paraId="3AADEB1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20" w:lineRule="exact"/>
              <w:ind w:left="0" w:right="0" w:firstLine="420" w:firstLineChars="200"/>
              <w:jc w:val="both"/>
              <w:textAlignment w:val="auto"/>
              <w:rPr>
                <w:rFonts w:hint="default" w:ascii="Times New Roman" w:hAnsi="Times New Roman" w:eastAsia="宋体" w:cs="Times New Roman"/>
                <w:bCs/>
                <w:snapToGrid w:val="0"/>
                <w:color w:val="000000" w:themeColor="text1"/>
                <w:kern w:val="0"/>
                <w:sz w:val="21"/>
                <w:szCs w:val="21"/>
                <w:lang w:val="en-US" w:eastAsia="zh-CN" w:bidi="ar"/>
              </w:rPr>
            </w:pPr>
            <w:r>
              <w:rPr>
                <w:rFonts w:hint="default" w:ascii="Times New Roman" w:hAnsi="Times New Roman" w:eastAsia="宋体" w:cs="Times New Roman"/>
                <w:bCs/>
                <w:snapToGrid w:val="0"/>
                <w:color w:val="000000" w:themeColor="text1"/>
                <w:kern w:val="0"/>
                <w:sz w:val="21"/>
                <w:szCs w:val="21"/>
                <w:lang w:val="en-US" w:eastAsia="zh-CN" w:bidi="ar"/>
              </w:rPr>
              <w:t>1）里山片区以装备制造为主导产业，辅以金属冶炼加工制造、以产品研发和应用技术改造提升彩印包装、稀贵金属产业及其他消费品制造等传统产业，形成云南通海产业园区的核心片区。</w:t>
            </w:r>
          </w:p>
          <w:p w14:paraId="323BFB8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20" w:lineRule="exact"/>
              <w:ind w:left="0" w:right="0" w:firstLine="420" w:firstLineChars="200"/>
              <w:jc w:val="both"/>
              <w:textAlignment w:val="auto"/>
              <w:rPr>
                <w:rFonts w:hint="default" w:ascii="Times New Roman" w:hAnsi="Times New Roman" w:eastAsia="宋体" w:cs="Times New Roman"/>
                <w:bCs/>
                <w:snapToGrid w:val="0"/>
                <w:color w:val="000000" w:themeColor="text1"/>
                <w:kern w:val="0"/>
                <w:sz w:val="21"/>
                <w:szCs w:val="21"/>
                <w:lang w:val="en-US" w:eastAsia="zh-CN" w:bidi="ar"/>
              </w:rPr>
            </w:pPr>
            <w:r>
              <w:rPr>
                <w:rFonts w:hint="default" w:ascii="Times New Roman" w:hAnsi="Times New Roman" w:eastAsia="宋体" w:cs="Times New Roman"/>
                <w:bCs/>
                <w:snapToGrid w:val="0"/>
                <w:color w:val="000000" w:themeColor="text1"/>
                <w:kern w:val="0"/>
                <w:sz w:val="21"/>
                <w:szCs w:val="21"/>
                <w:lang w:val="en-US" w:eastAsia="zh-CN" w:bidi="ar"/>
              </w:rPr>
              <w:t>2）芭蕉片区以装备制造产业为主导产业，辅以金属冶炼加工及城市产业配套，形成云南通海产业园区的产业配套片区。</w:t>
            </w:r>
          </w:p>
          <w:p w14:paraId="4C21A12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20" w:lineRule="exact"/>
              <w:ind w:left="0" w:right="0" w:firstLine="420" w:firstLineChars="200"/>
              <w:jc w:val="both"/>
              <w:textAlignment w:val="auto"/>
              <w:rPr>
                <w:rFonts w:hint="default" w:ascii="Times New Roman" w:hAnsi="Times New Roman" w:eastAsia="宋体" w:cs="Times New Roman"/>
                <w:bCs/>
                <w:snapToGrid w:val="0"/>
                <w:color w:val="000000" w:themeColor="text1"/>
                <w:kern w:val="0"/>
                <w:sz w:val="21"/>
                <w:szCs w:val="21"/>
                <w:lang w:val="en-US" w:eastAsia="zh-CN" w:bidi="ar"/>
              </w:rPr>
            </w:pPr>
            <w:r>
              <w:rPr>
                <w:rFonts w:hint="default" w:ascii="Times New Roman" w:hAnsi="Times New Roman" w:eastAsia="宋体" w:cs="Times New Roman"/>
                <w:bCs/>
                <w:snapToGrid w:val="0"/>
                <w:color w:val="000000" w:themeColor="text1"/>
                <w:kern w:val="0"/>
                <w:sz w:val="21"/>
                <w:szCs w:val="21"/>
                <w:lang w:val="en-US" w:eastAsia="zh-CN" w:bidi="ar"/>
              </w:rPr>
              <w:t>3）乌龙潭片区以绿色食品加工和现代物流为主的绿色食品加工中心和商贸物流服务中心。</w:t>
            </w:r>
          </w:p>
          <w:p w14:paraId="370A02B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20" w:lineRule="exact"/>
              <w:ind w:left="0" w:right="0" w:firstLine="420" w:firstLineChars="200"/>
              <w:jc w:val="both"/>
              <w:textAlignment w:val="auto"/>
              <w:rPr>
                <w:rFonts w:hint="default" w:ascii="Times New Roman" w:hAnsi="Times New Roman" w:eastAsia="宋体" w:cs="Times New Roman"/>
                <w:bCs/>
                <w:snapToGrid w:val="0"/>
                <w:color w:val="000000" w:themeColor="text1"/>
                <w:kern w:val="0"/>
                <w:sz w:val="21"/>
                <w:szCs w:val="21"/>
                <w:lang w:val="en-US" w:eastAsia="zh-CN" w:bidi="ar"/>
              </w:rPr>
            </w:pPr>
            <w:r>
              <w:rPr>
                <w:rFonts w:hint="eastAsia" w:ascii="Times New Roman" w:hAnsi="Times New Roman" w:eastAsia="宋体" w:cs="Times New Roman"/>
                <w:bCs/>
                <w:snapToGrid w:val="0"/>
                <w:color w:val="000000" w:themeColor="text1"/>
                <w:kern w:val="0"/>
                <w:sz w:val="21"/>
                <w:szCs w:val="21"/>
                <w:lang w:val="en-US" w:eastAsia="zh-CN" w:bidi="ar"/>
              </w:rPr>
              <w:t>4）</w:t>
            </w:r>
            <w:r>
              <w:rPr>
                <w:rFonts w:hint="default" w:ascii="Times New Roman" w:hAnsi="Times New Roman" w:eastAsia="宋体" w:cs="Times New Roman"/>
                <w:bCs/>
                <w:snapToGrid w:val="0"/>
                <w:color w:val="000000" w:themeColor="text1"/>
                <w:kern w:val="0"/>
                <w:sz w:val="21"/>
                <w:szCs w:val="21"/>
                <w:lang w:val="en-US" w:eastAsia="zh-CN" w:bidi="ar"/>
              </w:rPr>
              <w:t>新庄片区以装备制造为主导产业，辅以建材陶瓷产业和消费品制造业。</w:t>
            </w:r>
          </w:p>
          <w:p w14:paraId="02D25BC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20" w:lineRule="exact"/>
              <w:ind w:left="0" w:right="0" w:firstLine="420" w:firstLineChars="200"/>
              <w:jc w:val="both"/>
              <w:textAlignment w:val="auto"/>
              <w:rPr>
                <w:rFonts w:hint="default" w:ascii="Times New Roman" w:hAnsi="Times New Roman" w:eastAsia="宋体" w:cs="Times New Roman"/>
                <w:snapToGrid w:val="0"/>
                <w:color w:val="000000" w:themeColor="text1"/>
                <w:kern w:val="0"/>
                <w:sz w:val="21"/>
                <w:szCs w:val="21"/>
                <w:lang w:val="en-US"/>
              </w:rPr>
            </w:pPr>
            <w:r>
              <w:rPr>
                <w:rFonts w:hint="eastAsia" w:ascii="Times New Roman" w:hAnsi="Times New Roman" w:eastAsia="宋体" w:cs="Times New Roman"/>
                <w:bCs/>
                <w:snapToGrid w:val="0"/>
                <w:color w:val="000000" w:themeColor="text1"/>
                <w:kern w:val="0"/>
                <w:sz w:val="21"/>
                <w:szCs w:val="21"/>
                <w:lang w:val="en-US" w:eastAsia="zh-CN" w:bidi="ar"/>
              </w:rPr>
              <w:t>5）</w:t>
            </w:r>
            <w:r>
              <w:rPr>
                <w:rFonts w:hint="default" w:ascii="Times New Roman" w:hAnsi="Times New Roman" w:eastAsia="宋体" w:cs="Times New Roman"/>
                <w:bCs/>
                <w:snapToGrid w:val="0"/>
                <w:color w:val="000000" w:themeColor="text1"/>
                <w:kern w:val="0"/>
                <w:sz w:val="21"/>
                <w:szCs w:val="21"/>
                <w:lang w:val="en-US" w:eastAsia="zh-CN" w:bidi="ar"/>
              </w:rPr>
              <w:t>盘溪片区重点发展基础磷化工，同步发展精细磷化工，形成产业链高度集成，具有产业特色和竞争优势的化工产业基地。</w:t>
            </w:r>
          </w:p>
          <w:p w14:paraId="5A27633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20" w:firstLineChars="200"/>
              <w:jc w:val="both"/>
              <w:textAlignment w:val="auto"/>
              <w:rPr>
                <w:rFonts w:hint="default" w:ascii="Times New Roman" w:hAnsi="Times New Roman" w:eastAsia="宋体" w:cs="Times New Roman"/>
                <w:snapToGrid w:val="0"/>
                <w:color w:val="000000" w:themeColor="text1"/>
                <w:kern w:val="0"/>
                <w:sz w:val="21"/>
                <w:szCs w:val="21"/>
                <w:lang w:val="en-US"/>
              </w:rPr>
            </w:pPr>
            <w:r>
              <w:rPr>
                <w:rFonts w:hint="default" w:ascii="Times New Roman" w:hAnsi="Times New Roman" w:eastAsia="宋体" w:cs="Times New Roman"/>
                <w:snapToGrid w:val="0"/>
                <w:color w:val="000000" w:themeColor="text1"/>
                <w:kern w:val="0"/>
                <w:sz w:val="21"/>
                <w:szCs w:val="21"/>
                <w:lang w:val="en-US" w:eastAsia="zh-CN" w:bidi="ar"/>
              </w:rPr>
              <w:t>本项目位于通海五金产业园区里山片区，里山片区以装备制造为主导产业，辅以金属冶炼加工制造、以产品研发和应用技术改造提升彩印包装、稀贵金属产业及其他消费品制造等传统产业，形成云南通海产业园区的核心片区。本项目</w:t>
            </w:r>
            <w:r>
              <w:rPr>
                <w:rFonts w:hint="eastAsia" w:ascii="Times New Roman" w:hAnsi="Times New Roman" w:eastAsia="宋体" w:cs="Times New Roman"/>
                <w:snapToGrid w:val="0"/>
                <w:color w:val="000000" w:themeColor="text1"/>
                <w:kern w:val="0"/>
                <w:sz w:val="21"/>
                <w:szCs w:val="21"/>
                <w:lang w:val="en-US" w:eastAsia="zh-CN" w:bidi="ar"/>
              </w:rPr>
              <w:t>为</w:t>
            </w:r>
            <w:r>
              <w:rPr>
                <w:rFonts w:hint="default" w:ascii="Times New Roman" w:hAnsi="Times New Roman" w:eastAsia="宋体" w:cs="Times New Roman"/>
                <w:snapToGrid w:val="0"/>
                <w:color w:val="000000" w:themeColor="text1"/>
                <w:kern w:val="0"/>
                <w:sz w:val="21"/>
                <w:szCs w:val="21"/>
                <w:lang w:val="en-US" w:eastAsia="zh-CN" w:bidi="ar"/>
              </w:rPr>
              <w:t>纸浆模塑包装制品</w:t>
            </w:r>
            <w:r>
              <w:rPr>
                <w:rFonts w:hint="eastAsia" w:ascii="Times New Roman" w:hAnsi="Times New Roman" w:eastAsia="宋体" w:cs="Times New Roman"/>
                <w:snapToGrid w:val="0"/>
                <w:color w:val="000000" w:themeColor="text1"/>
                <w:kern w:val="0"/>
                <w:sz w:val="21"/>
                <w:szCs w:val="21"/>
                <w:lang w:val="en-US" w:eastAsia="zh-CN" w:bidi="ar"/>
              </w:rPr>
              <w:t>制造</w:t>
            </w:r>
            <w:r>
              <w:rPr>
                <w:rFonts w:hint="default" w:ascii="Times New Roman" w:hAnsi="Times New Roman" w:eastAsia="宋体" w:cs="Times New Roman"/>
                <w:snapToGrid w:val="0"/>
                <w:color w:val="000000" w:themeColor="text1"/>
                <w:kern w:val="0"/>
                <w:sz w:val="21"/>
                <w:szCs w:val="21"/>
                <w:lang w:val="en-US" w:eastAsia="zh-CN" w:bidi="ar"/>
              </w:rPr>
              <w:t>，</w:t>
            </w:r>
            <w:r>
              <w:rPr>
                <w:rFonts w:hint="eastAsia" w:ascii="Times New Roman" w:hAnsi="Times New Roman" w:eastAsia="宋体" w:cs="Times New Roman"/>
                <w:snapToGrid w:val="0"/>
                <w:color w:val="000000" w:themeColor="text1"/>
                <w:kern w:val="0"/>
                <w:sz w:val="21"/>
                <w:szCs w:val="21"/>
                <w:lang w:val="en-US" w:eastAsia="zh-CN" w:bidi="ar"/>
              </w:rPr>
              <w:t>主要制造蛋托、蛋盒、果托等产品，属于其他消费品制造的传统产业，且本项目已取得园区管委会下发的《通海云禾纸模包装制品有限公司新建(搬迁)年产3亿片纸浆模塑包装制品项目入园通知》，符合</w:t>
            </w:r>
            <w:r>
              <w:rPr>
                <w:rFonts w:hint="default" w:ascii="Times New Roman" w:hAnsi="Times New Roman" w:eastAsia="宋体" w:cs="Times New Roman"/>
                <w:snapToGrid w:val="0"/>
                <w:color w:val="000000" w:themeColor="text1"/>
                <w:kern w:val="0"/>
                <w:sz w:val="21"/>
                <w:szCs w:val="21"/>
                <w:lang w:val="en-US" w:eastAsia="zh-CN" w:bidi="ar"/>
              </w:rPr>
              <w:t>通海五金产业园区里山片区</w:t>
            </w:r>
            <w:r>
              <w:rPr>
                <w:rFonts w:hint="eastAsia" w:ascii="Times New Roman" w:hAnsi="Times New Roman" w:eastAsia="宋体" w:cs="Times New Roman"/>
                <w:snapToGrid w:val="0"/>
                <w:color w:val="000000" w:themeColor="text1"/>
                <w:kern w:val="0"/>
                <w:sz w:val="21"/>
                <w:szCs w:val="21"/>
                <w:lang w:val="en-US" w:eastAsia="zh-CN" w:bidi="ar"/>
              </w:rPr>
              <w:t>的</w:t>
            </w:r>
            <w:r>
              <w:rPr>
                <w:rFonts w:hint="default" w:ascii="Times New Roman" w:hAnsi="Times New Roman" w:eastAsia="宋体" w:cs="Times New Roman"/>
                <w:snapToGrid w:val="0"/>
                <w:color w:val="000000" w:themeColor="text1"/>
                <w:kern w:val="0"/>
                <w:sz w:val="21"/>
                <w:szCs w:val="21"/>
                <w:lang w:val="en-US" w:eastAsia="zh-CN" w:bidi="ar"/>
              </w:rPr>
              <w:t>产业定位。</w:t>
            </w:r>
          </w:p>
          <w:p w14:paraId="01677049">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rightChars="0"/>
              <w:jc w:val="both"/>
              <w:textAlignment w:val="auto"/>
              <w:rPr>
                <w:rFonts w:hint="default" w:ascii="Times New Roman" w:hAnsi="Times New Roman" w:eastAsia="宋体" w:cs="Times New Roman"/>
                <w:b/>
                <w:bCs/>
                <w:color w:val="000000" w:themeColor="text1"/>
                <w:sz w:val="21"/>
                <w:szCs w:val="21"/>
                <w:lang w:val="en-US"/>
              </w:rPr>
            </w:pPr>
            <w:r>
              <w:rPr>
                <w:rFonts w:hint="eastAsia" w:ascii="Times New Roman" w:hAnsi="Times New Roman" w:eastAsia="宋体" w:cs="Times New Roman"/>
                <w:b/>
                <w:bCs/>
                <w:color w:val="000000" w:themeColor="text1"/>
                <w:kern w:val="2"/>
                <w:sz w:val="21"/>
                <w:szCs w:val="21"/>
                <w:lang w:val="en-US" w:eastAsia="zh-CN" w:bidi="ar"/>
              </w:rPr>
              <w:t>2、</w:t>
            </w:r>
            <w:r>
              <w:rPr>
                <w:rFonts w:hint="default" w:ascii="Times New Roman" w:hAnsi="Times New Roman" w:eastAsia="宋体" w:cs="Times New Roman"/>
                <w:b/>
                <w:bCs/>
                <w:color w:val="000000" w:themeColor="text1"/>
                <w:kern w:val="2"/>
                <w:sz w:val="21"/>
                <w:szCs w:val="21"/>
                <w:lang w:val="en-US" w:eastAsia="zh-CN" w:bidi="ar"/>
              </w:rPr>
              <w:t>与《云南通海产业园区总体规划修编（2021~2035年）环境影响报告书》符合性分析</w:t>
            </w:r>
          </w:p>
          <w:p w14:paraId="08412F4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20" w:firstLineChars="200"/>
              <w:jc w:val="both"/>
              <w:textAlignment w:val="auto"/>
              <w:rPr>
                <w:rFonts w:hint="default" w:ascii="Times New Roman" w:hAnsi="Times New Roman" w:eastAsia="宋体" w:cs="Times New Roman"/>
                <w:color w:val="000000" w:themeColor="text1"/>
                <w:kern w:val="0"/>
                <w:sz w:val="21"/>
                <w:szCs w:val="21"/>
                <w:lang w:val="en-US" w:eastAsia="zh-CN" w:bidi="ar"/>
              </w:rPr>
            </w:pPr>
            <w:r>
              <w:rPr>
                <w:rFonts w:hint="default" w:ascii="Times New Roman" w:hAnsi="Times New Roman" w:eastAsia="宋体" w:cs="Times New Roman"/>
                <w:color w:val="000000" w:themeColor="text1"/>
                <w:kern w:val="0"/>
                <w:sz w:val="21"/>
                <w:szCs w:val="21"/>
                <w:lang w:val="en-US" w:eastAsia="zh-CN" w:bidi="ar"/>
              </w:rPr>
              <w:t>根据</w:t>
            </w:r>
            <w:r>
              <w:rPr>
                <w:rFonts w:hint="default" w:ascii="Times New Roman" w:hAnsi="Times New Roman" w:eastAsia="宋体" w:cs="Times New Roman"/>
                <w:b w:val="0"/>
                <w:bCs w:val="0"/>
                <w:color w:val="000000" w:themeColor="text1"/>
                <w:kern w:val="2"/>
                <w:sz w:val="21"/>
                <w:szCs w:val="21"/>
                <w:lang w:val="en-US" w:eastAsia="zh-CN" w:bidi="ar"/>
              </w:rPr>
              <w:t>《云南通海产业园区总体规划修编（2021~2035年）环境影响报告书》</w:t>
            </w:r>
            <w:r>
              <w:rPr>
                <w:rFonts w:hint="default" w:ascii="Times New Roman" w:hAnsi="Times New Roman" w:eastAsia="宋体" w:cs="Times New Roman"/>
                <w:color w:val="000000" w:themeColor="text1"/>
                <w:kern w:val="0"/>
                <w:sz w:val="21"/>
                <w:szCs w:val="21"/>
                <w:lang w:val="en-US" w:eastAsia="zh-CN" w:bidi="ar"/>
              </w:rPr>
              <w:t>中预防或减缓不良环境影响的对策措施分析，分析如下</w:t>
            </w:r>
            <w:r>
              <w:rPr>
                <w:rFonts w:hint="eastAsia" w:ascii="Times New Roman" w:hAnsi="Times New Roman" w:eastAsia="宋体" w:cs="Times New Roman"/>
                <w:color w:val="000000" w:themeColor="text1"/>
                <w:kern w:val="0"/>
                <w:sz w:val="21"/>
                <w:szCs w:val="21"/>
                <w:lang w:val="en-US" w:eastAsia="zh-CN" w:bidi="ar"/>
              </w:rPr>
              <w:t>。</w:t>
            </w:r>
          </w:p>
          <w:p w14:paraId="6C706E4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lang w:val="en-US"/>
              </w:rPr>
            </w:pPr>
            <w:r>
              <w:rPr>
                <w:rFonts w:hint="default" w:ascii="Times New Roman" w:hAnsi="Times New Roman" w:eastAsia="宋体" w:cs="Times New Roman"/>
                <w:b/>
                <w:bCs/>
                <w:color w:val="000000" w:themeColor="text1"/>
                <w:kern w:val="2"/>
                <w:sz w:val="21"/>
                <w:szCs w:val="21"/>
                <w:lang w:val="en-US" w:eastAsia="zh-CN" w:bidi="ar"/>
              </w:rPr>
              <w:t>表1-2  本项目与规划环评（2021~2035年）环境保护符合性分析</w:t>
            </w:r>
          </w:p>
          <w:tbl>
            <w:tblPr>
              <w:tblStyle w:val="43"/>
              <w:tblW w:w="78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3834"/>
              <w:gridCol w:w="2660"/>
              <w:gridCol w:w="650"/>
            </w:tblGrid>
            <w:tr w14:paraId="78AE3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6E508553">
                  <w:pPr>
                    <w:keepNext w:val="0"/>
                    <w:keepLines w:val="0"/>
                    <w:pageBreakBefore w:val="0"/>
                    <w:widowControl/>
                    <w:suppressLineNumbers w:val="0"/>
                    <w:kinsoku/>
                    <w:wordWrap/>
                    <w:overflowPunct/>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pacing w:val="0"/>
                      <w:kern w:val="0"/>
                      <w:position w:val="0"/>
                      <w:sz w:val="21"/>
                      <w:szCs w:val="21"/>
                      <w:lang w:val="en-US"/>
                    </w:rPr>
                  </w:pPr>
                  <w:r>
                    <w:rPr>
                      <w:rFonts w:hint="default" w:ascii="Times New Roman" w:hAnsi="Times New Roman" w:eastAsia="宋体" w:cs="Times New Roman"/>
                      <w:b/>
                      <w:bCs/>
                      <w:color w:val="000000" w:themeColor="text1"/>
                      <w:spacing w:val="0"/>
                      <w:kern w:val="0"/>
                      <w:position w:val="0"/>
                      <w:sz w:val="21"/>
                      <w:szCs w:val="21"/>
                      <w:lang w:val="en-US" w:eastAsia="zh-CN" w:bidi="ar"/>
                    </w:rPr>
                    <w:t>类别</w:t>
                  </w:r>
                </w:p>
              </w:tc>
              <w:tc>
                <w:tcPr>
                  <w:tcW w:w="3834" w:type="dxa"/>
                  <w:tcBorders>
                    <w:top w:val="single" w:color="auto" w:sz="4" w:space="0"/>
                    <w:left w:val="single" w:color="auto" w:sz="4" w:space="0"/>
                    <w:bottom w:val="single" w:color="auto" w:sz="4" w:space="0"/>
                    <w:right w:val="single" w:color="auto" w:sz="4" w:space="0"/>
                  </w:tcBorders>
                  <w:noWrap w:val="0"/>
                  <w:vAlign w:val="center"/>
                </w:tcPr>
                <w:p w14:paraId="2586FAB6">
                  <w:pPr>
                    <w:keepNext w:val="0"/>
                    <w:keepLines w:val="0"/>
                    <w:pageBreakBefore w:val="0"/>
                    <w:widowControl/>
                    <w:suppressLineNumbers w:val="0"/>
                    <w:kinsoku/>
                    <w:wordWrap/>
                    <w:overflowPunct/>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napToGrid w:val="0"/>
                      <w:color w:val="000000" w:themeColor="text1"/>
                      <w:spacing w:val="0"/>
                      <w:kern w:val="0"/>
                      <w:position w:val="0"/>
                      <w:sz w:val="21"/>
                      <w:szCs w:val="21"/>
                      <w:lang w:val="en-US"/>
                    </w:rPr>
                  </w:pPr>
                  <w:r>
                    <w:rPr>
                      <w:rFonts w:hint="default" w:ascii="Times New Roman" w:hAnsi="Times New Roman" w:eastAsia="宋体" w:cs="Times New Roman"/>
                      <w:b/>
                      <w:bCs/>
                      <w:color w:val="000000" w:themeColor="text1"/>
                      <w:spacing w:val="0"/>
                      <w:kern w:val="0"/>
                      <w:position w:val="0"/>
                      <w:sz w:val="21"/>
                      <w:szCs w:val="21"/>
                      <w:lang w:val="en-US" w:eastAsia="zh-CN" w:bidi="ar"/>
                    </w:rPr>
                    <w:t>主要措施内容</w:t>
                  </w:r>
                </w:p>
              </w:tc>
              <w:tc>
                <w:tcPr>
                  <w:tcW w:w="2660" w:type="dxa"/>
                  <w:tcBorders>
                    <w:top w:val="single" w:color="auto" w:sz="4" w:space="0"/>
                    <w:left w:val="single" w:color="auto" w:sz="4" w:space="0"/>
                    <w:bottom w:val="single" w:color="auto" w:sz="4" w:space="0"/>
                    <w:right w:val="single" w:color="auto" w:sz="4" w:space="0"/>
                  </w:tcBorders>
                  <w:noWrap w:val="0"/>
                  <w:vAlign w:val="center"/>
                </w:tcPr>
                <w:p w14:paraId="040FD564">
                  <w:pPr>
                    <w:keepNext w:val="0"/>
                    <w:keepLines w:val="0"/>
                    <w:pageBreakBefore w:val="0"/>
                    <w:widowControl/>
                    <w:suppressLineNumbers w:val="0"/>
                    <w:kinsoku/>
                    <w:wordWrap/>
                    <w:overflowPunct/>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pacing w:val="0"/>
                      <w:kern w:val="0"/>
                      <w:position w:val="0"/>
                      <w:sz w:val="21"/>
                      <w:szCs w:val="21"/>
                      <w:lang w:val="en-US"/>
                    </w:rPr>
                  </w:pPr>
                  <w:r>
                    <w:rPr>
                      <w:rFonts w:hint="default" w:ascii="Times New Roman" w:hAnsi="Times New Roman" w:eastAsia="宋体" w:cs="Times New Roman"/>
                      <w:b/>
                      <w:bCs/>
                      <w:color w:val="000000" w:themeColor="text1"/>
                      <w:spacing w:val="0"/>
                      <w:kern w:val="0"/>
                      <w:position w:val="0"/>
                      <w:sz w:val="21"/>
                      <w:szCs w:val="21"/>
                      <w:lang w:val="en-US" w:eastAsia="zh-CN" w:bidi="ar"/>
                    </w:rPr>
                    <w:t>本项目主要治理措施</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69DBFB30">
                  <w:pPr>
                    <w:keepNext w:val="0"/>
                    <w:keepLines w:val="0"/>
                    <w:pageBreakBefore w:val="0"/>
                    <w:widowControl/>
                    <w:suppressLineNumbers w:val="0"/>
                    <w:kinsoku/>
                    <w:wordWrap/>
                    <w:overflowPunct/>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pacing w:val="0"/>
                      <w:kern w:val="0"/>
                      <w:position w:val="0"/>
                      <w:sz w:val="21"/>
                      <w:szCs w:val="21"/>
                      <w:lang w:val="en-US"/>
                    </w:rPr>
                  </w:pPr>
                  <w:r>
                    <w:rPr>
                      <w:rFonts w:hint="default" w:ascii="Times New Roman" w:hAnsi="Times New Roman" w:eastAsia="宋体" w:cs="Times New Roman"/>
                      <w:b/>
                      <w:bCs/>
                      <w:color w:val="000000" w:themeColor="text1"/>
                      <w:spacing w:val="0"/>
                      <w:kern w:val="0"/>
                      <w:position w:val="0"/>
                      <w:sz w:val="21"/>
                      <w:szCs w:val="21"/>
                      <w:lang w:val="en-US" w:eastAsia="zh-CN" w:bidi="ar"/>
                    </w:rPr>
                    <w:t>符合性</w:t>
                  </w:r>
                </w:p>
              </w:tc>
            </w:tr>
            <w:tr w14:paraId="71F8A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1805719E">
                  <w:pPr>
                    <w:keepNext w:val="0"/>
                    <w:keepLines w:val="0"/>
                    <w:pageBreakBefore w:val="0"/>
                    <w:widowControl/>
                    <w:suppressLineNumbers w:val="0"/>
                    <w:kinsoku/>
                    <w:wordWrap/>
                    <w:overflowPunct/>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pacing w:val="0"/>
                      <w:kern w:val="0"/>
                      <w:position w:val="0"/>
                      <w:sz w:val="21"/>
                      <w:szCs w:val="21"/>
                      <w:lang w:val="en-US"/>
                    </w:rPr>
                  </w:pPr>
                  <w:r>
                    <w:rPr>
                      <w:rFonts w:hint="default" w:ascii="Times New Roman" w:hAnsi="Times New Roman" w:eastAsia="宋体" w:cs="Times New Roman"/>
                      <w:color w:val="000000" w:themeColor="text1"/>
                      <w:spacing w:val="0"/>
                      <w:kern w:val="0"/>
                      <w:position w:val="0"/>
                      <w:sz w:val="21"/>
                      <w:szCs w:val="21"/>
                      <w:lang w:val="en-US" w:eastAsia="zh-CN" w:bidi="ar"/>
                    </w:rPr>
                    <w:t>大气污染防治措施</w:t>
                  </w:r>
                </w:p>
              </w:tc>
              <w:tc>
                <w:tcPr>
                  <w:tcW w:w="3834" w:type="dxa"/>
                  <w:tcBorders>
                    <w:top w:val="single" w:color="auto" w:sz="4" w:space="0"/>
                    <w:left w:val="single" w:color="auto" w:sz="4" w:space="0"/>
                    <w:bottom w:val="single" w:color="auto" w:sz="4" w:space="0"/>
                    <w:right w:val="single" w:color="auto" w:sz="4" w:space="0"/>
                  </w:tcBorders>
                  <w:noWrap w:val="0"/>
                  <w:vAlign w:val="center"/>
                </w:tcPr>
                <w:p w14:paraId="5CC43752">
                  <w:pPr>
                    <w:pStyle w:val="38"/>
                    <w:keepNext w:val="0"/>
                    <w:keepLines w:val="0"/>
                    <w:pageBreakBefore w:val="0"/>
                    <w:widowControl/>
                    <w:suppressLineNumbers w:val="0"/>
                    <w:kinsoku/>
                    <w:wordWrap/>
                    <w:overflowPunct/>
                    <w:bidi w:val="0"/>
                    <w:adjustRightInd w:val="0"/>
                    <w:snapToGrid w:val="0"/>
                    <w:spacing w:before="0" w:beforeLines="0" w:beforeAutospacing="0" w:after="0" w:afterLines="0" w:afterAutospacing="0" w:line="320" w:lineRule="exact"/>
                    <w:ind w:left="0" w:right="0" w:firstLine="420" w:firstLineChars="200"/>
                    <w:jc w:val="left"/>
                    <w:textAlignment w:val="auto"/>
                    <w:rPr>
                      <w:rFonts w:hint="default" w:ascii="Times New Roman" w:hAnsi="Times New Roman" w:eastAsia="宋体" w:cs="Times New Roman"/>
                      <w:color w:val="00B050"/>
                      <w:spacing w:val="0"/>
                      <w:kern w:val="0"/>
                      <w:position w:val="0"/>
                      <w:sz w:val="21"/>
                      <w:szCs w:val="21"/>
                      <w:lang w:val="en-US"/>
                    </w:rPr>
                  </w:pPr>
                  <w:r>
                    <w:rPr>
                      <w:rFonts w:hint="default" w:ascii="Times New Roman" w:hAnsi="Times New Roman" w:eastAsia="宋体" w:cs="Times New Roman"/>
                      <w:color w:val="00B050"/>
                      <w:spacing w:val="0"/>
                      <w:kern w:val="0"/>
                      <w:position w:val="0"/>
                      <w:sz w:val="21"/>
                      <w:szCs w:val="21"/>
                      <w:lang w:val="en-US" w:eastAsia="zh-CN" w:bidi="ar"/>
                    </w:rPr>
                    <w:t>①加强现有污染源的监管：对园区内现有的大气污染不定期对其进行达标排放检查，加强大气污染源的监管。同时加强现有各工矿企业废气的治理，大幅度削减SO</w:t>
                  </w:r>
                  <w:r>
                    <w:rPr>
                      <w:rFonts w:hint="default" w:ascii="Times New Roman" w:hAnsi="Times New Roman" w:eastAsia="宋体" w:cs="Times New Roman"/>
                      <w:color w:val="00B050"/>
                      <w:spacing w:val="0"/>
                      <w:kern w:val="0"/>
                      <w:position w:val="0"/>
                      <w:sz w:val="21"/>
                      <w:szCs w:val="21"/>
                      <w:vertAlign w:val="subscript"/>
                      <w:lang w:val="en-US" w:eastAsia="zh-CN" w:bidi="ar"/>
                    </w:rPr>
                    <w:t>2</w:t>
                  </w:r>
                  <w:r>
                    <w:rPr>
                      <w:rFonts w:hint="default" w:ascii="Times New Roman" w:hAnsi="Times New Roman" w:eastAsia="宋体" w:cs="Times New Roman"/>
                      <w:color w:val="00B050"/>
                      <w:spacing w:val="0"/>
                      <w:kern w:val="0"/>
                      <w:position w:val="0"/>
                      <w:sz w:val="21"/>
                      <w:szCs w:val="21"/>
                      <w:lang w:val="en-US" w:eastAsia="zh-CN" w:bidi="ar"/>
                    </w:rPr>
                    <w:t>、NO</w:t>
                  </w:r>
                  <w:r>
                    <w:rPr>
                      <w:rFonts w:hint="default" w:ascii="Times New Roman" w:hAnsi="Times New Roman" w:eastAsia="宋体" w:cs="Times New Roman"/>
                      <w:color w:val="00B050"/>
                      <w:spacing w:val="0"/>
                      <w:kern w:val="0"/>
                      <w:position w:val="0"/>
                      <w:sz w:val="21"/>
                      <w:szCs w:val="21"/>
                      <w:vertAlign w:val="subscript"/>
                      <w:lang w:val="en-US" w:eastAsia="zh-CN" w:bidi="ar"/>
                    </w:rPr>
                    <w:t>x</w:t>
                  </w:r>
                  <w:r>
                    <w:rPr>
                      <w:rFonts w:hint="default" w:ascii="Times New Roman" w:hAnsi="Times New Roman" w:eastAsia="宋体" w:cs="Times New Roman"/>
                      <w:color w:val="00B050"/>
                      <w:spacing w:val="0"/>
                      <w:kern w:val="0"/>
                      <w:position w:val="0"/>
                      <w:sz w:val="21"/>
                      <w:szCs w:val="21"/>
                      <w:lang w:val="en-US" w:eastAsia="zh-CN" w:bidi="ar"/>
                    </w:rPr>
                    <w:t>的排放量</w:t>
                  </w:r>
                  <w:r>
                    <w:rPr>
                      <w:rFonts w:hint="eastAsia" w:ascii="Times New Roman" w:hAnsi="Times New Roman" w:cs="Times New Roman"/>
                      <w:color w:val="00B050"/>
                      <w:spacing w:val="0"/>
                      <w:kern w:val="0"/>
                      <w:position w:val="0"/>
                      <w:sz w:val="21"/>
                      <w:szCs w:val="21"/>
                      <w:lang w:val="en-US" w:eastAsia="zh-CN" w:bidi="ar"/>
                    </w:rPr>
                    <w:t>。</w:t>
                  </w:r>
                  <w:r>
                    <w:rPr>
                      <w:rFonts w:hint="default" w:ascii="Times New Roman" w:hAnsi="Times New Roman" w:eastAsia="宋体" w:cs="Times New Roman"/>
                      <w:color w:val="00B050"/>
                      <w:spacing w:val="0"/>
                      <w:kern w:val="0"/>
                      <w:position w:val="0"/>
                      <w:sz w:val="21"/>
                      <w:szCs w:val="21"/>
                      <w:lang w:val="en-US" w:eastAsia="zh-CN" w:bidi="ar"/>
                    </w:rPr>
                    <w:t>特别是</w:t>
                  </w:r>
                  <w:r>
                    <w:rPr>
                      <w:rFonts w:hint="eastAsia" w:ascii="Times New Roman" w:hAnsi="Times New Roman" w:cs="Times New Roman"/>
                      <w:color w:val="00B050"/>
                      <w:spacing w:val="0"/>
                      <w:kern w:val="0"/>
                      <w:position w:val="0"/>
                      <w:sz w:val="21"/>
                      <w:szCs w:val="21"/>
                      <w:lang w:val="en-US" w:eastAsia="zh-CN" w:bidi="ar"/>
                    </w:rPr>
                    <w:t>等</w:t>
                  </w:r>
                  <w:r>
                    <w:rPr>
                      <w:rFonts w:hint="default" w:ascii="Times New Roman" w:hAnsi="Times New Roman" w:eastAsia="宋体" w:cs="Times New Roman"/>
                      <w:color w:val="00B050"/>
                      <w:spacing w:val="0"/>
                      <w:kern w:val="0"/>
                      <w:position w:val="0"/>
                      <w:sz w:val="21"/>
                      <w:szCs w:val="21"/>
                      <w:lang w:val="en-US" w:eastAsia="zh-CN" w:bidi="ar"/>
                    </w:rPr>
                    <w:t>燃煤企业推进脱销设施；将目前位于通海工业园区外的企业逐步搬迁至工业园区内，统一进行管理和治污。对不符合产业政策的企业和生产项目，应督促其改造，已列入淘汰计划的应尽快实施</w:t>
                  </w:r>
                  <w:r>
                    <w:rPr>
                      <w:rFonts w:hint="eastAsia" w:ascii="Times New Roman" w:hAnsi="Times New Roman" w:cs="Times New Roman"/>
                      <w:color w:val="00B050"/>
                      <w:spacing w:val="0"/>
                      <w:kern w:val="0"/>
                      <w:position w:val="0"/>
                      <w:sz w:val="21"/>
                      <w:szCs w:val="21"/>
                      <w:lang w:val="en-US" w:eastAsia="zh-CN" w:bidi="ar"/>
                    </w:rPr>
                    <w:t>。</w:t>
                  </w:r>
                </w:p>
                <w:p w14:paraId="3715A82F">
                  <w:pPr>
                    <w:pStyle w:val="38"/>
                    <w:keepNext w:val="0"/>
                    <w:keepLines w:val="0"/>
                    <w:pageBreakBefore w:val="0"/>
                    <w:widowControl/>
                    <w:suppressLineNumbers w:val="0"/>
                    <w:kinsoku/>
                    <w:wordWrap/>
                    <w:overflowPunct/>
                    <w:bidi w:val="0"/>
                    <w:adjustRightInd w:val="0"/>
                    <w:snapToGrid w:val="0"/>
                    <w:spacing w:before="0" w:beforeLines="0" w:beforeAutospacing="0" w:after="0" w:afterLines="0" w:afterAutospacing="0" w:line="320" w:lineRule="exact"/>
                    <w:ind w:left="0" w:right="0" w:firstLine="420" w:firstLineChars="200"/>
                    <w:jc w:val="left"/>
                    <w:textAlignment w:val="auto"/>
                    <w:rPr>
                      <w:rFonts w:hint="default" w:ascii="Times New Roman" w:hAnsi="Times New Roman" w:eastAsia="宋体" w:cs="Times New Roman"/>
                      <w:color w:val="00B050"/>
                      <w:spacing w:val="0"/>
                      <w:kern w:val="0"/>
                      <w:position w:val="0"/>
                      <w:sz w:val="21"/>
                      <w:szCs w:val="21"/>
                      <w:lang w:val="en-US"/>
                    </w:rPr>
                  </w:pPr>
                  <w:r>
                    <w:rPr>
                      <w:rFonts w:hint="default" w:ascii="Times New Roman" w:hAnsi="Times New Roman" w:eastAsia="宋体" w:cs="Times New Roman"/>
                      <w:color w:val="00B050"/>
                      <w:spacing w:val="0"/>
                      <w:kern w:val="0"/>
                      <w:position w:val="0"/>
                      <w:sz w:val="21"/>
                      <w:szCs w:val="21"/>
                      <w:lang w:val="en-US" w:eastAsia="zh-CN" w:bidi="ar"/>
                    </w:rPr>
                    <w:t>②清洁生产：</w:t>
                  </w:r>
                  <w:r>
                    <w:rPr>
                      <w:rFonts w:hint="eastAsia" w:ascii="Times New Roman" w:hAnsi="Times New Roman" w:cs="Times New Roman"/>
                      <w:color w:val="00B050"/>
                      <w:spacing w:val="0"/>
                      <w:kern w:val="0"/>
                      <w:position w:val="0"/>
                      <w:sz w:val="21"/>
                      <w:szCs w:val="21"/>
                      <w:lang w:val="en-US" w:eastAsia="zh-CN" w:bidi="ar"/>
                    </w:rPr>
                    <w:t>本次评价</w:t>
                  </w:r>
                  <w:r>
                    <w:rPr>
                      <w:rFonts w:hint="default" w:ascii="Times New Roman" w:hAnsi="Times New Roman" w:eastAsia="宋体" w:cs="Times New Roman"/>
                      <w:color w:val="00B050"/>
                      <w:spacing w:val="0"/>
                      <w:kern w:val="0"/>
                      <w:position w:val="0"/>
                      <w:sz w:val="21"/>
                      <w:szCs w:val="21"/>
                      <w:lang w:val="en-US" w:eastAsia="zh-CN" w:bidi="ar"/>
                    </w:rPr>
                    <w:t>要求园区使用电能、天然气、生物质燃料等清洁能源为主要能源，逐步降低煤炭等高污染燃料的使用，同时针对云南通海产业园区规划产业特性，提出相应的清洁生产要求，</w:t>
                  </w:r>
                  <w:r>
                    <w:rPr>
                      <w:rFonts w:hint="eastAsia" w:ascii="Times New Roman" w:hAnsi="Times New Roman" w:cs="Times New Roman"/>
                      <w:color w:val="00B050"/>
                      <w:spacing w:val="0"/>
                      <w:kern w:val="0"/>
                      <w:position w:val="0"/>
                      <w:sz w:val="21"/>
                      <w:szCs w:val="21"/>
                      <w:lang w:val="en-US" w:eastAsia="zh-CN" w:bidi="ar"/>
                    </w:rPr>
                    <w:t>其中云南</w:t>
                  </w:r>
                  <w:r>
                    <w:rPr>
                      <w:rFonts w:hint="default" w:ascii="Times New Roman" w:hAnsi="Times New Roman" w:eastAsia="宋体" w:cs="Times New Roman"/>
                      <w:color w:val="00B050"/>
                      <w:spacing w:val="0"/>
                      <w:kern w:val="0"/>
                      <w:position w:val="0"/>
                      <w:sz w:val="21"/>
                      <w:szCs w:val="21"/>
                      <w:lang w:val="en-US" w:eastAsia="zh-CN" w:bidi="ar"/>
                    </w:rPr>
                    <w:t>通海产业</w:t>
                  </w:r>
                  <w:r>
                    <w:rPr>
                      <w:rFonts w:hint="eastAsia" w:ascii="Times New Roman" w:hAnsi="Times New Roman" w:cs="Times New Roman"/>
                      <w:color w:val="00B050"/>
                      <w:spacing w:val="0"/>
                      <w:kern w:val="0"/>
                      <w:position w:val="0"/>
                      <w:sz w:val="21"/>
                      <w:szCs w:val="21"/>
                      <w:lang w:val="en-US" w:eastAsia="zh-CN" w:bidi="ar"/>
                    </w:rPr>
                    <w:t>园</w:t>
                  </w:r>
                  <w:r>
                    <w:rPr>
                      <w:rFonts w:hint="default" w:ascii="Times New Roman" w:hAnsi="Times New Roman" w:eastAsia="宋体" w:cs="Times New Roman"/>
                      <w:color w:val="00B050"/>
                      <w:spacing w:val="0"/>
                      <w:kern w:val="0"/>
                      <w:position w:val="0"/>
                      <w:sz w:val="21"/>
                      <w:szCs w:val="21"/>
                      <w:lang w:val="en-US" w:eastAsia="zh-CN" w:bidi="ar"/>
                    </w:rPr>
                    <w:t>区可参考《印刷业清洁生产评价指标体系》、《钢铁行业（钢压延加工）清洁生产评价指标体系》、《钢铁行业（炼钢）清洁生产评价指标体系》、《钢铁行业（烧结、球团）清洁生产评价指标体系》等评价指标</w:t>
                  </w:r>
                  <w:r>
                    <w:rPr>
                      <w:rFonts w:hint="eastAsia" w:ascii="Times New Roman" w:hAnsi="Times New Roman" w:cs="Times New Roman"/>
                      <w:color w:val="00B050"/>
                      <w:spacing w:val="0"/>
                      <w:kern w:val="0"/>
                      <w:position w:val="0"/>
                      <w:sz w:val="21"/>
                      <w:szCs w:val="21"/>
                      <w:lang w:val="en-US" w:eastAsia="zh-CN" w:bidi="ar"/>
                    </w:rPr>
                    <w:t>。同时，云南通海产业园区应推行工业生产中可燃性气体的回收利用，加快使用清洁低碳能源以及利用工厂余热、电厂热力等进行替代。</w:t>
                  </w:r>
                </w:p>
                <w:p w14:paraId="75E00BFA">
                  <w:pPr>
                    <w:pStyle w:val="38"/>
                    <w:keepNext w:val="0"/>
                    <w:keepLines w:val="0"/>
                    <w:pageBreakBefore w:val="0"/>
                    <w:widowControl/>
                    <w:suppressLineNumbers w:val="0"/>
                    <w:kinsoku/>
                    <w:wordWrap/>
                    <w:overflowPunct/>
                    <w:bidi w:val="0"/>
                    <w:adjustRightInd w:val="0"/>
                    <w:snapToGrid w:val="0"/>
                    <w:spacing w:before="0" w:beforeLines="0" w:beforeAutospacing="0" w:after="0" w:afterLines="0" w:afterAutospacing="0" w:line="320" w:lineRule="exact"/>
                    <w:ind w:left="0" w:right="0" w:firstLine="420" w:firstLineChars="200"/>
                    <w:jc w:val="left"/>
                    <w:textAlignment w:val="auto"/>
                    <w:rPr>
                      <w:rFonts w:hint="default" w:ascii="Times New Roman" w:hAnsi="Times New Roman" w:eastAsia="宋体" w:cs="Times New Roman"/>
                      <w:color w:val="00B050"/>
                      <w:spacing w:val="0"/>
                      <w:kern w:val="0"/>
                      <w:position w:val="0"/>
                      <w:sz w:val="21"/>
                      <w:szCs w:val="21"/>
                      <w:lang w:val="en-US" w:eastAsia="zh-CN" w:bidi="ar"/>
                    </w:rPr>
                  </w:pPr>
                  <w:r>
                    <w:rPr>
                      <w:rFonts w:hint="default" w:ascii="Times New Roman" w:hAnsi="Times New Roman" w:eastAsia="宋体" w:cs="Times New Roman"/>
                      <w:color w:val="00B050"/>
                      <w:spacing w:val="0"/>
                      <w:kern w:val="0"/>
                      <w:position w:val="0"/>
                      <w:sz w:val="21"/>
                      <w:szCs w:val="21"/>
                      <w:lang w:val="en-US" w:eastAsia="zh-CN" w:bidi="ar"/>
                    </w:rPr>
                    <w:t>③要求大气污染排放量较大的企业如铸造生产等，必须入驻至规划的功能区，保障足够的卫生防护距离，拟入驻企业在进行项目环评时应将特征废气污染因子的评价作为重点，拟入驻企业应满足总量控制指标及节能减排的要求。里山片区主要产业为装备制造业，辅助产业为金属冶炼加工制造、产品研发和应用技术改造提升彩印包装、稀贵金属产业及其他消费品制造等传统产业；重污染企业为金属冶金加工制造也，位于里山片区西北侧，下风向主要分布了落红冲，园区在引入重污染冶炼企业时，应加强污染防治措施，并与居民预留足够卫生防护距离后，对园区周边居民影响较小。</w:t>
                  </w:r>
                </w:p>
                <w:p w14:paraId="253BA740">
                  <w:pPr>
                    <w:pStyle w:val="38"/>
                    <w:keepNext w:val="0"/>
                    <w:keepLines w:val="0"/>
                    <w:pageBreakBefore w:val="0"/>
                    <w:widowControl/>
                    <w:suppressLineNumbers w:val="0"/>
                    <w:kinsoku/>
                    <w:wordWrap/>
                    <w:overflowPunct/>
                    <w:bidi w:val="0"/>
                    <w:adjustRightInd w:val="0"/>
                    <w:snapToGrid w:val="0"/>
                    <w:spacing w:before="0" w:beforeLines="0" w:beforeAutospacing="0" w:after="0" w:afterLines="0" w:afterAutospacing="0" w:line="320" w:lineRule="exact"/>
                    <w:ind w:left="0" w:right="0" w:firstLine="420" w:firstLineChars="200"/>
                    <w:jc w:val="left"/>
                    <w:textAlignment w:val="auto"/>
                    <w:rPr>
                      <w:rFonts w:hint="default" w:ascii="Times New Roman" w:hAnsi="Times New Roman" w:eastAsia="宋体" w:cs="Times New Roman"/>
                      <w:color w:val="00B050"/>
                      <w:spacing w:val="0"/>
                      <w:kern w:val="0"/>
                      <w:position w:val="0"/>
                      <w:sz w:val="21"/>
                      <w:szCs w:val="21"/>
                      <w:lang w:val="en-US"/>
                    </w:rPr>
                  </w:pPr>
                  <w:r>
                    <w:rPr>
                      <w:rFonts w:hint="default" w:ascii="Times New Roman" w:hAnsi="Times New Roman" w:eastAsia="宋体" w:cs="Times New Roman"/>
                      <w:color w:val="00B050"/>
                      <w:spacing w:val="0"/>
                      <w:kern w:val="0"/>
                      <w:position w:val="0"/>
                      <w:sz w:val="21"/>
                      <w:szCs w:val="21"/>
                      <w:lang w:val="en-US" w:eastAsia="zh-CN" w:bidi="ar"/>
                    </w:rPr>
                    <w:t>在对有重大影响的项目进行跟踪评价时，应对区域环境空气质量作重点回顾性评价，分析说明环境空气质量变化趋势，并提出必要的补救措施</w:t>
                  </w:r>
                  <w:r>
                    <w:rPr>
                      <w:rFonts w:hint="eastAsia" w:ascii="Times New Roman" w:hAnsi="Times New Roman" w:cs="Times New Roman"/>
                      <w:color w:val="00B050"/>
                      <w:spacing w:val="0"/>
                      <w:kern w:val="0"/>
                      <w:position w:val="0"/>
                      <w:sz w:val="21"/>
                      <w:szCs w:val="21"/>
                      <w:lang w:val="en-US" w:eastAsia="zh-CN" w:bidi="ar"/>
                    </w:rPr>
                    <w:t>。</w:t>
                  </w:r>
                </w:p>
                <w:p w14:paraId="2DA8E276">
                  <w:pPr>
                    <w:pStyle w:val="38"/>
                    <w:keepNext w:val="0"/>
                    <w:keepLines w:val="0"/>
                    <w:pageBreakBefore w:val="0"/>
                    <w:widowControl/>
                    <w:suppressLineNumbers w:val="0"/>
                    <w:kinsoku/>
                    <w:wordWrap/>
                    <w:overflowPunct/>
                    <w:bidi w:val="0"/>
                    <w:adjustRightInd w:val="0"/>
                    <w:snapToGrid w:val="0"/>
                    <w:spacing w:before="0" w:beforeLines="0" w:beforeAutospacing="0" w:after="0" w:afterLines="0" w:afterAutospacing="0" w:line="320" w:lineRule="exact"/>
                    <w:ind w:left="0" w:right="0" w:firstLine="420" w:firstLineChars="200"/>
                    <w:jc w:val="left"/>
                    <w:textAlignment w:val="auto"/>
                    <w:rPr>
                      <w:rFonts w:hint="default" w:ascii="Times New Roman" w:hAnsi="Times New Roman" w:eastAsia="宋体" w:cs="Times New Roman"/>
                      <w:color w:val="00B050"/>
                      <w:spacing w:val="0"/>
                      <w:kern w:val="0"/>
                      <w:position w:val="0"/>
                      <w:sz w:val="21"/>
                      <w:szCs w:val="21"/>
                      <w:lang w:val="en-US"/>
                    </w:rPr>
                  </w:pPr>
                  <w:r>
                    <w:rPr>
                      <w:rFonts w:hint="default" w:ascii="Times New Roman" w:hAnsi="Times New Roman" w:eastAsia="宋体" w:cs="Times New Roman"/>
                      <w:color w:val="00B050"/>
                      <w:spacing w:val="0"/>
                      <w:kern w:val="0"/>
                      <w:position w:val="0"/>
                      <w:sz w:val="21"/>
                      <w:szCs w:val="21"/>
                      <w:lang w:val="en-US" w:eastAsia="zh-CN" w:bidi="ar"/>
                    </w:rPr>
                    <w:t>④污染物达标排放：产生有毒有害气体、粉尘的项目尽量远离县城、集镇、村庄等集中居住区。生产性粉尘采用有效的电收尘或袋式除尘器；产生烟尘、SO</w:t>
                  </w:r>
                  <w:r>
                    <w:rPr>
                      <w:rFonts w:hint="default" w:ascii="Times New Roman" w:hAnsi="Times New Roman" w:eastAsia="宋体" w:cs="Times New Roman"/>
                      <w:color w:val="00B050"/>
                      <w:spacing w:val="0"/>
                      <w:kern w:val="0"/>
                      <w:position w:val="0"/>
                      <w:sz w:val="21"/>
                      <w:szCs w:val="21"/>
                      <w:vertAlign w:val="subscript"/>
                      <w:lang w:val="en-US" w:eastAsia="zh-CN" w:bidi="ar"/>
                    </w:rPr>
                    <w:t>2</w:t>
                  </w:r>
                  <w:r>
                    <w:rPr>
                      <w:rFonts w:hint="default" w:ascii="Times New Roman" w:hAnsi="Times New Roman" w:eastAsia="宋体" w:cs="Times New Roman"/>
                      <w:color w:val="00B050"/>
                      <w:spacing w:val="0"/>
                      <w:kern w:val="0"/>
                      <w:position w:val="0"/>
                      <w:sz w:val="21"/>
                      <w:szCs w:val="21"/>
                      <w:lang w:val="en-US" w:eastAsia="zh-CN" w:bidi="ar"/>
                    </w:rPr>
                    <w:t>的排污单位，须采取除尘、脱硫措施，确保达标排放；对涉及SO</w:t>
                  </w:r>
                  <w:r>
                    <w:rPr>
                      <w:rFonts w:hint="default" w:ascii="Times New Roman" w:hAnsi="Times New Roman" w:eastAsia="宋体" w:cs="Times New Roman"/>
                      <w:color w:val="00B050"/>
                      <w:spacing w:val="0"/>
                      <w:kern w:val="0"/>
                      <w:position w:val="0"/>
                      <w:sz w:val="21"/>
                      <w:szCs w:val="21"/>
                      <w:vertAlign w:val="subscript"/>
                      <w:lang w:val="en-US" w:eastAsia="zh-CN" w:bidi="ar"/>
                    </w:rPr>
                    <w:t>2</w:t>
                  </w:r>
                  <w:r>
                    <w:rPr>
                      <w:rFonts w:hint="default" w:ascii="Times New Roman" w:hAnsi="Times New Roman" w:eastAsia="宋体" w:cs="Times New Roman"/>
                      <w:color w:val="00B050"/>
                      <w:spacing w:val="0"/>
                      <w:kern w:val="0"/>
                      <w:position w:val="0"/>
                      <w:sz w:val="21"/>
                      <w:szCs w:val="21"/>
                      <w:lang w:val="en-US" w:eastAsia="zh-CN" w:bidi="ar"/>
                    </w:rPr>
                    <w:t>、NO</w:t>
                  </w:r>
                  <w:r>
                    <w:rPr>
                      <w:rFonts w:hint="default" w:ascii="Times New Roman" w:hAnsi="Times New Roman" w:eastAsia="宋体" w:cs="Times New Roman"/>
                      <w:color w:val="00B050"/>
                      <w:spacing w:val="0"/>
                      <w:kern w:val="0"/>
                      <w:position w:val="0"/>
                      <w:sz w:val="21"/>
                      <w:szCs w:val="21"/>
                      <w:vertAlign w:val="subscript"/>
                      <w:lang w:val="en-US" w:eastAsia="zh-CN" w:bidi="ar"/>
                    </w:rPr>
                    <w:t>x</w:t>
                  </w:r>
                  <w:r>
                    <w:rPr>
                      <w:rFonts w:hint="default" w:ascii="Times New Roman" w:hAnsi="Times New Roman" w:eastAsia="宋体" w:cs="Times New Roman"/>
                      <w:color w:val="00B050"/>
                      <w:spacing w:val="0"/>
                      <w:kern w:val="0"/>
                      <w:position w:val="0"/>
                      <w:sz w:val="21"/>
                      <w:szCs w:val="21"/>
                      <w:lang w:val="en-US" w:eastAsia="zh-CN" w:bidi="ar"/>
                    </w:rPr>
                    <w:t>总量控制指标的单个项目，必须逐一落实其指标可靠来源；工业园区内餐饮或食堂产生的油烟废气，须经油烟净化处理系统处理达标后超屋顶达标排放；按项目环评要求对重点污染源安装在线连续监控系统，对废气排放实施连续、实时地跟踪监测监管。</w:t>
                  </w:r>
                </w:p>
                <w:p w14:paraId="7458E18A">
                  <w:pPr>
                    <w:pStyle w:val="38"/>
                    <w:keepNext w:val="0"/>
                    <w:keepLines w:val="0"/>
                    <w:pageBreakBefore w:val="0"/>
                    <w:widowControl/>
                    <w:suppressLineNumbers w:val="0"/>
                    <w:kinsoku/>
                    <w:wordWrap/>
                    <w:overflowPunct/>
                    <w:bidi w:val="0"/>
                    <w:adjustRightInd w:val="0"/>
                    <w:snapToGrid w:val="0"/>
                    <w:spacing w:before="0" w:beforeLines="0" w:beforeAutospacing="0" w:after="0" w:afterLines="0" w:afterAutospacing="0" w:line="320" w:lineRule="exact"/>
                    <w:ind w:left="0" w:right="0" w:firstLine="420" w:firstLineChars="200"/>
                    <w:jc w:val="left"/>
                    <w:textAlignment w:val="auto"/>
                    <w:rPr>
                      <w:rFonts w:hint="default" w:ascii="Times New Roman" w:hAnsi="Times New Roman" w:eastAsia="宋体" w:cs="Times New Roman"/>
                      <w:color w:val="000000" w:themeColor="text1"/>
                      <w:spacing w:val="0"/>
                      <w:kern w:val="0"/>
                      <w:position w:val="0"/>
                      <w:sz w:val="21"/>
                      <w:szCs w:val="21"/>
                      <w:lang w:val="en-US"/>
                    </w:rPr>
                  </w:pPr>
                  <w:r>
                    <w:rPr>
                      <w:rFonts w:hint="default" w:ascii="Times New Roman" w:hAnsi="Times New Roman" w:eastAsia="宋体" w:cs="Times New Roman"/>
                      <w:color w:val="00B050"/>
                      <w:spacing w:val="0"/>
                      <w:kern w:val="0"/>
                      <w:position w:val="0"/>
                      <w:sz w:val="21"/>
                      <w:szCs w:val="21"/>
                      <w:lang w:val="en-US" w:eastAsia="zh-CN" w:bidi="ar"/>
                    </w:rPr>
                    <w:t>⑤实施总量控制：各片区在满足各区的环境容量要求下，确保园区内环境空气质量达标。因此，规划建设中，必须保证各区的大气污染物排放总量不突破环境容量使用值。为便于环境管理，园区的发展应满足总量控制要求，各地块新建企业必须控制各种污染物排放量符合总量控制规定的排放限值，在此基础上实现区域环境的可持续发展。</w:t>
                  </w:r>
                </w:p>
                <w:p w14:paraId="365AB04D">
                  <w:pPr>
                    <w:pStyle w:val="38"/>
                    <w:keepNext w:val="0"/>
                    <w:keepLines w:val="0"/>
                    <w:pageBreakBefore w:val="0"/>
                    <w:widowControl/>
                    <w:suppressLineNumbers w:val="0"/>
                    <w:kinsoku/>
                    <w:wordWrap/>
                    <w:overflowPunct/>
                    <w:bidi w:val="0"/>
                    <w:adjustRightInd w:val="0"/>
                    <w:snapToGrid w:val="0"/>
                    <w:spacing w:before="0" w:beforeLines="0" w:beforeAutospacing="0" w:after="0" w:afterLines="0" w:afterAutospacing="0" w:line="320" w:lineRule="exact"/>
                    <w:ind w:left="0" w:right="0" w:firstLine="420" w:firstLineChars="200"/>
                    <w:jc w:val="left"/>
                    <w:textAlignment w:val="auto"/>
                    <w:rPr>
                      <w:rFonts w:hint="eastAsia" w:ascii="Times New Roman" w:hAnsi="Times New Roman" w:cs="Times New Roman"/>
                      <w:color w:val="00B050"/>
                      <w:spacing w:val="0"/>
                      <w:kern w:val="0"/>
                      <w:position w:val="0"/>
                      <w:sz w:val="21"/>
                      <w:szCs w:val="21"/>
                      <w:lang w:val="en-US" w:eastAsia="zh-CN" w:bidi="ar"/>
                    </w:rPr>
                  </w:pPr>
                  <w:r>
                    <w:rPr>
                      <w:rFonts w:hint="default" w:ascii="Times New Roman" w:hAnsi="Times New Roman" w:eastAsia="宋体" w:cs="Times New Roman"/>
                      <w:color w:val="00B050"/>
                      <w:spacing w:val="0"/>
                      <w:kern w:val="0"/>
                      <w:position w:val="0"/>
                      <w:sz w:val="21"/>
                      <w:szCs w:val="21"/>
                      <w:lang w:val="en-US" w:eastAsia="zh-CN" w:bidi="ar"/>
                    </w:rPr>
                    <w:t>⑥</w:t>
                  </w:r>
                  <w:r>
                    <w:rPr>
                      <w:rFonts w:hint="eastAsia" w:ascii="Times New Roman" w:hAnsi="Times New Roman" w:cs="Times New Roman"/>
                      <w:color w:val="00B050"/>
                      <w:spacing w:val="0"/>
                      <w:kern w:val="0"/>
                      <w:position w:val="0"/>
                      <w:sz w:val="21"/>
                      <w:szCs w:val="21"/>
                      <w:lang w:val="en-US" w:eastAsia="zh-CN" w:bidi="ar"/>
                    </w:rPr>
                    <w:t>异味治理措施：食品加工产生变质原辅料和废料由各企业单独集中设置临时固废堆场，对临时固废堆场必须采取“防雨、防渗”措施，产生的固废尽量做到日产日清，临时贮存期不超过3天。</w:t>
                  </w:r>
                </w:p>
                <w:p w14:paraId="08565C5D">
                  <w:pPr>
                    <w:pStyle w:val="38"/>
                    <w:keepNext w:val="0"/>
                    <w:keepLines w:val="0"/>
                    <w:pageBreakBefore w:val="0"/>
                    <w:widowControl/>
                    <w:suppressLineNumbers w:val="0"/>
                    <w:kinsoku/>
                    <w:wordWrap/>
                    <w:overflowPunct/>
                    <w:bidi w:val="0"/>
                    <w:adjustRightInd w:val="0"/>
                    <w:snapToGrid w:val="0"/>
                    <w:spacing w:before="0" w:beforeLines="0" w:beforeAutospacing="0" w:after="0" w:afterLines="0" w:afterAutospacing="0" w:line="320" w:lineRule="exact"/>
                    <w:ind w:left="0" w:right="0" w:firstLine="420" w:firstLineChars="200"/>
                    <w:jc w:val="left"/>
                    <w:textAlignment w:val="auto"/>
                    <w:rPr>
                      <w:rFonts w:hint="eastAsia" w:ascii="Times New Roman" w:hAnsi="Times New Roman" w:cs="Times New Roman"/>
                      <w:color w:val="00B050"/>
                      <w:spacing w:val="0"/>
                      <w:kern w:val="0"/>
                      <w:position w:val="0"/>
                      <w:sz w:val="21"/>
                      <w:szCs w:val="21"/>
                      <w:lang w:val="en-US" w:eastAsia="zh-CN" w:bidi="ar"/>
                    </w:rPr>
                  </w:pPr>
                  <w:r>
                    <w:rPr>
                      <w:rFonts w:hint="eastAsia" w:ascii="Times New Roman" w:hAnsi="Times New Roman" w:cs="Times New Roman"/>
                      <w:color w:val="00B050"/>
                      <w:spacing w:val="0"/>
                      <w:kern w:val="0"/>
                      <w:position w:val="0"/>
                      <w:sz w:val="21"/>
                      <w:szCs w:val="21"/>
                      <w:lang w:val="en-US" w:eastAsia="zh-CN" w:bidi="ar"/>
                    </w:rPr>
                    <w:t>⑦加强易撒尘车辆的管理：运输渣土、煤炭、煤灰、灰土、垃圾等易产生扬尘的车辆要进行遮盖，防止散落，限道限时运行。城管部门对其进行检查，发现不符合要求的车辆，除责令其清扫外还要从重处罚。</w:t>
                  </w:r>
                </w:p>
                <w:p w14:paraId="6BEC9818">
                  <w:pPr>
                    <w:pStyle w:val="38"/>
                    <w:keepNext w:val="0"/>
                    <w:keepLines w:val="0"/>
                    <w:pageBreakBefore w:val="0"/>
                    <w:widowControl/>
                    <w:suppressLineNumbers w:val="0"/>
                    <w:kinsoku/>
                    <w:wordWrap/>
                    <w:overflowPunct/>
                    <w:bidi w:val="0"/>
                    <w:adjustRightInd w:val="0"/>
                    <w:snapToGrid w:val="0"/>
                    <w:spacing w:before="0" w:beforeLines="0" w:beforeAutospacing="0" w:after="0" w:afterLines="0" w:afterAutospacing="0" w:line="320" w:lineRule="exact"/>
                    <w:ind w:left="0" w:right="0" w:firstLine="420" w:firstLineChars="200"/>
                    <w:jc w:val="left"/>
                    <w:textAlignment w:val="auto"/>
                    <w:rPr>
                      <w:rFonts w:hint="default" w:ascii="Times New Roman" w:hAnsi="Times New Roman" w:eastAsia="宋体" w:cs="Times New Roman"/>
                      <w:color w:val="000000" w:themeColor="text1"/>
                      <w:spacing w:val="0"/>
                      <w:kern w:val="0"/>
                      <w:position w:val="0"/>
                      <w:sz w:val="21"/>
                      <w:szCs w:val="21"/>
                      <w:lang w:val="en-US" w:eastAsia="zh-CN" w:bidi="ar"/>
                    </w:rPr>
                  </w:pPr>
                  <w:r>
                    <w:rPr>
                      <w:rFonts w:hint="eastAsia" w:ascii="Times New Roman" w:hAnsi="Times New Roman" w:cs="Times New Roman"/>
                      <w:color w:val="00B050"/>
                      <w:spacing w:val="0"/>
                      <w:kern w:val="0"/>
                      <w:position w:val="0"/>
                      <w:sz w:val="21"/>
                      <w:szCs w:val="21"/>
                      <w:lang w:val="en-US" w:eastAsia="zh-CN" w:bidi="ar"/>
                    </w:rPr>
                    <w:t>⑧</w:t>
                  </w:r>
                  <w:r>
                    <w:rPr>
                      <w:rFonts w:hint="default" w:ascii="Times New Roman" w:hAnsi="Times New Roman" w:eastAsia="宋体" w:cs="Times New Roman"/>
                      <w:color w:val="00B050"/>
                      <w:spacing w:val="0"/>
                      <w:kern w:val="0"/>
                      <w:position w:val="0"/>
                      <w:sz w:val="21"/>
                      <w:szCs w:val="21"/>
                      <w:lang w:val="en-US" w:eastAsia="zh-CN" w:bidi="ar"/>
                    </w:rPr>
                    <w:t>VOCs综合治理措施：将VOCs纳入总量控制指标管理；增强源头控制力度，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推进建设适宜高效的治污设施。企业新建治污设施或对现有治污设施实施改造，合理选择治理技术，鼓励企业采用多种技术的组合工艺，提高VOCs治理效率。</w:t>
                  </w:r>
                </w:p>
              </w:tc>
              <w:tc>
                <w:tcPr>
                  <w:tcW w:w="2660" w:type="dxa"/>
                  <w:tcBorders>
                    <w:top w:val="single" w:color="auto" w:sz="4" w:space="0"/>
                    <w:left w:val="single" w:color="auto" w:sz="4" w:space="0"/>
                    <w:bottom w:val="single" w:color="auto" w:sz="4" w:space="0"/>
                    <w:right w:val="single" w:color="auto" w:sz="4" w:space="0"/>
                  </w:tcBorders>
                  <w:noWrap w:val="0"/>
                  <w:vAlign w:val="center"/>
                </w:tcPr>
                <w:p w14:paraId="620D088C">
                  <w:pPr>
                    <w:keepNext w:val="0"/>
                    <w:keepLines w:val="0"/>
                    <w:pageBreakBefore w:val="0"/>
                    <w:widowControl w:val="0"/>
                    <w:suppressLineNumbers w:val="0"/>
                    <w:kinsoku/>
                    <w:wordWrap/>
                    <w:overflowPunct/>
                    <w:topLinePunct/>
                    <w:bidi w:val="0"/>
                    <w:adjustRightInd w:val="0"/>
                    <w:snapToGrid w:val="0"/>
                    <w:spacing w:before="0" w:beforeAutospacing="0" w:after="0" w:afterAutospacing="0" w:line="320" w:lineRule="exact"/>
                    <w:ind w:left="0" w:right="0" w:firstLine="420" w:firstLineChars="200"/>
                    <w:jc w:val="both"/>
                    <w:textAlignment w:val="auto"/>
                    <w:rPr>
                      <w:rFonts w:hint="eastAsia" w:ascii="Times New Roman" w:hAnsi="Times New Roman" w:eastAsia="宋体" w:cs="Times New Roman"/>
                      <w:color w:val="000000" w:themeColor="text1"/>
                      <w:spacing w:val="0"/>
                      <w:kern w:val="0"/>
                      <w:position w:val="0"/>
                      <w:sz w:val="21"/>
                      <w:szCs w:val="21"/>
                      <w:lang w:val="en-US" w:eastAsia="zh-CN"/>
                    </w:rPr>
                  </w:pPr>
                  <w:r>
                    <w:rPr>
                      <w:rFonts w:hint="default" w:ascii="Times New Roman" w:hAnsi="Times New Roman" w:eastAsia="宋体" w:cs="Times New Roman"/>
                      <w:color w:val="000000" w:themeColor="text1"/>
                      <w:spacing w:val="0"/>
                      <w:kern w:val="0"/>
                      <w:position w:val="0"/>
                      <w:sz w:val="21"/>
                      <w:szCs w:val="21"/>
                      <w:lang w:val="en-US" w:eastAsia="zh-CN" w:bidi="ar"/>
                    </w:rPr>
                    <w:t>①本项目不生产落后产品，不使用淘汰类生产设备，不属于云南引导不再承接的产业</w:t>
                  </w:r>
                  <w:r>
                    <w:rPr>
                      <w:rFonts w:hint="eastAsia" w:ascii="Times New Roman" w:hAnsi="Times New Roman" w:eastAsia="宋体" w:cs="Times New Roman"/>
                      <w:color w:val="000000" w:themeColor="text1"/>
                      <w:spacing w:val="0"/>
                      <w:kern w:val="0"/>
                      <w:position w:val="0"/>
                      <w:sz w:val="21"/>
                      <w:szCs w:val="21"/>
                      <w:lang w:val="en-US" w:eastAsia="zh-CN" w:bidi="ar"/>
                    </w:rPr>
                    <w:t>，不属于不符合产业政策的生产项目</w:t>
                  </w:r>
                  <w:r>
                    <w:rPr>
                      <w:rFonts w:hint="default" w:ascii="Times New Roman" w:hAnsi="Times New Roman" w:eastAsia="宋体" w:cs="Times New Roman"/>
                      <w:color w:val="000000" w:themeColor="text1"/>
                      <w:spacing w:val="0"/>
                      <w:kern w:val="0"/>
                      <w:position w:val="0"/>
                      <w:sz w:val="21"/>
                      <w:szCs w:val="21"/>
                      <w:lang w:val="en-US" w:eastAsia="zh-CN" w:bidi="ar"/>
                    </w:rPr>
                    <w:t>；项目烘干使用生物质燃料，无燃煤使用；产生的颗粒物、二氧化硫、氮氧化物污染物可做到达标排放</w:t>
                  </w:r>
                  <w:r>
                    <w:rPr>
                      <w:rFonts w:hint="eastAsia" w:ascii="Times New Roman" w:hAnsi="Times New Roman" w:eastAsia="宋体" w:cs="Times New Roman"/>
                      <w:color w:val="000000" w:themeColor="text1"/>
                      <w:spacing w:val="0"/>
                      <w:kern w:val="0"/>
                      <w:position w:val="0"/>
                      <w:sz w:val="21"/>
                      <w:szCs w:val="21"/>
                      <w:lang w:val="en-US" w:eastAsia="zh-CN"/>
                    </w:rPr>
                    <w:t>；</w:t>
                  </w:r>
                </w:p>
                <w:p w14:paraId="3DC13CE8">
                  <w:pPr>
                    <w:keepNext w:val="0"/>
                    <w:keepLines w:val="0"/>
                    <w:pageBreakBefore w:val="0"/>
                    <w:widowControl w:val="0"/>
                    <w:suppressLineNumbers w:val="0"/>
                    <w:kinsoku/>
                    <w:wordWrap/>
                    <w:overflowPunct/>
                    <w:topLinePunct/>
                    <w:bidi w:val="0"/>
                    <w:adjustRightInd w:val="0"/>
                    <w:snapToGrid w:val="0"/>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0000" w:themeColor="text1"/>
                      <w:spacing w:val="0"/>
                      <w:kern w:val="0"/>
                      <w:position w:val="0"/>
                      <w:sz w:val="21"/>
                      <w:szCs w:val="21"/>
                      <w:lang w:val="en-US"/>
                    </w:rPr>
                  </w:pPr>
                  <w:r>
                    <w:rPr>
                      <w:rFonts w:hint="default" w:ascii="Times New Roman" w:hAnsi="Times New Roman" w:eastAsia="宋体" w:cs="Times New Roman"/>
                      <w:color w:val="000000" w:themeColor="text1"/>
                      <w:spacing w:val="0"/>
                      <w:kern w:val="0"/>
                      <w:position w:val="0"/>
                      <w:sz w:val="21"/>
                      <w:szCs w:val="21"/>
                      <w:lang w:val="en-US" w:eastAsia="zh-CN" w:bidi="ar"/>
                    </w:rPr>
                    <w:t>②项目使用清洁能源生物质燃料，项目</w:t>
                  </w:r>
                  <w:r>
                    <w:rPr>
                      <w:rFonts w:hint="eastAsia" w:ascii="Times New Roman" w:hAnsi="Times New Roman" w:eastAsia="宋体" w:cs="Times New Roman"/>
                      <w:color w:val="000000" w:themeColor="text1"/>
                      <w:spacing w:val="0"/>
                      <w:kern w:val="0"/>
                      <w:position w:val="0"/>
                      <w:sz w:val="21"/>
                      <w:szCs w:val="21"/>
                      <w:lang w:val="en-US" w:eastAsia="zh-CN" w:bidi="ar"/>
                    </w:rPr>
                    <w:t>暂无行业清洁生产评价指标体系，参考国内同类型企业，其优于国内同类型企业</w:t>
                  </w:r>
                  <w:r>
                    <w:rPr>
                      <w:rFonts w:hint="default" w:ascii="Times New Roman" w:hAnsi="Times New Roman" w:eastAsia="宋体" w:cs="Times New Roman"/>
                      <w:color w:val="000000" w:themeColor="text1"/>
                      <w:spacing w:val="0"/>
                      <w:kern w:val="0"/>
                      <w:position w:val="0"/>
                      <w:sz w:val="21"/>
                      <w:szCs w:val="21"/>
                      <w:lang w:val="en-US" w:eastAsia="zh-CN" w:bidi="ar"/>
                    </w:rPr>
                    <w:t>；</w:t>
                  </w:r>
                </w:p>
                <w:p w14:paraId="6D51F1E3">
                  <w:pPr>
                    <w:keepNext w:val="0"/>
                    <w:keepLines w:val="0"/>
                    <w:pageBreakBefore w:val="0"/>
                    <w:widowControl w:val="0"/>
                    <w:suppressLineNumbers w:val="0"/>
                    <w:kinsoku/>
                    <w:wordWrap/>
                    <w:overflowPunct/>
                    <w:bidi w:val="0"/>
                    <w:adjustRightInd w:val="0"/>
                    <w:snapToGrid w:val="0"/>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0000" w:themeColor="text1"/>
                      <w:spacing w:val="0"/>
                      <w:kern w:val="0"/>
                      <w:position w:val="0"/>
                      <w:sz w:val="21"/>
                      <w:szCs w:val="21"/>
                      <w:lang w:val="en-US"/>
                    </w:rPr>
                  </w:pPr>
                  <w:r>
                    <w:rPr>
                      <w:rFonts w:hint="default" w:ascii="Times New Roman" w:hAnsi="Times New Roman" w:eastAsia="宋体" w:cs="Times New Roman"/>
                      <w:color w:val="000000" w:themeColor="text1"/>
                      <w:spacing w:val="0"/>
                      <w:kern w:val="0"/>
                      <w:position w:val="0"/>
                      <w:sz w:val="21"/>
                      <w:szCs w:val="21"/>
                      <w:lang w:val="en-US" w:eastAsia="zh-CN" w:bidi="ar"/>
                    </w:rPr>
                    <w:t>③项目烘干废气经集气罩收集进入</w:t>
                  </w:r>
                  <w:r>
                    <w:rPr>
                      <w:rFonts w:hint="default" w:ascii="Times New Roman" w:hAnsi="Times New Roman" w:eastAsia="宋体" w:cs="Times New Roman"/>
                      <w:color w:val="00B050"/>
                      <w:spacing w:val="0"/>
                      <w:kern w:val="0"/>
                      <w:position w:val="0"/>
                      <w:sz w:val="21"/>
                      <w:szCs w:val="21"/>
                      <w:lang w:val="en-US" w:eastAsia="zh-CN" w:bidi="ar"/>
                    </w:rPr>
                    <w:t>“重力沉降+</w:t>
                  </w:r>
                  <w:r>
                    <w:rPr>
                      <w:rFonts w:hint="eastAsia" w:cs="Times New Roman"/>
                      <w:color w:val="00B050"/>
                      <w:spacing w:val="0"/>
                      <w:kern w:val="0"/>
                      <w:position w:val="0"/>
                      <w:sz w:val="21"/>
                      <w:szCs w:val="21"/>
                      <w:lang w:val="en-US" w:eastAsia="zh-CN" w:bidi="ar"/>
                    </w:rPr>
                    <w:t>布袋除尘</w:t>
                  </w:r>
                  <w:r>
                    <w:rPr>
                      <w:rFonts w:hint="default" w:ascii="Times New Roman" w:hAnsi="Times New Roman" w:eastAsia="宋体" w:cs="Times New Roman"/>
                      <w:color w:val="00B050"/>
                      <w:spacing w:val="0"/>
                      <w:kern w:val="0"/>
                      <w:position w:val="0"/>
                      <w:sz w:val="21"/>
                      <w:szCs w:val="21"/>
                      <w:lang w:val="en-US" w:eastAsia="zh-CN" w:bidi="ar"/>
                    </w:rPr>
                    <w:t>+</w:t>
                  </w:r>
                  <w:r>
                    <w:rPr>
                      <w:rFonts w:hint="eastAsia" w:cs="Times New Roman"/>
                      <w:color w:val="00B050"/>
                      <w:spacing w:val="0"/>
                      <w:kern w:val="0"/>
                      <w:position w:val="0"/>
                      <w:sz w:val="21"/>
                      <w:szCs w:val="21"/>
                      <w:lang w:val="en-US" w:eastAsia="zh-CN" w:bidi="ar"/>
                    </w:rPr>
                    <w:t>水膜</w:t>
                  </w:r>
                  <w:r>
                    <w:rPr>
                      <w:rFonts w:hint="default" w:ascii="Times New Roman" w:hAnsi="Times New Roman" w:eastAsia="宋体" w:cs="Times New Roman"/>
                      <w:color w:val="00B050"/>
                      <w:spacing w:val="0"/>
                      <w:kern w:val="0"/>
                      <w:position w:val="0"/>
                      <w:sz w:val="21"/>
                      <w:szCs w:val="21"/>
                      <w:lang w:val="en-US" w:eastAsia="zh-CN" w:bidi="ar"/>
                    </w:rPr>
                    <w:t>除尘设施</w:t>
                  </w:r>
                  <w:r>
                    <w:rPr>
                      <w:rFonts w:hint="default" w:ascii="Times New Roman" w:hAnsi="Times New Roman" w:eastAsia="宋体" w:cs="Times New Roman"/>
                      <w:color w:val="000000" w:themeColor="text1"/>
                      <w:spacing w:val="0"/>
                      <w:kern w:val="0"/>
                      <w:position w:val="0"/>
                      <w:sz w:val="21"/>
                      <w:szCs w:val="21"/>
                      <w:lang w:val="en-US" w:eastAsia="zh-CN" w:bidi="ar"/>
                    </w:rPr>
                    <w:t>”处理后达标排放；项目厂界外500m范围内无自然保护区、风景名胜区、文化区等环境保护目标，项目建成后全厂排放的污染物满足总量控制指标要求；</w:t>
                  </w:r>
                </w:p>
                <w:p w14:paraId="74812F6E">
                  <w:pPr>
                    <w:keepNext w:val="0"/>
                    <w:keepLines w:val="0"/>
                    <w:pageBreakBefore w:val="0"/>
                    <w:widowControl w:val="0"/>
                    <w:suppressLineNumbers w:val="0"/>
                    <w:kinsoku/>
                    <w:wordWrap/>
                    <w:overflowPunct/>
                    <w:bidi w:val="0"/>
                    <w:adjustRightInd w:val="0"/>
                    <w:snapToGrid w:val="0"/>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0000" w:themeColor="text1"/>
                      <w:spacing w:val="0"/>
                      <w:kern w:val="0"/>
                      <w:position w:val="0"/>
                      <w:sz w:val="21"/>
                      <w:szCs w:val="21"/>
                      <w:lang w:val="en-US"/>
                    </w:rPr>
                  </w:pPr>
                  <w:r>
                    <w:rPr>
                      <w:rFonts w:hint="default" w:ascii="Times New Roman" w:hAnsi="Times New Roman" w:eastAsia="宋体" w:cs="Times New Roman"/>
                      <w:color w:val="000000" w:themeColor="text1"/>
                      <w:spacing w:val="0"/>
                      <w:kern w:val="0"/>
                      <w:position w:val="0"/>
                      <w:sz w:val="21"/>
                      <w:szCs w:val="21"/>
                      <w:lang w:val="en-US" w:eastAsia="zh-CN" w:bidi="ar"/>
                    </w:rPr>
                    <w:t>④项目烘干废气经集气罩收集进入“</w:t>
                  </w:r>
                  <w:r>
                    <w:rPr>
                      <w:rFonts w:hint="default" w:ascii="Times New Roman" w:hAnsi="Times New Roman" w:eastAsia="宋体" w:cs="Times New Roman"/>
                      <w:color w:val="00B050"/>
                      <w:spacing w:val="0"/>
                      <w:kern w:val="0"/>
                      <w:position w:val="0"/>
                      <w:sz w:val="21"/>
                      <w:szCs w:val="21"/>
                      <w:lang w:val="en-US" w:eastAsia="zh-CN" w:bidi="ar"/>
                    </w:rPr>
                    <w:t>重力沉降+布袋除尘+水膜除尘设施</w:t>
                  </w:r>
                  <w:r>
                    <w:rPr>
                      <w:rFonts w:hint="default" w:ascii="Times New Roman" w:hAnsi="Times New Roman" w:eastAsia="宋体" w:cs="Times New Roman"/>
                      <w:color w:val="000000" w:themeColor="text1"/>
                      <w:spacing w:val="0"/>
                      <w:kern w:val="0"/>
                      <w:position w:val="0"/>
                      <w:sz w:val="21"/>
                      <w:szCs w:val="21"/>
                      <w:lang w:val="en-US" w:eastAsia="zh-CN" w:bidi="ar"/>
                    </w:rPr>
                    <w:t>”处理后达标排放；项目位于工业园区，远离县城、集镇、村庄等集中居住区。食堂安装油烟净化器，食堂油烟能达标排放</w:t>
                  </w:r>
                  <w:r>
                    <w:rPr>
                      <w:rFonts w:hint="eastAsia" w:ascii="Times New Roman" w:hAnsi="Times New Roman" w:eastAsia="宋体" w:cs="Times New Roman"/>
                      <w:color w:val="000000" w:themeColor="text1"/>
                      <w:spacing w:val="0"/>
                      <w:kern w:val="0"/>
                      <w:position w:val="0"/>
                      <w:sz w:val="21"/>
                      <w:szCs w:val="21"/>
                      <w:lang w:val="en-US" w:eastAsia="zh-CN" w:bidi="ar"/>
                    </w:rPr>
                    <w:t>；</w:t>
                  </w:r>
                </w:p>
                <w:p w14:paraId="53E311D0">
                  <w:pPr>
                    <w:keepNext w:val="0"/>
                    <w:keepLines w:val="0"/>
                    <w:pageBreakBefore w:val="0"/>
                    <w:widowControl w:val="0"/>
                    <w:suppressLineNumbers w:val="0"/>
                    <w:kinsoku/>
                    <w:wordWrap/>
                    <w:overflowPunct/>
                    <w:bidi w:val="0"/>
                    <w:adjustRightInd w:val="0"/>
                    <w:snapToGrid w:val="0"/>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B050"/>
                      <w:spacing w:val="0"/>
                      <w:kern w:val="0"/>
                      <w:position w:val="0"/>
                      <w:sz w:val="21"/>
                      <w:szCs w:val="21"/>
                      <w:lang w:val="en-US"/>
                    </w:rPr>
                  </w:pPr>
                  <w:r>
                    <w:rPr>
                      <w:rFonts w:hint="default" w:ascii="Times New Roman" w:hAnsi="Times New Roman" w:eastAsia="宋体" w:cs="Times New Roman"/>
                      <w:color w:val="00B050"/>
                      <w:spacing w:val="0"/>
                      <w:kern w:val="0"/>
                      <w:position w:val="0"/>
                      <w:sz w:val="21"/>
                      <w:szCs w:val="21"/>
                      <w:lang w:val="en-US" w:eastAsia="zh-CN" w:bidi="ar"/>
                    </w:rPr>
                    <w:t>⑤项目烘干废气经集气罩收集进入“重力沉降+布袋除尘+水膜除尘设施”处理后达标排放；待项目建设完成后在运行前申请排污许可证，进行总量控制；</w:t>
                  </w:r>
                </w:p>
                <w:p w14:paraId="560B747C">
                  <w:pPr>
                    <w:keepNext w:val="0"/>
                    <w:keepLines w:val="0"/>
                    <w:pageBreakBefore w:val="0"/>
                    <w:widowControl w:val="0"/>
                    <w:suppressLineNumbers w:val="0"/>
                    <w:kinsoku/>
                    <w:wordWrap/>
                    <w:overflowPunct/>
                    <w:bidi w:val="0"/>
                    <w:adjustRightInd w:val="0"/>
                    <w:snapToGrid w:val="0"/>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B050"/>
                      <w:spacing w:val="0"/>
                      <w:kern w:val="0"/>
                      <w:position w:val="0"/>
                      <w:sz w:val="21"/>
                      <w:szCs w:val="21"/>
                      <w:lang w:val="en-US" w:eastAsia="zh-CN" w:bidi="ar"/>
                    </w:rPr>
                  </w:pPr>
                  <w:r>
                    <w:rPr>
                      <w:rFonts w:hint="default" w:ascii="Times New Roman" w:hAnsi="Times New Roman" w:eastAsia="宋体" w:cs="Times New Roman"/>
                      <w:color w:val="00B050"/>
                      <w:spacing w:val="0"/>
                      <w:kern w:val="0"/>
                      <w:position w:val="0"/>
                      <w:sz w:val="21"/>
                      <w:szCs w:val="21"/>
                      <w:lang w:val="en-US" w:eastAsia="zh-CN" w:bidi="ar"/>
                    </w:rPr>
                    <w:t>⑥</w:t>
                  </w:r>
                  <w:r>
                    <w:rPr>
                      <w:rFonts w:hint="eastAsia" w:cs="Times New Roman"/>
                      <w:color w:val="00B050"/>
                      <w:spacing w:val="0"/>
                      <w:kern w:val="0"/>
                      <w:position w:val="0"/>
                      <w:sz w:val="21"/>
                      <w:szCs w:val="21"/>
                      <w:lang w:val="en-US" w:eastAsia="zh-CN" w:bidi="ar"/>
                    </w:rPr>
                    <w:t>本项目不属于</w:t>
                  </w:r>
                  <w:r>
                    <w:rPr>
                      <w:rFonts w:hint="default" w:ascii="Times New Roman" w:hAnsi="Times New Roman" w:eastAsia="宋体" w:cs="Times New Roman"/>
                      <w:color w:val="00B050"/>
                      <w:spacing w:val="0"/>
                      <w:kern w:val="0"/>
                      <w:position w:val="0"/>
                      <w:sz w:val="21"/>
                      <w:szCs w:val="21"/>
                      <w:lang w:val="en-US" w:eastAsia="zh-CN" w:bidi="ar"/>
                    </w:rPr>
                    <w:t>食品加工</w:t>
                  </w:r>
                  <w:r>
                    <w:rPr>
                      <w:rFonts w:hint="eastAsia" w:cs="Times New Roman"/>
                      <w:color w:val="00B050"/>
                      <w:spacing w:val="0"/>
                      <w:kern w:val="0"/>
                      <w:position w:val="0"/>
                      <w:sz w:val="21"/>
                      <w:szCs w:val="21"/>
                      <w:lang w:val="en-US" w:eastAsia="zh-CN" w:bidi="ar"/>
                    </w:rPr>
                    <w:t>业，原料、成品、固废储存均位于车间内，基本无异味产生；</w:t>
                  </w:r>
                </w:p>
                <w:p w14:paraId="7648264D">
                  <w:pPr>
                    <w:keepNext w:val="0"/>
                    <w:keepLines w:val="0"/>
                    <w:pageBreakBefore w:val="0"/>
                    <w:widowControl w:val="0"/>
                    <w:suppressLineNumbers w:val="0"/>
                    <w:kinsoku/>
                    <w:wordWrap/>
                    <w:overflowPunct/>
                    <w:bidi w:val="0"/>
                    <w:adjustRightInd w:val="0"/>
                    <w:snapToGrid w:val="0"/>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B050"/>
                      <w:spacing w:val="0"/>
                      <w:kern w:val="0"/>
                      <w:position w:val="0"/>
                      <w:sz w:val="21"/>
                      <w:szCs w:val="21"/>
                      <w:lang w:val="en-US" w:eastAsia="zh-CN" w:bidi="ar"/>
                    </w:rPr>
                  </w:pPr>
                  <w:r>
                    <w:rPr>
                      <w:rFonts w:hint="default" w:ascii="Times New Roman" w:hAnsi="Times New Roman" w:eastAsia="宋体" w:cs="Times New Roman"/>
                      <w:color w:val="00B050"/>
                      <w:spacing w:val="0"/>
                      <w:kern w:val="0"/>
                      <w:position w:val="0"/>
                      <w:sz w:val="21"/>
                      <w:szCs w:val="21"/>
                      <w:lang w:val="en-US" w:eastAsia="zh-CN" w:bidi="ar"/>
                    </w:rPr>
                    <w:t>⑦</w:t>
                  </w:r>
                  <w:r>
                    <w:rPr>
                      <w:rFonts w:hint="eastAsia" w:cs="Times New Roman"/>
                      <w:color w:val="00B050"/>
                      <w:spacing w:val="0"/>
                      <w:kern w:val="0"/>
                      <w:position w:val="0"/>
                      <w:sz w:val="21"/>
                      <w:szCs w:val="21"/>
                      <w:lang w:val="en-US" w:eastAsia="zh-CN" w:bidi="ar"/>
                    </w:rPr>
                    <w:t>本项目施工期运输车辆进行遮盖、限道限时运行。</w:t>
                  </w:r>
                </w:p>
                <w:p w14:paraId="375E7B24">
                  <w:pPr>
                    <w:keepNext w:val="0"/>
                    <w:keepLines w:val="0"/>
                    <w:pageBreakBefore w:val="0"/>
                    <w:widowControl w:val="0"/>
                    <w:suppressLineNumbers w:val="0"/>
                    <w:kinsoku/>
                    <w:wordWrap/>
                    <w:overflowPunct/>
                    <w:bidi w:val="0"/>
                    <w:adjustRightInd w:val="0"/>
                    <w:snapToGrid w:val="0"/>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0000" w:themeColor="text1"/>
                      <w:spacing w:val="0"/>
                      <w:kern w:val="0"/>
                      <w:position w:val="0"/>
                      <w:sz w:val="21"/>
                      <w:szCs w:val="21"/>
                      <w:lang w:val="en-US"/>
                    </w:rPr>
                  </w:pPr>
                  <w:r>
                    <w:rPr>
                      <w:rFonts w:hint="default" w:ascii="Times New Roman" w:hAnsi="Times New Roman" w:eastAsia="宋体" w:cs="Times New Roman"/>
                      <w:color w:val="00B050"/>
                      <w:spacing w:val="0"/>
                      <w:kern w:val="0"/>
                      <w:position w:val="0"/>
                      <w:sz w:val="21"/>
                      <w:szCs w:val="21"/>
                      <w:lang w:val="en-US" w:eastAsia="zh-CN" w:bidi="ar"/>
                    </w:rPr>
                    <w:t>⑧本项目不涉及VOCs排放。</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36C30ECF">
                  <w:pPr>
                    <w:keepNext w:val="0"/>
                    <w:keepLines w:val="0"/>
                    <w:pageBreakBefore w:val="0"/>
                    <w:widowControl/>
                    <w:suppressLineNumbers w:val="0"/>
                    <w:kinsoku/>
                    <w:wordWrap/>
                    <w:overflowPunct/>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pacing w:val="0"/>
                      <w:kern w:val="0"/>
                      <w:position w:val="0"/>
                      <w:sz w:val="21"/>
                      <w:szCs w:val="21"/>
                      <w:lang w:val="en-US"/>
                    </w:rPr>
                  </w:pPr>
                  <w:r>
                    <w:rPr>
                      <w:rFonts w:hint="default" w:ascii="Times New Roman" w:hAnsi="Times New Roman" w:eastAsia="宋体" w:cs="Times New Roman"/>
                      <w:color w:val="000000" w:themeColor="text1"/>
                      <w:spacing w:val="0"/>
                      <w:kern w:val="0"/>
                      <w:position w:val="0"/>
                      <w:sz w:val="21"/>
                      <w:szCs w:val="21"/>
                      <w:lang w:val="en-US" w:eastAsia="zh-CN" w:bidi="ar"/>
                    </w:rPr>
                    <w:t>符合</w:t>
                  </w:r>
                </w:p>
              </w:tc>
            </w:tr>
            <w:tr w14:paraId="66D3A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28F5DE90">
                  <w:pPr>
                    <w:keepNext w:val="0"/>
                    <w:keepLines w:val="0"/>
                    <w:pageBreakBefore w:val="0"/>
                    <w:widowControl/>
                    <w:suppressLineNumbers w:val="0"/>
                    <w:kinsoku/>
                    <w:wordWrap/>
                    <w:overflowPunct/>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pacing w:val="0"/>
                      <w:kern w:val="0"/>
                      <w:position w:val="0"/>
                      <w:sz w:val="21"/>
                      <w:szCs w:val="21"/>
                      <w:lang w:val="en-US"/>
                    </w:rPr>
                  </w:pPr>
                  <w:r>
                    <w:rPr>
                      <w:rFonts w:hint="default" w:ascii="Times New Roman" w:hAnsi="Times New Roman" w:eastAsia="宋体" w:cs="Times New Roman"/>
                      <w:color w:val="000000" w:themeColor="text1"/>
                      <w:spacing w:val="0"/>
                      <w:kern w:val="0"/>
                      <w:position w:val="0"/>
                      <w:sz w:val="21"/>
                      <w:szCs w:val="21"/>
                      <w:lang w:val="en-US" w:eastAsia="zh-CN" w:bidi="ar"/>
                    </w:rPr>
                    <w:t>地表水污染防治措施</w:t>
                  </w:r>
                </w:p>
              </w:tc>
              <w:tc>
                <w:tcPr>
                  <w:tcW w:w="3834" w:type="dxa"/>
                  <w:tcBorders>
                    <w:top w:val="single" w:color="auto" w:sz="4" w:space="0"/>
                    <w:left w:val="single" w:color="auto" w:sz="4" w:space="0"/>
                    <w:bottom w:val="single" w:color="auto" w:sz="4" w:space="0"/>
                    <w:right w:val="single" w:color="auto" w:sz="4" w:space="0"/>
                  </w:tcBorders>
                  <w:noWrap w:val="0"/>
                  <w:vAlign w:val="center"/>
                </w:tcPr>
                <w:p w14:paraId="55E20701">
                  <w:pPr>
                    <w:keepNext w:val="0"/>
                    <w:keepLines w:val="0"/>
                    <w:pageBreakBefore w:val="0"/>
                    <w:widowControl/>
                    <w:suppressLineNumbers w:val="0"/>
                    <w:kinsoku/>
                    <w:wordWrap/>
                    <w:overflowPunct/>
                    <w:bidi w:val="0"/>
                    <w:adjustRightInd w:val="0"/>
                    <w:snapToGrid w:val="0"/>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B050"/>
                      <w:spacing w:val="0"/>
                      <w:kern w:val="0"/>
                      <w:position w:val="0"/>
                      <w:sz w:val="21"/>
                      <w:szCs w:val="21"/>
                      <w:lang w:val="en-US" w:eastAsia="zh-CN" w:bidi="ar"/>
                    </w:rPr>
                  </w:pPr>
                  <w:r>
                    <w:rPr>
                      <w:rFonts w:hint="default" w:ascii="Times New Roman" w:hAnsi="Times New Roman" w:eastAsia="宋体" w:cs="Times New Roman"/>
                      <w:color w:val="00B050"/>
                      <w:spacing w:val="0"/>
                      <w:kern w:val="0"/>
                      <w:position w:val="0"/>
                      <w:sz w:val="21"/>
                      <w:szCs w:val="21"/>
                      <w:lang w:val="en-US" w:eastAsia="zh-CN" w:bidi="ar"/>
                    </w:rPr>
                    <w:t>①鼓励低耗、低污、高科技、高附加值的产业，严禁发展耗水量大，污染高的企业入驻。</w:t>
                  </w:r>
                </w:p>
                <w:p w14:paraId="10C5694D">
                  <w:pPr>
                    <w:keepNext w:val="0"/>
                    <w:keepLines w:val="0"/>
                    <w:pageBreakBefore w:val="0"/>
                    <w:widowControl/>
                    <w:suppressLineNumbers w:val="0"/>
                    <w:kinsoku/>
                    <w:wordWrap/>
                    <w:overflowPunct/>
                    <w:bidi w:val="0"/>
                    <w:adjustRightInd w:val="0"/>
                    <w:snapToGrid w:val="0"/>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B050"/>
                      <w:spacing w:val="0"/>
                      <w:kern w:val="0"/>
                      <w:position w:val="0"/>
                      <w:sz w:val="21"/>
                      <w:szCs w:val="21"/>
                      <w:lang w:val="en-US"/>
                    </w:rPr>
                  </w:pPr>
                  <w:r>
                    <w:rPr>
                      <w:rFonts w:hint="default" w:ascii="Times New Roman" w:hAnsi="Times New Roman" w:eastAsia="宋体" w:cs="Times New Roman"/>
                      <w:color w:val="00B050"/>
                      <w:spacing w:val="0"/>
                      <w:kern w:val="0"/>
                      <w:position w:val="0"/>
                      <w:sz w:val="21"/>
                      <w:szCs w:val="21"/>
                      <w:lang w:val="en-US" w:eastAsia="zh-CN" w:bidi="ar"/>
                    </w:rPr>
                    <w:t>②实行严格的清洁生产审计，全过程降低对水的消耗和污染，工业企业应严格控制用水量，加大工业用水的重复利用率，工业用水不低于80%循环利用率，发展节水型工业；</w:t>
                  </w:r>
                </w:p>
                <w:p w14:paraId="54B44555">
                  <w:pPr>
                    <w:keepNext w:val="0"/>
                    <w:keepLines w:val="0"/>
                    <w:pageBreakBefore w:val="0"/>
                    <w:widowControl/>
                    <w:suppressLineNumbers w:val="0"/>
                    <w:kinsoku/>
                    <w:wordWrap/>
                    <w:overflowPunct/>
                    <w:bidi w:val="0"/>
                    <w:adjustRightInd w:val="0"/>
                    <w:snapToGrid w:val="0"/>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B050"/>
                      <w:spacing w:val="0"/>
                      <w:kern w:val="0"/>
                      <w:position w:val="0"/>
                      <w:sz w:val="21"/>
                      <w:szCs w:val="21"/>
                      <w:lang w:val="en-US"/>
                    </w:rPr>
                  </w:pPr>
                  <w:r>
                    <w:rPr>
                      <w:rFonts w:hint="default" w:ascii="Times New Roman" w:hAnsi="Times New Roman" w:eastAsia="宋体" w:cs="Times New Roman"/>
                      <w:color w:val="00B050"/>
                      <w:spacing w:val="0"/>
                      <w:kern w:val="0"/>
                      <w:position w:val="0"/>
                      <w:sz w:val="21"/>
                      <w:szCs w:val="21"/>
                      <w:lang w:val="en-US" w:eastAsia="zh-CN" w:bidi="ar"/>
                    </w:rPr>
                    <w:t>③园区内所有企业的废水均要进行收集处理，所有水池和收集管网均进行防渗防漏处理；</w:t>
                  </w:r>
                </w:p>
                <w:p w14:paraId="50F30A6E">
                  <w:pPr>
                    <w:keepNext w:val="0"/>
                    <w:keepLines w:val="0"/>
                    <w:pageBreakBefore w:val="0"/>
                    <w:widowControl/>
                    <w:suppressLineNumbers w:val="0"/>
                    <w:kinsoku/>
                    <w:wordWrap/>
                    <w:overflowPunct/>
                    <w:bidi w:val="0"/>
                    <w:adjustRightInd w:val="0"/>
                    <w:snapToGrid w:val="0"/>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B050"/>
                      <w:spacing w:val="0"/>
                      <w:kern w:val="0"/>
                      <w:position w:val="0"/>
                      <w:sz w:val="21"/>
                      <w:szCs w:val="21"/>
                      <w:lang w:val="en-US"/>
                    </w:rPr>
                  </w:pPr>
                  <w:r>
                    <w:rPr>
                      <w:rFonts w:hint="default" w:ascii="Times New Roman" w:hAnsi="Times New Roman" w:eastAsia="宋体" w:cs="Times New Roman"/>
                      <w:color w:val="00B050"/>
                      <w:spacing w:val="0"/>
                      <w:kern w:val="0"/>
                      <w:position w:val="0"/>
                      <w:sz w:val="21"/>
                      <w:szCs w:val="21"/>
                      <w:lang w:val="en-US" w:eastAsia="zh-CN" w:bidi="ar"/>
                    </w:rPr>
                    <w:t>④园区不得引入不符合国家产业政策的工业项目及高污染工业项目；</w:t>
                  </w:r>
                </w:p>
                <w:p w14:paraId="29CF686A">
                  <w:pPr>
                    <w:pStyle w:val="38"/>
                    <w:keepNext w:val="0"/>
                    <w:keepLines w:val="0"/>
                    <w:pageBreakBefore w:val="0"/>
                    <w:widowControl/>
                    <w:suppressLineNumbers w:val="0"/>
                    <w:kinsoku/>
                    <w:wordWrap/>
                    <w:overflowPunct/>
                    <w:bidi w:val="0"/>
                    <w:adjustRightInd w:val="0"/>
                    <w:snapToGrid w:val="0"/>
                    <w:spacing w:before="0" w:beforeLines="0" w:beforeAutospacing="0" w:after="0" w:afterLines="0" w:afterAutospacing="0" w:line="320" w:lineRule="exact"/>
                    <w:ind w:left="0" w:right="0" w:firstLine="420" w:firstLineChars="200"/>
                    <w:jc w:val="left"/>
                    <w:textAlignment w:val="auto"/>
                    <w:rPr>
                      <w:rFonts w:hint="default" w:ascii="Times New Roman" w:hAnsi="Times New Roman" w:eastAsia="宋体" w:cs="Times New Roman"/>
                      <w:color w:val="000000" w:themeColor="text1"/>
                      <w:spacing w:val="0"/>
                      <w:kern w:val="0"/>
                      <w:position w:val="0"/>
                      <w:sz w:val="21"/>
                      <w:szCs w:val="21"/>
                      <w:lang w:val="en-US"/>
                    </w:rPr>
                  </w:pPr>
                  <w:r>
                    <w:rPr>
                      <w:rFonts w:hint="eastAsia" w:ascii="Times New Roman" w:hAnsi="Times New Roman" w:cs="Times New Roman"/>
                      <w:color w:val="00B050"/>
                      <w:spacing w:val="0"/>
                      <w:kern w:val="0"/>
                      <w:position w:val="0"/>
                      <w:sz w:val="21"/>
                      <w:szCs w:val="21"/>
                      <w:lang w:val="en-US" w:eastAsia="zh-CN" w:bidi="ar"/>
                    </w:rPr>
                    <w:t>⑤</w:t>
                  </w:r>
                  <w:r>
                    <w:rPr>
                      <w:rFonts w:hint="default" w:ascii="Times New Roman" w:hAnsi="Times New Roman" w:eastAsia="宋体" w:cs="Times New Roman"/>
                      <w:color w:val="00B050"/>
                      <w:spacing w:val="0"/>
                      <w:kern w:val="0"/>
                      <w:position w:val="0"/>
                      <w:sz w:val="21"/>
                      <w:szCs w:val="21"/>
                      <w:lang w:val="en-US" w:eastAsia="zh-CN" w:bidi="ar"/>
                    </w:rPr>
                    <w:t>入驻企业禁止向水体排放、倾倒工业废渣、城镇垃圾和其他废弃物。</w:t>
                  </w:r>
                </w:p>
              </w:tc>
              <w:tc>
                <w:tcPr>
                  <w:tcW w:w="2660" w:type="dxa"/>
                  <w:tcBorders>
                    <w:top w:val="single" w:color="auto" w:sz="4" w:space="0"/>
                    <w:left w:val="single" w:color="auto" w:sz="4" w:space="0"/>
                    <w:bottom w:val="single" w:color="auto" w:sz="4" w:space="0"/>
                    <w:right w:val="single" w:color="auto" w:sz="4" w:space="0"/>
                  </w:tcBorders>
                  <w:noWrap w:val="0"/>
                  <w:vAlign w:val="center"/>
                </w:tcPr>
                <w:p w14:paraId="56DF1F9E">
                  <w:pPr>
                    <w:keepNext w:val="0"/>
                    <w:keepLines w:val="0"/>
                    <w:pageBreakBefore w:val="0"/>
                    <w:widowControl w:val="0"/>
                    <w:suppressLineNumbers w:val="0"/>
                    <w:kinsoku/>
                    <w:wordWrap/>
                    <w:overflowPunct/>
                    <w:autoSpaceDE w:val="0"/>
                    <w:autoSpaceDN w:val="0"/>
                    <w:bidi w:val="0"/>
                    <w:adjustRightInd w:val="0"/>
                    <w:snapToGrid w:val="0"/>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color w:val="00B050"/>
                      <w:spacing w:val="0"/>
                      <w:kern w:val="0"/>
                      <w:position w:val="0"/>
                      <w:sz w:val="21"/>
                      <w:szCs w:val="21"/>
                      <w:lang w:val="en-US" w:eastAsia="zh-CN" w:bidi="ar"/>
                    </w:rPr>
                  </w:pPr>
                  <w:r>
                    <w:rPr>
                      <w:rFonts w:hint="default" w:ascii="Times New Roman" w:hAnsi="Times New Roman" w:eastAsia="宋体" w:cs="Times New Roman"/>
                      <w:color w:val="00B050"/>
                      <w:spacing w:val="0"/>
                      <w:kern w:val="0"/>
                      <w:position w:val="0"/>
                      <w:sz w:val="21"/>
                      <w:szCs w:val="21"/>
                      <w:lang w:val="en-US" w:eastAsia="zh-CN" w:bidi="ar"/>
                    </w:rPr>
                    <w:t>①</w:t>
                  </w:r>
                  <w:r>
                    <w:rPr>
                      <w:rFonts w:hint="eastAsia" w:cs="Times New Roman"/>
                      <w:color w:val="00B050"/>
                      <w:spacing w:val="0"/>
                      <w:kern w:val="0"/>
                      <w:position w:val="0"/>
                      <w:sz w:val="21"/>
                      <w:szCs w:val="21"/>
                      <w:lang w:val="en-US" w:eastAsia="zh-CN" w:bidi="ar"/>
                    </w:rPr>
                    <w:t>项目生产废水全部回用生产，循环使用；产生的废气经废气治理设施处理后达标排放，对周围环境影响不大。</w:t>
                  </w:r>
                </w:p>
                <w:p w14:paraId="17AFADE9">
                  <w:pPr>
                    <w:keepNext w:val="0"/>
                    <w:keepLines w:val="0"/>
                    <w:pageBreakBefore w:val="0"/>
                    <w:widowControl w:val="0"/>
                    <w:suppressLineNumbers w:val="0"/>
                    <w:kinsoku/>
                    <w:wordWrap/>
                    <w:overflowPunct/>
                    <w:autoSpaceDE w:val="0"/>
                    <w:autoSpaceDN w:val="0"/>
                    <w:bidi w:val="0"/>
                    <w:adjustRightInd w:val="0"/>
                    <w:snapToGrid w:val="0"/>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color w:val="00B050"/>
                      <w:spacing w:val="0"/>
                      <w:kern w:val="0"/>
                      <w:position w:val="0"/>
                      <w:sz w:val="21"/>
                      <w:szCs w:val="21"/>
                      <w:lang w:val="en-US"/>
                    </w:rPr>
                  </w:pPr>
                  <w:r>
                    <w:rPr>
                      <w:rFonts w:hint="default" w:ascii="Times New Roman" w:hAnsi="Times New Roman" w:eastAsia="宋体" w:cs="Times New Roman"/>
                      <w:color w:val="00B050"/>
                      <w:spacing w:val="0"/>
                      <w:kern w:val="0"/>
                      <w:position w:val="0"/>
                      <w:sz w:val="21"/>
                      <w:szCs w:val="21"/>
                      <w:lang w:val="en-US" w:eastAsia="zh-CN" w:bidi="ar"/>
                    </w:rPr>
                    <w:t>②项目生产废水全部回用生产，不外排，工业水循环利用率100%，生活污水经隔油池、化粪池处理后进入园区生活污水处理厂处理；</w:t>
                  </w:r>
                </w:p>
                <w:p w14:paraId="5836CFD6">
                  <w:pPr>
                    <w:keepNext w:val="0"/>
                    <w:keepLines w:val="0"/>
                    <w:pageBreakBefore w:val="0"/>
                    <w:widowControl w:val="0"/>
                    <w:suppressLineNumbers w:val="0"/>
                    <w:kinsoku/>
                    <w:wordWrap/>
                    <w:overflowPunct/>
                    <w:autoSpaceDE w:val="0"/>
                    <w:autoSpaceDN w:val="0"/>
                    <w:bidi w:val="0"/>
                    <w:adjustRightInd w:val="0"/>
                    <w:snapToGrid w:val="0"/>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color w:val="00B050"/>
                      <w:spacing w:val="0"/>
                      <w:kern w:val="0"/>
                      <w:position w:val="0"/>
                      <w:sz w:val="21"/>
                      <w:szCs w:val="21"/>
                      <w:lang w:val="en-US"/>
                    </w:rPr>
                  </w:pPr>
                  <w:r>
                    <w:rPr>
                      <w:rFonts w:hint="default" w:ascii="Times New Roman" w:hAnsi="Times New Roman" w:eastAsia="宋体" w:cs="Times New Roman"/>
                      <w:color w:val="00B050"/>
                      <w:spacing w:val="0"/>
                      <w:kern w:val="0"/>
                      <w:position w:val="0"/>
                      <w:sz w:val="21"/>
                      <w:szCs w:val="21"/>
                      <w:lang w:val="en-US" w:eastAsia="zh-CN" w:bidi="ar"/>
                    </w:rPr>
                    <w:t>③项目运营期产生的生产废水收集后循环使用，不外排，涉及到的水池和管网均进行防渗防漏处理；</w:t>
                  </w:r>
                </w:p>
                <w:p w14:paraId="1682C163">
                  <w:pPr>
                    <w:keepNext w:val="0"/>
                    <w:keepLines w:val="0"/>
                    <w:pageBreakBefore w:val="0"/>
                    <w:widowControl w:val="0"/>
                    <w:suppressLineNumbers w:val="0"/>
                    <w:kinsoku/>
                    <w:wordWrap/>
                    <w:overflowPunct/>
                    <w:autoSpaceDE w:val="0"/>
                    <w:autoSpaceDN w:val="0"/>
                    <w:bidi w:val="0"/>
                    <w:adjustRightInd w:val="0"/>
                    <w:snapToGrid w:val="0"/>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color w:val="00B050"/>
                      <w:spacing w:val="0"/>
                      <w:kern w:val="0"/>
                      <w:position w:val="0"/>
                      <w:sz w:val="21"/>
                      <w:szCs w:val="21"/>
                      <w:lang w:val="en-US"/>
                    </w:rPr>
                  </w:pPr>
                  <w:r>
                    <w:rPr>
                      <w:rFonts w:hint="default" w:ascii="Times New Roman" w:hAnsi="Times New Roman" w:eastAsia="宋体" w:cs="Times New Roman"/>
                      <w:color w:val="00B050"/>
                      <w:spacing w:val="0"/>
                      <w:kern w:val="0"/>
                      <w:position w:val="0"/>
                      <w:sz w:val="21"/>
                      <w:szCs w:val="21"/>
                      <w:lang w:val="en-US" w:eastAsia="zh-CN" w:bidi="ar"/>
                    </w:rPr>
                    <w:t>④项目不属于《产业结构调整指导目录（2024年本）》中的限制类、淘汰类，符合国家产业政策；</w:t>
                  </w:r>
                </w:p>
                <w:p w14:paraId="62F8BB12">
                  <w:pPr>
                    <w:keepNext w:val="0"/>
                    <w:keepLines w:val="0"/>
                    <w:pageBreakBefore w:val="0"/>
                    <w:widowControl w:val="0"/>
                    <w:suppressLineNumbers w:val="0"/>
                    <w:kinsoku/>
                    <w:wordWrap/>
                    <w:overflowPunct/>
                    <w:autoSpaceDE w:val="0"/>
                    <w:autoSpaceDN w:val="0"/>
                    <w:bidi w:val="0"/>
                    <w:adjustRightInd w:val="0"/>
                    <w:snapToGrid w:val="0"/>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color w:val="000000" w:themeColor="text1"/>
                      <w:spacing w:val="0"/>
                      <w:kern w:val="0"/>
                      <w:position w:val="0"/>
                      <w:sz w:val="21"/>
                      <w:szCs w:val="21"/>
                      <w:lang w:val="en-US"/>
                    </w:rPr>
                  </w:pPr>
                  <w:r>
                    <w:rPr>
                      <w:rFonts w:hint="default" w:ascii="Times New Roman" w:hAnsi="Times New Roman" w:eastAsia="宋体" w:cs="Times New Roman"/>
                      <w:color w:val="00B050"/>
                      <w:spacing w:val="0"/>
                      <w:kern w:val="0"/>
                      <w:position w:val="0"/>
                      <w:sz w:val="21"/>
                      <w:szCs w:val="21"/>
                      <w:lang w:val="en-US" w:eastAsia="zh-CN" w:bidi="ar"/>
                    </w:rPr>
                    <w:t>⑤本项目生产废水</w:t>
                  </w:r>
                  <w:r>
                    <w:rPr>
                      <w:rFonts w:hint="eastAsia" w:ascii="Times New Roman" w:hAnsi="Times New Roman" w:eastAsia="宋体" w:cs="Times New Roman"/>
                      <w:color w:val="00B050"/>
                      <w:spacing w:val="0"/>
                      <w:kern w:val="0"/>
                      <w:position w:val="0"/>
                      <w:sz w:val="21"/>
                      <w:szCs w:val="21"/>
                      <w:lang w:val="en-US" w:eastAsia="zh-CN" w:bidi="ar"/>
                    </w:rPr>
                    <w:t>循环使用</w:t>
                  </w:r>
                  <w:r>
                    <w:rPr>
                      <w:rFonts w:hint="default" w:ascii="Times New Roman" w:hAnsi="Times New Roman" w:eastAsia="宋体" w:cs="Times New Roman"/>
                      <w:color w:val="00B050"/>
                      <w:spacing w:val="0"/>
                      <w:kern w:val="0"/>
                      <w:position w:val="0"/>
                      <w:sz w:val="21"/>
                      <w:szCs w:val="21"/>
                      <w:lang w:val="en-US" w:eastAsia="zh-CN" w:bidi="ar"/>
                    </w:rPr>
                    <w:t>，不外排。</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6929FAFD">
                  <w:pPr>
                    <w:keepNext w:val="0"/>
                    <w:keepLines w:val="0"/>
                    <w:pageBreakBefore w:val="0"/>
                    <w:widowControl/>
                    <w:suppressLineNumbers w:val="0"/>
                    <w:kinsoku/>
                    <w:wordWrap/>
                    <w:overflowPunct/>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pacing w:val="0"/>
                      <w:kern w:val="0"/>
                      <w:position w:val="0"/>
                      <w:sz w:val="21"/>
                      <w:szCs w:val="21"/>
                      <w:lang w:val="en-US"/>
                    </w:rPr>
                  </w:pPr>
                  <w:r>
                    <w:rPr>
                      <w:rFonts w:hint="default" w:ascii="Times New Roman" w:hAnsi="Times New Roman" w:eastAsia="宋体" w:cs="Times New Roman"/>
                      <w:color w:val="000000" w:themeColor="text1"/>
                      <w:spacing w:val="0"/>
                      <w:kern w:val="0"/>
                      <w:position w:val="0"/>
                      <w:sz w:val="21"/>
                      <w:szCs w:val="21"/>
                      <w:lang w:val="en-US" w:eastAsia="zh-CN" w:bidi="ar"/>
                    </w:rPr>
                    <w:t>符合</w:t>
                  </w:r>
                </w:p>
              </w:tc>
            </w:tr>
            <w:tr w14:paraId="28BDA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39D257F0">
                  <w:pPr>
                    <w:keepNext w:val="0"/>
                    <w:keepLines w:val="0"/>
                    <w:pageBreakBefore w:val="0"/>
                    <w:widowControl/>
                    <w:suppressLineNumbers w:val="0"/>
                    <w:kinsoku/>
                    <w:wordWrap/>
                    <w:overflowPunct/>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pacing w:val="0"/>
                      <w:kern w:val="0"/>
                      <w:position w:val="0"/>
                      <w:sz w:val="21"/>
                      <w:szCs w:val="21"/>
                      <w:lang w:val="en-US"/>
                    </w:rPr>
                  </w:pPr>
                  <w:r>
                    <w:rPr>
                      <w:rFonts w:hint="default" w:ascii="Times New Roman" w:hAnsi="Times New Roman" w:eastAsia="宋体" w:cs="Times New Roman"/>
                      <w:color w:val="000000" w:themeColor="text1"/>
                      <w:spacing w:val="0"/>
                      <w:kern w:val="0"/>
                      <w:position w:val="0"/>
                      <w:sz w:val="21"/>
                      <w:szCs w:val="21"/>
                      <w:lang w:val="en-US" w:eastAsia="zh-CN" w:bidi="ar"/>
                    </w:rPr>
                    <w:t>地下水污染防治措施</w:t>
                  </w:r>
                </w:p>
              </w:tc>
              <w:tc>
                <w:tcPr>
                  <w:tcW w:w="3834" w:type="dxa"/>
                  <w:tcBorders>
                    <w:top w:val="single" w:color="auto" w:sz="4" w:space="0"/>
                    <w:left w:val="single" w:color="auto" w:sz="4" w:space="0"/>
                    <w:bottom w:val="single" w:color="auto" w:sz="4" w:space="0"/>
                    <w:right w:val="single" w:color="auto" w:sz="4" w:space="0"/>
                  </w:tcBorders>
                  <w:noWrap w:val="0"/>
                  <w:vAlign w:val="center"/>
                </w:tcPr>
                <w:p w14:paraId="38CDFDB6">
                  <w:pPr>
                    <w:keepNext w:val="0"/>
                    <w:keepLines w:val="0"/>
                    <w:pageBreakBefore w:val="0"/>
                    <w:widowControl/>
                    <w:suppressLineNumbers w:val="0"/>
                    <w:kinsoku/>
                    <w:wordWrap/>
                    <w:overflowPunct/>
                    <w:bidi w:val="0"/>
                    <w:adjustRightInd w:val="0"/>
                    <w:snapToGrid w:val="0"/>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B050"/>
                      <w:spacing w:val="0"/>
                      <w:kern w:val="0"/>
                      <w:position w:val="0"/>
                      <w:sz w:val="21"/>
                      <w:szCs w:val="21"/>
                      <w:lang w:val="en-US"/>
                    </w:rPr>
                  </w:pPr>
                  <w:r>
                    <w:rPr>
                      <w:rFonts w:hint="default" w:ascii="Times New Roman" w:hAnsi="Times New Roman" w:eastAsia="宋体" w:cs="Times New Roman"/>
                      <w:color w:val="00B050"/>
                      <w:spacing w:val="0"/>
                      <w:kern w:val="0"/>
                      <w:position w:val="0"/>
                      <w:sz w:val="21"/>
                      <w:szCs w:val="21"/>
                      <w:lang w:val="en-US" w:eastAsia="zh-CN" w:bidi="ar"/>
                    </w:rPr>
                    <w:t>①各入驻企业的装置区、贮罐、管道、设备、污水储存及处理构筑物采取相应措施，防止和降低污染物跑、冒、滴、漏，将污染物泄漏的环境风险事故降到最低程度；管线敷设尽量采用“可视化”原则，即管道尽可能地上敷设，做到污染物“早发现、早处理”，减少由于埋地管道泄漏而造成的地下水污染；</w:t>
                  </w:r>
                </w:p>
                <w:p w14:paraId="68983033">
                  <w:pPr>
                    <w:keepNext w:val="0"/>
                    <w:keepLines w:val="0"/>
                    <w:pageBreakBefore w:val="0"/>
                    <w:widowControl/>
                    <w:suppressLineNumbers w:val="0"/>
                    <w:kinsoku/>
                    <w:wordWrap/>
                    <w:overflowPunct/>
                    <w:bidi w:val="0"/>
                    <w:adjustRightInd w:val="0"/>
                    <w:snapToGrid w:val="0"/>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B050"/>
                      <w:spacing w:val="0"/>
                      <w:kern w:val="0"/>
                      <w:position w:val="0"/>
                      <w:sz w:val="21"/>
                      <w:szCs w:val="21"/>
                      <w:lang w:val="en-US"/>
                    </w:rPr>
                  </w:pPr>
                  <w:r>
                    <w:rPr>
                      <w:rFonts w:hint="default" w:ascii="Times New Roman" w:hAnsi="Times New Roman" w:eastAsia="宋体" w:cs="Times New Roman"/>
                      <w:color w:val="00B050"/>
                      <w:spacing w:val="0"/>
                      <w:kern w:val="0"/>
                      <w:position w:val="0"/>
                      <w:sz w:val="21"/>
                      <w:szCs w:val="21"/>
                      <w:lang w:val="en-US" w:eastAsia="zh-CN" w:bidi="ar"/>
                    </w:rPr>
                    <w:t>②</w:t>
                  </w:r>
                  <w:r>
                    <w:rPr>
                      <w:rFonts w:hint="eastAsia" w:cs="Times New Roman"/>
                      <w:color w:val="00B050"/>
                      <w:spacing w:val="0"/>
                      <w:kern w:val="0"/>
                      <w:position w:val="0"/>
                      <w:sz w:val="21"/>
                      <w:szCs w:val="21"/>
                      <w:lang w:val="en-US" w:eastAsia="zh-CN" w:bidi="ar"/>
                    </w:rPr>
                    <w:t>对于</w:t>
                  </w:r>
                  <w:r>
                    <w:rPr>
                      <w:rFonts w:hint="default" w:ascii="Times New Roman" w:hAnsi="Times New Roman" w:eastAsia="宋体" w:cs="Times New Roman"/>
                      <w:color w:val="00B050"/>
                      <w:spacing w:val="0"/>
                      <w:kern w:val="0"/>
                      <w:position w:val="0"/>
                      <w:sz w:val="21"/>
                      <w:szCs w:val="21"/>
                      <w:lang w:val="en-US" w:eastAsia="zh-CN" w:bidi="ar"/>
                    </w:rPr>
                    <w:t>具有潜在污染源的工业生产场地，尤其是装置区，要采取有效的隔离措施，切断污染源与浅层地下水的联系通道，以达到防污染目的；</w:t>
                  </w:r>
                </w:p>
                <w:p w14:paraId="7043BF54">
                  <w:pPr>
                    <w:keepNext w:val="0"/>
                    <w:keepLines w:val="0"/>
                    <w:pageBreakBefore w:val="0"/>
                    <w:widowControl/>
                    <w:suppressLineNumbers w:val="0"/>
                    <w:kinsoku/>
                    <w:wordWrap/>
                    <w:overflowPunct/>
                    <w:bidi w:val="0"/>
                    <w:adjustRightInd w:val="0"/>
                    <w:snapToGrid w:val="0"/>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B050"/>
                      <w:spacing w:val="0"/>
                      <w:kern w:val="0"/>
                      <w:position w:val="0"/>
                      <w:sz w:val="21"/>
                      <w:szCs w:val="21"/>
                      <w:lang w:val="en-US"/>
                    </w:rPr>
                  </w:pPr>
                  <w:r>
                    <w:rPr>
                      <w:rFonts w:hint="default" w:ascii="Times New Roman" w:hAnsi="Times New Roman" w:eastAsia="宋体" w:cs="Times New Roman"/>
                      <w:color w:val="00B050"/>
                      <w:spacing w:val="0"/>
                      <w:kern w:val="0"/>
                      <w:position w:val="0"/>
                      <w:sz w:val="21"/>
                      <w:szCs w:val="21"/>
                      <w:lang w:val="en-US" w:eastAsia="zh-CN" w:bidi="ar"/>
                    </w:rPr>
                    <w:t>③</w:t>
                  </w:r>
                  <w:r>
                    <w:rPr>
                      <w:rFonts w:hint="eastAsia" w:cs="Times New Roman"/>
                      <w:color w:val="00B050"/>
                      <w:spacing w:val="0"/>
                      <w:kern w:val="0"/>
                      <w:position w:val="0"/>
                      <w:sz w:val="21"/>
                      <w:szCs w:val="21"/>
                      <w:lang w:val="en-US" w:eastAsia="zh-CN" w:bidi="ar"/>
                    </w:rPr>
                    <w:t>加强</w:t>
                  </w:r>
                  <w:r>
                    <w:rPr>
                      <w:rFonts w:hint="default" w:ascii="Times New Roman" w:hAnsi="Times New Roman" w:eastAsia="宋体" w:cs="Times New Roman"/>
                      <w:color w:val="00B050"/>
                      <w:spacing w:val="0"/>
                      <w:kern w:val="0"/>
                      <w:position w:val="0"/>
                      <w:sz w:val="21"/>
                      <w:szCs w:val="21"/>
                      <w:lang w:val="en-US" w:eastAsia="zh-CN" w:bidi="ar"/>
                    </w:rPr>
                    <w:t>地下水监控，对污染源可能污染的地下水途径范围内设置地下水监测井，建立长期的地下水动态观测网，定期监测地下水，及时掌握地下水的变化情况；</w:t>
                  </w:r>
                </w:p>
                <w:p w14:paraId="0DAD7DA1">
                  <w:pPr>
                    <w:keepNext w:val="0"/>
                    <w:keepLines w:val="0"/>
                    <w:pageBreakBefore w:val="0"/>
                    <w:widowControl/>
                    <w:suppressLineNumbers w:val="0"/>
                    <w:kinsoku/>
                    <w:wordWrap/>
                    <w:overflowPunct/>
                    <w:bidi w:val="0"/>
                    <w:adjustRightInd w:val="0"/>
                    <w:snapToGrid w:val="0"/>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B050"/>
                      <w:spacing w:val="0"/>
                      <w:kern w:val="0"/>
                      <w:position w:val="0"/>
                      <w:sz w:val="21"/>
                      <w:szCs w:val="21"/>
                      <w:lang w:val="en-US"/>
                    </w:rPr>
                  </w:pPr>
                  <w:r>
                    <w:rPr>
                      <w:rFonts w:hint="default" w:ascii="Times New Roman" w:hAnsi="Times New Roman" w:eastAsia="宋体" w:cs="Times New Roman"/>
                      <w:color w:val="00B050"/>
                      <w:spacing w:val="0"/>
                      <w:kern w:val="0"/>
                      <w:position w:val="0"/>
                      <w:sz w:val="21"/>
                      <w:szCs w:val="21"/>
                      <w:lang w:val="en-US" w:eastAsia="zh-CN" w:bidi="ar"/>
                    </w:rPr>
                    <w:t>④制定应急预案，一旦发现地下水污染事故，立即启动应急预案、采取应急措施控制地下水污染，并使污染得到治理；</w:t>
                  </w:r>
                </w:p>
                <w:p w14:paraId="3F638D55">
                  <w:pPr>
                    <w:keepNext w:val="0"/>
                    <w:keepLines w:val="0"/>
                    <w:pageBreakBefore w:val="0"/>
                    <w:widowControl/>
                    <w:suppressLineNumbers w:val="0"/>
                    <w:kinsoku/>
                    <w:wordWrap/>
                    <w:overflowPunct/>
                    <w:bidi w:val="0"/>
                    <w:adjustRightInd w:val="0"/>
                    <w:snapToGrid w:val="0"/>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B050"/>
                      <w:spacing w:val="0"/>
                      <w:kern w:val="0"/>
                      <w:position w:val="0"/>
                      <w:sz w:val="21"/>
                      <w:szCs w:val="21"/>
                      <w:lang w:val="en-US"/>
                    </w:rPr>
                  </w:pPr>
                  <w:r>
                    <w:rPr>
                      <w:rFonts w:hint="default" w:ascii="Times New Roman" w:hAnsi="Times New Roman" w:eastAsia="宋体" w:cs="Times New Roman"/>
                      <w:color w:val="00B050"/>
                      <w:spacing w:val="0"/>
                      <w:kern w:val="0"/>
                      <w:position w:val="0"/>
                      <w:sz w:val="21"/>
                      <w:szCs w:val="21"/>
                      <w:lang w:val="en-US" w:eastAsia="zh-CN" w:bidi="ar"/>
                    </w:rPr>
                    <w:t>⑤入园企业禁止利用渗井、渗坑、裂隙、溶洞，私设暗管或者不正常运行水污染防治设施等逃避监管的方式排放水污染物；</w:t>
                  </w:r>
                </w:p>
                <w:p w14:paraId="469B8B9C">
                  <w:pPr>
                    <w:pStyle w:val="38"/>
                    <w:keepNext w:val="0"/>
                    <w:keepLines w:val="0"/>
                    <w:pageBreakBefore w:val="0"/>
                    <w:widowControl w:val="0"/>
                    <w:suppressLineNumbers w:val="0"/>
                    <w:kinsoku/>
                    <w:wordWrap/>
                    <w:overflowPunct/>
                    <w:autoSpaceDE w:val="0"/>
                    <w:autoSpaceDN w:val="0"/>
                    <w:bidi w:val="0"/>
                    <w:adjustRightInd w:val="0"/>
                    <w:snapToGrid w:val="0"/>
                    <w:spacing w:before="0" w:beforeLines="0" w:beforeAutospacing="0" w:after="0" w:afterLines="0" w:afterAutospacing="0" w:line="320" w:lineRule="exact"/>
                    <w:ind w:left="0" w:right="0" w:firstLine="420" w:firstLineChars="200"/>
                    <w:jc w:val="both"/>
                    <w:textAlignment w:val="auto"/>
                    <w:rPr>
                      <w:rFonts w:hint="default" w:ascii="Times New Roman" w:hAnsi="Times New Roman" w:eastAsia="宋体" w:cs="Times New Roman"/>
                      <w:color w:val="00B050"/>
                      <w:spacing w:val="0"/>
                      <w:kern w:val="0"/>
                      <w:position w:val="0"/>
                      <w:sz w:val="21"/>
                      <w:szCs w:val="21"/>
                      <w:lang w:val="en-US"/>
                    </w:rPr>
                  </w:pPr>
                  <w:r>
                    <w:rPr>
                      <w:rFonts w:hint="default" w:ascii="Times New Roman" w:hAnsi="Times New Roman" w:eastAsia="宋体" w:cs="Times New Roman"/>
                      <w:color w:val="00B050"/>
                      <w:spacing w:val="0"/>
                      <w:kern w:val="0"/>
                      <w:position w:val="0"/>
                      <w:sz w:val="21"/>
                      <w:szCs w:val="21"/>
                      <w:lang w:val="en-US" w:eastAsia="zh-CN" w:bidi="ar"/>
                    </w:rPr>
                    <w:t>⑥入驻企业根据《地下水污染源防渗技术指南（试行）》（环办土壤函[2020]72号）开展分区防渗工作，并设置地下水监测井实时掌握项目运行对地下水环境的影响情况，防治园区规划的实施污染区域地下水。</w:t>
                  </w:r>
                </w:p>
              </w:tc>
              <w:tc>
                <w:tcPr>
                  <w:tcW w:w="2660" w:type="dxa"/>
                  <w:tcBorders>
                    <w:top w:val="single" w:color="auto" w:sz="4" w:space="0"/>
                    <w:left w:val="single" w:color="auto" w:sz="4" w:space="0"/>
                    <w:bottom w:val="single" w:color="auto" w:sz="4" w:space="0"/>
                    <w:right w:val="single" w:color="auto" w:sz="4" w:space="0"/>
                  </w:tcBorders>
                  <w:noWrap w:val="0"/>
                  <w:vAlign w:val="center"/>
                </w:tcPr>
                <w:p w14:paraId="63E56F8F">
                  <w:pPr>
                    <w:keepNext w:val="0"/>
                    <w:keepLines w:val="0"/>
                    <w:pageBreakBefore w:val="0"/>
                    <w:widowControl/>
                    <w:suppressLineNumbers w:val="0"/>
                    <w:kinsoku/>
                    <w:wordWrap/>
                    <w:overflowPunct/>
                    <w:bidi w:val="0"/>
                    <w:adjustRightInd w:val="0"/>
                    <w:snapToGrid w:val="0"/>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B050"/>
                      <w:spacing w:val="0"/>
                      <w:kern w:val="0"/>
                      <w:position w:val="0"/>
                      <w:sz w:val="21"/>
                      <w:szCs w:val="21"/>
                      <w:lang w:val="en-US"/>
                    </w:rPr>
                  </w:pPr>
                  <w:r>
                    <w:rPr>
                      <w:rFonts w:hint="default" w:ascii="Times New Roman" w:hAnsi="Times New Roman" w:eastAsia="宋体" w:cs="Times New Roman"/>
                      <w:color w:val="00B050"/>
                      <w:spacing w:val="0"/>
                      <w:kern w:val="0"/>
                      <w:position w:val="0"/>
                      <w:sz w:val="21"/>
                      <w:szCs w:val="21"/>
                      <w:lang w:val="en-US" w:eastAsia="zh-CN" w:bidi="ar"/>
                    </w:rPr>
                    <w:t>①项目区实行分区防渗措施，各管道、设备、水池等均采取了防渗漏处理，日常每日安排人员巡检，发现泄漏及时处理，可将环境风险事故降到最低；</w:t>
                  </w:r>
                </w:p>
                <w:p w14:paraId="31BA851D">
                  <w:pPr>
                    <w:keepNext w:val="0"/>
                    <w:keepLines w:val="0"/>
                    <w:pageBreakBefore w:val="0"/>
                    <w:widowControl/>
                    <w:suppressLineNumbers w:val="0"/>
                    <w:kinsoku/>
                    <w:wordWrap/>
                    <w:overflowPunct/>
                    <w:bidi w:val="0"/>
                    <w:adjustRightInd w:val="0"/>
                    <w:snapToGrid w:val="0"/>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B050"/>
                      <w:spacing w:val="0"/>
                      <w:kern w:val="0"/>
                      <w:position w:val="0"/>
                      <w:sz w:val="21"/>
                      <w:szCs w:val="21"/>
                      <w:lang w:val="en-US"/>
                    </w:rPr>
                  </w:pPr>
                  <w:r>
                    <w:rPr>
                      <w:rFonts w:hint="default" w:ascii="Times New Roman" w:hAnsi="Times New Roman" w:eastAsia="宋体" w:cs="Times New Roman"/>
                      <w:color w:val="00B050"/>
                      <w:spacing w:val="0"/>
                      <w:kern w:val="0"/>
                      <w:position w:val="0"/>
                      <w:sz w:val="21"/>
                      <w:szCs w:val="21"/>
                      <w:lang w:val="en-US" w:eastAsia="zh-CN" w:bidi="ar"/>
                    </w:rPr>
                    <w:t>②项目区严格按照要求进行了分区防渗措施，可有效切断污染源与浅层地下水的联系通道；</w:t>
                  </w:r>
                </w:p>
                <w:p w14:paraId="61EE5ED2">
                  <w:pPr>
                    <w:keepNext w:val="0"/>
                    <w:keepLines w:val="0"/>
                    <w:pageBreakBefore w:val="0"/>
                    <w:widowControl/>
                    <w:suppressLineNumbers w:val="0"/>
                    <w:kinsoku/>
                    <w:wordWrap/>
                    <w:overflowPunct/>
                    <w:bidi w:val="0"/>
                    <w:adjustRightInd w:val="0"/>
                    <w:snapToGrid w:val="0"/>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B050"/>
                      <w:spacing w:val="0"/>
                      <w:kern w:val="0"/>
                      <w:position w:val="0"/>
                      <w:sz w:val="21"/>
                      <w:szCs w:val="21"/>
                      <w:lang w:val="en-US"/>
                    </w:rPr>
                  </w:pPr>
                  <w:r>
                    <w:rPr>
                      <w:rFonts w:hint="default" w:ascii="Times New Roman" w:hAnsi="Times New Roman" w:eastAsia="宋体" w:cs="Times New Roman"/>
                      <w:color w:val="00B050"/>
                      <w:spacing w:val="0"/>
                      <w:kern w:val="0"/>
                      <w:position w:val="0"/>
                      <w:sz w:val="21"/>
                      <w:szCs w:val="21"/>
                      <w:lang w:val="en-US" w:eastAsia="zh-CN" w:bidi="ar"/>
                    </w:rPr>
                    <w:t>③项目区采取分区防渗措施后，泄漏风险较小；本项目不单独设置地下水监测井；</w:t>
                  </w:r>
                </w:p>
                <w:p w14:paraId="13F1F90E">
                  <w:pPr>
                    <w:keepNext w:val="0"/>
                    <w:keepLines w:val="0"/>
                    <w:pageBreakBefore w:val="0"/>
                    <w:widowControl/>
                    <w:suppressLineNumbers w:val="0"/>
                    <w:kinsoku/>
                    <w:wordWrap/>
                    <w:overflowPunct/>
                    <w:bidi w:val="0"/>
                    <w:adjustRightInd w:val="0"/>
                    <w:snapToGrid w:val="0"/>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B050"/>
                      <w:spacing w:val="0"/>
                      <w:kern w:val="0"/>
                      <w:position w:val="0"/>
                      <w:sz w:val="21"/>
                      <w:szCs w:val="21"/>
                      <w:lang w:val="en-US"/>
                    </w:rPr>
                  </w:pPr>
                  <w:r>
                    <w:rPr>
                      <w:rFonts w:hint="default" w:ascii="Times New Roman" w:hAnsi="Times New Roman" w:eastAsia="宋体" w:cs="Times New Roman"/>
                      <w:color w:val="00B050"/>
                      <w:spacing w:val="0"/>
                      <w:kern w:val="0"/>
                      <w:position w:val="0"/>
                      <w:sz w:val="21"/>
                      <w:szCs w:val="21"/>
                      <w:lang w:val="en-US" w:eastAsia="zh-CN" w:bidi="ar"/>
                    </w:rPr>
                    <w:t>④项目建设完成</w:t>
                  </w:r>
                  <w:r>
                    <w:rPr>
                      <w:rFonts w:hint="eastAsia" w:ascii="Times New Roman" w:hAnsi="Times New Roman" w:eastAsia="宋体" w:cs="Times New Roman"/>
                      <w:color w:val="00B050"/>
                      <w:spacing w:val="0"/>
                      <w:kern w:val="0"/>
                      <w:position w:val="0"/>
                      <w:sz w:val="21"/>
                      <w:szCs w:val="21"/>
                      <w:lang w:val="en-US" w:eastAsia="zh-CN" w:bidi="ar"/>
                    </w:rPr>
                    <w:t>后</w:t>
                  </w:r>
                  <w:r>
                    <w:rPr>
                      <w:rFonts w:hint="default" w:ascii="Times New Roman" w:hAnsi="Times New Roman" w:eastAsia="宋体" w:cs="Times New Roman"/>
                      <w:color w:val="00B050"/>
                      <w:spacing w:val="0"/>
                      <w:kern w:val="0"/>
                      <w:position w:val="0"/>
                      <w:sz w:val="21"/>
                      <w:szCs w:val="21"/>
                      <w:lang w:val="en-US" w:eastAsia="zh-CN" w:bidi="ar"/>
                    </w:rPr>
                    <w:t>将编制了突发环境应急预案，并报玉溪市生态环境局通海分局备案；</w:t>
                  </w:r>
                </w:p>
                <w:p w14:paraId="02BAEE32">
                  <w:pPr>
                    <w:keepNext w:val="0"/>
                    <w:keepLines w:val="0"/>
                    <w:pageBreakBefore w:val="0"/>
                    <w:widowControl/>
                    <w:suppressLineNumbers w:val="0"/>
                    <w:kinsoku/>
                    <w:wordWrap/>
                    <w:overflowPunct/>
                    <w:bidi w:val="0"/>
                    <w:adjustRightInd w:val="0"/>
                    <w:snapToGrid w:val="0"/>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B050"/>
                      <w:spacing w:val="0"/>
                      <w:kern w:val="0"/>
                      <w:position w:val="0"/>
                      <w:sz w:val="21"/>
                      <w:szCs w:val="21"/>
                      <w:lang w:val="en-US"/>
                    </w:rPr>
                  </w:pPr>
                  <w:r>
                    <w:rPr>
                      <w:rFonts w:hint="default" w:ascii="Times New Roman" w:hAnsi="Times New Roman" w:eastAsia="宋体" w:cs="Times New Roman"/>
                      <w:color w:val="00B050"/>
                      <w:spacing w:val="0"/>
                      <w:kern w:val="0"/>
                      <w:position w:val="0"/>
                      <w:sz w:val="21"/>
                      <w:szCs w:val="21"/>
                      <w:lang w:val="en-US" w:eastAsia="zh-CN" w:bidi="ar"/>
                    </w:rPr>
                    <w:t>⑤项目产生的生产废水全部循环使用；生活污水经给隔油池和化粪池处理后进入园区污水处理厂处理，企业承诺不私设暗管或者不正常运行水污染防治设施等行为；</w:t>
                  </w:r>
                </w:p>
                <w:p w14:paraId="5B51A07C">
                  <w:pPr>
                    <w:keepNext w:val="0"/>
                    <w:keepLines w:val="0"/>
                    <w:pageBreakBefore w:val="0"/>
                    <w:widowControl/>
                    <w:suppressLineNumbers w:val="0"/>
                    <w:kinsoku/>
                    <w:wordWrap/>
                    <w:overflowPunct/>
                    <w:bidi w:val="0"/>
                    <w:adjustRightInd w:val="0"/>
                    <w:snapToGrid w:val="0"/>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B050"/>
                      <w:spacing w:val="0"/>
                      <w:kern w:val="0"/>
                      <w:position w:val="0"/>
                      <w:sz w:val="21"/>
                      <w:szCs w:val="21"/>
                      <w:lang w:val="en-US"/>
                    </w:rPr>
                  </w:pPr>
                  <w:r>
                    <w:rPr>
                      <w:rFonts w:hint="default" w:ascii="Times New Roman" w:hAnsi="Times New Roman" w:eastAsia="宋体" w:cs="Times New Roman"/>
                      <w:color w:val="00B050"/>
                      <w:spacing w:val="0"/>
                      <w:kern w:val="0"/>
                      <w:position w:val="0"/>
                      <w:sz w:val="21"/>
                      <w:szCs w:val="21"/>
                      <w:lang w:val="en-US" w:eastAsia="zh-CN" w:bidi="ar"/>
                    </w:rPr>
                    <w:t>⑥项目区采取分区防渗措施后，泄漏风险较小；本项目不单独设置地下水监测井。</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6ED76BB8">
                  <w:pPr>
                    <w:keepNext w:val="0"/>
                    <w:keepLines w:val="0"/>
                    <w:pageBreakBefore w:val="0"/>
                    <w:widowControl/>
                    <w:suppressLineNumbers w:val="0"/>
                    <w:kinsoku/>
                    <w:wordWrap/>
                    <w:overflowPunct/>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pacing w:val="0"/>
                      <w:kern w:val="0"/>
                      <w:position w:val="0"/>
                      <w:sz w:val="21"/>
                      <w:szCs w:val="21"/>
                      <w:lang w:val="en-US"/>
                    </w:rPr>
                  </w:pPr>
                  <w:r>
                    <w:rPr>
                      <w:rFonts w:hint="default" w:ascii="Times New Roman" w:hAnsi="Times New Roman" w:eastAsia="宋体" w:cs="Times New Roman"/>
                      <w:color w:val="000000" w:themeColor="text1"/>
                      <w:spacing w:val="0"/>
                      <w:kern w:val="0"/>
                      <w:position w:val="0"/>
                      <w:sz w:val="21"/>
                      <w:szCs w:val="21"/>
                      <w:lang w:val="en-US" w:eastAsia="zh-CN" w:bidi="ar"/>
                    </w:rPr>
                    <w:t>符合</w:t>
                  </w:r>
                </w:p>
              </w:tc>
            </w:tr>
            <w:tr w14:paraId="6E004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514423BB">
                  <w:pPr>
                    <w:keepNext w:val="0"/>
                    <w:keepLines w:val="0"/>
                    <w:pageBreakBefore w:val="0"/>
                    <w:widowControl/>
                    <w:suppressLineNumbers w:val="0"/>
                    <w:kinsoku/>
                    <w:wordWrap/>
                    <w:overflowPunct/>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pacing w:val="0"/>
                      <w:kern w:val="0"/>
                      <w:position w:val="0"/>
                      <w:sz w:val="21"/>
                      <w:szCs w:val="21"/>
                      <w:lang w:val="en-US" w:eastAsia="zh-CN" w:bidi="ar"/>
                    </w:rPr>
                  </w:pPr>
                  <w:r>
                    <w:rPr>
                      <w:rFonts w:hint="eastAsia" w:cs="Times New Roman"/>
                      <w:color w:val="000000" w:themeColor="text1"/>
                      <w:spacing w:val="0"/>
                      <w:kern w:val="0"/>
                      <w:position w:val="0"/>
                      <w:sz w:val="21"/>
                      <w:szCs w:val="21"/>
                      <w:lang w:val="en-US" w:eastAsia="zh-CN" w:bidi="ar"/>
                    </w:rPr>
                    <w:t>噪声污染防治措施</w:t>
                  </w:r>
                </w:p>
              </w:tc>
              <w:tc>
                <w:tcPr>
                  <w:tcW w:w="3834" w:type="dxa"/>
                  <w:tcBorders>
                    <w:top w:val="single" w:color="auto" w:sz="4" w:space="0"/>
                    <w:left w:val="single" w:color="auto" w:sz="4" w:space="0"/>
                    <w:bottom w:val="single" w:color="auto" w:sz="4" w:space="0"/>
                    <w:right w:val="single" w:color="auto" w:sz="4" w:space="0"/>
                  </w:tcBorders>
                  <w:noWrap w:val="0"/>
                  <w:vAlign w:val="center"/>
                </w:tcPr>
                <w:p w14:paraId="6685B2CC">
                  <w:pPr>
                    <w:pStyle w:val="38"/>
                    <w:keepNext w:val="0"/>
                    <w:keepLines w:val="0"/>
                    <w:pageBreakBefore w:val="0"/>
                    <w:widowControl w:val="0"/>
                    <w:suppressLineNumbers w:val="0"/>
                    <w:kinsoku/>
                    <w:wordWrap/>
                    <w:overflowPunct/>
                    <w:autoSpaceDE w:val="0"/>
                    <w:autoSpaceDN w:val="0"/>
                    <w:bidi w:val="0"/>
                    <w:adjustRightInd w:val="0"/>
                    <w:snapToGrid w:val="0"/>
                    <w:spacing w:before="0" w:beforeLines="0" w:beforeAutospacing="0" w:after="0" w:afterLines="0" w:afterAutospacing="0" w:line="320" w:lineRule="exact"/>
                    <w:ind w:left="0" w:right="0" w:firstLine="420" w:firstLineChars="200"/>
                    <w:jc w:val="both"/>
                    <w:textAlignment w:val="auto"/>
                    <w:rPr>
                      <w:rFonts w:hint="eastAsia" w:ascii="Times New Roman" w:hAnsi="Times New Roman" w:cs="Times New Roman"/>
                      <w:color w:val="00B050"/>
                      <w:spacing w:val="0"/>
                      <w:kern w:val="0"/>
                      <w:position w:val="0"/>
                      <w:sz w:val="21"/>
                      <w:szCs w:val="21"/>
                      <w:lang w:val="en-US" w:eastAsia="zh-CN" w:bidi="ar"/>
                    </w:rPr>
                  </w:pPr>
                  <w:r>
                    <w:rPr>
                      <w:rFonts w:hint="default" w:ascii="Times New Roman" w:hAnsi="Times New Roman" w:eastAsia="宋体" w:cs="Times New Roman"/>
                      <w:color w:val="00B050"/>
                      <w:spacing w:val="0"/>
                      <w:kern w:val="0"/>
                      <w:position w:val="0"/>
                      <w:sz w:val="21"/>
                      <w:szCs w:val="21"/>
                      <w:lang w:val="en-US" w:eastAsia="zh-CN" w:bidi="ar"/>
                    </w:rPr>
                    <w:t>①合理规划布局</w:t>
                  </w:r>
                  <w:r>
                    <w:rPr>
                      <w:rFonts w:hint="eastAsia" w:ascii="Times New Roman" w:hAnsi="Times New Roman" w:cs="Times New Roman"/>
                      <w:color w:val="00B050"/>
                      <w:spacing w:val="0"/>
                      <w:kern w:val="0"/>
                      <w:position w:val="0"/>
                      <w:sz w:val="21"/>
                      <w:szCs w:val="21"/>
                      <w:lang w:val="en-US" w:eastAsia="zh-CN" w:bidi="ar"/>
                    </w:rPr>
                    <w:t>：工业项目应尽量集中布局，高噪声设备要尽量远离厂界和噪声敏感区，若不能远离厂界和敏感区，在设计时尽可能利用厂房建筑物来阻隔噪声对厂界的影响。</w:t>
                  </w:r>
                </w:p>
                <w:p w14:paraId="35F79B28">
                  <w:pPr>
                    <w:pStyle w:val="38"/>
                    <w:keepNext w:val="0"/>
                    <w:keepLines w:val="0"/>
                    <w:pageBreakBefore w:val="0"/>
                    <w:widowControl w:val="0"/>
                    <w:suppressLineNumbers w:val="0"/>
                    <w:kinsoku/>
                    <w:wordWrap/>
                    <w:overflowPunct/>
                    <w:autoSpaceDE w:val="0"/>
                    <w:autoSpaceDN w:val="0"/>
                    <w:bidi w:val="0"/>
                    <w:adjustRightInd w:val="0"/>
                    <w:snapToGrid w:val="0"/>
                    <w:spacing w:before="0" w:beforeLines="0" w:beforeAutospacing="0" w:after="0" w:afterLines="0" w:afterAutospacing="0" w:line="320" w:lineRule="exact"/>
                    <w:ind w:left="0" w:right="0" w:firstLine="420" w:firstLineChars="200"/>
                    <w:jc w:val="both"/>
                    <w:textAlignment w:val="auto"/>
                    <w:rPr>
                      <w:rFonts w:hint="default" w:ascii="Times New Roman" w:hAnsi="Times New Roman" w:eastAsia="宋体" w:cs="Times New Roman"/>
                      <w:color w:val="00B050"/>
                      <w:spacing w:val="0"/>
                      <w:kern w:val="0"/>
                      <w:position w:val="0"/>
                      <w:sz w:val="21"/>
                      <w:szCs w:val="21"/>
                      <w:lang w:val="en-US" w:eastAsia="zh-CN" w:bidi="ar"/>
                    </w:rPr>
                  </w:pPr>
                  <w:r>
                    <w:rPr>
                      <w:rFonts w:hint="default" w:ascii="Times New Roman" w:hAnsi="Times New Roman" w:eastAsia="宋体" w:cs="Times New Roman"/>
                      <w:color w:val="00B050"/>
                      <w:spacing w:val="0"/>
                      <w:kern w:val="0"/>
                      <w:position w:val="0"/>
                      <w:sz w:val="21"/>
                      <w:szCs w:val="21"/>
                      <w:lang w:val="en-US" w:eastAsia="zh-CN" w:bidi="ar"/>
                    </w:rPr>
                    <w:t>②加强企业噪声污染控制与治理</w:t>
                  </w:r>
                  <w:r>
                    <w:rPr>
                      <w:rFonts w:hint="eastAsia" w:ascii="Times New Roman" w:hAnsi="Times New Roman" w:cs="Times New Roman"/>
                      <w:color w:val="00B050"/>
                      <w:spacing w:val="0"/>
                      <w:kern w:val="0"/>
                      <w:position w:val="0"/>
                      <w:sz w:val="21"/>
                      <w:szCs w:val="21"/>
                      <w:lang w:val="en-US" w:eastAsia="zh-CN" w:bidi="ar"/>
                    </w:rPr>
                    <w:t>：入园企业在建设过程中，应优先选用低噪声设备，对高噪声设备，必须采取相应的隔声、消声、减振等有效的噪声防治措施，企业厂界噪声必须达到相应的控制标准要求。工业用地与居住用地的交界处设置 20~30m 宽的绿化隔离带等。</w:t>
                  </w:r>
                </w:p>
              </w:tc>
              <w:tc>
                <w:tcPr>
                  <w:tcW w:w="2660" w:type="dxa"/>
                  <w:tcBorders>
                    <w:top w:val="single" w:color="auto" w:sz="4" w:space="0"/>
                    <w:left w:val="single" w:color="auto" w:sz="4" w:space="0"/>
                    <w:bottom w:val="single" w:color="auto" w:sz="4" w:space="0"/>
                    <w:right w:val="single" w:color="auto" w:sz="4" w:space="0"/>
                  </w:tcBorders>
                  <w:noWrap w:val="0"/>
                  <w:vAlign w:val="center"/>
                </w:tcPr>
                <w:p w14:paraId="171C90FB">
                  <w:pPr>
                    <w:keepNext w:val="0"/>
                    <w:keepLines w:val="0"/>
                    <w:pageBreakBefore w:val="0"/>
                    <w:widowControl/>
                    <w:suppressLineNumbers w:val="0"/>
                    <w:kinsoku/>
                    <w:wordWrap/>
                    <w:overflowPunct/>
                    <w:bidi w:val="0"/>
                    <w:adjustRightInd w:val="0"/>
                    <w:snapToGrid w:val="0"/>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B050"/>
                      <w:spacing w:val="0"/>
                      <w:kern w:val="0"/>
                      <w:position w:val="0"/>
                      <w:sz w:val="21"/>
                      <w:szCs w:val="21"/>
                      <w:lang w:val="en-US" w:eastAsia="zh-CN" w:bidi="ar"/>
                    </w:rPr>
                  </w:pPr>
                  <w:r>
                    <w:rPr>
                      <w:rFonts w:hint="eastAsia" w:cs="Times New Roman"/>
                      <w:color w:val="00B050"/>
                      <w:spacing w:val="0"/>
                      <w:kern w:val="0"/>
                      <w:position w:val="0"/>
                      <w:sz w:val="21"/>
                      <w:szCs w:val="21"/>
                      <w:lang w:val="en-US" w:eastAsia="zh-CN" w:bidi="ar"/>
                    </w:rPr>
                    <w:t>本项目生产设备合理布置于车间内，选用低噪声设备，并采取减振、隔声措施，风机设置消声器等措施。在严格采取上述对策防治措施后，项目厂界噪声可达 GB12348-2008《工业企业厂界环境噪声排放标准》2 类标准，本项目噪声对区域声环境影响不大。</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5BCA6697">
                  <w:pPr>
                    <w:keepNext w:val="0"/>
                    <w:keepLines w:val="0"/>
                    <w:pageBreakBefore w:val="0"/>
                    <w:widowControl/>
                    <w:suppressLineNumbers w:val="0"/>
                    <w:kinsoku/>
                    <w:wordWrap/>
                    <w:overflowPunct/>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pacing w:val="0"/>
                      <w:kern w:val="0"/>
                      <w:position w:val="0"/>
                      <w:sz w:val="21"/>
                      <w:szCs w:val="21"/>
                      <w:lang w:val="en-US" w:eastAsia="zh-CN" w:bidi="ar"/>
                    </w:rPr>
                  </w:pPr>
                </w:p>
              </w:tc>
            </w:tr>
            <w:tr w14:paraId="75DD6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39F89EF5">
                  <w:pPr>
                    <w:keepNext w:val="0"/>
                    <w:keepLines w:val="0"/>
                    <w:pageBreakBefore w:val="0"/>
                    <w:widowControl/>
                    <w:suppressLineNumbers w:val="0"/>
                    <w:kinsoku/>
                    <w:wordWrap/>
                    <w:overflowPunct/>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pacing w:val="0"/>
                      <w:kern w:val="0"/>
                      <w:position w:val="0"/>
                      <w:sz w:val="21"/>
                      <w:szCs w:val="21"/>
                      <w:lang w:val="en-US"/>
                    </w:rPr>
                  </w:pPr>
                  <w:r>
                    <w:rPr>
                      <w:rFonts w:hint="default" w:ascii="Times New Roman" w:hAnsi="Times New Roman" w:eastAsia="宋体" w:cs="Times New Roman"/>
                      <w:color w:val="000000" w:themeColor="text1"/>
                      <w:spacing w:val="0"/>
                      <w:kern w:val="0"/>
                      <w:position w:val="0"/>
                      <w:sz w:val="21"/>
                      <w:szCs w:val="21"/>
                      <w:lang w:val="en-US" w:eastAsia="zh-CN" w:bidi="ar"/>
                    </w:rPr>
                    <w:t>固废污染防治措施</w:t>
                  </w:r>
                </w:p>
              </w:tc>
              <w:tc>
                <w:tcPr>
                  <w:tcW w:w="3834" w:type="dxa"/>
                  <w:tcBorders>
                    <w:top w:val="single" w:color="auto" w:sz="4" w:space="0"/>
                    <w:left w:val="single" w:color="auto" w:sz="4" w:space="0"/>
                    <w:bottom w:val="single" w:color="auto" w:sz="4" w:space="0"/>
                    <w:right w:val="single" w:color="auto" w:sz="4" w:space="0"/>
                  </w:tcBorders>
                  <w:noWrap w:val="0"/>
                  <w:vAlign w:val="center"/>
                </w:tcPr>
                <w:p w14:paraId="59F4DD23">
                  <w:pPr>
                    <w:pStyle w:val="38"/>
                    <w:keepNext w:val="0"/>
                    <w:keepLines w:val="0"/>
                    <w:pageBreakBefore w:val="0"/>
                    <w:widowControl/>
                    <w:suppressLineNumbers w:val="0"/>
                    <w:kinsoku/>
                    <w:wordWrap/>
                    <w:overflowPunct/>
                    <w:bidi w:val="0"/>
                    <w:adjustRightInd w:val="0"/>
                    <w:snapToGrid w:val="0"/>
                    <w:spacing w:before="0" w:beforeLines="0" w:beforeAutospacing="0" w:after="0" w:afterLines="0" w:afterAutospacing="0" w:line="320" w:lineRule="exact"/>
                    <w:ind w:left="0" w:right="0" w:firstLine="420" w:firstLineChars="200"/>
                    <w:jc w:val="left"/>
                    <w:textAlignment w:val="auto"/>
                    <w:rPr>
                      <w:rFonts w:hint="default" w:ascii="Times New Roman" w:hAnsi="Times New Roman" w:eastAsia="宋体" w:cs="Times New Roman"/>
                      <w:color w:val="00B050"/>
                      <w:spacing w:val="0"/>
                      <w:kern w:val="0"/>
                      <w:position w:val="0"/>
                      <w:sz w:val="21"/>
                      <w:szCs w:val="21"/>
                      <w:lang w:val="en-US"/>
                    </w:rPr>
                  </w:pPr>
                  <w:r>
                    <w:rPr>
                      <w:rFonts w:hint="default" w:ascii="Times New Roman" w:hAnsi="Times New Roman" w:eastAsia="宋体" w:cs="Times New Roman"/>
                      <w:color w:val="00B050"/>
                      <w:spacing w:val="0"/>
                      <w:kern w:val="0"/>
                      <w:position w:val="0"/>
                      <w:sz w:val="21"/>
                      <w:szCs w:val="21"/>
                      <w:lang w:val="en-US" w:eastAsia="zh-CN" w:bidi="ar"/>
                    </w:rPr>
                    <w:t>①建立分类收集系统：分类收集是实现固废处置“减量化、资源化、无害化”的有力保障</w:t>
                  </w:r>
                  <w:r>
                    <w:rPr>
                      <w:rFonts w:hint="eastAsia" w:ascii="Times New Roman" w:hAnsi="Times New Roman" w:cs="Times New Roman"/>
                      <w:color w:val="00B050"/>
                      <w:spacing w:val="0"/>
                      <w:kern w:val="0"/>
                      <w:position w:val="0"/>
                      <w:sz w:val="21"/>
                      <w:szCs w:val="21"/>
                      <w:lang w:val="en-US" w:eastAsia="zh-CN" w:bidi="ar"/>
                    </w:rPr>
                    <w:t>。分类收集有利于减少固废的运输、处理和处置工作量，提高效率，降低成本。</w:t>
                  </w:r>
                  <w:r>
                    <w:rPr>
                      <w:rFonts w:hint="default" w:ascii="Times New Roman" w:hAnsi="Times New Roman" w:eastAsia="宋体" w:cs="Times New Roman"/>
                      <w:color w:val="00B050"/>
                      <w:spacing w:val="0"/>
                      <w:kern w:val="0"/>
                      <w:position w:val="0"/>
                      <w:sz w:val="21"/>
                      <w:szCs w:val="21"/>
                      <w:lang w:val="en-US" w:eastAsia="zh-CN" w:bidi="ar"/>
                    </w:rPr>
                    <w:t>生活垃圾运往通海县城市生活垃圾填埋场或运至垃圾焚烧发电厂处置</w:t>
                  </w:r>
                  <w:r>
                    <w:rPr>
                      <w:rFonts w:hint="eastAsia" w:ascii="Times New Roman" w:hAnsi="Times New Roman" w:cs="Times New Roman"/>
                      <w:color w:val="00B050"/>
                      <w:spacing w:val="0"/>
                      <w:kern w:val="0"/>
                      <w:position w:val="0"/>
                      <w:sz w:val="21"/>
                      <w:szCs w:val="21"/>
                      <w:lang w:val="en-US" w:eastAsia="zh-CN" w:bidi="ar"/>
                    </w:rPr>
                    <w:t>。</w:t>
                  </w:r>
                </w:p>
                <w:p w14:paraId="1A0C51D8">
                  <w:pPr>
                    <w:pStyle w:val="38"/>
                    <w:keepNext w:val="0"/>
                    <w:keepLines w:val="0"/>
                    <w:pageBreakBefore w:val="0"/>
                    <w:widowControl/>
                    <w:suppressLineNumbers w:val="0"/>
                    <w:kinsoku/>
                    <w:wordWrap/>
                    <w:overflowPunct/>
                    <w:bidi w:val="0"/>
                    <w:adjustRightInd w:val="0"/>
                    <w:snapToGrid w:val="0"/>
                    <w:spacing w:before="0" w:beforeLines="0" w:beforeAutospacing="0" w:after="0" w:afterLines="0" w:afterAutospacing="0" w:line="320" w:lineRule="exact"/>
                    <w:ind w:left="0" w:right="0" w:firstLine="420" w:firstLineChars="200"/>
                    <w:jc w:val="left"/>
                    <w:textAlignment w:val="auto"/>
                    <w:rPr>
                      <w:rFonts w:hint="default" w:ascii="Times New Roman" w:hAnsi="Times New Roman" w:eastAsia="宋体" w:cs="Times New Roman"/>
                      <w:color w:val="00B050"/>
                      <w:spacing w:val="0"/>
                      <w:kern w:val="0"/>
                      <w:position w:val="0"/>
                      <w:sz w:val="21"/>
                      <w:szCs w:val="21"/>
                      <w:lang w:val="en-US"/>
                    </w:rPr>
                  </w:pPr>
                  <w:r>
                    <w:rPr>
                      <w:rFonts w:hint="default" w:ascii="Times New Roman" w:hAnsi="Times New Roman" w:eastAsia="宋体" w:cs="Times New Roman"/>
                      <w:color w:val="00B050"/>
                      <w:spacing w:val="0"/>
                      <w:kern w:val="0"/>
                      <w:position w:val="0"/>
                      <w:sz w:val="21"/>
                      <w:szCs w:val="21"/>
                      <w:lang w:val="en-US" w:eastAsia="zh-CN" w:bidi="ar"/>
                    </w:rPr>
                    <w:t>②大力发展循环经济：鼓励工业企业采用清洁原料，节能降耗，从源头减少固废产生量。并大力发展循环经济，促进固废的再利用和资源化，提高工业固废的综合利用率。工业固废首先考虑在企业内部消化，或回用于生产工序或加工生产为副产品；企业内部不能回用的，要考虑在企业间实现综合利用，作为其他企业的生产原料或辅料，最大限度提高区域固废综合利用率，减少固废排放量；</w:t>
                  </w:r>
                </w:p>
                <w:p w14:paraId="408BFB58">
                  <w:pPr>
                    <w:keepNext w:val="0"/>
                    <w:keepLines w:val="0"/>
                    <w:pageBreakBefore w:val="0"/>
                    <w:widowControl w:val="0"/>
                    <w:suppressLineNumbers w:val="0"/>
                    <w:kinsoku/>
                    <w:wordWrap/>
                    <w:overflowPunct/>
                    <w:topLinePunct/>
                    <w:bidi w:val="0"/>
                    <w:adjustRightInd w:val="0"/>
                    <w:snapToGrid w:val="0"/>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B050"/>
                      <w:spacing w:val="0"/>
                      <w:kern w:val="0"/>
                      <w:position w:val="0"/>
                      <w:sz w:val="21"/>
                      <w:szCs w:val="21"/>
                      <w:lang w:val="en-US" w:eastAsia="zh-CN" w:bidi="ar"/>
                    </w:rPr>
                  </w:pPr>
                  <w:r>
                    <w:rPr>
                      <w:rFonts w:hint="default" w:ascii="Times New Roman" w:hAnsi="Times New Roman" w:eastAsia="宋体" w:cs="Times New Roman"/>
                      <w:color w:val="00B050"/>
                      <w:spacing w:val="0"/>
                      <w:kern w:val="0"/>
                      <w:position w:val="0"/>
                      <w:sz w:val="21"/>
                      <w:szCs w:val="21"/>
                      <w:lang w:val="en-US" w:eastAsia="zh-CN" w:bidi="ar"/>
                    </w:rPr>
                    <w:t>③临时堆场防治对策</w:t>
                  </w:r>
                  <w:r>
                    <w:rPr>
                      <w:rFonts w:hint="eastAsia" w:cs="Times New Roman"/>
                      <w:color w:val="00B050"/>
                      <w:spacing w:val="0"/>
                      <w:kern w:val="0"/>
                      <w:position w:val="0"/>
                      <w:sz w:val="21"/>
                      <w:szCs w:val="21"/>
                      <w:lang w:val="en-US" w:eastAsia="zh-CN" w:bidi="ar"/>
                    </w:rPr>
                    <w:t>：</w:t>
                  </w:r>
                  <w:r>
                    <w:rPr>
                      <w:rFonts w:hint="default" w:ascii="Times New Roman" w:hAnsi="Times New Roman" w:eastAsia="宋体" w:cs="Times New Roman"/>
                      <w:color w:val="00B050"/>
                      <w:spacing w:val="0"/>
                      <w:kern w:val="0"/>
                      <w:position w:val="0"/>
                      <w:sz w:val="21"/>
                      <w:szCs w:val="21"/>
                      <w:lang w:val="en-US" w:eastAsia="zh-CN" w:bidi="ar"/>
                    </w:rPr>
                    <w:t>园区企业在贮存工业固废时应严格执行相关管理要求，固废处置有企业自行负责：危废暂存设施必须按《危险废物贮存污染控制标准》（GB18597-2023）要求设置。一般固废临时储存设施应按《一般工业固体废物贮存和填埋污染控制标准》（GB18599-2020）I 类场设置要求进行。临时堆场的堆放储存，应定时进行清运处理，该存储区固体废弃物不得超过相关规定要求。产生固体废弃物应即时存放于临时堆场，不得随意堆存产生二次污染。</w:t>
                  </w:r>
                </w:p>
                <w:p w14:paraId="749CC5E2">
                  <w:pPr>
                    <w:keepNext w:val="0"/>
                    <w:keepLines w:val="0"/>
                    <w:pageBreakBefore w:val="0"/>
                    <w:widowControl w:val="0"/>
                    <w:suppressLineNumbers w:val="0"/>
                    <w:kinsoku/>
                    <w:wordWrap/>
                    <w:overflowPunct/>
                    <w:topLinePunct/>
                    <w:bidi w:val="0"/>
                    <w:adjustRightInd w:val="0"/>
                    <w:snapToGrid w:val="0"/>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B050"/>
                      <w:spacing w:val="0"/>
                      <w:kern w:val="0"/>
                      <w:position w:val="0"/>
                      <w:sz w:val="21"/>
                      <w:szCs w:val="21"/>
                      <w:lang w:val="en-US"/>
                    </w:rPr>
                  </w:pPr>
                </w:p>
              </w:tc>
              <w:tc>
                <w:tcPr>
                  <w:tcW w:w="2660" w:type="dxa"/>
                  <w:tcBorders>
                    <w:top w:val="single" w:color="auto" w:sz="4" w:space="0"/>
                    <w:left w:val="single" w:color="auto" w:sz="4" w:space="0"/>
                    <w:bottom w:val="single" w:color="auto" w:sz="4" w:space="0"/>
                    <w:right w:val="single" w:color="auto" w:sz="4" w:space="0"/>
                  </w:tcBorders>
                  <w:noWrap w:val="0"/>
                  <w:vAlign w:val="center"/>
                </w:tcPr>
                <w:p w14:paraId="67209127">
                  <w:pPr>
                    <w:keepNext w:val="0"/>
                    <w:keepLines w:val="0"/>
                    <w:pageBreakBefore w:val="0"/>
                    <w:widowControl w:val="0"/>
                    <w:suppressLineNumbers w:val="0"/>
                    <w:kinsoku/>
                    <w:wordWrap/>
                    <w:overflowPunct/>
                    <w:bidi w:val="0"/>
                    <w:adjustRightInd w:val="0"/>
                    <w:snapToGrid w:val="0"/>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bCs/>
                      <w:color w:val="00B050"/>
                      <w:spacing w:val="0"/>
                      <w:kern w:val="0"/>
                      <w:position w:val="0"/>
                      <w:sz w:val="21"/>
                      <w:szCs w:val="21"/>
                      <w:lang w:val="en-US"/>
                    </w:rPr>
                  </w:pPr>
                  <w:r>
                    <w:rPr>
                      <w:rFonts w:hint="default" w:ascii="Times New Roman" w:hAnsi="Times New Roman" w:eastAsia="宋体" w:cs="Times New Roman"/>
                      <w:color w:val="00B050"/>
                      <w:spacing w:val="0"/>
                      <w:kern w:val="0"/>
                      <w:position w:val="0"/>
                      <w:sz w:val="21"/>
                      <w:szCs w:val="21"/>
                      <w:lang w:val="en-US" w:eastAsia="zh-CN" w:bidi="ar"/>
                    </w:rPr>
                    <w:t>①本项目废包装材料收集后定期外售综合利用；除尘渣、炉渣收集后交附近农户作农肥综合利用；废机油交有资质单位处理；生活垃圾</w:t>
                  </w:r>
                  <w:r>
                    <w:rPr>
                      <w:rFonts w:hint="default" w:ascii="Times New Roman" w:hAnsi="Times New Roman" w:eastAsia="宋体" w:cs="Times New Roman"/>
                      <w:bCs/>
                      <w:color w:val="00B050"/>
                      <w:spacing w:val="0"/>
                      <w:kern w:val="0"/>
                      <w:position w:val="0"/>
                      <w:sz w:val="21"/>
                      <w:szCs w:val="21"/>
                      <w:lang w:val="en-US" w:eastAsia="zh-CN" w:bidi="ar"/>
                    </w:rPr>
                    <w:t>统一收集后，并入园区垃圾收集箱，委托环卫部门清运处置；</w:t>
                  </w:r>
                </w:p>
                <w:p w14:paraId="41ED5384">
                  <w:pPr>
                    <w:keepNext w:val="0"/>
                    <w:keepLines w:val="0"/>
                    <w:pageBreakBefore w:val="0"/>
                    <w:widowControl w:val="0"/>
                    <w:suppressLineNumbers w:val="0"/>
                    <w:kinsoku/>
                    <w:wordWrap/>
                    <w:overflowPunct/>
                    <w:bidi w:val="0"/>
                    <w:adjustRightInd w:val="0"/>
                    <w:snapToGrid w:val="0"/>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B050"/>
                      <w:spacing w:val="0"/>
                      <w:kern w:val="0"/>
                      <w:position w:val="0"/>
                      <w:sz w:val="21"/>
                      <w:szCs w:val="21"/>
                      <w:lang w:val="en-US"/>
                    </w:rPr>
                  </w:pPr>
                  <w:r>
                    <w:rPr>
                      <w:rFonts w:hint="default" w:ascii="Times New Roman" w:hAnsi="Times New Roman" w:eastAsia="宋体" w:cs="Times New Roman"/>
                      <w:color w:val="00B050"/>
                      <w:spacing w:val="0"/>
                      <w:kern w:val="0"/>
                      <w:position w:val="0"/>
                      <w:sz w:val="21"/>
                      <w:szCs w:val="21"/>
                      <w:lang w:val="en-US" w:eastAsia="zh-CN" w:bidi="ar"/>
                    </w:rPr>
                    <w:t>②项目使用清洁能源生物质燃料，运营期产生的固废全部综合处置</w:t>
                  </w:r>
                  <w:r>
                    <w:rPr>
                      <w:rFonts w:hint="eastAsia" w:ascii="Times New Roman" w:hAnsi="Times New Roman" w:eastAsia="宋体" w:cs="Times New Roman"/>
                      <w:color w:val="00B050"/>
                      <w:spacing w:val="0"/>
                      <w:kern w:val="0"/>
                      <w:position w:val="0"/>
                      <w:sz w:val="21"/>
                      <w:szCs w:val="21"/>
                      <w:lang w:val="en-US" w:eastAsia="zh-CN" w:bidi="ar"/>
                    </w:rPr>
                    <w:t>；</w:t>
                  </w:r>
                </w:p>
                <w:p w14:paraId="11D621F9">
                  <w:pPr>
                    <w:pStyle w:val="38"/>
                    <w:keepNext w:val="0"/>
                    <w:keepLines w:val="0"/>
                    <w:pageBreakBefore w:val="0"/>
                    <w:widowControl/>
                    <w:suppressLineNumbers w:val="0"/>
                    <w:kinsoku/>
                    <w:wordWrap/>
                    <w:overflowPunct/>
                    <w:bidi w:val="0"/>
                    <w:adjustRightInd w:val="0"/>
                    <w:snapToGrid w:val="0"/>
                    <w:spacing w:before="0" w:beforeLines="0" w:beforeAutospacing="0" w:after="0" w:afterLines="0" w:afterAutospacing="0" w:line="320" w:lineRule="exact"/>
                    <w:ind w:left="0" w:right="0" w:firstLine="420" w:firstLineChars="200"/>
                    <w:jc w:val="left"/>
                    <w:textAlignment w:val="auto"/>
                    <w:rPr>
                      <w:rFonts w:hint="default" w:ascii="Times New Roman" w:hAnsi="Times New Roman" w:eastAsia="宋体" w:cs="Times New Roman"/>
                      <w:color w:val="00B050"/>
                      <w:spacing w:val="0"/>
                      <w:kern w:val="0"/>
                      <w:position w:val="0"/>
                      <w:sz w:val="21"/>
                      <w:szCs w:val="21"/>
                      <w:lang w:val="en-US"/>
                    </w:rPr>
                  </w:pPr>
                  <w:r>
                    <w:rPr>
                      <w:rFonts w:hint="default" w:ascii="Times New Roman" w:hAnsi="Times New Roman" w:eastAsia="宋体" w:cs="Times New Roman"/>
                      <w:color w:val="00B050"/>
                      <w:spacing w:val="0"/>
                      <w:kern w:val="0"/>
                      <w:position w:val="0"/>
                      <w:sz w:val="21"/>
                      <w:szCs w:val="21"/>
                      <w:lang w:val="en-US" w:eastAsia="zh-CN" w:bidi="ar"/>
                    </w:rPr>
                    <w:t>③项目一般工业固体废物储存场所按照《一般工业固体废物贮存和填埋污染控制标准》（GB18599-2020）处置；危险废物储存场所危废暂存间按照《危险废物贮存污染控制标准》（GB18597-2023）要求建设。</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6754841A">
                  <w:pPr>
                    <w:keepNext w:val="0"/>
                    <w:keepLines w:val="0"/>
                    <w:pageBreakBefore w:val="0"/>
                    <w:widowControl/>
                    <w:suppressLineNumbers w:val="0"/>
                    <w:kinsoku/>
                    <w:wordWrap/>
                    <w:overflowPunct/>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pacing w:val="0"/>
                      <w:kern w:val="0"/>
                      <w:position w:val="0"/>
                      <w:sz w:val="21"/>
                      <w:szCs w:val="21"/>
                      <w:lang w:val="en-US"/>
                    </w:rPr>
                  </w:pPr>
                  <w:r>
                    <w:rPr>
                      <w:rFonts w:hint="default" w:ascii="Times New Roman" w:hAnsi="Times New Roman" w:eastAsia="宋体" w:cs="Times New Roman"/>
                      <w:color w:val="000000" w:themeColor="text1"/>
                      <w:spacing w:val="0"/>
                      <w:kern w:val="0"/>
                      <w:position w:val="0"/>
                      <w:sz w:val="21"/>
                      <w:szCs w:val="21"/>
                      <w:lang w:val="en-US" w:eastAsia="zh-CN" w:bidi="ar"/>
                    </w:rPr>
                    <w:t>符合</w:t>
                  </w:r>
                </w:p>
              </w:tc>
            </w:tr>
          </w:tbl>
          <w:p w14:paraId="3E83B85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000000" w:themeColor="text1"/>
                <w:kern w:val="2"/>
                <w:sz w:val="21"/>
                <w:szCs w:val="21"/>
                <w:lang w:val="en-US" w:eastAsia="zh-CN" w:bidi="ar"/>
              </w:rPr>
            </w:pPr>
            <w:r>
              <w:rPr>
                <w:rFonts w:hint="default" w:ascii="Times New Roman" w:hAnsi="Times New Roman" w:eastAsia="宋体" w:cs="Times New Roman"/>
                <w:color w:val="000000" w:themeColor="text1"/>
                <w:kern w:val="2"/>
                <w:sz w:val="21"/>
                <w:szCs w:val="21"/>
                <w:lang w:val="en-US" w:eastAsia="zh-CN" w:bidi="ar"/>
              </w:rPr>
              <w:t>由上表可知，本项目与《云南通海产业园区总体规划修编（2021~2035年）环境影响报告书》提出的环保与污染</w:t>
            </w:r>
            <w:r>
              <w:rPr>
                <w:rFonts w:hint="default" w:ascii="Times New Roman" w:hAnsi="Times New Roman" w:eastAsia="宋体" w:cs="Times New Roman"/>
                <w:snapToGrid w:val="0"/>
                <w:color w:val="000000" w:themeColor="text1"/>
                <w:kern w:val="0"/>
                <w:sz w:val="21"/>
                <w:szCs w:val="21"/>
                <w:lang w:val="en-US" w:eastAsia="zh-CN" w:bidi="ar"/>
              </w:rPr>
              <w:t>防治措施</w:t>
            </w:r>
            <w:r>
              <w:rPr>
                <w:rFonts w:hint="default" w:ascii="Times New Roman" w:hAnsi="Times New Roman" w:eastAsia="宋体" w:cs="Times New Roman"/>
                <w:color w:val="000000" w:themeColor="text1"/>
                <w:kern w:val="2"/>
                <w:sz w:val="21"/>
                <w:szCs w:val="21"/>
                <w:lang w:val="en-US" w:eastAsia="zh-CN" w:bidi="ar"/>
              </w:rPr>
              <w:t>相符。</w:t>
            </w:r>
          </w:p>
          <w:p w14:paraId="2E7E9C4D">
            <w:pPr>
              <w:pStyle w:val="23"/>
              <w:keepNext w:val="0"/>
              <w:keepLines w:val="0"/>
              <w:suppressLineNumbers w:val="0"/>
              <w:spacing w:before="0" w:beforeAutospacing="0" w:after="0" w:afterAutospacing="0"/>
              <w:ind w:left="0" w:right="0"/>
              <w:rPr>
                <w:rFonts w:hint="default" w:cs="Times New Roman"/>
                <w:color w:val="000000" w:themeColor="text1"/>
                <w:lang w:val="en-US" w:eastAsia="zh-CN"/>
              </w:rPr>
            </w:pPr>
          </w:p>
          <w:p w14:paraId="75E0E357">
            <w:pPr>
              <w:keepNext w:val="0"/>
              <w:keepLines w:val="0"/>
              <w:pageBreakBefore w:val="0"/>
              <w:widowControl w:val="0"/>
              <w:numPr>
                <w:ilvl w:val="0"/>
                <w:numId w:val="2"/>
              </w:numPr>
              <w:suppressLineNumbers w:val="0"/>
              <w:kinsoku/>
              <w:wordWrap/>
              <w:overflowPunct/>
              <w:topLinePunct/>
              <w:bidi w:val="0"/>
              <w:adjustRightInd w:val="0"/>
              <w:snapToGrid w:val="0"/>
              <w:spacing w:before="0" w:beforeAutospacing="0" w:after="0" w:afterAutospacing="0" w:line="440" w:lineRule="exact"/>
              <w:ind w:left="0" w:leftChars="0" w:right="0" w:firstLine="0" w:firstLineChars="0"/>
              <w:jc w:val="both"/>
              <w:textAlignment w:val="auto"/>
              <w:rPr>
                <w:rFonts w:hint="default" w:ascii="Times New Roman" w:hAnsi="Times New Roman" w:eastAsia="宋体" w:cs="Times New Roman"/>
                <w:b/>
                <w:bCs/>
                <w:color w:val="000000" w:themeColor="text1"/>
                <w:kern w:val="2"/>
                <w:sz w:val="21"/>
                <w:szCs w:val="21"/>
                <w:highlight w:val="none"/>
                <w:lang w:val="en-US" w:eastAsia="zh-CN" w:bidi="ar"/>
              </w:rPr>
            </w:pPr>
            <w:r>
              <w:rPr>
                <w:rFonts w:hint="default" w:ascii="Times New Roman" w:hAnsi="Times New Roman" w:eastAsia="宋体" w:cs="Times New Roman"/>
                <w:b/>
                <w:bCs/>
                <w:color w:val="000000" w:themeColor="text1"/>
                <w:kern w:val="2"/>
                <w:sz w:val="21"/>
                <w:szCs w:val="21"/>
                <w:highlight w:val="none"/>
                <w:lang w:val="en-US" w:eastAsia="zh-CN" w:bidi="ar"/>
              </w:rPr>
              <w:t>与《云南通海产业园区总体规划修编（2021~2035年）环境影响报告书》审查意见符合性分析</w:t>
            </w:r>
          </w:p>
          <w:p w14:paraId="1035496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bCs/>
                <w:color w:val="000000" w:themeColor="text1"/>
                <w:kern w:val="2"/>
                <w:sz w:val="21"/>
                <w:szCs w:val="21"/>
                <w:lang w:val="en-US" w:eastAsia="zh-CN" w:bidi="ar"/>
              </w:rPr>
            </w:pPr>
            <w:r>
              <w:rPr>
                <w:rFonts w:hint="default" w:ascii="Times New Roman" w:hAnsi="Times New Roman" w:eastAsia="宋体" w:cs="Times New Roman"/>
                <w:color w:val="000000" w:themeColor="text1"/>
                <w:kern w:val="0"/>
                <w:sz w:val="21"/>
                <w:szCs w:val="21"/>
                <w:lang w:val="en-US" w:eastAsia="zh-CN" w:bidi="ar"/>
              </w:rPr>
              <w:t>根据</w:t>
            </w:r>
            <w:r>
              <w:rPr>
                <w:rFonts w:hint="default" w:ascii="Times New Roman" w:hAnsi="Times New Roman" w:eastAsia="宋体" w:cs="Times New Roman"/>
                <w:color w:val="000000" w:themeColor="text1"/>
                <w:spacing w:val="0"/>
                <w:kern w:val="0"/>
                <w:sz w:val="21"/>
                <w:szCs w:val="21"/>
              </w:rPr>
              <w:t>玉溪市生态环境局关于提交《云南通海产业园区总体规划修编（2021~2035年）环境影响报告书》审查意见的函（玉市环函〔2022〕31号）</w:t>
            </w:r>
            <w:r>
              <w:rPr>
                <w:rFonts w:hint="default" w:ascii="Times New Roman" w:hAnsi="Times New Roman" w:eastAsia="宋体" w:cs="Times New Roman"/>
                <w:color w:val="000000" w:themeColor="text1"/>
                <w:kern w:val="0"/>
                <w:sz w:val="21"/>
                <w:szCs w:val="21"/>
                <w:lang w:val="en-US" w:eastAsia="zh-CN" w:bidi="ar"/>
              </w:rPr>
              <w:t>预防或减缓不良环境影响的</w:t>
            </w:r>
            <w:r>
              <w:rPr>
                <w:rFonts w:hint="eastAsia" w:ascii="Times New Roman" w:hAnsi="Times New Roman" w:eastAsia="宋体" w:cs="Times New Roman"/>
                <w:color w:val="000000" w:themeColor="text1"/>
                <w:kern w:val="0"/>
                <w:sz w:val="21"/>
                <w:szCs w:val="21"/>
                <w:lang w:val="en-US" w:eastAsia="zh-CN" w:bidi="ar"/>
              </w:rPr>
              <w:t>审查意见</w:t>
            </w:r>
            <w:r>
              <w:rPr>
                <w:rFonts w:hint="default" w:ascii="Times New Roman" w:hAnsi="Times New Roman" w:eastAsia="宋体" w:cs="Times New Roman"/>
                <w:color w:val="000000" w:themeColor="text1"/>
                <w:kern w:val="0"/>
                <w:sz w:val="21"/>
                <w:szCs w:val="21"/>
                <w:lang w:val="en-US" w:eastAsia="zh-CN" w:bidi="ar"/>
              </w:rPr>
              <w:t>分析，分析如下表：</w:t>
            </w:r>
          </w:p>
          <w:p w14:paraId="2F6BACC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lang w:val="en-US"/>
              </w:rPr>
            </w:pPr>
            <w:r>
              <w:rPr>
                <w:rFonts w:hint="default" w:ascii="Times New Roman" w:hAnsi="Times New Roman" w:eastAsia="宋体" w:cs="Times New Roman"/>
                <w:b/>
                <w:bCs/>
                <w:color w:val="000000" w:themeColor="text1"/>
                <w:kern w:val="2"/>
                <w:sz w:val="21"/>
                <w:szCs w:val="21"/>
                <w:lang w:val="en-US" w:eastAsia="zh-CN" w:bidi="ar"/>
              </w:rPr>
              <w:t>表1-3  本项目与规划环评（2021~2035年）审查意见符合性分析</w:t>
            </w:r>
          </w:p>
          <w:tbl>
            <w:tblPr>
              <w:tblStyle w:val="43"/>
              <w:tblW w:w="77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
              <w:gridCol w:w="4220"/>
              <w:gridCol w:w="2300"/>
              <w:gridCol w:w="757"/>
            </w:tblGrid>
            <w:tr w14:paraId="1AFF9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6" w:type="dxa"/>
                  <w:tcBorders>
                    <w:top w:val="single" w:color="auto" w:sz="4" w:space="0"/>
                    <w:left w:val="single" w:color="auto" w:sz="4" w:space="0"/>
                    <w:bottom w:val="single" w:color="auto" w:sz="4" w:space="0"/>
                    <w:right w:val="single" w:color="auto" w:sz="4" w:space="0"/>
                  </w:tcBorders>
                  <w:noWrap w:val="0"/>
                  <w:vAlign w:val="center"/>
                </w:tcPr>
                <w:p w14:paraId="6CE2AAB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kern w:val="0"/>
                      <w:sz w:val="21"/>
                      <w:szCs w:val="21"/>
                      <w:lang w:val="en-US"/>
                    </w:rPr>
                  </w:pPr>
                  <w:r>
                    <w:rPr>
                      <w:rFonts w:hint="default" w:ascii="Times New Roman" w:hAnsi="Times New Roman" w:eastAsia="宋体" w:cs="Times New Roman"/>
                      <w:b/>
                      <w:bCs/>
                      <w:color w:val="000000" w:themeColor="text1"/>
                      <w:kern w:val="0"/>
                      <w:sz w:val="21"/>
                      <w:szCs w:val="21"/>
                      <w:lang w:val="en-US" w:eastAsia="zh-CN" w:bidi="ar"/>
                    </w:rPr>
                    <w:t>序号</w:t>
                  </w:r>
                </w:p>
              </w:tc>
              <w:tc>
                <w:tcPr>
                  <w:tcW w:w="4220" w:type="dxa"/>
                  <w:tcBorders>
                    <w:top w:val="single" w:color="auto" w:sz="4" w:space="0"/>
                    <w:left w:val="single" w:color="auto" w:sz="4" w:space="0"/>
                    <w:bottom w:val="single" w:color="auto" w:sz="4" w:space="0"/>
                    <w:right w:val="single" w:color="auto" w:sz="4" w:space="0"/>
                  </w:tcBorders>
                  <w:noWrap w:val="0"/>
                  <w:vAlign w:val="center"/>
                </w:tcPr>
                <w:p w14:paraId="78EC3F7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kern w:val="0"/>
                      <w:sz w:val="21"/>
                      <w:szCs w:val="21"/>
                      <w:lang w:val="en-US"/>
                    </w:rPr>
                  </w:pPr>
                  <w:r>
                    <w:rPr>
                      <w:rFonts w:hint="default" w:ascii="Times New Roman" w:hAnsi="Times New Roman" w:eastAsia="宋体" w:cs="Times New Roman"/>
                      <w:b/>
                      <w:bCs/>
                      <w:color w:val="000000" w:themeColor="text1"/>
                      <w:kern w:val="0"/>
                      <w:sz w:val="21"/>
                      <w:szCs w:val="21"/>
                      <w:lang w:val="en-US" w:eastAsia="zh-CN" w:bidi="ar"/>
                    </w:rPr>
                    <w:t>规划环评审查意见环保措施</w:t>
                  </w:r>
                </w:p>
              </w:tc>
              <w:tc>
                <w:tcPr>
                  <w:tcW w:w="2300" w:type="dxa"/>
                  <w:tcBorders>
                    <w:top w:val="single" w:color="auto" w:sz="4" w:space="0"/>
                    <w:left w:val="single" w:color="auto" w:sz="4" w:space="0"/>
                    <w:bottom w:val="single" w:color="auto" w:sz="4" w:space="0"/>
                    <w:right w:val="single" w:color="auto" w:sz="4" w:space="0"/>
                  </w:tcBorders>
                  <w:noWrap w:val="0"/>
                  <w:vAlign w:val="center"/>
                </w:tcPr>
                <w:p w14:paraId="765D420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kern w:val="0"/>
                      <w:sz w:val="21"/>
                      <w:szCs w:val="21"/>
                      <w:lang w:val="en-US"/>
                    </w:rPr>
                  </w:pPr>
                  <w:r>
                    <w:rPr>
                      <w:rFonts w:hint="default" w:ascii="Times New Roman" w:hAnsi="Times New Roman" w:eastAsia="宋体" w:cs="Times New Roman"/>
                      <w:b/>
                      <w:bCs/>
                      <w:color w:val="000000" w:themeColor="text1"/>
                      <w:kern w:val="0"/>
                      <w:sz w:val="21"/>
                      <w:szCs w:val="21"/>
                      <w:lang w:val="en-US" w:eastAsia="zh-CN" w:bidi="ar"/>
                    </w:rPr>
                    <w:t>本项目建设情况</w:t>
                  </w:r>
                </w:p>
              </w:tc>
              <w:tc>
                <w:tcPr>
                  <w:tcW w:w="757" w:type="dxa"/>
                  <w:tcBorders>
                    <w:top w:val="single" w:color="auto" w:sz="4" w:space="0"/>
                    <w:left w:val="single" w:color="auto" w:sz="4" w:space="0"/>
                    <w:bottom w:val="single" w:color="auto" w:sz="4" w:space="0"/>
                    <w:right w:val="single" w:color="auto" w:sz="4" w:space="0"/>
                  </w:tcBorders>
                  <w:noWrap w:val="0"/>
                  <w:vAlign w:val="center"/>
                </w:tcPr>
                <w:p w14:paraId="36B57C0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kern w:val="0"/>
                      <w:sz w:val="21"/>
                      <w:szCs w:val="21"/>
                      <w:lang w:val="en-US"/>
                    </w:rPr>
                  </w:pPr>
                  <w:r>
                    <w:rPr>
                      <w:rFonts w:hint="default" w:ascii="Times New Roman" w:hAnsi="Times New Roman" w:eastAsia="宋体" w:cs="Times New Roman"/>
                      <w:b/>
                      <w:bCs/>
                      <w:color w:val="000000" w:themeColor="text1"/>
                      <w:kern w:val="0"/>
                      <w:sz w:val="21"/>
                      <w:szCs w:val="21"/>
                      <w:lang w:val="en-US" w:eastAsia="zh-CN" w:bidi="ar"/>
                    </w:rPr>
                    <w:t>符合性</w:t>
                  </w:r>
                </w:p>
              </w:tc>
            </w:tr>
            <w:tr w14:paraId="54E25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6" w:type="dxa"/>
                  <w:tcBorders>
                    <w:top w:val="single" w:color="auto" w:sz="4" w:space="0"/>
                    <w:left w:val="single" w:color="auto" w:sz="4" w:space="0"/>
                    <w:bottom w:val="single" w:color="auto" w:sz="4" w:space="0"/>
                    <w:right w:val="single" w:color="auto" w:sz="4" w:space="0"/>
                  </w:tcBorders>
                  <w:noWrap w:val="0"/>
                  <w:vAlign w:val="center"/>
                </w:tcPr>
                <w:p w14:paraId="672ADC1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rPr>
                  </w:pPr>
                  <w:r>
                    <w:rPr>
                      <w:rFonts w:hint="default" w:ascii="Times New Roman" w:hAnsi="Times New Roman" w:eastAsia="宋体" w:cs="Times New Roman"/>
                      <w:color w:val="000000" w:themeColor="text1"/>
                      <w:kern w:val="0"/>
                      <w:sz w:val="21"/>
                      <w:szCs w:val="21"/>
                      <w:lang w:val="en-US" w:eastAsia="zh-CN" w:bidi="ar"/>
                    </w:rPr>
                    <w:t>1</w:t>
                  </w:r>
                </w:p>
              </w:tc>
              <w:tc>
                <w:tcPr>
                  <w:tcW w:w="4220" w:type="dxa"/>
                  <w:tcBorders>
                    <w:top w:val="single" w:color="auto" w:sz="4" w:space="0"/>
                    <w:left w:val="single" w:color="auto" w:sz="4" w:space="0"/>
                    <w:bottom w:val="single" w:color="auto" w:sz="4" w:space="0"/>
                    <w:right w:val="single" w:color="auto" w:sz="4" w:space="0"/>
                  </w:tcBorders>
                  <w:noWrap w:val="0"/>
                  <w:vAlign w:val="center"/>
                </w:tcPr>
                <w:p w14:paraId="0267002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color w:val="00B050"/>
                      <w:kern w:val="0"/>
                      <w:sz w:val="21"/>
                      <w:szCs w:val="21"/>
                      <w:lang w:val="en-US"/>
                    </w:rPr>
                  </w:pPr>
                  <w:r>
                    <w:rPr>
                      <w:rFonts w:hint="default" w:ascii="Times New Roman" w:hAnsi="Times New Roman" w:eastAsia="宋体" w:cs="Times New Roman"/>
                      <w:color w:val="00B050"/>
                      <w:kern w:val="0"/>
                      <w:sz w:val="21"/>
                      <w:szCs w:val="21"/>
                      <w:lang w:val="en-US" w:eastAsia="zh-CN" w:bidi="ar"/>
                    </w:rPr>
                    <w:t>加强《规划》引导，坚持绿色低碳高质量发展理念，区域统筹保护好生态空间。落实国家、区域发展战略，坚持生态优先、集约高效，以生态环境质量改善为核心，做好与国土空间规划和“三线一单”（生态保护红线、环境质量底线、资源利用上线、生态环境准入清单）生态环境分区管控体系的协调衔接，产业园区应与通海县“三区三线”充分衔接，符合“三区三线”规划管控要求。按国家生态工业示范园区标准推进《规划》实施，进一步优化《规划》的布局和发展规模。</w:t>
                  </w:r>
                </w:p>
              </w:tc>
              <w:tc>
                <w:tcPr>
                  <w:tcW w:w="2300" w:type="dxa"/>
                  <w:tcBorders>
                    <w:top w:val="single" w:color="auto" w:sz="4" w:space="0"/>
                    <w:left w:val="single" w:color="auto" w:sz="4" w:space="0"/>
                    <w:bottom w:val="single" w:color="auto" w:sz="4" w:space="0"/>
                    <w:right w:val="single" w:color="auto" w:sz="4" w:space="0"/>
                  </w:tcBorders>
                  <w:noWrap w:val="0"/>
                  <w:vAlign w:val="center"/>
                </w:tcPr>
                <w:p w14:paraId="6AE5B25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color w:val="00B050"/>
                      <w:kern w:val="0"/>
                      <w:sz w:val="21"/>
                      <w:szCs w:val="21"/>
                      <w:lang w:val="en-US"/>
                    </w:rPr>
                  </w:pPr>
                  <w:r>
                    <w:rPr>
                      <w:rFonts w:hint="eastAsia" w:ascii="Times New Roman" w:hAnsi="Times New Roman" w:eastAsia="宋体" w:cs="Times New Roman"/>
                      <w:color w:val="00B050"/>
                      <w:kern w:val="0"/>
                      <w:sz w:val="21"/>
                      <w:szCs w:val="21"/>
                      <w:lang w:val="en-US" w:eastAsia="zh-CN" w:bidi="ar"/>
                    </w:rPr>
                    <w:t>本</w:t>
                  </w:r>
                  <w:r>
                    <w:rPr>
                      <w:rFonts w:hint="default" w:ascii="Times New Roman" w:hAnsi="Times New Roman" w:eastAsia="宋体" w:cs="Times New Roman"/>
                      <w:color w:val="00B050"/>
                      <w:kern w:val="0"/>
                      <w:sz w:val="21"/>
                      <w:szCs w:val="21"/>
                      <w:lang w:val="en-US" w:eastAsia="zh-CN" w:bidi="ar"/>
                    </w:rPr>
                    <w:t>项目不生产落后产品，不使用淘汰类生产设备，符合国家产业政策</w:t>
                  </w:r>
                  <w:r>
                    <w:rPr>
                      <w:rFonts w:hint="eastAsia" w:ascii="Times New Roman" w:hAnsi="Times New Roman" w:eastAsia="宋体" w:cs="Times New Roman"/>
                      <w:color w:val="00B050"/>
                      <w:kern w:val="0"/>
                      <w:sz w:val="21"/>
                      <w:szCs w:val="21"/>
                      <w:lang w:val="en-US" w:eastAsia="zh-CN" w:bidi="ar"/>
                    </w:rPr>
                    <w:t>；</w:t>
                  </w:r>
                  <w:r>
                    <w:rPr>
                      <w:rFonts w:hint="default" w:ascii="Times New Roman" w:hAnsi="Times New Roman" w:eastAsia="宋体" w:cs="Times New Roman"/>
                      <w:color w:val="00B050"/>
                      <w:kern w:val="0"/>
                      <w:sz w:val="21"/>
                      <w:szCs w:val="21"/>
                      <w:lang w:val="en-US" w:eastAsia="zh-CN" w:bidi="ar"/>
                    </w:rPr>
                    <w:t>项目位于通海五金产业园区里山片区，符合园区布局</w:t>
                  </w:r>
                  <w:r>
                    <w:rPr>
                      <w:rFonts w:hint="eastAsia" w:cs="Times New Roman"/>
                      <w:color w:val="00B050"/>
                      <w:kern w:val="0"/>
                      <w:sz w:val="21"/>
                      <w:szCs w:val="21"/>
                      <w:lang w:val="en-US" w:eastAsia="zh-CN" w:bidi="ar"/>
                    </w:rPr>
                    <w:t>、</w:t>
                  </w:r>
                  <w:r>
                    <w:rPr>
                      <w:rFonts w:hint="default" w:ascii="Times New Roman" w:hAnsi="Times New Roman" w:eastAsia="宋体" w:cs="Times New Roman"/>
                      <w:color w:val="00B050"/>
                      <w:kern w:val="0"/>
                      <w:sz w:val="21"/>
                      <w:szCs w:val="21"/>
                      <w:lang w:val="en-US" w:eastAsia="zh-CN" w:bidi="ar"/>
                    </w:rPr>
                    <w:t>国土空间管控</w:t>
                  </w:r>
                  <w:r>
                    <w:rPr>
                      <w:rFonts w:hint="eastAsia" w:cs="Times New Roman"/>
                      <w:color w:val="00B050"/>
                      <w:kern w:val="0"/>
                      <w:sz w:val="21"/>
                      <w:szCs w:val="21"/>
                      <w:lang w:val="en-US" w:eastAsia="zh-CN" w:bidi="ar"/>
                    </w:rPr>
                    <w:t>、“三线一单”和通海县“三区三线”</w:t>
                  </w:r>
                  <w:r>
                    <w:rPr>
                      <w:rFonts w:hint="default" w:ascii="Times New Roman" w:hAnsi="Times New Roman" w:eastAsia="宋体" w:cs="Times New Roman"/>
                      <w:color w:val="00B050"/>
                      <w:kern w:val="0"/>
                      <w:sz w:val="21"/>
                      <w:szCs w:val="21"/>
                      <w:lang w:val="en-US" w:eastAsia="zh-CN" w:bidi="ar"/>
                    </w:rPr>
                    <w:t>相关要求</w:t>
                  </w:r>
                  <w:r>
                    <w:rPr>
                      <w:rFonts w:hint="eastAsia" w:ascii="Times New Roman" w:hAnsi="Times New Roman" w:eastAsia="宋体" w:cs="Times New Roman"/>
                      <w:color w:val="00B050"/>
                      <w:kern w:val="0"/>
                      <w:sz w:val="21"/>
                      <w:szCs w:val="21"/>
                      <w:lang w:val="en-US" w:eastAsia="zh-CN" w:bidi="ar"/>
                    </w:rPr>
                    <w:t>；</w:t>
                  </w:r>
                  <w:r>
                    <w:rPr>
                      <w:rFonts w:hint="default" w:ascii="Times New Roman" w:hAnsi="Times New Roman" w:eastAsia="宋体" w:cs="Times New Roman"/>
                      <w:color w:val="00B050"/>
                      <w:kern w:val="0"/>
                      <w:sz w:val="21"/>
                      <w:szCs w:val="21"/>
                      <w:lang w:val="en-US" w:eastAsia="zh-CN" w:bidi="ar"/>
                    </w:rPr>
                    <w:t>根据《产业发展与转移指导目录（2018年本）》，项目不属于云南引导不再承接的产业，且项目取得通海县发展和改革局备案</w:t>
                  </w:r>
                  <w:r>
                    <w:rPr>
                      <w:rFonts w:hint="eastAsia" w:ascii="Times New Roman" w:hAnsi="Times New Roman" w:eastAsia="宋体" w:cs="Times New Roman"/>
                      <w:color w:val="00B050"/>
                      <w:kern w:val="0"/>
                      <w:sz w:val="21"/>
                      <w:szCs w:val="21"/>
                      <w:lang w:val="en-US" w:eastAsia="zh-CN" w:bidi="ar"/>
                    </w:rPr>
                    <w:t>；</w:t>
                  </w:r>
                  <w:r>
                    <w:rPr>
                      <w:rFonts w:hint="default" w:ascii="Times New Roman" w:hAnsi="Times New Roman" w:eastAsia="宋体" w:cs="Times New Roman"/>
                      <w:color w:val="00B050"/>
                      <w:kern w:val="0"/>
                      <w:sz w:val="21"/>
                      <w:szCs w:val="21"/>
                      <w:lang w:val="en-US" w:eastAsia="zh-CN" w:bidi="ar"/>
                    </w:rPr>
                    <w:t>项目废气、废水、固废及噪声均能得到妥善治理，符合低碳化、绿色化、循环化发展。</w:t>
                  </w:r>
                </w:p>
              </w:tc>
              <w:tc>
                <w:tcPr>
                  <w:tcW w:w="757" w:type="dxa"/>
                  <w:tcBorders>
                    <w:top w:val="single" w:color="auto" w:sz="4" w:space="0"/>
                    <w:left w:val="single" w:color="auto" w:sz="4" w:space="0"/>
                    <w:bottom w:val="single" w:color="auto" w:sz="4" w:space="0"/>
                    <w:right w:val="single" w:color="auto" w:sz="4" w:space="0"/>
                  </w:tcBorders>
                  <w:noWrap w:val="0"/>
                  <w:vAlign w:val="center"/>
                </w:tcPr>
                <w:p w14:paraId="4528CE8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rPr>
                  </w:pPr>
                  <w:r>
                    <w:rPr>
                      <w:rFonts w:hint="default" w:ascii="Times New Roman" w:hAnsi="Times New Roman" w:eastAsia="宋体" w:cs="Times New Roman"/>
                      <w:color w:val="000000" w:themeColor="text1"/>
                      <w:kern w:val="0"/>
                      <w:sz w:val="21"/>
                      <w:szCs w:val="21"/>
                      <w:lang w:val="en-US" w:eastAsia="zh-CN" w:bidi="ar"/>
                    </w:rPr>
                    <w:t>符合</w:t>
                  </w:r>
                </w:p>
              </w:tc>
            </w:tr>
            <w:tr w14:paraId="5EA0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6" w:type="dxa"/>
                  <w:tcBorders>
                    <w:top w:val="single" w:color="auto" w:sz="4" w:space="0"/>
                    <w:left w:val="single" w:color="auto" w:sz="4" w:space="0"/>
                    <w:bottom w:val="single" w:color="auto" w:sz="4" w:space="0"/>
                    <w:right w:val="single" w:color="auto" w:sz="4" w:space="0"/>
                  </w:tcBorders>
                  <w:noWrap w:val="0"/>
                  <w:vAlign w:val="center"/>
                </w:tcPr>
                <w:p w14:paraId="776439F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rPr>
                  </w:pPr>
                  <w:r>
                    <w:rPr>
                      <w:rFonts w:hint="default" w:ascii="Times New Roman" w:hAnsi="Times New Roman" w:eastAsia="宋体" w:cs="Times New Roman"/>
                      <w:color w:val="000000" w:themeColor="text1"/>
                      <w:kern w:val="0"/>
                      <w:sz w:val="21"/>
                      <w:szCs w:val="21"/>
                      <w:lang w:val="en-US" w:eastAsia="zh-CN" w:bidi="ar"/>
                    </w:rPr>
                    <w:t>2</w:t>
                  </w:r>
                </w:p>
              </w:tc>
              <w:tc>
                <w:tcPr>
                  <w:tcW w:w="4220" w:type="dxa"/>
                  <w:tcBorders>
                    <w:top w:val="single" w:color="auto" w:sz="4" w:space="0"/>
                    <w:left w:val="single" w:color="auto" w:sz="4" w:space="0"/>
                    <w:bottom w:val="single" w:color="auto" w:sz="4" w:space="0"/>
                    <w:right w:val="single" w:color="auto" w:sz="4" w:space="0"/>
                  </w:tcBorders>
                  <w:noWrap w:val="0"/>
                  <w:vAlign w:val="center"/>
                </w:tcPr>
                <w:p w14:paraId="074AF74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color w:val="00B050"/>
                      <w:kern w:val="0"/>
                      <w:sz w:val="21"/>
                      <w:szCs w:val="21"/>
                      <w:lang w:val="en-US"/>
                    </w:rPr>
                  </w:pPr>
                  <w:r>
                    <w:rPr>
                      <w:rFonts w:hint="default" w:ascii="Times New Roman" w:hAnsi="Times New Roman" w:eastAsia="宋体" w:cs="Times New Roman"/>
                      <w:color w:val="00B050"/>
                      <w:kern w:val="0"/>
                      <w:sz w:val="21"/>
                      <w:szCs w:val="21"/>
                      <w:lang w:val="en-US" w:eastAsia="zh-CN" w:bidi="ar"/>
                    </w:rPr>
                    <w:t>严格控制产业发展规模，合理安排开发时序。根据资源环境禀赋条件、产业政策、能源双控、环境容量等要求，审慎论证园区产业布局，科学确定芭蕉片区产业布局；实施“雨污分流”，加强建设初期雨水收集处理系统，加强园区企业废水的梯级利用，区域水环境质量未达到水质目标前，除城镇污水处理厂入河排污口外，不再新设、改设或者扩大排污口，结合水污染防治方案等实施相应的水环境质量改善工程，切实削减COD、氨氮等污染物，配合通海县相关政府部门，加强里山大沟、库南河、曲江等河道的水环境综合整治与生态修复工程，切实改善地表水环境质量。</w:t>
                  </w:r>
                </w:p>
              </w:tc>
              <w:tc>
                <w:tcPr>
                  <w:tcW w:w="2300" w:type="dxa"/>
                  <w:tcBorders>
                    <w:top w:val="single" w:color="auto" w:sz="4" w:space="0"/>
                    <w:left w:val="single" w:color="auto" w:sz="4" w:space="0"/>
                    <w:bottom w:val="single" w:color="auto" w:sz="4" w:space="0"/>
                    <w:right w:val="single" w:color="auto" w:sz="4" w:space="0"/>
                  </w:tcBorders>
                  <w:noWrap w:val="0"/>
                  <w:vAlign w:val="center"/>
                </w:tcPr>
                <w:p w14:paraId="533F850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color w:val="00B050"/>
                      <w:kern w:val="0"/>
                      <w:sz w:val="21"/>
                      <w:szCs w:val="21"/>
                      <w:lang w:val="en-US"/>
                    </w:rPr>
                  </w:pPr>
                  <w:r>
                    <w:rPr>
                      <w:rFonts w:hint="default" w:ascii="Times New Roman" w:hAnsi="Times New Roman" w:eastAsia="宋体" w:cs="Times New Roman"/>
                      <w:color w:val="00B050"/>
                      <w:kern w:val="0"/>
                      <w:sz w:val="21"/>
                      <w:szCs w:val="21"/>
                      <w:lang w:val="en-US" w:eastAsia="zh-CN" w:bidi="ar"/>
                    </w:rPr>
                    <w:t>项目区实施雨污分流，</w:t>
                  </w:r>
                  <w:r>
                    <w:rPr>
                      <w:rFonts w:hint="eastAsia" w:ascii="Times New Roman" w:hAnsi="Times New Roman" w:eastAsia="宋体" w:cs="Times New Roman"/>
                      <w:color w:val="00B050"/>
                      <w:kern w:val="0"/>
                      <w:sz w:val="21"/>
                      <w:szCs w:val="21"/>
                      <w:lang w:val="en-US" w:eastAsia="zh-CN" w:bidi="ar"/>
                    </w:rPr>
                    <w:t>雨水接管园区雨水管网；生产废水</w:t>
                  </w:r>
                  <w:r>
                    <w:rPr>
                      <w:rFonts w:hint="default" w:ascii="Times New Roman" w:hAnsi="Times New Roman" w:eastAsia="宋体" w:cs="Times New Roman"/>
                      <w:color w:val="00B050"/>
                      <w:kern w:val="0"/>
                      <w:sz w:val="21"/>
                      <w:szCs w:val="21"/>
                      <w:lang w:val="en-US" w:eastAsia="zh-CN" w:bidi="ar"/>
                    </w:rPr>
                    <w:t>循环使用，不外排；生活污水</w:t>
                  </w:r>
                  <w:r>
                    <w:rPr>
                      <w:rFonts w:hint="eastAsia" w:ascii="Times New Roman" w:hAnsi="Times New Roman" w:eastAsia="宋体" w:cs="Times New Roman"/>
                      <w:color w:val="00B050"/>
                      <w:kern w:val="0"/>
                      <w:sz w:val="21"/>
                      <w:szCs w:val="21"/>
                      <w:lang w:val="en-US" w:eastAsia="zh-CN" w:bidi="ar"/>
                    </w:rPr>
                    <w:t>经</w:t>
                  </w:r>
                  <w:r>
                    <w:rPr>
                      <w:rFonts w:hint="default" w:ascii="Times New Roman" w:hAnsi="Times New Roman" w:eastAsia="宋体" w:cs="Times New Roman"/>
                      <w:color w:val="00B050"/>
                      <w:kern w:val="0"/>
                      <w:sz w:val="21"/>
                      <w:szCs w:val="21"/>
                      <w:lang w:val="en-US" w:eastAsia="zh-CN" w:bidi="ar"/>
                    </w:rPr>
                    <w:t>隔油池、化粪池预处理后经园区污水管网排入通海县五金产业园区生活污水处理厂处理，不设直接排放口。</w:t>
                  </w:r>
                </w:p>
              </w:tc>
              <w:tc>
                <w:tcPr>
                  <w:tcW w:w="757" w:type="dxa"/>
                  <w:tcBorders>
                    <w:top w:val="single" w:color="auto" w:sz="4" w:space="0"/>
                    <w:left w:val="single" w:color="auto" w:sz="4" w:space="0"/>
                    <w:bottom w:val="single" w:color="auto" w:sz="4" w:space="0"/>
                    <w:right w:val="single" w:color="auto" w:sz="4" w:space="0"/>
                  </w:tcBorders>
                  <w:noWrap w:val="0"/>
                  <w:vAlign w:val="center"/>
                </w:tcPr>
                <w:p w14:paraId="6F2BCCD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rPr>
                  </w:pPr>
                  <w:r>
                    <w:rPr>
                      <w:rFonts w:hint="default" w:ascii="Times New Roman" w:hAnsi="Times New Roman" w:eastAsia="宋体" w:cs="Times New Roman"/>
                      <w:color w:val="000000" w:themeColor="text1"/>
                      <w:kern w:val="0"/>
                      <w:sz w:val="21"/>
                      <w:szCs w:val="21"/>
                      <w:lang w:val="en-US" w:eastAsia="zh-CN" w:bidi="ar"/>
                    </w:rPr>
                    <w:t>符合</w:t>
                  </w:r>
                </w:p>
              </w:tc>
            </w:tr>
            <w:tr w14:paraId="0D0C1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6" w:type="dxa"/>
                  <w:tcBorders>
                    <w:top w:val="single" w:color="auto" w:sz="4" w:space="0"/>
                    <w:left w:val="single" w:color="auto" w:sz="4" w:space="0"/>
                    <w:bottom w:val="single" w:color="auto" w:sz="4" w:space="0"/>
                    <w:right w:val="single" w:color="auto" w:sz="4" w:space="0"/>
                  </w:tcBorders>
                  <w:noWrap w:val="0"/>
                  <w:vAlign w:val="center"/>
                </w:tcPr>
                <w:p w14:paraId="51A94A6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rPr>
                  </w:pPr>
                  <w:r>
                    <w:rPr>
                      <w:rFonts w:hint="default" w:ascii="Times New Roman" w:hAnsi="Times New Roman" w:eastAsia="宋体" w:cs="Times New Roman"/>
                      <w:color w:val="000000" w:themeColor="text1"/>
                      <w:kern w:val="0"/>
                      <w:sz w:val="21"/>
                      <w:szCs w:val="21"/>
                      <w:lang w:val="en-US" w:eastAsia="zh-CN" w:bidi="ar"/>
                    </w:rPr>
                    <w:t>3</w:t>
                  </w:r>
                </w:p>
              </w:tc>
              <w:tc>
                <w:tcPr>
                  <w:tcW w:w="4220" w:type="dxa"/>
                  <w:tcBorders>
                    <w:top w:val="single" w:color="auto" w:sz="4" w:space="0"/>
                    <w:left w:val="single" w:color="auto" w:sz="4" w:space="0"/>
                    <w:bottom w:val="single" w:color="auto" w:sz="4" w:space="0"/>
                    <w:right w:val="single" w:color="auto" w:sz="4" w:space="0"/>
                  </w:tcBorders>
                  <w:noWrap w:val="0"/>
                  <w:vAlign w:val="center"/>
                </w:tcPr>
                <w:p w14:paraId="4AC875E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color w:val="00B050"/>
                      <w:kern w:val="0"/>
                      <w:sz w:val="21"/>
                      <w:szCs w:val="21"/>
                      <w:lang w:val="en-US"/>
                    </w:rPr>
                  </w:pPr>
                  <w:r>
                    <w:rPr>
                      <w:rFonts w:hint="default" w:ascii="Times New Roman" w:hAnsi="Times New Roman" w:eastAsia="宋体" w:cs="Times New Roman"/>
                      <w:color w:val="00B050"/>
                      <w:kern w:val="0"/>
                      <w:sz w:val="21"/>
                      <w:szCs w:val="21"/>
                      <w:lang w:val="en-US" w:eastAsia="zh-CN" w:bidi="ar"/>
                    </w:rPr>
                    <w:t>进一步优化园区空间布局，加强空间管控，加大对环境敏感区的保护力度，严禁不符合管控要求的各类开发和建设活动。《规划》范围内的一般生态空间等敏感区域，严格进行保护，原则上不得进行开发建设；芭蕉片区位于通海县柿花树集中式饮用水源地下水补给区，建议整体调出园区规划范围。加强对各片区内及周边集中居住区等生活空间防护，确保园区产业布局与生态环境保护、人居环境安全相协调。</w:t>
                  </w:r>
                </w:p>
              </w:tc>
              <w:tc>
                <w:tcPr>
                  <w:tcW w:w="2300" w:type="dxa"/>
                  <w:tcBorders>
                    <w:top w:val="single" w:color="auto" w:sz="4" w:space="0"/>
                    <w:left w:val="single" w:color="auto" w:sz="4" w:space="0"/>
                    <w:bottom w:val="single" w:color="auto" w:sz="4" w:space="0"/>
                    <w:right w:val="single" w:color="auto" w:sz="4" w:space="0"/>
                  </w:tcBorders>
                  <w:noWrap w:val="0"/>
                  <w:vAlign w:val="center"/>
                </w:tcPr>
                <w:p w14:paraId="5B0B535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color w:val="00B050"/>
                      <w:kern w:val="0"/>
                      <w:sz w:val="21"/>
                      <w:szCs w:val="21"/>
                      <w:lang w:val="en-US"/>
                    </w:rPr>
                  </w:pPr>
                  <w:r>
                    <w:rPr>
                      <w:rFonts w:hint="default" w:ascii="Times New Roman" w:hAnsi="Times New Roman" w:eastAsia="宋体" w:cs="Times New Roman"/>
                      <w:color w:val="00B050"/>
                      <w:kern w:val="0"/>
                      <w:sz w:val="21"/>
                      <w:szCs w:val="21"/>
                      <w:lang w:val="en-US" w:eastAsia="zh-CN" w:bidi="ar"/>
                    </w:rPr>
                    <w:t>项目周围不涉及环境敏感区域，项目不在芭蕉片区。</w:t>
                  </w:r>
                </w:p>
              </w:tc>
              <w:tc>
                <w:tcPr>
                  <w:tcW w:w="757" w:type="dxa"/>
                  <w:tcBorders>
                    <w:top w:val="single" w:color="auto" w:sz="4" w:space="0"/>
                    <w:left w:val="single" w:color="auto" w:sz="4" w:space="0"/>
                    <w:bottom w:val="single" w:color="auto" w:sz="4" w:space="0"/>
                    <w:right w:val="single" w:color="auto" w:sz="4" w:space="0"/>
                  </w:tcBorders>
                  <w:noWrap w:val="0"/>
                  <w:vAlign w:val="center"/>
                </w:tcPr>
                <w:p w14:paraId="1BFFDDD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rPr>
                  </w:pPr>
                  <w:r>
                    <w:rPr>
                      <w:rFonts w:hint="default" w:ascii="Times New Roman" w:hAnsi="Times New Roman" w:eastAsia="宋体" w:cs="Times New Roman"/>
                      <w:color w:val="000000" w:themeColor="text1"/>
                      <w:kern w:val="0"/>
                      <w:sz w:val="21"/>
                      <w:szCs w:val="21"/>
                      <w:lang w:val="en-US" w:eastAsia="zh-CN" w:bidi="ar"/>
                    </w:rPr>
                    <w:t>符合</w:t>
                  </w:r>
                </w:p>
              </w:tc>
            </w:tr>
            <w:tr w14:paraId="4A4C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6" w:type="dxa"/>
                  <w:tcBorders>
                    <w:top w:val="single" w:color="auto" w:sz="4" w:space="0"/>
                    <w:left w:val="single" w:color="auto" w:sz="4" w:space="0"/>
                    <w:bottom w:val="single" w:color="auto" w:sz="4" w:space="0"/>
                    <w:right w:val="single" w:color="auto" w:sz="4" w:space="0"/>
                  </w:tcBorders>
                  <w:noWrap w:val="0"/>
                  <w:vAlign w:val="center"/>
                </w:tcPr>
                <w:p w14:paraId="0FA4091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rPr>
                  </w:pPr>
                  <w:r>
                    <w:rPr>
                      <w:rFonts w:hint="default" w:ascii="Times New Roman" w:hAnsi="Times New Roman" w:eastAsia="宋体" w:cs="Times New Roman"/>
                      <w:color w:val="000000" w:themeColor="text1"/>
                      <w:kern w:val="0"/>
                      <w:sz w:val="21"/>
                      <w:szCs w:val="21"/>
                      <w:lang w:val="en-US" w:eastAsia="zh-CN" w:bidi="ar"/>
                    </w:rPr>
                    <w:t>4</w:t>
                  </w:r>
                </w:p>
              </w:tc>
              <w:tc>
                <w:tcPr>
                  <w:tcW w:w="4220" w:type="dxa"/>
                  <w:tcBorders>
                    <w:top w:val="single" w:color="auto" w:sz="4" w:space="0"/>
                    <w:left w:val="single" w:color="auto" w:sz="4" w:space="0"/>
                    <w:bottom w:val="single" w:color="auto" w:sz="4" w:space="0"/>
                    <w:right w:val="single" w:color="auto" w:sz="4" w:space="0"/>
                  </w:tcBorders>
                  <w:noWrap w:val="0"/>
                  <w:vAlign w:val="center"/>
                </w:tcPr>
                <w:p w14:paraId="2EE8A28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color w:val="00B050"/>
                      <w:kern w:val="0"/>
                      <w:sz w:val="21"/>
                      <w:szCs w:val="21"/>
                      <w:lang w:val="en-US"/>
                    </w:rPr>
                  </w:pPr>
                  <w:r>
                    <w:rPr>
                      <w:rFonts w:hint="default" w:ascii="Times New Roman" w:hAnsi="Times New Roman" w:eastAsia="宋体" w:cs="Times New Roman"/>
                      <w:color w:val="00B050"/>
                      <w:kern w:val="0"/>
                      <w:sz w:val="21"/>
                      <w:szCs w:val="21"/>
                      <w:lang w:val="en-US" w:eastAsia="zh-CN" w:bidi="ar"/>
                    </w:rPr>
                    <w:t>强化污染物排放总量管控。根据国家和云南省污染防治规划和区域“三线一单”生态环境分区管控相关要求，落实园区污染减排措施和要求，采取有效措施减少主要污染物和挥发性有机物等特征污染物的排放量，推进挥发性有机物和氮氧化物协同治理，促进产业发展与生态环境保护相协调，“两高”项目实行主要污染物区域削减替代。</w:t>
                  </w:r>
                </w:p>
              </w:tc>
              <w:tc>
                <w:tcPr>
                  <w:tcW w:w="2300" w:type="dxa"/>
                  <w:tcBorders>
                    <w:top w:val="single" w:color="auto" w:sz="4" w:space="0"/>
                    <w:left w:val="single" w:color="auto" w:sz="4" w:space="0"/>
                    <w:bottom w:val="single" w:color="auto" w:sz="4" w:space="0"/>
                    <w:right w:val="single" w:color="auto" w:sz="4" w:space="0"/>
                  </w:tcBorders>
                  <w:noWrap w:val="0"/>
                  <w:vAlign w:val="center"/>
                </w:tcPr>
                <w:p w14:paraId="4406B8E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color w:val="00B050"/>
                      <w:kern w:val="0"/>
                      <w:sz w:val="21"/>
                      <w:szCs w:val="21"/>
                      <w:lang w:val="en-US"/>
                    </w:rPr>
                  </w:pPr>
                  <w:r>
                    <w:rPr>
                      <w:rFonts w:hint="eastAsia" w:ascii="Times New Roman" w:hAnsi="Times New Roman" w:eastAsia="宋体" w:cs="Times New Roman"/>
                      <w:color w:val="00B050"/>
                      <w:spacing w:val="0"/>
                      <w:kern w:val="0"/>
                      <w:position w:val="0"/>
                      <w:sz w:val="21"/>
                      <w:szCs w:val="21"/>
                      <w:lang w:val="en-US" w:eastAsia="zh-CN" w:bidi="ar"/>
                    </w:rPr>
                    <w:t>项目烘干使用生物质燃料，无燃煤使用；产生的颗粒物、二氧化硫、氮氧化物污染物可做到达标排放</w:t>
                  </w:r>
                  <w:r>
                    <w:rPr>
                      <w:rFonts w:hint="default" w:ascii="Times New Roman" w:hAnsi="Times New Roman" w:eastAsia="宋体" w:cs="Times New Roman"/>
                      <w:color w:val="00B050"/>
                      <w:kern w:val="0"/>
                      <w:sz w:val="21"/>
                      <w:szCs w:val="21"/>
                      <w:lang w:val="en-US" w:eastAsia="zh-CN" w:bidi="ar"/>
                    </w:rPr>
                    <w:t>，不涉及挥发性有机废气排放。</w:t>
                  </w:r>
                </w:p>
              </w:tc>
              <w:tc>
                <w:tcPr>
                  <w:tcW w:w="757" w:type="dxa"/>
                  <w:tcBorders>
                    <w:top w:val="single" w:color="auto" w:sz="4" w:space="0"/>
                    <w:left w:val="single" w:color="auto" w:sz="4" w:space="0"/>
                    <w:bottom w:val="single" w:color="auto" w:sz="4" w:space="0"/>
                    <w:right w:val="single" w:color="auto" w:sz="4" w:space="0"/>
                  </w:tcBorders>
                  <w:noWrap w:val="0"/>
                  <w:vAlign w:val="center"/>
                </w:tcPr>
                <w:p w14:paraId="7087D62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rPr>
                  </w:pPr>
                  <w:r>
                    <w:rPr>
                      <w:rFonts w:hint="default" w:ascii="Times New Roman" w:hAnsi="Times New Roman" w:eastAsia="宋体" w:cs="Times New Roman"/>
                      <w:color w:val="000000" w:themeColor="text1"/>
                      <w:kern w:val="0"/>
                      <w:sz w:val="21"/>
                      <w:szCs w:val="21"/>
                      <w:lang w:val="en-US" w:eastAsia="zh-CN" w:bidi="ar"/>
                    </w:rPr>
                    <w:t>符合</w:t>
                  </w:r>
                </w:p>
              </w:tc>
            </w:tr>
            <w:tr w14:paraId="019E0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6" w:type="dxa"/>
                  <w:tcBorders>
                    <w:top w:val="single" w:color="auto" w:sz="4" w:space="0"/>
                    <w:left w:val="single" w:color="auto" w:sz="4" w:space="0"/>
                    <w:bottom w:val="single" w:color="auto" w:sz="4" w:space="0"/>
                    <w:right w:val="single" w:color="auto" w:sz="4" w:space="0"/>
                  </w:tcBorders>
                  <w:noWrap w:val="0"/>
                  <w:vAlign w:val="center"/>
                </w:tcPr>
                <w:p w14:paraId="5F9AF01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rPr>
                  </w:pPr>
                  <w:r>
                    <w:rPr>
                      <w:rFonts w:hint="default" w:ascii="Times New Roman" w:hAnsi="Times New Roman" w:eastAsia="宋体" w:cs="Times New Roman"/>
                      <w:color w:val="000000" w:themeColor="text1"/>
                      <w:kern w:val="0"/>
                      <w:sz w:val="21"/>
                      <w:szCs w:val="21"/>
                      <w:lang w:val="en-US" w:eastAsia="zh-CN" w:bidi="ar"/>
                    </w:rPr>
                    <w:t>5</w:t>
                  </w:r>
                </w:p>
              </w:tc>
              <w:tc>
                <w:tcPr>
                  <w:tcW w:w="4220" w:type="dxa"/>
                  <w:tcBorders>
                    <w:top w:val="single" w:color="auto" w:sz="4" w:space="0"/>
                    <w:left w:val="single" w:color="auto" w:sz="4" w:space="0"/>
                    <w:bottom w:val="single" w:color="auto" w:sz="4" w:space="0"/>
                    <w:right w:val="single" w:color="auto" w:sz="4" w:space="0"/>
                  </w:tcBorders>
                  <w:noWrap w:val="0"/>
                  <w:vAlign w:val="center"/>
                </w:tcPr>
                <w:p w14:paraId="68CEC27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color w:val="00B050"/>
                      <w:kern w:val="0"/>
                      <w:sz w:val="21"/>
                      <w:szCs w:val="21"/>
                      <w:lang w:val="en-US"/>
                    </w:rPr>
                  </w:pPr>
                  <w:r>
                    <w:rPr>
                      <w:rFonts w:hint="default" w:ascii="Times New Roman" w:hAnsi="Times New Roman" w:eastAsia="宋体" w:cs="Times New Roman"/>
                      <w:color w:val="00B050"/>
                      <w:kern w:val="0"/>
                      <w:sz w:val="21"/>
                      <w:szCs w:val="21"/>
                      <w:lang w:val="en-US" w:eastAsia="zh-CN" w:bidi="ar"/>
                    </w:rPr>
                    <w:t>严守环境质量底线，严格片区环境管控。根据“三线一单”、国家和云南省有关大气污染防治的相关要求，严格执行园区大气污染物总量管控要求，合理确定产业规模、布局、建设时序；入园企业采用先进的生产工艺路线、装备、清洁能源与原料，从源头上控制污染物的产生，在技术经济可行的条件下，应采用先进高效的污染防治措施，重点做好外排废气中颗粒物、二氧化硫、氮氧化物、挥发性有机物等污染物的减排工作，结合区域大气污染防治要求，加快能源结构升级改造和使用清洁能源，促进区域大气环境质量改善。高度重视园区废水收集、处理、回用、排放的环境管理，实施“雨污分流”，加快各片区污水管网、回用管网的建设，结合区域的建设时序适时建设污水处理厂、再生水处理设施，确保受纳水体水质满足环境功能要求。园区产业布局和项目建设时应充分考虑对地下水环境的影响，优化布局，严格水文地质、工程地质勘察，合理规避地下暗河及溶岩发育区，做好地下水污染防治和监控，按相关规范要求采取针对性防渗措施，确保区域地下水环境安全；严格执行《地下水管理条例》中相关规定，在泉域保护范围以及岩溶强发育、存在较多落水洞和岩溶漏斗的区域内，不得新建、改建、扩建可能造成地下水污染的建设项目。将土壤污染防治工作纳入园区规划及相关环境保护规划，采取有效预防措施，防止、减少土壤污染，确保满足土壤环境管控要求。入园企业产生的危险废物按照规定严格管控，积极推进工业固体废物综合利用。根据国家和地方碳达峰碳中和行动方案和节能减排工作要求，积极开展园区减污降碳协同管控，推广园区能源梯级利用等节能低碳技术，实现减污降碳协同增效目标。</w:t>
                  </w:r>
                </w:p>
              </w:tc>
              <w:tc>
                <w:tcPr>
                  <w:tcW w:w="2300" w:type="dxa"/>
                  <w:tcBorders>
                    <w:top w:val="single" w:color="auto" w:sz="4" w:space="0"/>
                    <w:left w:val="single" w:color="auto" w:sz="4" w:space="0"/>
                    <w:bottom w:val="single" w:color="auto" w:sz="4" w:space="0"/>
                    <w:right w:val="single" w:color="auto" w:sz="4" w:space="0"/>
                  </w:tcBorders>
                  <w:noWrap w:val="0"/>
                  <w:vAlign w:val="center"/>
                </w:tcPr>
                <w:p w14:paraId="1A382C4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B050"/>
                      <w:kern w:val="0"/>
                      <w:sz w:val="21"/>
                      <w:szCs w:val="21"/>
                      <w:lang w:val="en-US"/>
                    </w:rPr>
                  </w:pPr>
                  <w:r>
                    <w:rPr>
                      <w:rFonts w:hint="eastAsia" w:ascii="Times New Roman" w:hAnsi="Times New Roman" w:eastAsia="宋体" w:cs="Times New Roman"/>
                      <w:color w:val="00B050"/>
                      <w:spacing w:val="0"/>
                      <w:kern w:val="0"/>
                      <w:position w:val="0"/>
                      <w:sz w:val="21"/>
                      <w:szCs w:val="21"/>
                      <w:lang w:val="en-US" w:eastAsia="zh-CN" w:bidi="ar"/>
                    </w:rPr>
                    <w:t>项目烘干使用生物质燃料，无燃煤使用；产生的颗粒物、二氧化硫、氮氧化物污染物可做到达标排放。</w:t>
                  </w:r>
                  <w:r>
                    <w:rPr>
                      <w:rFonts w:hint="default" w:ascii="Times New Roman" w:hAnsi="Times New Roman" w:eastAsia="宋体" w:cs="Times New Roman"/>
                      <w:color w:val="00B050"/>
                      <w:kern w:val="0"/>
                      <w:sz w:val="21"/>
                      <w:szCs w:val="21"/>
                      <w:lang w:val="en-US" w:eastAsia="zh-CN" w:bidi="ar"/>
                    </w:rPr>
                    <w:t>项目区实施雨污分流，</w:t>
                  </w:r>
                  <w:r>
                    <w:rPr>
                      <w:rFonts w:hint="eastAsia" w:ascii="Times New Roman" w:hAnsi="Times New Roman" w:eastAsia="宋体" w:cs="Times New Roman"/>
                      <w:color w:val="00B050"/>
                      <w:kern w:val="0"/>
                      <w:sz w:val="21"/>
                      <w:szCs w:val="21"/>
                      <w:lang w:val="en-US" w:eastAsia="zh-CN" w:bidi="ar"/>
                    </w:rPr>
                    <w:t>生产废水</w:t>
                  </w:r>
                  <w:r>
                    <w:rPr>
                      <w:rFonts w:hint="default" w:ascii="Times New Roman" w:hAnsi="Times New Roman" w:eastAsia="宋体" w:cs="Times New Roman"/>
                      <w:color w:val="00B050"/>
                      <w:kern w:val="0"/>
                      <w:sz w:val="21"/>
                      <w:szCs w:val="21"/>
                      <w:lang w:val="en-US" w:eastAsia="zh-CN" w:bidi="ar"/>
                    </w:rPr>
                    <w:t>循环使用不外排，生活污水</w:t>
                  </w:r>
                  <w:r>
                    <w:rPr>
                      <w:rFonts w:hint="eastAsia" w:ascii="Times New Roman" w:hAnsi="Times New Roman" w:eastAsia="宋体" w:cs="Times New Roman"/>
                      <w:color w:val="00B050"/>
                      <w:kern w:val="0"/>
                      <w:sz w:val="21"/>
                      <w:szCs w:val="21"/>
                      <w:lang w:val="en-US" w:eastAsia="zh-CN" w:bidi="ar"/>
                    </w:rPr>
                    <w:t>经</w:t>
                  </w:r>
                  <w:r>
                    <w:rPr>
                      <w:rFonts w:hint="default" w:ascii="Times New Roman" w:hAnsi="Times New Roman" w:eastAsia="宋体" w:cs="Times New Roman"/>
                      <w:color w:val="00B050"/>
                      <w:kern w:val="0"/>
                      <w:sz w:val="21"/>
                      <w:szCs w:val="21"/>
                      <w:lang w:val="en-US" w:eastAsia="zh-CN" w:bidi="ar"/>
                    </w:rPr>
                    <w:t>隔油池、化粪池预处理后经园区污水管网排入通海县五金产业园区生活污水处理厂处理。项目区不属于泉域保护范围以及岩溶强发育、存在较多落水洞和岩溶漏斗的区域，厂区采取分区防渗措施，危废暂存间为重点防渗区；</w:t>
                  </w:r>
                  <w:r>
                    <w:rPr>
                      <w:rFonts w:hint="eastAsia" w:cs="Times New Roman"/>
                      <w:color w:val="00B050"/>
                      <w:kern w:val="0"/>
                      <w:sz w:val="21"/>
                      <w:szCs w:val="21"/>
                      <w:lang w:val="en-US" w:eastAsia="zh-CN" w:bidi="ar"/>
                    </w:rPr>
                    <w:t>生产区、事故池、贮料池</w:t>
                  </w:r>
                  <w:r>
                    <w:rPr>
                      <w:rFonts w:hint="eastAsia" w:ascii="Times New Roman" w:hAnsi="Times New Roman" w:eastAsia="宋体" w:cs="Times New Roman"/>
                      <w:color w:val="00B050"/>
                      <w:kern w:val="0"/>
                      <w:sz w:val="21"/>
                      <w:szCs w:val="21"/>
                      <w:lang w:val="en-US" w:eastAsia="zh-CN" w:bidi="ar"/>
                    </w:rPr>
                    <w:t>、化粪池、隔油池等</w:t>
                  </w:r>
                  <w:r>
                    <w:rPr>
                      <w:rFonts w:hint="default" w:ascii="Times New Roman" w:hAnsi="Times New Roman" w:eastAsia="宋体" w:cs="Times New Roman"/>
                      <w:color w:val="00B050"/>
                      <w:kern w:val="0"/>
                      <w:sz w:val="21"/>
                      <w:szCs w:val="21"/>
                      <w:lang w:val="en-US" w:eastAsia="zh-CN" w:bidi="ar"/>
                    </w:rPr>
                    <w:t>为一般防渗区；车间地面为简单防渗区，对土壤及地下水影响较小。项目</w:t>
                  </w:r>
                  <w:r>
                    <w:rPr>
                      <w:rFonts w:hint="default" w:ascii="Times New Roman" w:hAnsi="Times New Roman" w:eastAsia="宋体" w:cs="Times New Roman"/>
                      <w:color w:val="00B050"/>
                      <w:spacing w:val="0"/>
                      <w:kern w:val="0"/>
                      <w:position w:val="0"/>
                      <w:sz w:val="21"/>
                      <w:szCs w:val="21"/>
                      <w:lang w:val="en-US" w:eastAsia="zh-CN" w:bidi="ar"/>
                    </w:rPr>
                    <w:t>废包装材料</w:t>
                  </w:r>
                  <w:r>
                    <w:rPr>
                      <w:rFonts w:hint="eastAsia" w:cs="Times New Roman"/>
                      <w:color w:val="00B050"/>
                      <w:spacing w:val="0"/>
                      <w:kern w:val="0"/>
                      <w:position w:val="0"/>
                      <w:sz w:val="21"/>
                      <w:szCs w:val="21"/>
                      <w:lang w:val="en-US" w:eastAsia="zh-CN" w:bidi="ar"/>
                    </w:rPr>
                    <w:t>、过滤废渣</w:t>
                  </w:r>
                  <w:r>
                    <w:rPr>
                      <w:rFonts w:hint="default" w:ascii="Times New Roman" w:hAnsi="Times New Roman" w:eastAsia="宋体" w:cs="Times New Roman"/>
                      <w:color w:val="00B050"/>
                      <w:spacing w:val="0"/>
                      <w:kern w:val="0"/>
                      <w:position w:val="0"/>
                      <w:sz w:val="21"/>
                      <w:szCs w:val="21"/>
                      <w:lang w:val="en-US" w:eastAsia="zh-CN" w:bidi="ar"/>
                    </w:rPr>
                    <w:t>收集后定期外售综合利用</w:t>
                  </w:r>
                  <w:r>
                    <w:rPr>
                      <w:rFonts w:hint="eastAsia" w:ascii="Times New Roman" w:hAnsi="Times New Roman" w:eastAsia="宋体" w:cs="Times New Roman"/>
                      <w:color w:val="00B050"/>
                      <w:spacing w:val="0"/>
                      <w:kern w:val="0"/>
                      <w:position w:val="0"/>
                      <w:sz w:val="21"/>
                      <w:szCs w:val="21"/>
                      <w:lang w:val="en-US" w:eastAsia="zh-CN" w:bidi="ar"/>
                    </w:rPr>
                    <w:t>；</w:t>
                  </w:r>
                  <w:r>
                    <w:rPr>
                      <w:rFonts w:hint="default" w:ascii="Times New Roman" w:hAnsi="Times New Roman" w:eastAsia="宋体" w:cs="Times New Roman"/>
                      <w:color w:val="00B050"/>
                      <w:spacing w:val="0"/>
                      <w:kern w:val="0"/>
                      <w:position w:val="0"/>
                      <w:sz w:val="21"/>
                      <w:szCs w:val="21"/>
                      <w:lang w:val="en-US" w:eastAsia="zh-CN" w:bidi="ar"/>
                    </w:rPr>
                    <w:t>除尘渣、炉渣收集后交附近农户作农肥综合利用</w:t>
                  </w:r>
                  <w:r>
                    <w:rPr>
                      <w:rFonts w:hint="eastAsia" w:ascii="Times New Roman" w:hAnsi="Times New Roman" w:eastAsia="宋体" w:cs="Times New Roman"/>
                      <w:color w:val="00B050"/>
                      <w:spacing w:val="0"/>
                      <w:kern w:val="0"/>
                      <w:position w:val="0"/>
                      <w:sz w:val="21"/>
                      <w:szCs w:val="21"/>
                      <w:lang w:val="en-US" w:eastAsia="zh-CN" w:bidi="ar"/>
                    </w:rPr>
                    <w:t>；</w:t>
                  </w:r>
                  <w:r>
                    <w:rPr>
                      <w:rFonts w:hint="default" w:ascii="Times New Roman" w:hAnsi="Times New Roman" w:eastAsia="宋体" w:cs="Times New Roman"/>
                      <w:color w:val="00B050"/>
                      <w:spacing w:val="0"/>
                      <w:kern w:val="0"/>
                      <w:position w:val="0"/>
                      <w:sz w:val="21"/>
                      <w:szCs w:val="21"/>
                      <w:lang w:val="en-US" w:eastAsia="zh-CN" w:bidi="ar"/>
                    </w:rPr>
                    <w:t>废机油交有资质单位处理</w:t>
                  </w:r>
                  <w:r>
                    <w:rPr>
                      <w:rFonts w:hint="eastAsia" w:ascii="Times New Roman" w:hAnsi="Times New Roman" w:eastAsia="宋体" w:cs="Times New Roman"/>
                      <w:color w:val="00B050"/>
                      <w:spacing w:val="0"/>
                      <w:kern w:val="0"/>
                      <w:position w:val="0"/>
                      <w:sz w:val="21"/>
                      <w:szCs w:val="21"/>
                      <w:lang w:val="en-US" w:eastAsia="zh-CN" w:bidi="ar"/>
                    </w:rPr>
                    <w:t>；</w:t>
                  </w:r>
                  <w:r>
                    <w:rPr>
                      <w:rFonts w:hint="default" w:ascii="Times New Roman" w:hAnsi="Times New Roman" w:eastAsia="宋体" w:cs="Times New Roman"/>
                      <w:color w:val="00B050"/>
                      <w:spacing w:val="0"/>
                      <w:kern w:val="0"/>
                      <w:position w:val="0"/>
                      <w:sz w:val="21"/>
                      <w:szCs w:val="21"/>
                      <w:lang w:val="en-US" w:eastAsia="zh-CN" w:bidi="ar"/>
                    </w:rPr>
                    <w:t>生活垃圾</w:t>
                  </w:r>
                  <w:r>
                    <w:rPr>
                      <w:rFonts w:hint="default" w:ascii="Times New Roman" w:hAnsi="Times New Roman" w:eastAsia="宋体" w:cs="Times New Roman"/>
                      <w:bCs/>
                      <w:color w:val="00B050"/>
                      <w:spacing w:val="0"/>
                      <w:kern w:val="0"/>
                      <w:position w:val="0"/>
                      <w:sz w:val="21"/>
                      <w:szCs w:val="21"/>
                      <w:lang w:val="en-US" w:eastAsia="zh-CN" w:bidi="ar"/>
                    </w:rPr>
                    <w:t>统一收集后，并入园区垃圾收集箱，委托环卫部门清运处置</w:t>
                  </w:r>
                  <w:r>
                    <w:rPr>
                      <w:rFonts w:hint="eastAsia" w:ascii="Times New Roman" w:hAnsi="Times New Roman" w:eastAsia="宋体" w:cs="Times New Roman"/>
                      <w:bCs/>
                      <w:color w:val="00B050"/>
                      <w:spacing w:val="0"/>
                      <w:kern w:val="0"/>
                      <w:position w:val="0"/>
                      <w:sz w:val="21"/>
                      <w:szCs w:val="21"/>
                      <w:lang w:val="en-US" w:eastAsia="zh-CN" w:bidi="ar"/>
                    </w:rPr>
                    <w:t>，固废可得到合理处置，对环境影响较小</w:t>
                  </w:r>
                  <w:r>
                    <w:rPr>
                      <w:rFonts w:hint="default" w:ascii="Times New Roman" w:hAnsi="Times New Roman" w:eastAsia="宋体" w:cs="Times New Roman"/>
                      <w:color w:val="00B050"/>
                      <w:kern w:val="0"/>
                      <w:sz w:val="21"/>
                      <w:szCs w:val="21"/>
                      <w:lang w:val="en-US" w:eastAsia="zh-CN" w:bidi="ar"/>
                    </w:rPr>
                    <w:t>。</w:t>
                  </w:r>
                </w:p>
              </w:tc>
              <w:tc>
                <w:tcPr>
                  <w:tcW w:w="757" w:type="dxa"/>
                  <w:tcBorders>
                    <w:top w:val="single" w:color="auto" w:sz="4" w:space="0"/>
                    <w:left w:val="single" w:color="auto" w:sz="4" w:space="0"/>
                    <w:bottom w:val="single" w:color="auto" w:sz="4" w:space="0"/>
                    <w:right w:val="single" w:color="auto" w:sz="4" w:space="0"/>
                  </w:tcBorders>
                  <w:noWrap w:val="0"/>
                  <w:vAlign w:val="center"/>
                </w:tcPr>
                <w:p w14:paraId="3D81D50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rPr>
                  </w:pPr>
                  <w:r>
                    <w:rPr>
                      <w:rFonts w:hint="default" w:ascii="Times New Roman" w:hAnsi="Times New Roman" w:eastAsia="宋体" w:cs="Times New Roman"/>
                      <w:color w:val="000000" w:themeColor="text1"/>
                      <w:kern w:val="0"/>
                      <w:sz w:val="21"/>
                      <w:szCs w:val="21"/>
                      <w:lang w:val="en-US" w:eastAsia="zh-CN" w:bidi="ar"/>
                    </w:rPr>
                    <w:t>符合</w:t>
                  </w:r>
                </w:p>
              </w:tc>
            </w:tr>
            <w:tr w14:paraId="3A10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6" w:type="dxa"/>
                  <w:tcBorders>
                    <w:top w:val="single" w:color="auto" w:sz="4" w:space="0"/>
                    <w:left w:val="single" w:color="auto" w:sz="4" w:space="0"/>
                    <w:bottom w:val="single" w:color="auto" w:sz="4" w:space="0"/>
                    <w:right w:val="single" w:color="auto" w:sz="4" w:space="0"/>
                  </w:tcBorders>
                  <w:noWrap w:val="0"/>
                  <w:vAlign w:val="center"/>
                </w:tcPr>
                <w:p w14:paraId="47B8CE2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rPr>
                  </w:pPr>
                  <w:r>
                    <w:rPr>
                      <w:rFonts w:hint="default" w:ascii="Times New Roman" w:hAnsi="Times New Roman" w:eastAsia="宋体" w:cs="Times New Roman"/>
                      <w:color w:val="000000" w:themeColor="text1"/>
                      <w:kern w:val="0"/>
                      <w:sz w:val="21"/>
                      <w:szCs w:val="21"/>
                      <w:lang w:val="en-US" w:eastAsia="zh-CN" w:bidi="ar"/>
                    </w:rPr>
                    <w:t>6</w:t>
                  </w:r>
                </w:p>
              </w:tc>
              <w:tc>
                <w:tcPr>
                  <w:tcW w:w="4220" w:type="dxa"/>
                  <w:tcBorders>
                    <w:top w:val="single" w:color="auto" w:sz="4" w:space="0"/>
                    <w:left w:val="single" w:color="auto" w:sz="4" w:space="0"/>
                    <w:bottom w:val="single" w:color="auto" w:sz="4" w:space="0"/>
                    <w:right w:val="single" w:color="auto" w:sz="4" w:space="0"/>
                  </w:tcBorders>
                  <w:noWrap w:val="0"/>
                  <w:vAlign w:val="center"/>
                </w:tcPr>
                <w:p w14:paraId="37F7912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color w:val="00B050"/>
                      <w:kern w:val="0"/>
                      <w:sz w:val="21"/>
                      <w:szCs w:val="21"/>
                      <w:lang w:val="en-US"/>
                    </w:rPr>
                  </w:pPr>
                  <w:r>
                    <w:rPr>
                      <w:rFonts w:hint="default" w:ascii="Times New Roman" w:hAnsi="Times New Roman" w:eastAsia="宋体" w:cs="Times New Roman"/>
                      <w:color w:val="00B050"/>
                      <w:kern w:val="0"/>
                      <w:sz w:val="21"/>
                      <w:szCs w:val="21"/>
                      <w:lang w:val="en-US" w:eastAsia="zh-CN" w:bidi="ar"/>
                    </w:rPr>
                    <w:t>严格执行环境准入要求，加强入园项目生态环境准入管理。落实蓝天、碧水、净土保卫战有关管控要求，加强“两高”行业生态环境源头防控，引进项目的生产工艺、设备、污染物排放和资源利用等，应达到清洁生产国内先进水平；推进技术研发型、创新型产业发展，提升产业的技术水平和园区的绿色低碳化水平；园区招商引资、入园项目环评审批应严格执行生态环境准入要求，要以园区的资源环境承载能力为基础，充分论证、有序发展，严禁引进工艺装备落后，不符合污染物排放总量控制要求的企业。</w:t>
                  </w:r>
                </w:p>
              </w:tc>
              <w:tc>
                <w:tcPr>
                  <w:tcW w:w="2300" w:type="dxa"/>
                  <w:tcBorders>
                    <w:top w:val="single" w:color="auto" w:sz="4" w:space="0"/>
                    <w:left w:val="single" w:color="auto" w:sz="4" w:space="0"/>
                    <w:bottom w:val="single" w:color="auto" w:sz="4" w:space="0"/>
                    <w:right w:val="single" w:color="auto" w:sz="4" w:space="0"/>
                  </w:tcBorders>
                  <w:noWrap w:val="0"/>
                  <w:vAlign w:val="center"/>
                </w:tcPr>
                <w:p w14:paraId="0F26880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color w:val="00B050"/>
                      <w:kern w:val="0"/>
                      <w:sz w:val="21"/>
                      <w:szCs w:val="21"/>
                      <w:lang w:val="en-US"/>
                    </w:rPr>
                  </w:pPr>
                  <w:r>
                    <w:rPr>
                      <w:rFonts w:hint="default" w:ascii="Times New Roman" w:hAnsi="Times New Roman" w:eastAsia="宋体" w:cs="Times New Roman"/>
                      <w:color w:val="00B050"/>
                      <w:kern w:val="0"/>
                      <w:sz w:val="21"/>
                      <w:szCs w:val="21"/>
                      <w:lang w:val="en-US" w:eastAsia="zh-CN" w:bidi="ar"/>
                    </w:rPr>
                    <w:t>公司</w:t>
                  </w:r>
                  <w:r>
                    <w:rPr>
                      <w:rFonts w:hint="eastAsia" w:ascii="Times New Roman" w:hAnsi="Times New Roman" w:eastAsia="宋体" w:cs="Times New Roman"/>
                      <w:color w:val="00B050"/>
                      <w:kern w:val="0"/>
                      <w:sz w:val="21"/>
                      <w:szCs w:val="21"/>
                      <w:lang w:val="en-US" w:eastAsia="zh-CN" w:bidi="ar"/>
                    </w:rPr>
                    <w:t>无生产废水外排，产生的生活污水经隔油池和化粪池预处理后进入园区生活污水处理厂处理；产生的废气经“重力沉降+布袋除尘+水膜除尘设施”处理后可达标排放；食堂油烟经油烟净化器处置后达标排放；固废100%合理处置</w:t>
                  </w:r>
                  <w:r>
                    <w:rPr>
                      <w:rFonts w:hint="default" w:ascii="Times New Roman" w:hAnsi="Times New Roman" w:eastAsia="宋体" w:cs="Times New Roman"/>
                      <w:color w:val="00B050"/>
                      <w:kern w:val="0"/>
                      <w:sz w:val="21"/>
                      <w:szCs w:val="21"/>
                      <w:lang w:val="en-US" w:eastAsia="zh-CN" w:bidi="ar"/>
                    </w:rPr>
                    <w:t>，</w:t>
                  </w:r>
                  <w:r>
                    <w:rPr>
                      <w:rFonts w:hint="eastAsia" w:ascii="Times New Roman" w:hAnsi="Times New Roman" w:eastAsia="宋体" w:cs="Times New Roman"/>
                      <w:color w:val="00B050"/>
                      <w:kern w:val="0"/>
                      <w:sz w:val="21"/>
                      <w:szCs w:val="21"/>
                      <w:lang w:val="en-US" w:eastAsia="zh-CN" w:bidi="ar"/>
                    </w:rPr>
                    <w:t>综上所述，项目</w:t>
                  </w:r>
                  <w:r>
                    <w:rPr>
                      <w:rFonts w:hint="default" w:ascii="Times New Roman" w:hAnsi="Times New Roman" w:eastAsia="宋体" w:cs="Times New Roman"/>
                      <w:color w:val="00B050"/>
                      <w:kern w:val="0"/>
                      <w:sz w:val="21"/>
                      <w:szCs w:val="21"/>
                      <w:lang w:val="en-US" w:eastAsia="zh-CN" w:bidi="ar"/>
                    </w:rPr>
                    <w:t>污染物能实现达标排放或妥善处置，</w:t>
                  </w:r>
                  <w:r>
                    <w:rPr>
                      <w:rFonts w:hint="default" w:ascii="Times New Roman" w:hAnsi="Times New Roman" w:eastAsia="宋体" w:cs="Times New Roman"/>
                      <w:color w:val="00B050"/>
                      <w:kern w:val="0"/>
                      <w:sz w:val="21"/>
                      <w:szCs w:val="21"/>
                      <w:lang w:val="zh-CN" w:eastAsia="zh-CN" w:bidi="ar"/>
                    </w:rPr>
                    <w:t>满足规划区功能定位及产业结构，符合园区生态环境准入要求</w:t>
                  </w:r>
                  <w:r>
                    <w:rPr>
                      <w:rFonts w:hint="eastAsia" w:ascii="Times New Roman" w:hAnsi="Times New Roman" w:eastAsia="宋体" w:cs="Times New Roman"/>
                      <w:color w:val="00B050"/>
                      <w:kern w:val="0"/>
                      <w:sz w:val="21"/>
                      <w:szCs w:val="21"/>
                      <w:lang w:val="zh-CN" w:eastAsia="zh-CN" w:bidi="ar"/>
                    </w:rPr>
                    <w:t>，</w:t>
                  </w:r>
                  <w:r>
                    <w:rPr>
                      <w:rFonts w:hint="default" w:ascii="Times New Roman" w:hAnsi="Times New Roman" w:eastAsia="宋体" w:cs="Times New Roman"/>
                      <w:color w:val="00B050"/>
                      <w:kern w:val="0"/>
                      <w:sz w:val="21"/>
                      <w:szCs w:val="21"/>
                      <w:lang w:val="en-US" w:eastAsia="zh-CN" w:bidi="ar"/>
                    </w:rPr>
                    <w:t>对园区的资源环境承载能力影响不大。</w:t>
                  </w:r>
                </w:p>
              </w:tc>
              <w:tc>
                <w:tcPr>
                  <w:tcW w:w="757" w:type="dxa"/>
                  <w:tcBorders>
                    <w:top w:val="single" w:color="auto" w:sz="4" w:space="0"/>
                    <w:left w:val="single" w:color="auto" w:sz="4" w:space="0"/>
                    <w:bottom w:val="single" w:color="auto" w:sz="4" w:space="0"/>
                    <w:right w:val="single" w:color="auto" w:sz="4" w:space="0"/>
                  </w:tcBorders>
                  <w:noWrap w:val="0"/>
                  <w:vAlign w:val="center"/>
                </w:tcPr>
                <w:p w14:paraId="62524BF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rPr>
                  </w:pPr>
                  <w:r>
                    <w:rPr>
                      <w:rFonts w:hint="default" w:ascii="Times New Roman" w:hAnsi="Times New Roman" w:eastAsia="宋体" w:cs="Times New Roman"/>
                      <w:color w:val="000000" w:themeColor="text1"/>
                      <w:kern w:val="0"/>
                      <w:sz w:val="21"/>
                      <w:szCs w:val="21"/>
                      <w:lang w:val="en-US" w:eastAsia="zh-CN" w:bidi="ar"/>
                    </w:rPr>
                    <w:t>符合</w:t>
                  </w:r>
                </w:p>
              </w:tc>
            </w:tr>
            <w:tr w14:paraId="56CB4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6" w:type="dxa"/>
                  <w:tcBorders>
                    <w:top w:val="single" w:color="auto" w:sz="4" w:space="0"/>
                    <w:left w:val="single" w:color="auto" w:sz="4" w:space="0"/>
                    <w:bottom w:val="single" w:color="auto" w:sz="4" w:space="0"/>
                    <w:right w:val="single" w:color="auto" w:sz="4" w:space="0"/>
                  </w:tcBorders>
                  <w:noWrap w:val="0"/>
                  <w:vAlign w:val="center"/>
                </w:tcPr>
                <w:p w14:paraId="4BA41AA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rPr>
                  </w:pPr>
                  <w:r>
                    <w:rPr>
                      <w:rFonts w:hint="default" w:ascii="Times New Roman" w:hAnsi="Times New Roman" w:eastAsia="宋体" w:cs="Times New Roman"/>
                      <w:color w:val="000000" w:themeColor="text1"/>
                      <w:kern w:val="0"/>
                      <w:sz w:val="21"/>
                      <w:szCs w:val="21"/>
                      <w:lang w:val="en-US" w:eastAsia="zh-CN" w:bidi="ar"/>
                    </w:rPr>
                    <w:t>7</w:t>
                  </w:r>
                </w:p>
              </w:tc>
              <w:tc>
                <w:tcPr>
                  <w:tcW w:w="4220" w:type="dxa"/>
                  <w:tcBorders>
                    <w:top w:val="single" w:color="auto" w:sz="4" w:space="0"/>
                    <w:left w:val="single" w:color="auto" w:sz="4" w:space="0"/>
                    <w:bottom w:val="single" w:color="auto" w:sz="4" w:space="0"/>
                    <w:right w:val="single" w:color="auto" w:sz="4" w:space="0"/>
                  </w:tcBorders>
                  <w:noWrap w:val="0"/>
                  <w:vAlign w:val="center"/>
                </w:tcPr>
                <w:p w14:paraId="286E156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color w:val="00B050"/>
                      <w:kern w:val="0"/>
                      <w:sz w:val="21"/>
                      <w:szCs w:val="21"/>
                      <w:lang w:val="en-US"/>
                    </w:rPr>
                  </w:pPr>
                  <w:r>
                    <w:rPr>
                      <w:rFonts w:hint="default" w:ascii="Times New Roman" w:hAnsi="Times New Roman" w:eastAsia="宋体" w:cs="Times New Roman"/>
                      <w:color w:val="00B050"/>
                      <w:kern w:val="0"/>
                      <w:sz w:val="21"/>
                      <w:szCs w:val="21"/>
                      <w:lang w:val="en-US" w:eastAsia="zh-CN" w:bidi="ar"/>
                    </w:rPr>
                    <w:t>建立健全区域环境风险防范和生态安全保障体系。加强园区内易导致环境风险的有毒有害和易燃易爆物质的生产、使用、贮运等管理，统筹考虑污染防治、生态恢复与建设、环境风险防范、环境管理等事宜；强化园区危险化学品储运的环境风险管理，制定建立厂区、园区、区域三级防控措施，强化环境监测与预警能力建设、环境风险应急与防范措施，建立应急响应联动机制和风险防控体系并编制应急预案，防范环境风险，避免事故废水排入园区外水体，保障区域环境安全。</w:t>
                  </w:r>
                </w:p>
              </w:tc>
              <w:tc>
                <w:tcPr>
                  <w:tcW w:w="2300" w:type="dxa"/>
                  <w:tcBorders>
                    <w:top w:val="single" w:color="auto" w:sz="4" w:space="0"/>
                    <w:left w:val="single" w:color="auto" w:sz="4" w:space="0"/>
                    <w:bottom w:val="single" w:color="auto" w:sz="4" w:space="0"/>
                    <w:right w:val="single" w:color="auto" w:sz="4" w:space="0"/>
                  </w:tcBorders>
                  <w:noWrap w:val="0"/>
                  <w:vAlign w:val="center"/>
                </w:tcPr>
                <w:p w14:paraId="04F890C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color w:val="00B050"/>
                      <w:kern w:val="0"/>
                      <w:sz w:val="21"/>
                      <w:szCs w:val="21"/>
                      <w:lang w:val="en-US"/>
                    </w:rPr>
                  </w:pPr>
                  <w:r>
                    <w:rPr>
                      <w:rFonts w:hint="eastAsia" w:ascii="Times New Roman" w:hAnsi="Times New Roman" w:eastAsia="宋体" w:cs="Times New Roman"/>
                      <w:color w:val="00B050"/>
                      <w:kern w:val="0"/>
                      <w:sz w:val="21"/>
                      <w:szCs w:val="21"/>
                      <w:lang w:val="en-US" w:eastAsia="zh-CN" w:bidi="ar"/>
                    </w:rPr>
                    <w:t>本次环评针对</w:t>
                  </w:r>
                  <w:r>
                    <w:rPr>
                      <w:rFonts w:hint="default" w:ascii="Times New Roman" w:hAnsi="Times New Roman" w:eastAsia="宋体" w:cs="Times New Roman"/>
                      <w:color w:val="00B050"/>
                      <w:kern w:val="0"/>
                      <w:sz w:val="21"/>
                      <w:szCs w:val="21"/>
                      <w:lang w:val="en-US" w:eastAsia="zh-CN" w:bidi="ar"/>
                    </w:rPr>
                    <w:t>项目提出环境风险应急与防范措施，后续将建立应急响应联动机制和风险防控体系并编制应急预案以防范环境风险。</w:t>
                  </w:r>
                </w:p>
              </w:tc>
              <w:tc>
                <w:tcPr>
                  <w:tcW w:w="757" w:type="dxa"/>
                  <w:tcBorders>
                    <w:top w:val="single" w:color="auto" w:sz="4" w:space="0"/>
                    <w:left w:val="single" w:color="auto" w:sz="4" w:space="0"/>
                    <w:bottom w:val="single" w:color="auto" w:sz="4" w:space="0"/>
                    <w:right w:val="single" w:color="auto" w:sz="4" w:space="0"/>
                  </w:tcBorders>
                  <w:noWrap w:val="0"/>
                  <w:vAlign w:val="center"/>
                </w:tcPr>
                <w:p w14:paraId="53D3B90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rPr>
                  </w:pPr>
                  <w:r>
                    <w:rPr>
                      <w:rFonts w:hint="default" w:ascii="Times New Roman" w:hAnsi="Times New Roman" w:eastAsia="宋体" w:cs="Times New Roman"/>
                      <w:color w:val="000000" w:themeColor="text1"/>
                      <w:kern w:val="0"/>
                      <w:sz w:val="21"/>
                      <w:szCs w:val="21"/>
                      <w:lang w:val="en-US" w:eastAsia="zh-CN" w:bidi="ar"/>
                    </w:rPr>
                    <w:t>符合</w:t>
                  </w:r>
                </w:p>
              </w:tc>
            </w:tr>
          </w:tbl>
          <w:p w14:paraId="1D39B81B">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kern w:val="2"/>
                <w:sz w:val="21"/>
                <w:szCs w:val="21"/>
                <w:lang w:val="en-US" w:eastAsia="zh-CN" w:bidi="ar"/>
              </w:rPr>
              <w:t>由上表可知，本项目的建设与《云南通海产业园区总体规划修编（2021~2035年）环境影响报告书》审查意见相符。</w:t>
            </w:r>
          </w:p>
        </w:tc>
      </w:tr>
      <w:tr w14:paraId="395AE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4" w:type="dxa"/>
            <w:noWrap w:val="0"/>
            <w:vAlign w:val="center"/>
          </w:tcPr>
          <w:p w14:paraId="4FDD9D75">
            <w:pPr>
              <w:pStyle w:val="88"/>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其他</w:t>
            </w:r>
          </w:p>
          <w:p w14:paraId="73A37636">
            <w:pPr>
              <w:pStyle w:val="88"/>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pacing w:val="0"/>
                <w:kern w:val="0"/>
                <w:sz w:val="21"/>
                <w:szCs w:val="21"/>
              </w:rPr>
            </w:pPr>
            <w:r>
              <w:rPr>
                <w:rFonts w:hint="default" w:ascii="Times New Roman" w:hAnsi="Times New Roman" w:eastAsia="宋体" w:cs="Times New Roman"/>
                <w:color w:val="000000" w:themeColor="text1"/>
                <w:spacing w:val="0"/>
                <w:kern w:val="0"/>
                <w:sz w:val="21"/>
                <w:szCs w:val="21"/>
              </w:rPr>
              <w:t>符合性分析</w:t>
            </w:r>
          </w:p>
        </w:tc>
        <w:tc>
          <w:tcPr>
            <w:tcW w:w="8034" w:type="dxa"/>
            <w:gridSpan w:val="4"/>
            <w:noWrap w:val="0"/>
            <w:vAlign w:val="center"/>
          </w:tcPr>
          <w:p w14:paraId="5C0A2DA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firstLine="0" w:firstLineChars="0"/>
              <w:jc w:val="left"/>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
                <w:bCs/>
                <w:color w:val="000000" w:themeColor="text1"/>
                <w:sz w:val="21"/>
                <w:szCs w:val="21"/>
              </w:rPr>
              <w:t>1、产业政策符合性分析</w:t>
            </w:r>
          </w:p>
          <w:p w14:paraId="42680D4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firstLine="420"/>
              <w:jc w:val="left"/>
              <w:textAlignment w:val="auto"/>
              <w:rPr>
                <w:rFonts w:hint="default" w:ascii="Times New Roman" w:hAnsi="Times New Roman" w:cs="Times New Roman"/>
                <w:color w:val="000000" w:themeColor="text1"/>
              </w:rPr>
            </w:pPr>
            <w:r>
              <w:rPr>
                <w:rFonts w:hint="default" w:ascii="Times New Roman" w:hAnsi="Times New Roman" w:eastAsia="宋体" w:cs="Times New Roman"/>
                <w:color w:val="000000" w:themeColor="text1"/>
                <w:sz w:val="21"/>
                <w:szCs w:val="21"/>
              </w:rPr>
              <w:t>本项目</w:t>
            </w:r>
            <w:r>
              <w:rPr>
                <w:rFonts w:hint="eastAsia" w:ascii="Times New Roman" w:hAnsi="Times New Roman" w:eastAsia="宋体" w:cs="Times New Roman"/>
                <w:color w:val="000000" w:themeColor="text1"/>
                <w:sz w:val="21"/>
                <w:szCs w:val="21"/>
                <w:lang w:val="en-US" w:eastAsia="zh-CN"/>
              </w:rPr>
              <w:t>生产工艺为将</w:t>
            </w:r>
            <w:r>
              <w:rPr>
                <w:rFonts w:hint="default" w:ascii="Times New Roman" w:hAnsi="Times New Roman" w:eastAsia="宋体" w:cs="Times New Roman"/>
                <w:color w:val="000000" w:themeColor="text1"/>
                <w:sz w:val="21"/>
                <w:szCs w:val="21"/>
              </w:rPr>
              <w:t>废纸进行湿式搅碎，加入石粉等辅料后成型烘干制成蛋托</w:t>
            </w:r>
            <w:r>
              <w:rPr>
                <w:rFonts w:hint="eastAsia" w:ascii="Times New Roman" w:hAnsi="Times New Roman" w:eastAsia="宋体" w:cs="Times New Roman"/>
                <w:color w:val="000000" w:themeColor="text1"/>
                <w:sz w:val="21"/>
                <w:szCs w:val="21"/>
                <w:lang w:val="en-US" w:eastAsia="zh-CN"/>
              </w:rPr>
              <w:t>等</w:t>
            </w:r>
            <w:r>
              <w:rPr>
                <w:rFonts w:hint="default" w:ascii="Times New Roman" w:hAnsi="Times New Roman" w:eastAsia="宋体" w:cs="Times New Roman"/>
                <w:color w:val="000000" w:themeColor="text1"/>
                <w:sz w:val="21"/>
                <w:szCs w:val="21"/>
              </w:rPr>
              <w:t>纸浆模塑包装制品，湿式搅碎仅是将废纸打碎形成碎纸浆，以便于进行后续纸浆模塑的成型，而并非制成纤维纸浆，与传统的造纸制浆有着本质的区别，且本项目无造纸的典型设备（如蒸煮器、造纸机等），对照《国民经济行业分类》（GB</w:t>
            </w:r>
            <w:r>
              <w:rPr>
                <w:rFonts w:hint="eastAsia" w:ascii="Times New Roman" w:hAnsi="Times New Roman" w:eastAsia="宋体" w:cs="Times New Roman"/>
                <w:color w:val="000000" w:themeColor="text1"/>
                <w:sz w:val="21"/>
                <w:szCs w:val="21"/>
                <w:lang w:val="en-US" w:eastAsia="zh-CN"/>
              </w:rPr>
              <w:t>/</w:t>
            </w:r>
            <w:r>
              <w:rPr>
                <w:rFonts w:hint="default" w:ascii="Times New Roman" w:hAnsi="Times New Roman" w:eastAsia="宋体" w:cs="Times New Roman"/>
                <w:color w:val="000000" w:themeColor="text1"/>
                <w:sz w:val="21"/>
                <w:szCs w:val="21"/>
              </w:rPr>
              <w:t>T</w:t>
            </w:r>
            <w:r>
              <w:rPr>
                <w:rFonts w:hint="eastAsia" w:ascii="Times New Roman" w:hAnsi="Times New Roman" w:eastAsia="宋体" w:cs="Times New Roman"/>
                <w:color w:val="000000" w:themeColor="text1"/>
                <w:sz w:val="21"/>
                <w:szCs w:val="21"/>
                <w:lang w:val="en-US" w:eastAsia="zh-CN"/>
              </w:rPr>
              <w:t xml:space="preserve">  </w:t>
            </w:r>
            <w:r>
              <w:rPr>
                <w:rFonts w:hint="default" w:ascii="Times New Roman" w:hAnsi="Times New Roman" w:eastAsia="宋体" w:cs="Times New Roman"/>
                <w:color w:val="000000" w:themeColor="text1"/>
                <w:sz w:val="21"/>
                <w:szCs w:val="21"/>
              </w:rPr>
              <w:t>4754-2017），本项目不属于C222造纸，项目归类于C223纸制品制造中的“C2239其他纸制品制造”</w:t>
            </w:r>
            <w:r>
              <w:rPr>
                <w:rFonts w:hint="eastAsia" w:ascii="Times New Roman" w:hAnsi="Times New Roman" w:eastAsia="宋体" w:cs="Times New Roman"/>
                <w:color w:val="000000" w:themeColor="text1"/>
                <w:sz w:val="21"/>
                <w:szCs w:val="21"/>
                <w:lang w:val="en-US" w:eastAsia="zh-CN"/>
              </w:rPr>
              <w:t>中的“纸浆模制品：一次性纸浆模餐具、方便面碗、纸浆模制超市托盒(盘)、医用一次性托盘和用具、精密工业品包装纸浆模制品、其他纸浆模制品”</w:t>
            </w:r>
            <w:r>
              <w:rPr>
                <w:rFonts w:hint="default" w:ascii="Times New Roman" w:hAnsi="Times New Roman" w:eastAsia="宋体" w:cs="Times New Roman"/>
                <w:color w:val="000000" w:themeColor="text1"/>
                <w:sz w:val="21"/>
                <w:szCs w:val="21"/>
              </w:rPr>
              <w:t>。</w:t>
            </w:r>
          </w:p>
          <w:p w14:paraId="058F905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firstLine="420"/>
              <w:jc w:val="left"/>
              <w:textAlignment w:val="auto"/>
              <w:rPr>
                <w:rFonts w:hint="default" w:ascii="Times New Roman" w:hAnsi="Times New Roman" w:cs="Times New Roman"/>
                <w:color w:val="000000" w:themeColor="text1"/>
              </w:rPr>
            </w:pPr>
            <w:r>
              <w:rPr>
                <w:rFonts w:hint="default" w:ascii="Times New Roman" w:hAnsi="Times New Roman" w:cs="Times New Roman"/>
                <w:color w:val="000000" w:themeColor="text1"/>
              </w:rPr>
              <w:pict>
                <v:shape id="_x0000_s2378" o:spid="_x0000_s2378" o:spt="75" type="#_x0000_t75" style="position:absolute;left:0pt;margin-left:24.5pt;margin-top:24.3pt;height:170.35pt;width:333.6pt;mso-wrap-distance-bottom:0pt;mso-wrap-distance-top:0pt;z-index:251662336;mso-width-relative:page;mso-height-relative:page;" filled="f" o:preferrelative="t" stroked="f" coordsize="21600,21600">
                  <v:path/>
                  <v:fill on="f" focussize="0,0"/>
                  <v:stroke on="f"/>
                  <v:imagedata r:id="rId17" o:title=""/>
                  <o:lock v:ext="edit" aspectratio="t"/>
                  <w10:wrap type="topAndBottom"/>
                </v:shape>
              </w:pict>
            </w:r>
          </w:p>
          <w:p w14:paraId="243F94F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firstLine="420"/>
              <w:jc w:val="left"/>
              <w:textAlignment w:val="auto"/>
              <w:rPr>
                <w:rFonts w:hint="default" w:ascii="Times New Roman" w:hAnsi="Times New Roman" w:eastAsia="宋体" w:cs="Times New Roman"/>
                <w:color w:val="000000" w:themeColor="text1"/>
                <w:sz w:val="21"/>
                <w:szCs w:val="21"/>
              </w:rPr>
            </w:pPr>
          </w:p>
          <w:p w14:paraId="421CD75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firstLine="420"/>
              <w:jc w:val="left"/>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本项目为纸制品制造，</w:t>
            </w:r>
            <w:r>
              <w:rPr>
                <w:rFonts w:hint="default" w:ascii="Times New Roman" w:hAnsi="Times New Roman" w:eastAsia="宋体" w:cs="Times New Roman"/>
                <w:color w:val="00B050"/>
                <w:sz w:val="21"/>
                <w:szCs w:val="21"/>
              </w:rPr>
              <w:t>经查阅《产业结构调整指导目录（2024年本）》，本项目涉及的产品、工艺和设备均不属于其中的“鼓励类”、“限制类”和“淘汰类”之列，根据《促进产业结构调整暂行规定》（国发〔2005〕40号）第十三条规定，本项目属于“允许类”，同时对照《市场准入负面清单（2022年版）》，本项目不属于禁止事项，符合国家产业政策。</w:t>
            </w:r>
            <w:r>
              <w:rPr>
                <w:rFonts w:hint="default" w:ascii="Times New Roman" w:hAnsi="Times New Roman" w:eastAsia="宋体" w:cs="Times New Roman"/>
                <w:color w:val="000000" w:themeColor="text1"/>
                <w:sz w:val="21"/>
                <w:szCs w:val="21"/>
              </w:rPr>
              <w:t>且本项目已取得通海县发展和改革局关于项目的备案证，项目代码为2103-530423-04-01-930969（</w:t>
            </w:r>
            <w:r>
              <w:rPr>
                <w:rFonts w:hint="default" w:ascii="Times New Roman" w:hAnsi="Times New Roman" w:eastAsia="宋体" w:cs="Times New Roman"/>
                <w:color w:val="000000" w:themeColor="text1"/>
                <w:sz w:val="21"/>
                <w:szCs w:val="21"/>
                <w:lang w:val="en-US" w:eastAsia="zh-CN"/>
              </w:rPr>
              <w:t>备案证</w:t>
            </w:r>
            <w:r>
              <w:rPr>
                <w:rFonts w:hint="default" w:ascii="Times New Roman" w:hAnsi="Times New Roman" w:eastAsia="宋体" w:cs="Times New Roman"/>
                <w:color w:val="000000" w:themeColor="text1"/>
                <w:sz w:val="21"/>
                <w:szCs w:val="21"/>
              </w:rPr>
              <w:t>见附件2）。</w:t>
            </w:r>
          </w:p>
          <w:p w14:paraId="3F13B89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firstLine="420"/>
              <w:jc w:val="left"/>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因此，本项目建设符合国家产业政策。</w:t>
            </w:r>
          </w:p>
          <w:p w14:paraId="314729C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2、选址合理性分析</w:t>
            </w:r>
          </w:p>
          <w:p w14:paraId="59D2218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本项目位于通海五金产业园区里山片区，用地为三类工业用地</w:t>
            </w:r>
            <w:r>
              <w:rPr>
                <w:rFonts w:hint="eastAsia" w:cs="Times New Roman"/>
                <w:color w:val="000000" w:themeColor="text1"/>
                <w:sz w:val="21"/>
                <w:szCs w:val="21"/>
                <w:lang w:val="en-US" w:eastAsia="zh-CN"/>
              </w:rPr>
              <w:t>。</w:t>
            </w:r>
            <w:r>
              <w:rPr>
                <w:rFonts w:hint="eastAsia" w:cs="Times New Roman"/>
                <w:color w:val="00B050"/>
                <w:sz w:val="21"/>
                <w:szCs w:val="21"/>
                <w:lang w:val="en-US" w:eastAsia="zh-CN"/>
              </w:rPr>
              <w:t>根据通海县杞麓湖管理局出具的《通海县杞麓湖管理局关于云南云禾纸模包装制品有限公司选址的意见》，本项目</w:t>
            </w:r>
            <w:r>
              <w:rPr>
                <w:rFonts w:hint="default" w:ascii="Times New Roman" w:hAnsi="Times New Roman" w:eastAsia="宋体" w:cs="Times New Roman"/>
                <w:color w:val="00B050"/>
                <w:sz w:val="21"/>
                <w:szCs w:val="21"/>
                <w:lang w:val="en-US" w:eastAsia="zh-CN"/>
              </w:rPr>
              <w:t>属杞麓湖</w:t>
            </w:r>
            <w:r>
              <w:rPr>
                <w:rFonts w:hint="eastAsia" w:cs="Times New Roman"/>
                <w:color w:val="00B050"/>
                <w:sz w:val="21"/>
                <w:szCs w:val="21"/>
                <w:lang w:val="en-US" w:eastAsia="zh-CN"/>
              </w:rPr>
              <w:t>流域范围线外；根据通海县自然资源局出具的《通海县“三区三线”数据查询结果》，本项目</w:t>
            </w:r>
            <w:r>
              <w:rPr>
                <w:rFonts w:hint="default" w:ascii="Times New Roman" w:hAnsi="Times New Roman" w:eastAsia="宋体" w:cs="Times New Roman"/>
                <w:color w:val="00B050"/>
                <w:sz w:val="21"/>
                <w:szCs w:val="21"/>
                <w:lang w:val="en-US" w:eastAsia="zh-CN"/>
              </w:rPr>
              <w:t>不涉及占用通海县</w:t>
            </w:r>
            <w:r>
              <w:rPr>
                <w:rFonts w:hint="eastAsia" w:cs="Times New Roman"/>
                <w:color w:val="00B050"/>
                <w:sz w:val="21"/>
                <w:szCs w:val="21"/>
                <w:lang w:val="en-US" w:eastAsia="zh-CN"/>
              </w:rPr>
              <w:t>永久基本农田和</w:t>
            </w:r>
            <w:r>
              <w:rPr>
                <w:rFonts w:hint="default" w:ascii="Times New Roman" w:hAnsi="Times New Roman" w:eastAsia="宋体" w:cs="Times New Roman"/>
                <w:color w:val="00B050"/>
                <w:sz w:val="21"/>
                <w:szCs w:val="21"/>
                <w:lang w:val="en-US" w:eastAsia="zh-CN"/>
              </w:rPr>
              <w:t>生态</w:t>
            </w:r>
            <w:r>
              <w:rPr>
                <w:rFonts w:hint="eastAsia" w:cs="Times New Roman"/>
                <w:color w:val="00B050"/>
                <w:sz w:val="21"/>
                <w:szCs w:val="21"/>
                <w:lang w:val="en-US" w:eastAsia="zh-CN"/>
              </w:rPr>
              <w:t>保护</w:t>
            </w:r>
            <w:r>
              <w:rPr>
                <w:rFonts w:hint="default" w:ascii="Times New Roman" w:hAnsi="Times New Roman" w:eastAsia="宋体" w:cs="Times New Roman"/>
                <w:color w:val="00B050"/>
                <w:sz w:val="21"/>
                <w:szCs w:val="21"/>
                <w:lang w:val="en-US" w:eastAsia="zh-CN"/>
              </w:rPr>
              <w:t>红线</w:t>
            </w:r>
            <w:r>
              <w:rPr>
                <w:rFonts w:hint="eastAsia" w:cs="Times New Roman"/>
                <w:color w:val="00B050"/>
                <w:sz w:val="21"/>
                <w:szCs w:val="21"/>
                <w:lang w:val="en-US" w:eastAsia="zh-CN"/>
              </w:rPr>
              <w:t>；根据玉溪市生态环境局通海分局出具的《关于通海云禾纸模包装制品有限公司新建(搬迁)年产3亿片纸浆模塑包装制品项目“三线一单”管控单元查询结果》，本项目涉及通海县产业园区重点管控单元</w:t>
            </w:r>
            <w:r>
              <w:rPr>
                <w:rFonts w:hint="default" w:ascii="Times New Roman" w:hAnsi="Times New Roman" w:eastAsia="宋体" w:cs="Times New Roman"/>
                <w:color w:val="00B050"/>
                <w:sz w:val="21"/>
                <w:szCs w:val="21"/>
                <w:lang w:val="en-US" w:eastAsia="zh-CN"/>
              </w:rPr>
              <w:t>，符合《玉溪市“三线一单”生态环境分区管控实施意见的通知》（玉政发〔2021〕15号）</w:t>
            </w:r>
            <w:r>
              <w:rPr>
                <w:rFonts w:hint="eastAsia" w:cs="Times New Roman"/>
                <w:color w:val="00B050"/>
                <w:sz w:val="21"/>
                <w:szCs w:val="21"/>
                <w:lang w:val="en-US" w:eastAsia="zh-CN"/>
              </w:rPr>
              <w:t>和</w:t>
            </w:r>
            <w:r>
              <w:rPr>
                <w:rFonts w:hint="default" w:ascii="Times New Roman" w:hAnsi="Times New Roman" w:eastAsia="宋体" w:cs="Times New Roman"/>
                <w:b w:val="0"/>
                <w:bCs w:val="0"/>
                <w:color w:val="00B050"/>
                <w:sz w:val="21"/>
                <w:szCs w:val="21"/>
              </w:rPr>
              <w:t>《玉溪市生态环境分区管控动态更新调整方案（2023年）》</w:t>
            </w:r>
            <w:r>
              <w:rPr>
                <w:rFonts w:hint="eastAsia" w:cs="Times New Roman"/>
                <w:b w:val="0"/>
                <w:bCs w:val="0"/>
                <w:color w:val="00B050"/>
                <w:sz w:val="21"/>
                <w:szCs w:val="21"/>
                <w:lang w:val="en-US" w:eastAsia="zh-CN"/>
              </w:rPr>
              <w:t>相关</w:t>
            </w:r>
            <w:r>
              <w:rPr>
                <w:rFonts w:hint="default" w:ascii="Times New Roman" w:hAnsi="Times New Roman" w:eastAsia="宋体" w:cs="Times New Roman"/>
                <w:color w:val="00B050"/>
                <w:sz w:val="21"/>
                <w:szCs w:val="21"/>
                <w:lang w:val="en-US" w:eastAsia="zh-CN"/>
              </w:rPr>
              <w:t>要求。</w:t>
            </w:r>
            <w:r>
              <w:rPr>
                <w:rFonts w:hint="eastAsia" w:ascii="Times New Roman" w:hAnsi="Times New Roman" w:eastAsia="宋体" w:cs="Times New Roman"/>
                <w:snapToGrid w:val="0"/>
                <w:color w:val="000000" w:themeColor="text1"/>
                <w:kern w:val="0"/>
                <w:sz w:val="21"/>
                <w:szCs w:val="21"/>
                <w:lang w:val="en-US" w:eastAsia="zh-CN" w:bidi="ar"/>
              </w:rPr>
              <w:t>且本项目已取得园区管委会下发的《通海云禾纸模包装制品有限公司新建(搬迁)年产3亿片纸浆模塑包装制品项目</w:t>
            </w:r>
            <w:r>
              <w:rPr>
                <w:rFonts w:hint="eastAsia" w:cs="Times New Roman"/>
                <w:snapToGrid w:val="0"/>
                <w:color w:val="000000" w:themeColor="text1"/>
                <w:kern w:val="0"/>
                <w:sz w:val="21"/>
                <w:szCs w:val="21"/>
                <w:lang w:val="en-US" w:eastAsia="zh-CN" w:bidi="ar"/>
              </w:rPr>
              <w:t>入</w:t>
            </w:r>
            <w:r>
              <w:rPr>
                <w:rFonts w:hint="eastAsia" w:ascii="Times New Roman" w:hAnsi="Times New Roman" w:eastAsia="宋体" w:cs="Times New Roman"/>
                <w:snapToGrid w:val="0"/>
                <w:color w:val="000000" w:themeColor="text1"/>
                <w:kern w:val="0"/>
                <w:sz w:val="21"/>
                <w:szCs w:val="21"/>
                <w:lang w:val="en-US" w:eastAsia="zh-CN" w:bidi="ar"/>
              </w:rPr>
              <w:t>园通知》，即项目与园区规划不冲突</w:t>
            </w:r>
            <w:r>
              <w:rPr>
                <w:rFonts w:hint="default" w:ascii="Times New Roman" w:hAnsi="Times New Roman" w:eastAsia="宋体" w:cs="Times New Roman"/>
                <w:color w:val="000000" w:themeColor="text1"/>
                <w:sz w:val="21"/>
                <w:szCs w:val="21"/>
              </w:rPr>
              <w:t>。</w:t>
            </w:r>
          </w:p>
          <w:p w14:paraId="264CAD8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项目</w:t>
            </w:r>
            <w:r>
              <w:rPr>
                <w:rFonts w:hint="default" w:ascii="Times New Roman" w:hAnsi="Times New Roman" w:eastAsia="宋体" w:cs="Times New Roman"/>
                <w:color w:val="000000" w:themeColor="text1"/>
                <w:sz w:val="21"/>
                <w:szCs w:val="21"/>
              </w:rPr>
              <w:t>所选厂地在供电、供水、交通等基础条件十分便利</w:t>
            </w:r>
            <w:r>
              <w:rPr>
                <w:rFonts w:hint="default"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厂区</w:t>
            </w:r>
            <w:r>
              <w:rPr>
                <w:rFonts w:hint="default" w:ascii="Times New Roman" w:hAnsi="Times New Roman" w:eastAsia="宋体" w:cs="Times New Roman"/>
                <w:color w:val="000000" w:themeColor="text1"/>
                <w:sz w:val="21"/>
                <w:szCs w:val="21"/>
                <w:lang w:val="en-US" w:eastAsia="zh-CN"/>
              </w:rPr>
              <w:t>设计</w:t>
            </w:r>
            <w:r>
              <w:rPr>
                <w:rFonts w:hint="default" w:ascii="Times New Roman" w:hAnsi="Times New Roman" w:eastAsia="宋体" w:cs="Times New Roman"/>
                <w:color w:val="000000" w:themeColor="text1"/>
                <w:sz w:val="21"/>
                <w:szCs w:val="21"/>
              </w:rPr>
              <w:t>道路与</w:t>
            </w:r>
            <w:r>
              <w:rPr>
                <w:rFonts w:hint="default" w:ascii="Times New Roman" w:hAnsi="Times New Roman" w:eastAsia="宋体" w:cs="Times New Roman"/>
                <w:color w:val="000000" w:themeColor="text1"/>
                <w:sz w:val="21"/>
                <w:szCs w:val="21"/>
                <w:lang w:val="en-US" w:eastAsia="zh-CN"/>
              </w:rPr>
              <w:t>园区</w:t>
            </w:r>
            <w:r>
              <w:rPr>
                <w:rFonts w:hint="default" w:ascii="Times New Roman" w:hAnsi="Times New Roman" w:eastAsia="宋体" w:cs="Times New Roman"/>
                <w:color w:val="000000" w:themeColor="text1"/>
                <w:sz w:val="21"/>
                <w:szCs w:val="21"/>
              </w:rPr>
              <w:t>公路相邻，交通十分便利；根据环境质量数据，项目区具有一定的环境容量，对项目建设无重大环境制约因素。</w:t>
            </w:r>
          </w:p>
          <w:p w14:paraId="3041EB6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在采取相应环保措施后，项目产生的废气对周围环境影响较小；</w:t>
            </w:r>
            <w:r>
              <w:rPr>
                <w:rFonts w:hint="default" w:ascii="Times New Roman" w:hAnsi="Times New Roman" w:eastAsia="宋体" w:cs="Times New Roman"/>
                <w:color w:val="000000" w:themeColor="text1"/>
                <w:sz w:val="21"/>
                <w:szCs w:val="21"/>
                <w:lang w:val="en-US" w:eastAsia="zh-CN"/>
              </w:rPr>
              <w:t>生产废水循环使用；生活污水进入园区污水处理厂处理</w:t>
            </w:r>
            <w:r>
              <w:rPr>
                <w:rFonts w:hint="default" w:ascii="Times New Roman" w:hAnsi="Times New Roman" w:eastAsia="宋体" w:cs="Times New Roman"/>
                <w:color w:val="000000" w:themeColor="text1"/>
                <w:sz w:val="21"/>
                <w:szCs w:val="21"/>
              </w:rPr>
              <w:t>；噪声厂界可达标排放；固体废物均能得到合理处置，项目与周围环境相容</w:t>
            </w:r>
            <w:r>
              <w:rPr>
                <w:rFonts w:hint="default"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项目产生的污染物在采取相应环保措施后，产生的环境影响可以得到有效控制，不会改变区域的环境功能区划。同时，本项目实施区范围内无自然保护区、风景旅游点、文物古迹等需要特殊保护的环境敏感对象。</w:t>
            </w:r>
          </w:p>
          <w:p w14:paraId="554CE8A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综上，项目建设场地条件、交通运输、环境保护和水、电、通信等条件好，无重大的环境制约因素，项目选址合理。</w:t>
            </w:r>
          </w:p>
          <w:p w14:paraId="3A62351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lang w:val="en-US" w:eastAsia="zh-CN"/>
              </w:rPr>
              <w:t>3</w:t>
            </w:r>
            <w:r>
              <w:rPr>
                <w:rFonts w:hint="default" w:ascii="Times New Roman" w:hAnsi="Times New Roman" w:eastAsia="宋体" w:cs="Times New Roman"/>
                <w:b/>
                <w:bCs/>
                <w:color w:val="000000" w:themeColor="text1"/>
                <w:sz w:val="21"/>
                <w:szCs w:val="21"/>
              </w:rPr>
              <w:t>、项目与</w:t>
            </w:r>
            <w:r>
              <w:rPr>
                <w:rFonts w:hint="default" w:ascii="Times New Roman" w:hAnsi="Times New Roman" w:eastAsia="宋体" w:cs="Times New Roman"/>
                <w:b/>
                <w:bCs/>
                <w:color w:val="000000" w:themeColor="text1"/>
                <w:sz w:val="21"/>
                <w:szCs w:val="21"/>
                <w:lang w:val="en-US" w:eastAsia="zh-CN"/>
              </w:rPr>
              <w:t>《玉溪市“三线一单”生态环境分区管控实施意见的通知》（玉政发〔2021〕15号）、</w:t>
            </w:r>
            <w:r>
              <w:rPr>
                <w:rFonts w:hint="default" w:ascii="Times New Roman" w:hAnsi="Times New Roman" w:eastAsia="宋体" w:cs="Times New Roman"/>
                <w:b/>
                <w:bCs/>
                <w:color w:val="000000" w:themeColor="text1"/>
                <w:sz w:val="21"/>
                <w:szCs w:val="21"/>
              </w:rPr>
              <w:t>《玉溪市生态环境分区管控动态更新调整方案（2023年）》的符合性分析</w:t>
            </w:r>
          </w:p>
          <w:p w14:paraId="5816073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根据《玉溪市“三线一单”生态环境分区管控实施意见的通知》（玉政发〔2021〕15号）、《玉溪市生态环境局关于印发玉溪市生态环境分区管控动态更新调整方案（2023年）的通知》（玉市环〔2024〕40号）基本情况如下</w:t>
            </w:r>
            <w:r>
              <w:rPr>
                <w:rFonts w:hint="default" w:ascii="Times New Roman" w:hAnsi="Times New Roman" w:eastAsia="宋体" w:cs="Times New Roman"/>
                <w:color w:val="000000" w:themeColor="text1"/>
                <w:sz w:val="21"/>
                <w:szCs w:val="21"/>
              </w:rPr>
              <w:t>。</w:t>
            </w:r>
          </w:p>
          <w:p w14:paraId="4E0DC10C">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表1-</w:t>
            </w:r>
            <w:r>
              <w:rPr>
                <w:rFonts w:hint="eastAsia" w:ascii="Times New Roman" w:hAnsi="Times New Roman" w:eastAsia="宋体" w:cs="Times New Roman"/>
                <w:b/>
                <w:bCs/>
                <w:color w:val="000000" w:themeColor="text1"/>
                <w:sz w:val="21"/>
                <w:szCs w:val="21"/>
                <w:lang w:val="en-US" w:eastAsia="zh-CN"/>
              </w:rPr>
              <w:t>4</w:t>
            </w:r>
            <w:r>
              <w:rPr>
                <w:rFonts w:hint="default" w:ascii="Times New Roman" w:hAnsi="Times New Roman" w:eastAsia="宋体" w:cs="Times New Roman"/>
                <w:b/>
                <w:bCs/>
                <w:color w:val="000000" w:themeColor="text1"/>
                <w:sz w:val="21"/>
                <w:szCs w:val="21"/>
              </w:rPr>
              <w:t xml:space="preserve">  </w:t>
            </w:r>
            <w:r>
              <w:rPr>
                <w:rFonts w:hint="eastAsia" w:ascii="Times New Roman" w:hAnsi="Times New Roman" w:eastAsia="宋体" w:cs="Times New Roman"/>
                <w:b/>
                <w:bCs/>
                <w:color w:val="000000" w:themeColor="text1"/>
                <w:sz w:val="21"/>
                <w:szCs w:val="21"/>
                <w:lang w:val="en-US" w:eastAsia="zh-CN"/>
              </w:rPr>
              <w:t>项目与</w:t>
            </w:r>
            <w:r>
              <w:rPr>
                <w:rFonts w:hint="default" w:ascii="Times New Roman" w:hAnsi="Times New Roman" w:eastAsia="宋体" w:cs="Times New Roman"/>
                <w:b/>
                <w:bCs/>
                <w:color w:val="000000" w:themeColor="text1"/>
                <w:sz w:val="21"/>
                <w:szCs w:val="21"/>
                <w:lang w:val="en-US" w:eastAsia="zh-CN"/>
              </w:rPr>
              <w:t>玉溪市“三线一单”</w:t>
            </w:r>
            <w:r>
              <w:rPr>
                <w:rFonts w:hint="eastAsia" w:ascii="Times New Roman" w:hAnsi="Times New Roman" w:cs="Times New Roman"/>
                <w:b/>
                <w:bCs/>
                <w:color w:val="000000" w:themeColor="text1"/>
                <w:sz w:val="21"/>
                <w:szCs w:val="21"/>
                <w:lang w:val="en-US" w:eastAsia="zh-CN"/>
              </w:rPr>
              <w:t>要求</w:t>
            </w:r>
            <w:r>
              <w:rPr>
                <w:rFonts w:hint="default" w:ascii="Times New Roman" w:hAnsi="Times New Roman" w:eastAsia="宋体" w:cs="Times New Roman"/>
                <w:b/>
                <w:bCs/>
                <w:color w:val="000000" w:themeColor="text1"/>
                <w:sz w:val="21"/>
                <w:szCs w:val="21"/>
              </w:rPr>
              <w:t>符合性分析</w:t>
            </w:r>
            <w:bookmarkStart w:id="5" w:name="_Toc79634457"/>
          </w:p>
          <w:tbl>
            <w:tblPr>
              <w:tblStyle w:val="43"/>
              <w:tblW w:w="49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544"/>
              <w:gridCol w:w="2852"/>
              <w:gridCol w:w="660"/>
            </w:tblGrid>
            <w:tr w14:paraId="3A5CC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57" w:type="pct"/>
                  <w:noWrap w:val="0"/>
                  <w:vAlign w:val="center"/>
                </w:tcPr>
                <w:p w14:paraId="6EB55C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项目</w:t>
                  </w:r>
                </w:p>
              </w:tc>
              <w:tc>
                <w:tcPr>
                  <w:tcW w:w="2281" w:type="pct"/>
                  <w:noWrap w:val="0"/>
                  <w:vAlign w:val="center"/>
                </w:tcPr>
                <w:p w14:paraId="05A62A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分析内容</w:t>
                  </w:r>
                </w:p>
              </w:tc>
              <w:tc>
                <w:tcPr>
                  <w:tcW w:w="1836" w:type="pct"/>
                  <w:noWrap w:val="0"/>
                  <w:vAlign w:val="center"/>
                </w:tcPr>
                <w:p w14:paraId="51B0BA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项目情况</w:t>
                  </w:r>
                </w:p>
              </w:tc>
              <w:tc>
                <w:tcPr>
                  <w:tcW w:w="424" w:type="pct"/>
                  <w:noWrap w:val="0"/>
                  <w:vAlign w:val="center"/>
                </w:tcPr>
                <w:p w14:paraId="3AA8C5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符合性</w:t>
                  </w:r>
                </w:p>
              </w:tc>
            </w:tr>
            <w:tr w14:paraId="7CCA2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5000" w:type="pct"/>
                  <w:gridSpan w:val="4"/>
                  <w:noWrap w:val="0"/>
                  <w:vAlign w:val="center"/>
                </w:tcPr>
                <w:p w14:paraId="6B085A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B050"/>
                      <w:sz w:val="21"/>
                      <w:szCs w:val="21"/>
                      <w:lang w:val="en-US" w:eastAsia="zh-CN"/>
                    </w:rPr>
                    <w:t>《玉溪市“三线一单”生态环境分区管控实施意见的通知》（玉政发〔2021〕15号）</w:t>
                  </w:r>
                </w:p>
              </w:tc>
            </w:tr>
            <w:tr w14:paraId="64BC4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57" w:type="pct"/>
                  <w:noWrap w:val="0"/>
                  <w:vAlign w:val="center"/>
                </w:tcPr>
                <w:p w14:paraId="78B08A1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color w:val="000000"/>
                      <w:sz w:val="21"/>
                      <w:szCs w:val="21"/>
                    </w:rPr>
                    <w:t>生态保护红线和一般生态空间</w:t>
                  </w:r>
                </w:p>
              </w:tc>
              <w:tc>
                <w:tcPr>
                  <w:tcW w:w="2281" w:type="pct"/>
                  <w:noWrap w:val="0"/>
                  <w:vAlign w:val="center"/>
                </w:tcPr>
                <w:p w14:paraId="53B133EB">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color w:val="00B050"/>
                      <w:sz w:val="21"/>
                      <w:szCs w:val="21"/>
                    </w:rPr>
                    <w:t>执行《云南省人民政府关于发布云南省生态保护红线的通知》（云政发〔2018〕32号），生态保护红线评估调整成果获批后，按照批准成果执行。将未划入生态保护红线的自然保护地、饮用水水源保护区、重要湿地、基本草原、生态公益林、天然林等生态功能重要、生态环境敏感区域划为一般生态空间</w:t>
                  </w:r>
                  <w:r>
                    <w:rPr>
                      <w:rFonts w:hint="default" w:ascii="Times New Roman" w:hAnsi="Times New Roman" w:eastAsia="宋体" w:cs="Times New Roman"/>
                      <w:color w:val="00B050"/>
                      <w:sz w:val="21"/>
                      <w:szCs w:val="21"/>
                      <w:lang w:eastAsia="zh-CN"/>
                    </w:rPr>
                    <w:t>。</w:t>
                  </w:r>
                </w:p>
              </w:tc>
              <w:tc>
                <w:tcPr>
                  <w:tcW w:w="1836" w:type="pct"/>
                  <w:noWrap w:val="0"/>
                  <w:vAlign w:val="center"/>
                </w:tcPr>
                <w:p w14:paraId="20375CE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color w:val="00B050"/>
                      <w:sz w:val="21"/>
                      <w:szCs w:val="21"/>
                    </w:rPr>
                    <w:t>本项目建设地点位于</w:t>
                  </w:r>
                  <w:r>
                    <w:rPr>
                      <w:rFonts w:hint="eastAsia" w:ascii="Times New Roman" w:hAnsi="Times New Roman" w:eastAsia="宋体" w:cs="Times New Roman"/>
                      <w:color w:val="00B050"/>
                      <w:sz w:val="21"/>
                      <w:szCs w:val="21"/>
                      <w:u w:val="none"/>
                      <w:lang w:val="en-US" w:eastAsia="zh-CN"/>
                    </w:rPr>
                    <w:t>云南省玉溪市通海县通海五金产业园区里山片区</w:t>
                  </w:r>
                  <w:r>
                    <w:rPr>
                      <w:rFonts w:hint="default" w:ascii="Times New Roman" w:hAnsi="Times New Roman" w:eastAsia="宋体" w:cs="Times New Roman"/>
                      <w:color w:val="00B050"/>
                      <w:sz w:val="21"/>
                      <w:szCs w:val="21"/>
                    </w:rPr>
                    <w:t>，</w:t>
                  </w:r>
                  <w:r>
                    <w:rPr>
                      <w:rFonts w:hint="eastAsia" w:ascii="Times New Roman" w:hAnsi="Times New Roman" w:eastAsia="宋体" w:cs="Times New Roman"/>
                      <w:color w:val="00B050"/>
                      <w:sz w:val="21"/>
                      <w:szCs w:val="21"/>
                      <w:u w:val="none"/>
                      <w:lang w:val="en-US" w:eastAsia="zh-CN"/>
                    </w:rPr>
                    <w:t>项目周边无风景名胜区和自然保护区</w:t>
                  </w:r>
                  <w:r>
                    <w:rPr>
                      <w:rFonts w:hint="default" w:ascii="Times New Roman" w:hAnsi="Times New Roman" w:eastAsia="宋体" w:cs="Times New Roman"/>
                      <w:color w:val="00B050"/>
                      <w:sz w:val="21"/>
                      <w:szCs w:val="21"/>
                    </w:rPr>
                    <w:t>。</w:t>
                  </w:r>
                  <w:r>
                    <w:rPr>
                      <w:rFonts w:hint="eastAsia" w:ascii="Times New Roman" w:hAnsi="Times New Roman" w:eastAsia="宋体" w:cs="Times New Roman"/>
                      <w:color w:val="00B050"/>
                      <w:sz w:val="21"/>
                      <w:szCs w:val="21"/>
                      <w:lang w:val="en-US" w:eastAsia="zh-CN"/>
                    </w:rPr>
                    <w:t>不属于一般生态空间。</w:t>
                  </w:r>
                </w:p>
              </w:tc>
              <w:tc>
                <w:tcPr>
                  <w:tcW w:w="424" w:type="pct"/>
                  <w:noWrap w:val="0"/>
                  <w:vAlign w:val="center"/>
                </w:tcPr>
                <w:p w14:paraId="616431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color w:val="00B050"/>
                      <w:sz w:val="21"/>
                      <w:szCs w:val="21"/>
                    </w:rPr>
                    <w:t>符合</w:t>
                  </w:r>
                </w:p>
              </w:tc>
            </w:tr>
            <w:tr w14:paraId="2B4A7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57" w:type="pct"/>
                  <w:noWrap w:val="0"/>
                  <w:vAlign w:val="center"/>
                </w:tcPr>
                <w:p w14:paraId="6085420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color w:val="000000"/>
                      <w:sz w:val="21"/>
                      <w:szCs w:val="21"/>
                    </w:rPr>
                    <w:t>环境质量底线</w:t>
                  </w:r>
                </w:p>
              </w:tc>
              <w:tc>
                <w:tcPr>
                  <w:tcW w:w="2281" w:type="pct"/>
                  <w:noWrap w:val="0"/>
                  <w:vAlign w:val="center"/>
                </w:tcPr>
                <w:p w14:paraId="76775F5D">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val="en-US" w:eastAsia="zh-CN"/>
                    </w:rPr>
                    <w:t>1、</w:t>
                  </w:r>
                  <w:r>
                    <w:rPr>
                      <w:rFonts w:hint="default" w:ascii="Times New Roman" w:hAnsi="Times New Roman" w:eastAsia="宋体" w:cs="Times New Roman"/>
                      <w:b w:val="0"/>
                      <w:bCs w:val="0"/>
                      <w:color w:val="000000"/>
                      <w:sz w:val="21"/>
                      <w:szCs w:val="21"/>
                    </w:rPr>
                    <w:t>水环境质量底线。到2025年，全市水环境质量持续改善，纳入国家和省级考核的地表水监测断面水质优良率稳步提升。抚仙湖水质稳定保持Ⅰ类水质标准，星云湖、杞麓湖水质指标均达到Ⅴ类水质标准。中心城区及县城集中式饮用水水源地水质达标率为100%。到2035年，全市水环境质量总体改善，水生生态系统功能恢复。地表水水体水质优良率全面提升，彻底消除劣V类水体。抚仙湖水质稳定保持Ⅰ类水质标准，星云湖和杞麓湖水质持续稳定向好。</w:t>
                  </w:r>
                </w:p>
                <w:p w14:paraId="4CF9B848">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val="en-US" w:eastAsia="zh-CN"/>
                    </w:rPr>
                    <w:t>2、</w:t>
                  </w:r>
                  <w:r>
                    <w:rPr>
                      <w:rFonts w:hint="default" w:ascii="Times New Roman" w:hAnsi="Times New Roman" w:eastAsia="宋体" w:cs="Times New Roman"/>
                      <w:b w:val="0"/>
                      <w:bCs w:val="0"/>
                      <w:color w:val="000000"/>
                      <w:sz w:val="21"/>
                      <w:szCs w:val="21"/>
                    </w:rPr>
                    <w:t>大气环境质量底线。到2025年，全市环境空气质量稳中向好，中心城区城市空气质量优良天数比率保持稳定，主要污染物排放量达到国家和省级污染物总量控制要求，单位GDP二氧化碳排放控制在省下达指标内。到2035年，全市环境空气质量持续保持优良，实现稳中向好，主要污染物排放总量和二氧化碳排放量持续减少。</w:t>
                  </w:r>
                </w:p>
                <w:p w14:paraId="1CAC6FB0">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420" w:firstLineChars="200"/>
                    <w:jc w:val="both"/>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val="0"/>
                      <w:bCs w:val="0"/>
                      <w:color w:val="000000"/>
                      <w:sz w:val="21"/>
                      <w:szCs w:val="21"/>
                      <w:lang w:val="en-US" w:eastAsia="zh-CN"/>
                    </w:rPr>
                    <w:t>3、</w:t>
                  </w:r>
                  <w:r>
                    <w:rPr>
                      <w:rFonts w:hint="default" w:ascii="Times New Roman" w:hAnsi="Times New Roman" w:eastAsia="宋体" w:cs="Times New Roman"/>
                      <w:b w:val="0"/>
                      <w:bCs w:val="0"/>
                      <w:color w:val="000000"/>
                      <w:sz w:val="21"/>
                      <w:szCs w:val="21"/>
                    </w:rPr>
                    <w:t>土壤环境风险防控底线。到2025年，全市土壤环境风险防范体系进一步完善，受污染耕地安全利用率和污染地块安全利用率达到省下达的目标要求。到2035年，全市土壤环境质量稳中向好，农用地和建设用地土壤环境安全得到有效保障，受污染耕地安全利用率和污染地块安全利用率进一步提高，土壤环境风险得到全面管控。</w:t>
                  </w:r>
                </w:p>
              </w:tc>
              <w:tc>
                <w:tcPr>
                  <w:tcW w:w="1836" w:type="pct"/>
                  <w:noWrap w:val="0"/>
                  <w:vAlign w:val="center"/>
                </w:tcPr>
                <w:p w14:paraId="4BEDF92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00B050"/>
                      <w:sz w:val="21"/>
                      <w:szCs w:val="21"/>
                      <w:lang w:val="en-US" w:eastAsia="zh-CN"/>
                    </w:rPr>
                  </w:pPr>
                  <w:r>
                    <w:rPr>
                      <w:rFonts w:hint="default" w:ascii="Times New Roman" w:hAnsi="Times New Roman" w:eastAsia="宋体" w:cs="Times New Roman"/>
                      <w:color w:val="00B050"/>
                      <w:sz w:val="21"/>
                      <w:szCs w:val="21"/>
                      <w:lang w:val="en-US" w:eastAsia="zh-CN"/>
                    </w:rPr>
                    <w:t>1、本项目</w:t>
                  </w:r>
                  <w:r>
                    <w:rPr>
                      <w:rFonts w:hint="eastAsia" w:ascii="Times New Roman" w:hAnsi="Times New Roman" w:eastAsia="宋体" w:cs="Times New Roman"/>
                      <w:color w:val="00B050"/>
                      <w:sz w:val="21"/>
                      <w:szCs w:val="21"/>
                      <w:lang w:val="en-US" w:eastAsia="zh-CN"/>
                    </w:rPr>
                    <w:t>不在“三湖”流域内，对“三湖”地表水无影响。</w:t>
                  </w:r>
                  <w:r>
                    <w:rPr>
                      <w:rFonts w:hint="eastAsia" w:cs="Times New Roman"/>
                      <w:color w:val="00B050"/>
                      <w:sz w:val="21"/>
                      <w:szCs w:val="21"/>
                      <w:lang w:val="en-US" w:eastAsia="zh-CN"/>
                    </w:rPr>
                    <w:t>产生的生活污水经化粪池处理后进入园区污水处理厂处理；成型废水、冷却废水、冷凝废水通过回流管道回用于制料工序，均不外排。</w:t>
                  </w:r>
                  <w:r>
                    <w:rPr>
                      <w:rFonts w:hint="default" w:ascii="Times New Roman" w:hAnsi="Times New Roman" w:eastAsia="宋体" w:cs="Times New Roman"/>
                      <w:color w:val="00B050"/>
                      <w:sz w:val="21"/>
                      <w:szCs w:val="21"/>
                      <w:lang w:val="en-US" w:eastAsia="zh-CN"/>
                    </w:rPr>
                    <w:t>不会导致区域水环境质量发生明显改变，满足环境质量底线的要求。</w:t>
                  </w:r>
                </w:p>
                <w:p w14:paraId="0AA8EA21">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00B050"/>
                      <w:sz w:val="21"/>
                      <w:szCs w:val="21"/>
                      <w:lang w:val="en-US" w:eastAsia="zh-CN"/>
                    </w:rPr>
                  </w:pPr>
                  <w:r>
                    <w:rPr>
                      <w:rFonts w:hint="default" w:ascii="Times New Roman" w:hAnsi="Times New Roman" w:eastAsia="宋体" w:cs="Times New Roman"/>
                      <w:color w:val="00B050"/>
                      <w:sz w:val="21"/>
                      <w:szCs w:val="21"/>
                      <w:lang w:val="en-US" w:eastAsia="zh-CN"/>
                    </w:rPr>
                    <w:t>2、根据2023年</w:t>
                  </w:r>
                  <w:r>
                    <w:rPr>
                      <w:rFonts w:hint="eastAsia" w:ascii="Times New Roman" w:hAnsi="Times New Roman" w:eastAsia="宋体" w:cs="Times New Roman"/>
                      <w:color w:val="00B050"/>
                      <w:sz w:val="21"/>
                      <w:szCs w:val="21"/>
                      <w:lang w:val="en-US" w:eastAsia="zh-CN"/>
                    </w:rPr>
                    <w:t>通海县</w:t>
                  </w:r>
                  <w:r>
                    <w:rPr>
                      <w:rFonts w:hint="default" w:ascii="Times New Roman" w:hAnsi="Times New Roman" w:eastAsia="宋体" w:cs="Times New Roman"/>
                      <w:color w:val="00B050"/>
                      <w:sz w:val="21"/>
                      <w:szCs w:val="21"/>
                      <w:lang w:val="en-US" w:eastAsia="zh-CN"/>
                    </w:rPr>
                    <w:t>环境自动监测站的自动监测数据统计结果，环境空气质量满足《环境空气质量标准》（GB3095-2012）中二级标准</w:t>
                  </w:r>
                  <w:r>
                    <w:rPr>
                      <w:rFonts w:hint="eastAsia" w:ascii="Times New Roman" w:hAnsi="Times New Roman" w:eastAsia="宋体" w:cs="Times New Roman"/>
                      <w:color w:val="00B050"/>
                      <w:sz w:val="21"/>
                      <w:szCs w:val="21"/>
                      <w:lang w:val="en-US" w:eastAsia="zh-CN"/>
                    </w:rPr>
                    <w:t>；</w:t>
                  </w:r>
                  <w:r>
                    <w:rPr>
                      <w:rFonts w:hint="default" w:ascii="Times New Roman" w:hAnsi="Times New Roman" w:eastAsia="宋体" w:cs="Times New Roman"/>
                      <w:color w:val="00B050"/>
                      <w:sz w:val="21"/>
                      <w:szCs w:val="21"/>
                      <w:lang w:val="en-US" w:eastAsia="zh-CN"/>
                    </w:rPr>
                    <w:t>TSP引用云南省通海博大塑胶工贸有限公司委托玉溪华恒环境科技有限公司于2023年07月01日-2023年07月04日对《年产3000万套泡沫塑料包装箱生产线建设项目监测报告》中的检测数据</w:t>
                  </w:r>
                  <w:r>
                    <w:rPr>
                      <w:rFonts w:hint="eastAsia" w:ascii="Times New Roman" w:hAnsi="Times New Roman" w:eastAsia="宋体" w:cs="Times New Roman"/>
                      <w:color w:val="00B050"/>
                      <w:sz w:val="21"/>
                      <w:szCs w:val="21"/>
                      <w:lang w:val="en-US" w:eastAsia="zh-CN"/>
                    </w:rPr>
                    <w:t>，TSP能达到《环境空气质量标准》（GB3095-2012）及2018年修改单中的二级标准，因此，项目区为达标区。</w:t>
                  </w:r>
                </w:p>
                <w:p w14:paraId="023561A7">
                  <w:pPr>
                    <w:keepNext w:val="0"/>
                    <w:keepLines w:val="0"/>
                    <w:widowControl w:val="0"/>
                    <w:numPr>
                      <w:ilvl w:val="0"/>
                      <w:numId w:val="0"/>
                    </w:numPr>
                    <w:suppressLineNumbers w:val="0"/>
                    <w:spacing w:before="0" w:beforeAutospacing="0" w:after="0" w:afterAutospacing="0" w:line="240" w:lineRule="atLeast"/>
                    <w:ind w:left="0" w:right="0" w:firstLine="420" w:firstLineChars="200"/>
                    <w:jc w:val="both"/>
                    <w:rPr>
                      <w:rFonts w:hint="default" w:ascii="Times New Roman" w:hAnsi="Times New Roman" w:eastAsia="宋体" w:cs="Times New Roman"/>
                      <w:color w:val="00B050"/>
                      <w:kern w:val="2"/>
                      <w:sz w:val="21"/>
                      <w:szCs w:val="21"/>
                      <w:lang w:val="en-US" w:eastAsia="zh-CN" w:bidi="ar-SA"/>
                    </w:rPr>
                  </w:pPr>
                  <w:r>
                    <w:rPr>
                      <w:rFonts w:hint="eastAsia" w:ascii="Times New Roman" w:hAnsi="Times New Roman" w:eastAsia="宋体" w:cs="Times New Roman"/>
                      <w:color w:val="00B050"/>
                      <w:kern w:val="2"/>
                      <w:sz w:val="21"/>
                      <w:szCs w:val="21"/>
                      <w:lang w:val="en-US" w:eastAsia="zh-CN" w:bidi="ar-SA"/>
                    </w:rPr>
                    <w:t>根据工程分析，项目废气主要是烟尘、NOx、SO</w:t>
                  </w:r>
                  <w:r>
                    <w:rPr>
                      <w:rFonts w:hint="eastAsia" w:ascii="Times New Roman" w:hAnsi="Times New Roman" w:eastAsia="宋体" w:cs="Times New Roman"/>
                      <w:color w:val="00B050"/>
                      <w:kern w:val="2"/>
                      <w:sz w:val="21"/>
                      <w:szCs w:val="21"/>
                      <w:vertAlign w:val="subscript"/>
                      <w:lang w:val="en-US" w:eastAsia="zh-CN" w:bidi="ar-SA"/>
                    </w:rPr>
                    <w:t>2</w:t>
                  </w:r>
                  <w:r>
                    <w:rPr>
                      <w:rFonts w:hint="eastAsia" w:ascii="Times New Roman" w:hAnsi="Times New Roman" w:eastAsia="宋体" w:cs="Times New Roman"/>
                      <w:color w:val="00B050"/>
                      <w:kern w:val="2"/>
                      <w:sz w:val="21"/>
                      <w:szCs w:val="21"/>
                      <w:lang w:val="en-US" w:eastAsia="zh-CN" w:bidi="ar-SA"/>
                    </w:rPr>
                    <w:t>，</w:t>
                  </w:r>
                  <w:r>
                    <w:rPr>
                      <w:rFonts w:hint="eastAsia" w:cs="Times New Roman"/>
                      <w:color w:val="00B050"/>
                      <w:kern w:val="2"/>
                      <w:sz w:val="21"/>
                      <w:szCs w:val="21"/>
                      <w:lang w:val="en-US" w:eastAsia="zh-CN" w:bidi="ar-SA"/>
                    </w:rPr>
                    <w:t>经废气处理设施处理后达到排放标准后向大气排放，对周围大气环境影响不大</w:t>
                  </w:r>
                  <w:r>
                    <w:rPr>
                      <w:rFonts w:hint="eastAsia" w:ascii="Times New Roman" w:hAnsi="Times New Roman" w:eastAsia="宋体" w:cs="Times New Roman"/>
                      <w:color w:val="00B050"/>
                      <w:kern w:val="2"/>
                      <w:sz w:val="21"/>
                      <w:szCs w:val="21"/>
                      <w:lang w:val="en-US" w:eastAsia="zh-CN" w:bidi="ar-SA"/>
                    </w:rPr>
                    <w:t>，不影响全市环境空气质量稳中向好目标的实现。</w:t>
                  </w:r>
                </w:p>
                <w:p w14:paraId="262FE4A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color w:val="00B050"/>
                      <w:sz w:val="21"/>
                      <w:szCs w:val="21"/>
                      <w:lang w:val="en-US" w:eastAsia="zh-CN"/>
                    </w:rPr>
                    <w:t>3、</w:t>
                  </w:r>
                  <w:r>
                    <w:rPr>
                      <w:rFonts w:hint="eastAsia" w:ascii="Times New Roman" w:hAnsi="Times New Roman" w:eastAsia="宋体" w:cs="Times New Roman"/>
                      <w:color w:val="00B050"/>
                      <w:sz w:val="21"/>
                      <w:szCs w:val="21"/>
                      <w:lang w:val="en-US" w:eastAsia="zh-CN"/>
                    </w:rPr>
                    <w:t>本环评要求项目分区防渗</w:t>
                  </w:r>
                  <w:r>
                    <w:rPr>
                      <w:rFonts w:hint="default" w:ascii="Times New Roman" w:hAnsi="Times New Roman" w:eastAsia="宋体" w:cs="Times New Roman"/>
                      <w:color w:val="00B050"/>
                      <w:sz w:val="21"/>
                      <w:szCs w:val="21"/>
                      <w:lang w:val="en-US" w:eastAsia="zh-CN"/>
                    </w:rPr>
                    <w:t>，</w:t>
                  </w:r>
                  <w:r>
                    <w:rPr>
                      <w:rFonts w:hint="eastAsia" w:ascii="Times New Roman" w:hAnsi="Times New Roman" w:eastAsia="宋体" w:cs="Times New Roman"/>
                      <w:color w:val="00B050"/>
                      <w:sz w:val="21"/>
                      <w:szCs w:val="21"/>
                      <w:lang w:val="en-US" w:eastAsia="zh-CN"/>
                    </w:rPr>
                    <w:t>项目建成后，</w:t>
                  </w:r>
                  <w:r>
                    <w:rPr>
                      <w:rFonts w:hint="default" w:ascii="Times New Roman" w:hAnsi="Times New Roman" w:eastAsia="宋体" w:cs="Times New Roman"/>
                      <w:color w:val="00B050"/>
                      <w:sz w:val="21"/>
                      <w:szCs w:val="21"/>
                      <w:lang w:val="en-US" w:eastAsia="zh-CN"/>
                    </w:rPr>
                    <w:t>对土壤影响较小</w:t>
                  </w:r>
                  <w:r>
                    <w:rPr>
                      <w:rFonts w:hint="eastAsia" w:ascii="Times New Roman" w:hAnsi="Times New Roman" w:eastAsia="宋体" w:cs="Times New Roman"/>
                      <w:color w:val="00B050"/>
                      <w:sz w:val="21"/>
                      <w:szCs w:val="21"/>
                      <w:lang w:val="en-US" w:eastAsia="zh-CN"/>
                    </w:rPr>
                    <w:t>，风险可控。</w:t>
                  </w:r>
                </w:p>
              </w:tc>
              <w:tc>
                <w:tcPr>
                  <w:tcW w:w="424" w:type="pct"/>
                  <w:noWrap w:val="0"/>
                  <w:vAlign w:val="center"/>
                </w:tcPr>
                <w:p w14:paraId="029FD1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color w:val="00B050"/>
                      <w:sz w:val="21"/>
                      <w:szCs w:val="21"/>
                    </w:rPr>
                    <w:t>符合</w:t>
                  </w:r>
                </w:p>
              </w:tc>
            </w:tr>
            <w:tr w14:paraId="56DE7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57" w:type="pct"/>
                  <w:noWrap w:val="0"/>
                  <w:vAlign w:val="center"/>
                </w:tcPr>
                <w:p w14:paraId="6FF0605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color w:val="000000"/>
                      <w:sz w:val="21"/>
                      <w:szCs w:val="21"/>
                    </w:rPr>
                    <w:t>资源利用上线</w:t>
                  </w:r>
                </w:p>
              </w:tc>
              <w:tc>
                <w:tcPr>
                  <w:tcW w:w="2281" w:type="pct"/>
                  <w:noWrap w:val="0"/>
                  <w:vAlign w:val="center"/>
                </w:tcPr>
                <w:p w14:paraId="45C16CAA">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420" w:firstLineChars="200"/>
                    <w:jc w:val="both"/>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val="0"/>
                      <w:bCs w:val="0"/>
                      <w:color w:val="000000"/>
                      <w:sz w:val="21"/>
                      <w:szCs w:val="21"/>
                      <w:lang w:val="en-US" w:eastAsia="zh-CN"/>
                    </w:rPr>
                    <w:t>强化资源能源节约集约利用，持续提升资源能源利用效率，水资源、土地资源、能源消耗等达到或优于省下达的总量和强度控制目标。</w:t>
                  </w:r>
                </w:p>
              </w:tc>
              <w:tc>
                <w:tcPr>
                  <w:tcW w:w="1836" w:type="pct"/>
                  <w:noWrap w:val="0"/>
                  <w:vAlign w:val="center"/>
                </w:tcPr>
                <w:p w14:paraId="740031B3">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420" w:firstLineChars="200"/>
                    <w:jc w:val="both"/>
                    <w:textAlignment w:val="auto"/>
                    <w:rPr>
                      <w:rFonts w:hint="default" w:ascii="Times New Roman" w:hAnsi="Times New Roman" w:eastAsia="宋体" w:cs="Times New Roman"/>
                      <w:b/>
                      <w:bCs/>
                      <w:color w:val="000000" w:themeColor="text1"/>
                      <w:sz w:val="21"/>
                      <w:szCs w:val="21"/>
                    </w:rPr>
                  </w:pPr>
                  <w:r>
                    <w:rPr>
                      <w:rFonts w:hint="eastAsia" w:ascii="Times New Roman" w:hAnsi="Times New Roman" w:eastAsia="宋体" w:cs="Times New Roman"/>
                      <w:b w:val="0"/>
                      <w:bCs w:val="0"/>
                      <w:color w:val="00B050"/>
                      <w:sz w:val="21"/>
                      <w:szCs w:val="21"/>
                      <w:lang w:val="en-US" w:eastAsia="zh-CN"/>
                    </w:rPr>
                    <w:t>项目运营会消耗一定量电能、水资源，水、电消耗量较区域总量来说，占比不大；项目不占用基本农田、林地等，不会突破省下达的总量和强度控制指标</w:t>
                  </w:r>
                  <w:r>
                    <w:rPr>
                      <w:rFonts w:hint="default" w:ascii="Times New Roman" w:hAnsi="Times New Roman" w:eastAsia="宋体" w:cs="Times New Roman"/>
                      <w:b w:val="0"/>
                      <w:bCs w:val="0"/>
                      <w:color w:val="00B050"/>
                      <w:sz w:val="21"/>
                      <w:szCs w:val="21"/>
                      <w:lang w:val="en-US" w:eastAsia="zh-CN"/>
                    </w:rPr>
                    <w:t>。</w:t>
                  </w:r>
                </w:p>
              </w:tc>
              <w:tc>
                <w:tcPr>
                  <w:tcW w:w="424" w:type="pct"/>
                  <w:noWrap w:val="0"/>
                  <w:vAlign w:val="center"/>
                </w:tcPr>
                <w:p w14:paraId="0E8F34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color w:val="00B050"/>
                      <w:sz w:val="21"/>
                      <w:szCs w:val="21"/>
                      <w:lang w:eastAsia="zh-CN"/>
                    </w:rPr>
                    <w:t>符合</w:t>
                  </w:r>
                </w:p>
              </w:tc>
            </w:tr>
            <w:tr w14:paraId="4D38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5000" w:type="pct"/>
                  <w:gridSpan w:val="4"/>
                  <w:noWrap w:val="0"/>
                  <w:vAlign w:val="center"/>
                </w:tcPr>
                <w:p w14:paraId="68EBBD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B050"/>
                      <w:sz w:val="21"/>
                      <w:szCs w:val="21"/>
                      <w:lang w:eastAsia="zh-CN"/>
                    </w:rPr>
                  </w:pPr>
                  <w:r>
                    <w:rPr>
                      <w:rFonts w:hint="default" w:ascii="Times New Roman" w:hAnsi="Times New Roman" w:eastAsia="宋体" w:cs="Times New Roman"/>
                      <w:b/>
                      <w:bCs/>
                      <w:color w:val="00B050"/>
                      <w:sz w:val="21"/>
                      <w:szCs w:val="21"/>
                      <w:lang w:val="en-US" w:eastAsia="zh-CN"/>
                    </w:rPr>
                    <w:t>《玉溪市生态环境局关于印发玉溪市生态环境分区管控动态更新调整方案（2023年）的通知》（玉市环〔2024〕40号）</w:t>
                  </w:r>
                </w:p>
              </w:tc>
            </w:tr>
            <w:tr w14:paraId="7B647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57" w:type="pct"/>
                  <w:noWrap w:val="0"/>
                  <w:vAlign w:val="center"/>
                </w:tcPr>
                <w:p w14:paraId="58A676C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空间布局约束</w:t>
                  </w:r>
                </w:p>
              </w:tc>
              <w:tc>
                <w:tcPr>
                  <w:tcW w:w="2281" w:type="pct"/>
                  <w:noWrap w:val="0"/>
                  <w:vAlign w:val="center"/>
                </w:tcPr>
                <w:p w14:paraId="4D2BC02C">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1.严格落实国家产业政策、国家产业结构调整指导目录。坚决遏制高耗能、高排放、低水平项目盲目发展，项目审批严格落实国家和云南省相关政策要求。严格落实钢铁、水泥、平板玻璃、电解铝等行业产能置换相关政策，严管严控新增电解铝和工业硅产能。</w:t>
                  </w:r>
                </w:p>
                <w:p w14:paraId="76FC9A65">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2.加强河湖水域岸线空间管控，严格落实九大高原湖泊（抚仙湖、星云湖、杞麓湖）“两线三区”相关管控要求。加快推动重点区域、重点流域落后和过剩产能退出。依法加快城市建成区重污染企业搬迁改造或关闭退出。</w:t>
                  </w:r>
                </w:p>
                <w:p w14:paraId="3118AFB5">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3.禁止在合规园区外新建、扩建钢铁、石化、化工、焦化、建材、有色、制浆造纸行业中的高污染项目。禁止新建、扩建不符合国家石化、现代煤化工等产业布局规划的项目。禁止列入《云南省城镇人口密集区危险化学品生产企业搬迁改造名单》的搬迁改造企业在原址新建、扩建危险化学品生产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584E888D">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4.禁止在九大高原湖泊（抚仙湖、星云湖、杞麓湖）流域内新建、改建、扩建污染环境、高耗水、高耗能、破坏生态平衡和自然景观的项目。</w:t>
                  </w:r>
                </w:p>
                <w:p w14:paraId="12EC20CF">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420" w:firstLineChars="200"/>
                    <w:jc w:val="both"/>
                    <w:textAlignment w:val="auto"/>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5.落实云南省碳达峰碳中和相关要求，处理好发展和减排、整体和局部、长远目标和短期目标、政府和市场的关系，坚定不移走生态优先、绿色低碳的高质量发展道路。</w:t>
                  </w:r>
                </w:p>
              </w:tc>
              <w:tc>
                <w:tcPr>
                  <w:tcW w:w="1836" w:type="pct"/>
                  <w:noWrap w:val="0"/>
                  <w:vAlign w:val="center"/>
                </w:tcPr>
                <w:p w14:paraId="4B1E90FC">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b w:val="0"/>
                      <w:bCs w:val="0"/>
                      <w:color w:val="00B050"/>
                      <w:sz w:val="21"/>
                      <w:szCs w:val="21"/>
                      <w:lang w:val="en-US" w:eastAsia="zh-CN"/>
                    </w:rPr>
                  </w:pPr>
                  <w:r>
                    <w:rPr>
                      <w:rFonts w:hint="eastAsia" w:ascii="Times New Roman" w:hAnsi="Times New Roman" w:eastAsia="宋体" w:cs="Times New Roman"/>
                      <w:b w:val="0"/>
                      <w:bCs w:val="0"/>
                      <w:color w:val="00B050"/>
                      <w:sz w:val="21"/>
                      <w:szCs w:val="21"/>
                      <w:lang w:val="en-US" w:eastAsia="zh-CN"/>
                    </w:rPr>
                    <w:t>1.项目性质为新建，不在生态红线范围内。对照《产业结构调整指导目录》（2024年本）本项目属于“允许类”，符合产业政策。</w:t>
                  </w:r>
                </w:p>
                <w:p w14:paraId="002A271C">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b w:val="0"/>
                      <w:bCs w:val="0"/>
                      <w:color w:val="00B050"/>
                      <w:sz w:val="21"/>
                      <w:szCs w:val="21"/>
                      <w:lang w:val="en-US" w:eastAsia="zh-CN"/>
                    </w:rPr>
                  </w:pPr>
                  <w:r>
                    <w:rPr>
                      <w:rFonts w:hint="eastAsia" w:ascii="Times New Roman" w:hAnsi="Times New Roman" w:eastAsia="宋体" w:cs="Times New Roman"/>
                      <w:b w:val="0"/>
                      <w:bCs w:val="0"/>
                      <w:color w:val="00B050"/>
                      <w:sz w:val="21"/>
                      <w:szCs w:val="21"/>
                      <w:lang w:val="en-US" w:eastAsia="zh-CN"/>
                    </w:rPr>
                    <w:t>2.本项目不在“三湖”流域范围内。</w:t>
                  </w:r>
                </w:p>
                <w:p w14:paraId="6DC3B2A8">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b w:val="0"/>
                      <w:bCs w:val="0"/>
                      <w:color w:val="00B050"/>
                      <w:sz w:val="21"/>
                      <w:szCs w:val="21"/>
                      <w:lang w:val="en-US" w:eastAsia="zh-CN"/>
                    </w:rPr>
                  </w:pPr>
                  <w:r>
                    <w:rPr>
                      <w:rFonts w:hint="eastAsia" w:ascii="Times New Roman" w:hAnsi="Times New Roman" w:eastAsia="宋体" w:cs="Times New Roman"/>
                      <w:b w:val="0"/>
                      <w:bCs w:val="0"/>
                      <w:color w:val="00B050"/>
                      <w:sz w:val="21"/>
                      <w:szCs w:val="21"/>
                      <w:lang w:val="en-US" w:eastAsia="zh-CN"/>
                    </w:rPr>
                    <w:t>3.本项目不属于钢铁、石化、化工、焦化、建材、有色、制浆造纸行业中的高污染项目；不属于列入《云南省城镇人口密集区危险化学品生产企业搬迁改造名单》的搬迁改造企业；不属于“两高”项目。</w:t>
                  </w:r>
                </w:p>
                <w:p w14:paraId="0870ACF0">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b w:val="0"/>
                      <w:bCs w:val="0"/>
                      <w:color w:val="00B050"/>
                      <w:sz w:val="21"/>
                      <w:szCs w:val="21"/>
                      <w:lang w:val="en-US" w:eastAsia="zh-CN"/>
                    </w:rPr>
                  </w:pPr>
                  <w:r>
                    <w:rPr>
                      <w:rFonts w:hint="eastAsia" w:ascii="Times New Roman" w:hAnsi="Times New Roman" w:eastAsia="宋体" w:cs="Times New Roman"/>
                      <w:b w:val="0"/>
                      <w:bCs w:val="0"/>
                      <w:color w:val="00B050"/>
                      <w:sz w:val="21"/>
                      <w:szCs w:val="21"/>
                      <w:lang w:val="en-US" w:eastAsia="zh-CN"/>
                    </w:rPr>
                    <w:t>4.本项目不在杞麓湖流域范围内，不属于高耗水、高耗能、破坏生态平衡和自然景观的项目。</w:t>
                  </w:r>
                </w:p>
                <w:p w14:paraId="6A19569D">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420" w:firstLineChars="200"/>
                    <w:jc w:val="both"/>
                    <w:textAlignment w:val="auto"/>
                    <w:rPr>
                      <w:rFonts w:hint="eastAsia" w:ascii="Times New Roman" w:hAnsi="Times New Roman" w:eastAsia="宋体" w:cs="Times New Roman"/>
                      <w:b w:val="0"/>
                      <w:bCs w:val="0"/>
                      <w:color w:val="00B050"/>
                      <w:sz w:val="21"/>
                      <w:szCs w:val="21"/>
                      <w:lang w:val="en-US" w:eastAsia="zh-CN"/>
                    </w:rPr>
                  </w:pPr>
                  <w:r>
                    <w:rPr>
                      <w:rFonts w:hint="eastAsia" w:ascii="Times New Roman" w:hAnsi="Times New Roman" w:eastAsia="宋体" w:cs="Times New Roman"/>
                      <w:b w:val="0"/>
                      <w:bCs w:val="0"/>
                      <w:color w:val="00B050"/>
                      <w:sz w:val="21"/>
                      <w:szCs w:val="21"/>
                      <w:lang w:val="en-US" w:eastAsia="zh-CN"/>
                    </w:rPr>
                    <w:t>5.根据《云南省人民政府关于印发云南省碳达峰实施方案的通知》，主要推动钢铁、建材、有色金属、化工、交通、能源、建筑等领域绿色低碳技术应用和设计，本项目所处行业暂无明确碳达峰碳中和相关要求，若本环评审批后，相关政策文件下发，则依据相关政策要求进行碳达峰碳中和工作。</w:t>
                  </w:r>
                </w:p>
              </w:tc>
              <w:tc>
                <w:tcPr>
                  <w:tcW w:w="424" w:type="pct"/>
                  <w:noWrap w:val="0"/>
                  <w:vAlign w:val="center"/>
                </w:tcPr>
                <w:p w14:paraId="33F4E1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B050"/>
                      <w:sz w:val="21"/>
                      <w:szCs w:val="21"/>
                      <w:lang w:eastAsia="zh-CN"/>
                    </w:rPr>
                  </w:pPr>
                  <w:r>
                    <w:rPr>
                      <w:rFonts w:hint="default" w:ascii="Times New Roman" w:hAnsi="Times New Roman" w:eastAsia="宋体" w:cs="Times New Roman"/>
                      <w:color w:val="00B050"/>
                      <w:sz w:val="21"/>
                      <w:szCs w:val="21"/>
                    </w:rPr>
                    <w:t>符合</w:t>
                  </w:r>
                </w:p>
              </w:tc>
            </w:tr>
            <w:tr w14:paraId="38EC1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57" w:type="pct"/>
                  <w:noWrap w:val="0"/>
                  <w:vAlign w:val="center"/>
                </w:tcPr>
                <w:p w14:paraId="422AB8A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污染物排放管控</w:t>
                  </w:r>
                </w:p>
              </w:tc>
              <w:tc>
                <w:tcPr>
                  <w:tcW w:w="2281" w:type="pct"/>
                  <w:noWrap w:val="0"/>
                  <w:vAlign w:val="center"/>
                </w:tcPr>
                <w:p w14:paraId="4FA726A4">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1.严格落实强制性清洁生产审核要求，引导重点行业实施清洁生产改造，到2025年底，重点行业企业基本达到国内清洁生产先进水平。</w:t>
                  </w:r>
                </w:p>
                <w:p w14:paraId="19BF0610">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2.加大“三湖”（抚仙湖、星云湖、杞麓湖）及“两江”（南盘江干流、红河水系玉溪段）流域的保护和治理，推进流域环湖截污治污，加强湖泊内源污染风险防范，开展污水处理提质增效、农业面源污染治理、入河排污口整治、开发区污染治理、“三磷”和重金属行业排查等专项行动，建立水环境质量管理长效机制，持续巩固治理成效。持续打好城市黑臭水体治理攻坚战，有效控制入河污染物排放，强化溯源整治，推进城镇污水管网全覆盖。</w:t>
                  </w:r>
                </w:p>
                <w:p w14:paraId="17BAC2D5">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3.严格保护城乡饮用水水源地，整治饮用水水源保护区内的污染源，确保饮水安全。</w:t>
                  </w:r>
                </w:p>
                <w:p w14:paraId="3DB4ED7E">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4.开展细颗粒物和臭氧协同控制、挥发性有机物和氮氧化物协同减排。石化、化工、包装印刷、工业涂装等VOCs排放重点源，纳入重点排污单位名录，推进挥发性有机物综合治理，实施原辅材料和产品源头替代工程，排污口安装自动监控设施。推进运输结构调整，开展清洁柴油车（机）、清洁油品、车用尿素等专项行动，开展建筑施工工地扬尘专项治理；加大餐饮油烟污染、恶臭异味治理力度，强化秸秆综合利用和禁烧管控。推动有色金属、钢铁、磷化工、建材等重点行业节能降碳升级改造，淘汰落后工艺技术和生产装置，实施煤电、水泥、焦化企业超低排放改造，到2025年，钢铁行业全面完成超低排放改造。</w:t>
                  </w:r>
                </w:p>
                <w:p w14:paraId="2DBFBA0C">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5.加大环境污染物减排力度，到2025年，实现氮氧化物减排1224吨，挥发性有机物减排1393吨，化学需氧量减排2461吨，氨氮减排230吨。</w:t>
                  </w:r>
                </w:p>
                <w:p w14:paraId="75CCCDF3">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6.严格管控农用地，不得在特定农产品禁止生产区域种植食用农产品；安全利用农用地，制定受污染耕地安全利用方案，降低农产品超标风险。合理规划污染地块土地用途，从严管控农药、化工、有色金属等行业企业重度污染地块开发利用，对列入建设用地土壤污染风险管控和修复名录的地块不得作为住宅、公共管理与公共服务用地，不得办理土地征收、收回、收购、土地供应以及改变土地用途等手续，应当依法开展土壤污染状况调查、治理与修复，并符合相应规划用地土壤环境质量要求后，方可进入用地程序。</w:t>
                  </w:r>
                </w:p>
                <w:p w14:paraId="76C58033">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7.加快“无废城市”建设，产生工业固体废物的单位应当建立健全工业固体废物产生、收集、贮存、运输、利用、处置全过程的污染环境防治责任制度，按照国家有关规定建立工业固体废物管理台账，加强重金属污染物排放管理，落实区域“减量替代”和“等量替代”要求，重金属污染物排放量2025年比2020年削减4%。</w:t>
                  </w:r>
                </w:p>
                <w:p w14:paraId="2057A6E0">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420" w:firstLineChars="200"/>
                    <w:jc w:val="both"/>
                    <w:textAlignment w:val="auto"/>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8.到2025年，中心城区细颗粒物（PM2.5）平均浓度控制在21微克/立方米以内，城市空气质量优良天数比率达到98.5%以上，坚决防范重度及以上污染天气发生，全市地表水国控断面优良水体比例达80%，消除城市黑臭水体，消除劣Ⅴ类水体。</w:t>
                  </w:r>
                </w:p>
              </w:tc>
              <w:tc>
                <w:tcPr>
                  <w:tcW w:w="1836" w:type="pct"/>
                  <w:noWrap w:val="0"/>
                  <w:vAlign w:val="center"/>
                </w:tcPr>
                <w:p w14:paraId="371524D6">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b w:val="0"/>
                      <w:bCs w:val="0"/>
                      <w:color w:val="00B050"/>
                      <w:sz w:val="21"/>
                      <w:szCs w:val="21"/>
                      <w:lang w:val="en-US" w:eastAsia="zh-CN"/>
                    </w:rPr>
                  </w:pPr>
                  <w:r>
                    <w:rPr>
                      <w:rFonts w:hint="eastAsia" w:ascii="Times New Roman" w:hAnsi="Times New Roman" w:eastAsia="宋体" w:cs="Times New Roman"/>
                      <w:b w:val="0"/>
                      <w:bCs w:val="0"/>
                      <w:color w:val="00B050"/>
                      <w:sz w:val="21"/>
                      <w:szCs w:val="21"/>
                      <w:lang w:val="en-US" w:eastAsia="zh-CN"/>
                    </w:rPr>
                    <w:t>1.本项目不属于重点行业。</w:t>
                  </w:r>
                </w:p>
                <w:p w14:paraId="668328EE">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b w:val="0"/>
                      <w:bCs w:val="0"/>
                      <w:color w:val="00B050"/>
                      <w:sz w:val="21"/>
                      <w:szCs w:val="21"/>
                      <w:lang w:val="en-US" w:eastAsia="zh-CN"/>
                    </w:rPr>
                  </w:pPr>
                  <w:r>
                    <w:rPr>
                      <w:rFonts w:hint="eastAsia" w:ascii="Times New Roman" w:hAnsi="Times New Roman" w:eastAsia="宋体" w:cs="Times New Roman"/>
                      <w:b w:val="0"/>
                      <w:bCs w:val="0"/>
                      <w:color w:val="00B050"/>
                      <w:sz w:val="21"/>
                      <w:szCs w:val="21"/>
                      <w:lang w:val="en-US" w:eastAsia="zh-CN"/>
                    </w:rPr>
                    <w:t>2.项目</w:t>
                  </w:r>
                  <w:r>
                    <w:rPr>
                      <w:rFonts w:hint="eastAsia" w:cs="Times New Roman"/>
                      <w:b w:val="0"/>
                      <w:bCs w:val="0"/>
                      <w:color w:val="00B050"/>
                      <w:sz w:val="21"/>
                      <w:szCs w:val="21"/>
                      <w:lang w:val="en-US" w:eastAsia="zh-CN"/>
                    </w:rPr>
                    <w:t>不在</w:t>
                  </w:r>
                  <w:r>
                    <w:rPr>
                      <w:rFonts w:hint="eastAsia" w:ascii="Times New Roman" w:hAnsi="Times New Roman" w:eastAsia="宋体" w:cs="Times New Roman"/>
                      <w:b w:val="0"/>
                      <w:bCs w:val="0"/>
                      <w:color w:val="00B050"/>
                      <w:sz w:val="21"/>
                      <w:szCs w:val="21"/>
                      <w:lang w:val="en-US" w:eastAsia="zh-CN"/>
                    </w:rPr>
                    <w:t>杞麓湖流域范围内。产生的生活污水</w:t>
                  </w:r>
                  <w:r>
                    <w:rPr>
                      <w:rFonts w:hint="eastAsia" w:cs="Times New Roman"/>
                      <w:b w:val="0"/>
                      <w:bCs w:val="0"/>
                      <w:color w:val="00B050"/>
                      <w:sz w:val="21"/>
                      <w:szCs w:val="21"/>
                      <w:lang w:val="en-US" w:eastAsia="zh-CN"/>
                    </w:rPr>
                    <w:t>经化粪池处理后进入园区污水管网，</w:t>
                  </w:r>
                  <w:r>
                    <w:rPr>
                      <w:rFonts w:hint="eastAsia" w:ascii="Times New Roman" w:hAnsi="Times New Roman" w:eastAsia="宋体" w:cs="Times New Roman"/>
                      <w:b w:val="0"/>
                      <w:bCs w:val="0"/>
                      <w:color w:val="00B050"/>
                      <w:sz w:val="21"/>
                      <w:szCs w:val="21"/>
                      <w:lang w:val="en-US" w:eastAsia="zh-CN"/>
                    </w:rPr>
                    <w:t>生产废水</w:t>
                  </w:r>
                  <w:r>
                    <w:rPr>
                      <w:rFonts w:hint="eastAsia" w:cs="Times New Roman"/>
                      <w:b w:val="0"/>
                      <w:bCs w:val="0"/>
                      <w:color w:val="00B050"/>
                      <w:sz w:val="21"/>
                      <w:szCs w:val="21"/>
                      <w:lang w:val="en-US" w:eastAsia="zh-CN"/>
                    </w:rPr>
                    <w:t>全部回用</w:t>
                  </w:r>
                  <w:r>
                    <w:rPr>
                      <w:rFonts w:hint="eastAsia" w:ascii="Times New Roman" w:hAnsi="Times New Roman" w:eastAsia="宋体" w:cs="Times New Roman"/>
                      <w:b w:val="0"/>
                      <w:bCs w:val="0"/>
                      <w:color w:val="00B050"/>
                      <w:sz w:val="21"/>
                      <w:szCs w:val="21"/>
                      <w:lang w:val="en-US" w:eastAsia="zh-CN"/>
                    </w:rPr>
                    <w:t>。</w:t>
                  </w:r>
                </w:p>
                <w:p w14:paraId="3B635283">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b w:val="0"/>
                      <w:bCs w:val="0"/>
                      <w:color w:val="00B050"/>
                      <w:sz w:val="21"/>
                      <w:szCs w:val="21"/>
                      <w:lang w:val="en-US" w:eastAsia="zh-CN"/>
                    </w:rPr>
                  </w:pPr>
                  <w:r>
                    <w:rPr>
                      <w:rFonts w:hint="eastAsia" w:ascii="Times New Roman" w:hAnsi="Times New Roman" w:eastAsia="宋体" w:cs="Times New Roman"/>
                      <w:b w:val="0"/>
                      <w:bCs w:val="0"/>
                      <w:color w:val="00B050"/>
                      <w:sz w:val="21"/>
                      <w:szCs w:val="21"/>
                      <w:lang w:val="en-US" w:eastAsia="zh-CN"/>
                    </w:rPr>
                    <w:t>3.本项目不在饮用水水源地范围内。</w:t>
                  </w:r>
                </w:p>
                <w:p w14:paraId="1A1AB9CF">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b w:val="0"/>
                      <w:bCs w:val="0"/>
                      <w:color w:val="00B050"/>
                      <w:sz w:val="21"/>
                      <w:szCs w:val="21"/>
                      <w:lang w:val="en-US" w:eastAsia="zh-CN"/>
                    </w:rPr>
                  </w:pPr>
                  <w:r>
                    <w:rPr>
                      <w:rFonts w:hint="eastAsia" w:ascii="Times New Roman" w:hAnsi="Times New Roman" w:eastAsia="宋体" w:cs="Times New Roman"/>
                      <w:b w:val="0"/>
                      <w:bCs w:val="0"/>
                      <w:color w:val="00B050"/>
                      <w:sz w:val="21"/>
                      <w:szCs w:val="21"/>
                      <w:lang w:val="en-US" w:eastAsia="zh-CN"/>
                    </w:rPr>
                    <w:t>4.本项目施工期采取扬尘治理方案。运营期采取有效去除颗粒物的设施处理项目产生的颗粒物，</w:t>
                  </w:r>
                  <w:r>
                    <w:rPr>
                      <w:rFonts w:hint="eastAsia" w:cs="Times New Roman"/>
                      <w:b w:val="0"/>
                      <w:bCs w:val="0"/>
                      <w:color w:val="00B050"/>
                      <w:sz w:val="21"/>
                      <w:szCs w:val="21"/>
                      <w:lang w:val="en-US" w:eastAsia="zh-CN"/>
                    </w:rPr>
                    <w:t>运营期</w:t>
                  </w:r>
                  <w:r>
                    <w:rPr>
                      <w:rFonts w:hint="eastAsia" w:ascii="Times New Roman" w:hAnsi="Times New Roman" w:eastAsia="宋体" w:cs="Times New Roman"/>
                      <w:b w:val="0"/>
                      <w:bCs w:val="0"/>
                      <w:color w:val="00B050"/>
                      <w:sz w:val="21"/>
                      <w:szCs w:val="21"/>
                      <w:lang w:val="en-US" w:eastAsia="zh-CN"/>
                    </w:rPr>
                    <w:t>烘干使用生物质燃料</w:t>
                  </w:r>
                  <w:r>
                    <w:rPr>
                      <w:rFonts w:hint="eastAsia" w:cs="Times New Roman"/>
                      <w:b w:val="0"/>
                      <w:bCs w:val="0"/>
                      <w:color w:val="00B050"/>
                      <w:sz w:val="21"/>
                      <w:szCs w:val="21"/>
                      <w:lang w:val="en-US" w:eastAsia="zh-CN"/>
                    </w:rPr>
                    <w:t>，</w:t>
                  </w:r>
                  <w:r>
                    <w:rPr>
                      <w:rFonts w:hint="eastAsia" w:ascii="Times New Roman" w:hAnsi="Times New Roman" w:eastAsia="宋体" w:cs="Times New Roman"/>
                      <w:b w:val="0"/>
                      <w:bCs w:val="0"/>
                      <w:color w:val="00B050"/>
                      <w:sz w:val="21"/>
                      <w:szCs w:val="21"/>
                      <w:lang w:val="en-US" w:eastAsia="zh-CN"/>
                    </w:rPr>
                    <w:t>产生的颗粒物、二氧化硫、氮氧化物污染物可做到达标排放，项目运营期废气对周围环境影响较小。不涉及餐饮油烟污染、恶臭异味</w:t>
                  </w:r>
                  <w:r>
                    <w:rPr>
                      <w:rFonts w:hint="eastAsia" w:cs="Times New Roman"/>
                      <w:b w:val="0"/>
                      <w:bCs w:val="0"/>
                      <w:color w:val="00B050"/>
                      <w:sz w:val="21"/>
                      <w:szCs w:val="21"/>
                      <w:lang w:val="en-US" w:eastAsia="zh-CN"/>
                    </w:rPr>
                    <w:t>、</w:t>
                  </w:r>
                  <w:r>
                    <w:rPr>
                      <w:rFonts w:hint="eastAsia" w:ascii="Times New Roman" w:hAnsi="Times New Roman" w:eastAsia="宋体" w:cs="Times New Roman"/>
                      <w:b w:val="0"/>
                      <w:bCs w:val="0"/>
                      <w:color w:val="00B050"/>
                      <w:sz w:val="21"/>
                      <w:szCs w:val="21"/>
                      <w:lang w:val="en-US" w:eastAsia="zh-CN"/>
                    </w:rPr>
                    <w:t>秸秆综合利用，不属于有色金属、钢铁、磷化工、建材等重点行业。</w:t>
                  </w:r>
                </w:p>
                <w:p w14:paraId="7B990902">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b w:val="0"/>
                      <w:bCs w:val="0"/>
                      <w:color w:val="00B050"/>
                      <w:sz w:val="21"/>
                      <w:szCs w:val="21"/>
                      <w:lang w:val="en-US" w:eastAsia="zh-CN"/>
                    </w:rPr>
                  </w:pPr>
                  <w:r>
                    <w:rPr>
                      <w:rFonts w:hint="eastAsia" w:ascii="Times New Roman" w:hAnsi="Times New Roman" w:eastAsia="宋体" w:cs="Times New Roman"/>
                      <w:b w:val="0"/>
                      <w:bCs w:val="0"/>
                      <w:color w:val="00B050"/>
                      <w:sz w:val="21"/>
                      <w:szCs w:val="21"/>
                      <w:lang w:val="en-US" w:eastAsia="zh-CN"/>
                    </w:rPr>
                    <w:t>5.本项目产生</w:t>
                  </w:r>
                  <w:r>
                    <w:rPr>
                      <w:rFonts w:hint="eastAsia" w:cs="Times New Roman"/>
                      <w:b w:val="0"/>
                      <w:bCs w:val="0"/>
                      <w:color w:val="00B050"/>
                      <w:sz w:val="21"/>
                      <w:szCs w:val="21"/>
                      <w:lang w:val="en-US" w:eastAsia="zh-CN"/>
                    </w:rPr>
                    <w:t>的</w:t>
                  </w:r>
                  <w:r>
                    <w:rPr>
                      <w:rFonts w:hint="eastAsia" w:ascii="Times New Roman" w:hAnsi="Times New Roman" w:eastAsia="宋体" w:cs="Times New Roman"/>
                      <w:b w:val="0"/>
                      <w:bCs w:val="0"/>
                      <w:color w:val="00B050"/>
                      <w:sz w:val="21"/>
                      <w:szCs w:val="21"/>
                      <w:lang w:val="en-US" w:eastAsia="zh-CN"/>
                    </w:rPr>
                    <w:t>氮氧化物可做到达标排放</w:t>
                  </w:r>
                  <w:r>
                    <w:rPr>
                      <w:rFonts w:hint="eastAsia" w:cs="Times New Roman"/>
                      <w:b w:val="0"/>
                      <w:bCs w:val="0"/>
                      <w:color w:val="00B050"/>
                      <w:sz w:val="21"/>
                      <w:szCs w:val="21"/>
                      <w:lang w:val="en-US" w:eastAsia="zh-CN"/>
                    </w:rPr>
                    <w:t>，不产生</w:t>
                  </w:r>
                  <w:r>
                    <w:rPr>
                      <w:rFonts w:hint="eastAsia" w:ascii="Times New Roman" w:hAnsi="Times New Roman" w:eastAsia="宋体" w:cs="Times New Roman"/>
                      <w:b w:val="0"/>
                      <w:bCs w:val="0"/>
                      <w:color w:val="00B050"/>
                      <w:sz w:val="21"/>
                      <w:szCs w:val="21"/>
                      <w:lang w:val="en-US" w:eastAsia="zh-CN"/>
                    </w:rPr>
                    <w:t>挥发性有机物；产生的废水均不外排。</w:t>
                  </w:r>
                </w:p>
                <w:p w14:paraId="5E5F944B">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b w:val="0"/>
                      <w:bCs w:val="0"/>
                      <w:color w:val="00B050"/>
                      <w:sz w:val="21"/>
                      <w:szCs w:val="21"/>
                      <w:lang w:val="en-US" w:eastAsia="zh-CN"/>
                    </w:rPr>
                  </w:pPr>
                  <w:r>
                    <w:rPr>
                      <w:rFonts w:hint="eastAsia" w:ascii="Times New Roman" w:hAnsi="Times New Roman" w:eastAsia="宋体" w:cs="Times New Roman"/>
                      <w:b w:val="0"/>
                      <w:bCs w:val="0"/>
                      <w:color w:val="00B050"/>
                      <w:sz w:val="21"/>
                      <w:szCs w:val="21"/>
                      <w:lang w:val="en-US" w:eastAsia="zh-CN"/>
                    </w:rPr>
                    <w:t>6.项目不属于农用地，不属于列入建设用地土壤污染风险管控和修复名录的地块。</w:t>
                  </w:r>
                </w:p>
                <w:p w14:paraId="352EA5FA">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b w:val="0"/>
                      <w:bCs w:val="0"/>
                      <w:color w:val="00B050"/>
                      <w:sz w:val="21"/>
                      <w:szCs w:val="21"/>
                      <w:lang w:val="en-US" w:eastAsia="zh-CN"/>
                    </w:rPr>
                  </w:pPr>
                  <w:r>
                    <w:rPr>
                      <w:rFonts w:hint="eastAsia" w:ascii="Times New Roman" w:hAnsi="Times New Roman" w:eastAsia="宋体" w:cs="Times New Roman"/>
                      <w:b w:val="0"/>
                      <w:bCs w:val="0"/>
                      <w:color w:val="00B050"/>
                      <w:sz w:val="21"/>
                      <w:szCs w:val="21"/>
                      <w:lang w:val="en-US" w:eastAsia="zh-CN"/>
                    </w:rPr>
                    <w:t>7.建立健全工业固体废物产生、收集、贮存、运输、利用、处置全过程的污染环境防治责任制度，按照国家有关规定建立工业固体废物管理台账，本项目产生的固废清运处置率100%，不涉及重金属污染物。</w:t>
                  </w:r>
                </w:p>
                <w:p w14:paraId="26919469">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420" w:firstLineChars="200"/>
                    <w:jc w:val="both"/>
                    <w:textAlignment w:val="auto"/>
                    <w:rPr>
                      <w:rFonts w:hint="eastAsia"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B050"/>
                      <w:sz w:val="21"/>
                      <w:szCs w:val="21"/>
                      <w:lang w:val="en-US" w:eastAsia="zh-CN"/>
                    </w:rPr>
                    <w:t>8.本项目产生的颗粒物经</w:t>
                  </w:r>
                  <w:r>
                    <w:rPr>
                      <w:rFonts w:hint="eastAsia" w:cs="Times New Roman"/>
                      <w:b w:val="0"/>
                      <w:bCs w:val="0"/>
                      <w:color w:val="00B050"/>
                      <w:sz w:val="21"/>
                      <w:szCs w:val="21"/>
                      <w:lang w:val="en-US" w:eastAsia="zh-CN"/>
                    </w:rPr>
                    <w:t>“重力沉降+布袋除尘+水膜除尘设施”（TA001）</w:t>
                  </w:r>
                  <w:r>
                    <w:rPr>
                      <w:rFonts w:hint="eastAsia" w:ascii="Times New Roman" w:hAnsi="Times New Roman" w:eastAsia="宋体" w:cs="Times New Roman"/>
                      <w:b w:val="0"/>
                      <w:bCs w:val="0"/>
                      <w:color w:val="00B050"/>
                      <w:sz w:val="21"/>
                      <w:szCs w:val="21"/>
                      <w:lang w:val="en-US" w:eastAsia="zh-CN"/>
                    </w:rPr>
                    <w:t>处理后排放（DA001）。产生的生活污水经化粪池处理后进入园区污水管网，生产废水全部回用。</w:t>
                  </w:r>
                </w:p>
              </w:tc>
              <w:tc>
                <w:tcPr>
                  <w:tcW w:w="424" w:type="pct"/>
                  <w:noWrap w:val="0"/>
                  <w:vAlign w:val="center"/>
                </w:tcPr>
                <w:p w14:paraId="77D6F7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B050"/>
                      <w:sz w:val="21"/>
                      <w:szCs w:val="21"/>
                      <w:lang w:eastAsia="zh-CN"/>
                    </w:rPr>
                  </w:pPr>
                  <w:r>
                    <w:rPr>
                      <w:rFonts w:hint="default" w:ascii="Times New Roman" w:hAnsi="Times New Roman" w:eastAsia="宋体" w:cs="Times New Roman"/>
                      <w:color w:val="00B050"/>
                      <w:sz w:val="21"/>
                      <w:szCs w:val="21"/>
                    </w:rPr>
                    <w:t>符合</w:t>
                  </w:r>
                </w:p>
              </w:tc>
            </w:tr>
            <w:tr w14:paraId="75F2E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57" w:type="pct"/>
                  <w:noWrap w:val="0"/>
                  <w:vAlign w:val="center"/>
                </w:tcPr>
                <w:p w14:paraId="7EE91CDB">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环境风险防控</w:t>
                  </w:r>
                </w:p>
              </w:tc>
              <w:tc>
                <w:tcPr>
                  <w:tcW w:w="2281" w:type="pct"/>
                  <w:noWrap w:val="0"/>
                  <w:vAlign w:val="center"/>
                </w:tcPr>
                <w:p w14:paraId="710A5D6E">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1.强化与其他滇中城市的大气、水污染防治联防联控协作机制，加强区域内重污染天气和跨界水体风险应急联动。</w:t>
                  </w:r>
                </w:p>
                <w:p w14:paraId="4BD0D0BD">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420" w:firstLineChars="200"/>
                    <w:jc w:val="both"/>
                    <w:textAlignment w:val="auto"/>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2.开展涉危险废物涉重金属企业、化工园区等重点领域环境风险调查评估，加强危险化学品运输全链条安全监管。完善环境应急管理体系，提升市县两级环境应急响应能力，推进应急物资库建设。开展涉铊企业排查整治行动。建立“平战结合”医疗废物应急处置体系。</w:t>
                  </w:r>
                </w:p>
              </w:tc>
              <w:tc>
                <w:tcPr>
                  <w:tcW w:w="1836" w:type="pct"/>
                  <w:noWrap w:val="0"/>
                  <w:vAlign w:val="center"/>
                </w:tcPr>
                <w:p w14:paraId="22CD7118">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420" w:firstLineChars="200"/>
                    <w:jc w:val="both"/>
                    <w:textAlignment w:val="auto"/>
                    <w:rPr>
                      <w:rFonts w:hint="eastAsia" w:ascii="Times New Roman" w:hAnsi="Times New Roman" w:eastAsia="宋体" w:cs="Times New Roman"/>
                      <w:b w:val="0"/>
                      <w:bCs w:val="0"/>
                      <w:color w:val="00B050"/>
                      <w:sz w:val="21"/>
                      <w:szCs w:val="21"/>
                      <w:lang w:val="en-US" w:eastAsia="zh-CN"/>
                    </w:rPr>
                  </w:pPr>
                  <w:r>
                    <w:rPr>
                      <w:rFonts w:hint="eastAsia" w:ascii="Times New Roman" w:hAnsi="Times New Roman" w:eastAsia="宋体" w:cs="Times New Roman"/>
                      <w:b w:val="0"/>
                      <w:bCs w:val="0"/>
                      <w:color w:val="00B050"/>
                      <w:sz w:val="21"/>
                      <w:szCs w:val="21"/>
                      <w:lang w:val="en-US" w:eastAsia="zh-CN"/>
                    </w:rPr>
                    <w:t>本项目危险废物不涉及重金属、医疗废物，不涉及危险化学品。项目产生的危险废物暂存于危废暂存间，定期委托有资质单位清运处置。</w:t>
                  </w:r>
                </w:p>
              </w:tc>
              <w:tc>
                <w:tcPr>
                  <w:tcW w:w="424" w:type="pct"/>
                  <w:noWrap w:val="0"/>
                  <w:vAlign w:val="center"/>
                </w:tcPr>
                <w:p w14:paraId="3053D4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B050"/>
                      <w:sz w:val="21"/>
                      <w:szCs w:val="21"/>
                      <w:lang w:eastAsia="zh-CN"/>
                    </w:rPr>
                  </w:pPr>
                  <w:r>
                    <w:rPr>
                      <w:rFonts w:hint="default" w:ascii="Times New Roman" w:hAnsi="Times New Roman" w:eastAsia="宋体" w:cs="Times New Roman"/>
                      <w:color w:val="00B050"/>
                      <w:sz w:val="21"/>
                      <w:szCs w:val="21"/>
                    </w:rPr>
                    <w:t>符合</w:t>
                  </w:r>
                </w:p>
              </w:tc>
            </w:tr>
            <w:tr w14:paraId="6192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57" w:type="pct"/>
                  <w:noWrap w:val="0"/>
                  <w:vAlign w:val="center"/>
                </w:tcPr>
                <w:p w14:paraId="2DD2333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资源开发利用效率</w:t>
                  </w:r>
                </w:p>
              </w:tc>
              <w:tc>
                <w:tcPr>
                  <w:tcW w:w="2281" w:type="pct"/>
                  <w:noWrap w:val="0"/>
                  <w:vAlign w:val="center"/>
                </w:tcPr>
                <w:p w14:paraId="5CF8B83F">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1.降低水、土地、能源、矿产资源消耗强度，强化约束性指标管理。</w:t>
                  </w:r>
                </w:p>
                <w:p w14:paraId="1626C60A">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2.实行最严格的水资源管理制度，严格用水总量、强度指标管理，严格取水管控，建立重点监控取水单位名录，强化重点监控取水单位管理。全市年用水总量、万元工业增加值用水量降幅等指标达到省考核要求。</w:t>
                  </w:r>
                </w:p>
                <w:p w14:paraId="6366E024">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3.坚持最严格的耕地保护制度，守住耕地保护红线。坚持节约用地，严格执行耕地占补平衡等制度，提高土地投资强度和单位面积产出水平。</w:t>
                  </w:r>
                </w:p>
                <w:p w14:paraId="77240B01">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4.全市单位GDP二氧化碳排放累计下降率完成云南省下达的指标；单位GDP能耗持续下降，到2025年，全市单位GDP能耗累计下降率14%。</w:t>
                  </w:r>
                </w:p>
                <w:p w14:paraId="3A0A5D12">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5.高污染燃料禁燃区按照《高污染燃料目录》及当地有关禁燃区管理规定执行。</w:t>
                  </w:r>
                </w:p>
                <w:p w14:paraId="3CAE2086">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420" w:firstLineChars="200"/>
                    <w:jc w:val="both"/>
                    <w:textAlignment w:val="auto"/>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6.实施高效节水灌溉工程，大力推广高效节水灌溉措施，到2025年，农田灌溉水有效利用系数达到0.55。</w:t>
                  </w:r>
                </w:p>
              </w:tc>
              <w:tc>
                <w:tcPr>
                  <w:tcW w:w="1836" w:type="pct"/>
                  <w:noWrap w:val="0"/>
                  <w:vAlign w:val="center"/>
                </w:tcPr>
                <w:p w14:paraId="23318651">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420" w:firstLineChars="200"/>
                    <w:jc w:val="both"/>
                    <w:textAlignment w:val="auto"/>
                    <w:rPr>
                      <w:rFonts w:hint="eastAsia" w:ascii="Times New Roman" w:hAnsi="Times New Roman" w:eastAsia="宋体" w:cs="Times New Roman"/>
                      <w:b w:val="0"/>
                      <w:bCs w:val="0"/>
                      <w:color w:val="00B050"/>
                      <w:sz w:val="21"/>
                      <w:szCs w:val="21"/>
                      <w:lang w:val="en-US" w:eastAsia="zh-CN"/>
                    </w:rPr>
                  </w:pPr>
                  <w:r>
                    <w:rPr>
                      <w:rFonts w:hint="eastAsia" w:ascii="Times New Roman" w:hAnsi="Times New Roman" w:eastAsia="宋体" w:cs="Times New Roman"/>
                      <w:b w:val="0"/>
                      <w:bCs w:val="0"/>
                      <w:color w:val="00B050"/>
                      <w:sz w:val="21"/>
                      <w:szCs w:val="21"/>
                      <w:lang w:val="en-US" w:eastAsia="zh-CN"/>
                    </w:rPr>
                    <w:t>本项目运营会消耗一定量电能、水资源，水、电消耗量较区域总量来说，占比很小；不占用耕地；不使用高污染燃料；不涉及农田灌溉。</w:t>
                  </w:r>
                </w:p>
              </w:tc>
              <w:tc>
                <w:tcPr>
                  <w:tcW w:w="424" w:type="pct"/>
                  <w:noWrap w:val="0"/>
                  <w:vAlign w:val="center"/>
                </w:tcPr>
                <w:p w14:paraId="5BFBDC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B050"/>
                      <w:sz w:val="21"/>
                      <w:szCs w:val="21"/>
                      <w:lang w:eastAsia="zh-CN"/>
                    </w:rPr>
                  </w:pPr>
                  <w:r>
                    <w:rPr>
                      <w:rFonts w:hint="default" w:ascii="Times New Roman" w:hAnsi="Times New Roman" w:eastAsia="宋体" w:cs="Times New Roman"/>
                      <w:color w:val="00B050"/>
                      <w:sz w:val="21"/>
                      <w:szCs w:val="21"/>
                    </w:rPr>
                    <w:t>符合</w:t>
                  </w:r>
                </w:p>
              </w:tc>
            </w:tr>
            <w:tr w14:paraId="2F872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4"/>
                  <w:noWrap w:val="0"/>
                  <w:vAlign w:val="center"/>
                </w:tcPr>
                <w:p w14:paraId="0D88AA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项目位于通海五金产业园区里山片区，所在区域属于</w:t>
                  </w:r>
                  <w:r>
                    <w:rPr>
                      <w:rFonts w:hint="eastAsia" w:ascii="Times New Roman" w:hAnsi="Times New Roman" w:eastAsia="宋体" w:cs="Times New Roman"/>
                      <w:color w:val="000000" w:themeColor="text1"/>
                      <w:sz w:val="21"/>
                      <w:szCs w:val="21"/>
                      <w:lang w:val="en-US" w:eastAsia="zh-CN"/>
                    </w:rPr>
                    <w:t>通海县</w:t>
                  </w:r>
                  <w:r>
                    <w:rPr>
                      <w:rFonts w:hint="default" w:ascii="Times New Roman" w:hAnsi="Times New Roman" w:eastAsia="宋体" w:cs="Times New Roman"/>
                      <w:color w:val="000000" w:themeColor="text1"/>
                      <w:sz w:val="21"/>
                      <w:szCs w:val="21"/>
                    </w:rPr>
                    <w:t>工业集中区，</w:t>
                  </w:r>
                  <w:r>
                    <w:rPr>
                      <w:rFonts w:hint="eastAsia" w:ascii="Times New Roman" w:hAnsi="Times New Roman" w:eastAsia="宋体" w:cs="Times New Roman"/>
                      <w:color w:val="000000" w:themeColor="text1"/>
                      <w:sz w:val="21"/>
                      <w:szCs w:val="21"/>
                      <w:lang w:val="en-US" w:eastAsia="zh-CN"/>
                    </w:rPr>
                    <w:t>用地性质</w:t>
                  </w:r>
                  <w:r>
                    <w:rPr>
                      <w:rFonts w:hint="default" w:ascii="Times New Roman" w:hAnsi="Times New Roman" w:eastAsia="宋体" w:cs="Times New Roman"/>
                      <w:color w:val="000000" w:themeColor="text1"/>
                      <w:sz w:val="21"/>
                      <w:szCs w:val="21"/>
                    </w:rPr>
                    <w:t>为工业建设用地，根据《云南通海产业园区总体规划修编（2021~2035年）环境影响报告书》，工业园区不占用生态红及生态保护空间</w:t>
                  </w:r>
                  <w:r>
                    <w:rPr>
                      <w:rFonts w:hint="eastAsia" w:ascii="Times New Roman" w:hAnsi="Times New Roman" w:eastAsia="宋体" w:cs="Times New Roman"/>
                      <w:color w:val="000000" w:themeColor="text1"/>
                      <w:sz w:val="21"/>
                      <w:szCs w:val="21"/>
                      <w:lang w:eastAsia="zh-CN"/>
                    </w:rPr>
                    <w:t>，</w:t>
                  </w:r>
                  <w:r>
                    <w:rPr>
                      <w:rFonts w:hint="eastAsia" w:ascii="Times New Roman" w:hAnsi="Times New Roman" w:eastAsia="宋体" w:cs="Times New Roman"/>
                      <w:color w:val="000000" w:themeColor="text1"/>
                      <w:sz w:val="21"/>
                      <w:szCs w:val="21"/>
                      <w:lang w:val="en-US" w:eastAsia="zh-CN"/>
                    </w:rPr>
                    <w:t>因此</w:t>
                  </w:r>
                  <w:r>
                    <w:rPr>
                      <w:rFonts w:hint="default" w:ascii="Times New Roman" w:hAnsi="Times New Roman" w:eastAsia="宋体" w:cs="Times New Roman"/>
                      <w:color w:val="000000" w:themeColor="text1"/>
                      <w:sz w:val="21"/>
                      <w:szCs w:val="21"/>
                    </w:rPr>
                    <w:t>项目属</w:t>
                  </w:r>
                  <w:r>
                    <w:rPr>
                      <w:rFonts w:hint="eastAsia" w:ascii="Times New Roman" w:hAnsi="Times New Roman" w:eastAsia="宋体" w:cs="Times New Roman"/>
                      <w:color w:val="000000" w:themeColor="text1"/>
                      <w:sz w:val="21"/>
                      <w:szCs w:val="21"/>
                      <w:lang w:val="en-US" w:eastAsia="zh-CN"/>
                    </w:rPr>
                    <w:t>于</w:t>
                  </w:r>
                  <w:r>
                    <w:rPr>
                      <w:rFonts w:hint="default" w:ascii="Times New Roman" w:hAnsi="Times New Roman" w:eastAsia="宋体" w:cs="Times New Roman"/>
                      <w:color w:val="000000" w:themeColor="text1"/>
                      <w:sz w:val="21"/>
                      <w:szCs w:val="21"/>
                    </w:rPr>
                    <w:t>通海县</w:t>
                  </w:r>
                  <w:r>
                    <w:rPr>
                      <w:rFonts w:hint="default" w:ascii="Times New Roman" w:hAnsi="Times New Roman" w:eastAsia="宋体" w:cs="Times New Roman"/>
                      <w:color w:val="000000" w:themeColor="text1"/>
                      <w:sz w:val="21"/>
                      <w:szCs w:val="21"/>
                      <w:lang w:val="en-US" w:eastAsia="zh-CN"/>
                    </w:rPr>
                    <w:t>产</w:t>
                  </w:r>
                  <w:r>
                    <w:rPr>
                      <w:rFonts w:hint="default" w:ascii="Times New Roman" w:hAnsi="Times New Roman" w:eastAsia="宋体" w:cs="Times New Roman"/>
                      <w:color w:val="000000" w:themeColor="text1"/>
                      <w:sz w:val="21"/>
                      <w:szCs w:val="21"/>
                    </w:rPr>
                    <w:t>业</w:t>
                  </w:r>
                  <w:r>
                    <w:rPr>
                      <w:rFonts w:hint="default" w:ascii="Times New Roman" w:hAnsi="Times New Roman" w:eastAsia="宋体" w:cs="Times New Roman"/>
                      <w:color w:val="000000" w:themeColor="text1"/>
                      <w:sz w:val="21"/>
                      <w:szCs w:val="21"/>
                      <w:lang w:val="en-US" w:eastAsia="zh-CN"/>
                    </w:rPr>
                    <w:t>园区</w:t>
                  </w:r>
                  <w:r>
                    <w:rPr>
                      <w:rFonts w:hint="default" w:ascii="Times New Roman" w:hAnsi="Times New Roman" w:eastAsia="宋体" w:cs="Times New Roman"/>
                      <w:color w:val="000000" w:themeColor="text1"/>
                      <w:sz w:val="21"/>
                      <w:szCs w:val="21"/>
                    </w:rPr>
                    <w:t>重点管控单元。</w:t>
                  </w:r>
                </w:p>
              </w:tc>
            </w:tr>
            <w:tr w14:paraId="43052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vMerge w:val="restart"/>
                  <w:noWrap w:val="0"/>
                  <w:vAlign w:val="center"/>
                </w:tcPr>
                <w:p w14:paraId="6FA111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通海县</w:t>
                  </w:r>
                  <w:r>
                    <w:rPr>
                      <w:rFonts w:hint="eastAsia" w:cs="Times New Roman"/>
                      <w:color w:val="000000" w:themeColor="text1"/>
                      <w:sz w:val="21"/>
                      <w:szCs w:val="21"/>
                      <w:lang w:val="en-US" w:eastAsia="zh-CN"/>
                    </w:rPr>
                    <w:t>产</w:t>
                  </w:r>
                  <w:r>
                    <w:rPr>
                      <w:rFonts w:hint="default" w:ascii="Times New Roman" w:hAnsi="Times New Roman" w:eastAsia="宋体" w:cs="Times New Roman"/>
                      <w:color w:val="000000" w:themeColor="text1"/>
                      <w:sz w:val="21"/>
                      <w:szCs w:val="21"/>
                    </w:rPr>
                    <w:t>业</w:t>
                  </w:r>
                  <w:r>
                    <w:rPr>
                      <w:rFonts w:hint="eastAsia" w:cs="Times New Roman"/>
                      <w:color w:val="000000" w:themeColor="text1"/>
                      <w:sz w:val="21"/>
                      <w:szCs w:val="21"/>
                      <w:lang w:val="en-US" w:eastAsia="zh-CN"/>
                    </w:rPr>
                    <w:t>园区</w:t>
                  </w:r>
                  <w:r>
                    <w:rPr>
                      <w:rFonts w:hint="default" w:ascii="Times New Roman" w:hAnsi="Times New Roman" w:eastAsia="宋体" w:cs="Times New Roman"/>
                      <w:color w:val="000000" w:themeColor="text1"/>
                      <w:sz w:val="21"/>
                      <w:szCs w:val="21"/>
                    </w:rPr>
                    <w:t>重点管控单元</w:t>
                  </w:r>
                </w:p>
              </w:tc>
              <w:tc>
                <w:tcPr>
                  <w:tcW w:w="2281" w:type="pct"/>
                  <w:noWrap w:val="0"/>
                  <w:vAlign w:val="center"/>
                </w:tcPr>
                <w:p w14:paraId="08CD3D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rPr>
                    <w:t>空间布局约束</w:t>
                  </w:r>
                  <w:r>
                    <w:rPr>
                      <w:rFonts w:hint="default" w:ascii="Times New Roman" w:hAnsi="Times New Roman" w:eastAsia="宋体" w:cs="Times New Roman"/>
                      <w:color w:val="000000" w:themeColor="text1"/>
                      <w:sz w:val="21"/>
                      <w:szCs w:val="21"/>
                      <w:lang w:eastAsia="zh-CN"/>
                    </w:rPr>
                    <w:t>：</w:t>
                  </w:r>
                </w:p>
                <w:p w14:paraId="417DF2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1.合理规划产业分区和功能定位，禁止不符合产业政策、产业结构调整指导目录和园区规划要求的项目入园区。园区钢铁、水泥等产业严格执行产能置换，严禁新增产能。</w:t>
                  </w:r>
                </w:p>
                <w:p w14:paraId="029E60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2.在受纳水体未达标前，各片区不得入驻废水排放量大的产业。</w:t>
                  </w:r>
                </w:p>
                <w:p w14:paraId="5FCB9F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3.里山片区重污染产业远离居民集中区布局。</w:t>
                  </w:r>
                </w:p>
                <w:p w14:paraId="5E5C8D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4.开发建设活动必须符合《云南省杞麓湖保护条例》要求。</w:t>
                  </w:r>
                </w:p>
              </w:tc>
              <w:tc>
                <w:tcPr>
                  <w:tcW w:w="1836" w:type="pct"/>
                  <w:noWrap w:val="0"/>
                  <w:vAlign w:val="center"/>
                </w:tcPr>
                <w:p w14:paraId="6F384E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val="en-US" w:eastAsia="zh-CN"/>
                    </w:rPr>
                    <w:t>1、</w:t>
                  </w:r>
                  <w:r>
                    <w:rPr>
                      <w:rFonts w:hint="default" w:ascii="Times New Roman" w:hAnsi="Times New Roman" w:eastAsia="宋体" w:cs="Times New Roman"/>
                      <w:color w:val="000000" w:themeColor="text1"/>
                      <w:sz w:val="21"/>
                      <w:szCs w:val="21"/>
                    </w:rPr>
                    <w:t>本</w:t>
                  </w:r>
                  <w:r>
                    <w:rPr>
                      <w:rFonts w:hint="default" w:ascii="Times New Roman" w:hAnsi="Times New Roman" w:eastAsia="宋体" w:cs="Times New Roman"/>
                      <w:color w:val="000000" w:themeColor="text1"/>
                      <w:sz w:val="21"/>
                      <w:szCs w:val="21"/>
                      <w:lang w:eastAsia="zh-CN"/>
                    </w:rPr>
                    <w:t>项目为纸制品制造，</w:t>
                  </w:r>
                  <w:r>
                    <w:rPr>
                      <w:rFonts w:hint="eastAsia" w:ascii="Times New Roman" w:hAnsi="Times New Roman" w:eastAsia="宋体" w:cs="Times New Roman"/>
                      <w:color w:val="000000" w:themeColor="text1"/>
                      <w:sz w:val="21"/>
                      <w:szCs w:val="21"/>
                      <w:lang w:val="en-US" w:eastAsia="zh-CN"/>
                    </w:rPr>
                    <w:t>不属于钢铁、水泥等产业严格企业，属于《产业结构调整指导目录（2024年本）》允许类，符合国家和园区规划</w:t>
                  </w:r>
                  <w:r>
                    <w:rPr>
                      <w:rFonts w:hint="default" w:ascii="Times New Roman" w:hAnsi="Times New Roman" w:eastAsia="宋体" w:cs="Times New Roman"/>
                      <w:color w:val="000000" w:themeColor="text1"/>
                      <w:sz w:val="21"/>
                      <w:szCs w:val="21"/>
                      <w:lang w:eastAsia="zh-CN"/>
                    </w:rPr>
                    <w:t>。</w:t>
                  </w:r>
                </w:p>
                <w:p w14:paraId="241E8E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2、</w:t>
                  </w:r>
                  <w:r>
                    <w:rPr>
                      <w:rFonts w:hint="eastAsia" w:ascii="Times New Roman" w:hAnsi="Times New Roman" w:eastAsia="宋体" w:cs="Times New Roman"/>
                      <w:color w:val="000000" w:themeColor="text1"/>
                      <w:sz w:val="21"/>
                      <w:szCs w:val="21"/>
                      <w:lang w:val="en-US" w:eastAsia="zh-CN"/>
                    </w:rPr>
                    <w:t>项目</w:t>
                  </w:r>
                  <w:r>
                    <w:rPr>
                      <w:rFonts w:hint="default" w:ascii="Times New Roman" w:hAnsi="Times New Roman" w:eastAsia="宋体" w:cs="Times New Roman"/>
                      <w:color w:val="000000" w:themeColor="text1"/>
                      <w:sz w:val="21"/>
                      <w:szCs w:val="21"/>
                      <w:lang w:eastAsia="zh-CN"/>
                    </w:rPr>
                    <w:t>生产废水循环使用</w:t>
                  </w:r>
                  <w:r>
                    <w:rPr>
                      <w:rFonts w:hint="eastAsia" w:ascii="Times New Roman" w:hAnsi="Times New Roman" w:eastAsia="宋体" w:cs="Times New Roman"/>
                      <w:color w:val="000000" w:themeColor="text1"/>
                      <w:sz w:val="21"/>
                      <w:szCs w:val="21"/>
                      <w:lang w:eastAsia="zh-CN"/>
                    </w:rPr>
                    <w:t>，</w:t>
                  </w:r>
                  <w:r>
                    <w:rPr>
                      <w:rFonts w:hint="eastAsia" w:ascii="Times New Roman" w:hAnsi="Times New Roman" w:eastAsia="宋体" w:cs="Times New Roman"/>
                      <w:color w:val="000000" w:themeColor="text1"/>
                      <w:sz w:val="21"/>
                      <w:szCs w:val="21"/>
                      <w:lang w:val="en-US" w:eastAsia="zh-CN"/>
                    </w:rPr>
                    <w:t>不外排</w:t>
                  </w:r>
                  <w:r>
                    <w:rPr>
                      <w:rFonts w:hint="default" w:ascii="Times New Roman" w:hAnsi="Times New Roman" w:eastAsia="宋体" w:cs="Times New Roman"/>
                      <w:color w:val="000000" w:themeColor="text1"/>
                      <w:sz w:val="21"/>
                      <w:szCs w:val="21"/>
                      <w:lang w:eastAsia="zh-CN"/>
                    </w:rPr>
                    <w:t>；生活污水进入园区污水处理厂处理。</w:t>
                  </w:r>
                </w:p>
                <w:p w14:paraId="0333DE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val="en-US" w:eastAsia="zh-CN"/>
                    </w:rPr>
                    <w:t>3、</w:t>
                  </w:r>
                  <w:r>
                    <w:rPr>
                      <w:rFonts w:hint="default" w:ascii="Times New Roman" w:hAnsi="Times New Roman" w:eastAsia="宋体" w:cs="Times New Roman"/>
                      <w:color w:val="000000" w:themeColor="text1"/>
                      <w:sz w:val="21"/>
                      <w:szCs w:val="21"/>
                    </w:rPr>
                    <w:t>本</w:t>
                  </w:r>
                  <w:r>
                    <w:rPr>
                      <w:rFonts w:hint="default" w:ascii="Times New Roman" w:hAnsi="Times New Roman" w:eastAsia="宋体" w:cs="Times New Roman"/>
                      <w:color w:val="000000" w:themeColor="text1"/>
                      <w:sz w:val="21"/>
                      <w:szCs w:val="21"/>
                      <w:lang w:eastAsia="zh-CN"/>
                    </w:rPr>
                    <w:t>项目为纸制品制造，</w:t>
                  </w:r>
                  <w:r>
                    <w:rPr>
                      <w:rFonts w:hint="eastAsia" w:ascii="Times New Roman" w:hAnsi="Times New Roman" w:eastAsia="宋体" w:cs="Times New Roman"/>
                      <w:color w:val="000000" w:themeColor="text1"/>
                      <w:sz w:val="21"/>
                      <w:szCs w:val="21"/>
                      <w:lang w:val="en-US" w:eastAsia="zh-CN"/>
                    </w:rPr>
                    <w:t>不属于</w:t>
                  </w:r>
                  <w:r>
                    <w:rPr>
                      <w:rFonts w:hint="default" w:ascii="Times New Roman" w:hAnsi="Times New Roman" w:eastAsia="宋体" w:cs="Times New Roman"/>
                      <w:color w:val="000000" w:themeColor="text1"/>
                      <w:sz w:val="21"/>
                      <w:szCs w:val="21"/>
                      <w:lang w:val="en-US" w:eastAsia="zh-CN"/>
                    </w:rPr>
                    <w:t>“高污染，高环境风险”</w:t>
                  </w:r>
                  <w:r>
                    <w:rPr>
                      <w:rFonts w:hint="eastAsia" w:ascii="Times New Roman" w:hAnsi="Times New Roman" w:eastAsia="宋体" w:cs="Times New Roman"/>
                      <w:color w:val="000000" w:themeColor="text1"/>
                      <w:sz w:val="21"/>
                      <w:szCs w:val="21"/>
                      <w:lang w:val="en-US" w:eastAsia="zh-CN"/>
                    </w:rPr>
                    <w:t>项目</w:t>
                  </w:r>
                  <w:r>
                    <w:rPr>
                      <w:rFonts w:hint="default" w:ascii="Times New Roman" w:hAnsi="Times New Roman" w:eastAsia="宋体" w:cs="Times New Roman"/>
                      <w:color w:val="000000" w:themeColor="text1"/>
                      <w:sz w:val="21"/>
                      <w:szCs w:val="21"/>
                      <w:lang w:val="en-US" w:eastAsia="zh-CN"/>
                    </w:rPr>
                    <w:t>。</w:t>
                  </w:r>
                </w:p>
                <w:p w14:paraId="06E5A7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4、</w:t>
                  </w:r>
                  <w:r>
                    <w:rPr>
                      <w:rFonts w:hint="default" w:ascii="Times New Roman" w:hAnsi="Times New Roman" w:eastAsia="宋体" w:cs="Times New Roman"/>
                      <w:color w:val="000000" w:themeColor="text1"/>
                      <w:sz w:val="21"/>
                      <w:szCs w:val="21"/>
                      <w:lang w:val="en-US" w:eastAsia="zh-CN"/>
                    </w:rPr>
                    <w:t>项目位于通海五金产业园区里山片区，不属于杞麓湖径流区。</w:t>
                  </w:r>
                </w:p>
              </w:tc>
              <w:tc>
                <w:tcPr>
                  <w:tcW w:w="424" w:type="pct"/>
                  <w:noWrap w:val="0"/>
                  <w:vAlign w:val="center"/>
                </w:tcPr>
                <w:p w14:paraId="781D8C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符合</w:t>
                  </w:r>
                </w:p>
              </w:tc>
            </w:tr>
            <w:tr w14:paraId="4B995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vMerge w:val="continue"/>
                  <w:noWrap w:val="0"/>
                  <w:vAlign w:val="center"/>
                </w:tcPr>
                <w:p w14:paraId="1A715E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rPr>
                  </w:pPr>
                </w:p>
              </w:tc>
              <w:tc>
                <w:tcPr>
                  <w:tcW w:w="2281" w:type="pct"/>
                  <w:noWrap w:val="0"/>
                  <w:vAlign w:val="center"/>
                </w:tcPr>
                <w:p w14:paraId="5502C1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rPr>
                    <w:t>污染物排放管控</w:t>
                  </w:r>
                  <w:r>
                    <w:rPr>
                      <w:rFonts w:hint="default" w:ascii="Times New Roman" w:hAnsi="Times New Roman" w:eastAsia="宋体" w:cs="Times New Roman"/>
                      <w:color w:val="000000" w:themeColor="text1"/>
                      <w:sz w:val="21"/>
                      <w:szCs w:val="21"/>
                      <w:lang w:eastAsia="zh-CN"/>
                    </w:rPr>
                    <w:t>：</w:t>
                  </w:r>
                </w:p>
                <w:p w14:paraId="108D11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1.现有“两高”企业应从原燃料清洁替代、节能降耗技术、余热余能利用、清洁运输方式等方面提出针对性的降碳措施与污染控制要求。新建“两高”项目依据区域环境质量改善目标，制定配套区域污染物削减方案，采取有效的污染物区域削减措施，腾出足够的环境容量。新建、扩建（转型升级）的“两高”项目应采用先进适用的工艺技术和装备，单位产品物耗、能耗、水耗等达到清洁生产先进水平，依法制定并严格落实防治土壤与地下水污染的措施。已出台超低排放要求的“两高”行业建设项目应满足超低排放要求。</w:t>
                  </w:r>
                </w:p>
                <w:p w14:paraId="3C3AA5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2.加快园区雨水管网的建设，实现园区雨污分流，加快建设里山片区工业用水蓄水池并配套中水回用管网。</w:t>
                  </w:r>
                </w:p>
                <w:p w14:paraId="38151D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3.里山、芭蕉片区生产废水企业处理达标后回用，不外排，生活污水由片区配套污水处理设施处理达标后回用，不外排；生活污水由片区配套污水处理设施处理达标后用作绿化及交通设施用水，不外排；乌龙潭片区统一设置废水排放口，入驻食品加工企业生产废水企业处理达《城市污水再生利用工业用水水质》（GB/T19923）后进入工业用水蓄水池用作里山片区入驻企业工业补水。</w:t>
                  </w:r>
                </w:p>
                <w:p w14:paraId="767EF0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4.使用电能、天然气、生物质燃料等清洁能源为主要能源，逐步降低煤炭等高污染燃料的使用；乌龙潭片区建设集中供热项目，为片区食品加工企业提供能源供应。</w:t>
                  </w:r>
                </w:p>
                <w:p w14:paraId="07EEE3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5.不良地质条件区域重点做好地下水污染防治和监控。</w:t>
                  </w:r>
                </w:p>
              </w:tc>
              <w:tc>
                <w:tcPr>
                  <w:tcW w:w="1836" w:type="pct"/>
                  <w:noWrap w:val="0"/>
                  <w:vAlign w:val="center"/>
                </w:tcPr>
                <w:p w14:paraId="6C9A6A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1、对照《环境保护综合名录（2021年版）》产品名录，本项目为</w:t>
                  </w:r>
                  <w:r>
                    <w:rPr>
                      <w:rFonts w:hint="eastAsia" w:ascii="Times New Roman" w:hAnsi="Times New Roman" w:eastAsia="宋体" w:cs="Times New Roman"/>
                      <w:color w:val="000000" w:themeColor="text1"/>
                      <w:sz w:val="21"/>
                      <w:szCs w:val="21"/>
                      <w:lang w:val="en-US" w:eastAsia="zh-CN"/>
                    </w:rPr>
                    <w:t>纸制品制造</w:t>
                  </w:r>
                  <w:r>
                    <w:rPr>
                      <w:rFonts w:hint="default" w:ascii="Times New Roman" w:hAnsi="Times New Roman" w:eastAsia="宋体" w:cs="Times New Roman"/>
                      <w:color w:val="000000" w:themeColor="text1"/>
                      <w:sz w:val="21"/>
                      <w:szCs w:val="21"/>
                      <w:lang w:val="en-US" w:eastAsia="zh-CN"/>
                    </w:rPr>
                    <w:t>，不属于名录中的“高污染，高环境风险”产品。</w:t>
                  </w:r>
                </w:p>
                <w:p w14:paraId="7747FA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2、</w:t>
                  </w:r>
                  <w:r>
                    <w:rPr>
                      <w:rFonts w:hint="default" w:ascii="Times New Roman" w:hAnsi="Times New Roman" w:eastAsia="宋体" w:cs="Times New Roman"/>
                      <w:color w:val="000000" w:themeColor="text1"/>
                      <w:sz w:val="21"/>
                      <w:szCs w:val="21"/>
                      <w:lang w:val="en-US" w:eastAsia="zh-CN"/>
                    </w:rPr>
                    <w:t>本项目属于新建项目，</w:t>
                  </w:r>
                  <w:r>
                    <w:rPr>
                      <w:rFonts w:hint="eastAsia" w:ascii="Times New Roman" w:hAnsi="Times New Roman" w:eastAsia="宋体" w:cs="Times New Roman"/>
                      <w:color w:val="000000" w:themeColor="text1"/>
                      <w:sz w:val="21"/>
                      <w:szCs w:val="21"/>
                      <w:lang w:val="en-US" w:eastAsia="zh-CN"/>
                    </w:rPr>
                    <w:t>采取雨污分流制，雨水进入园区已建雨水管网</w:t>
                  </w:r>
                  <w:r>
                    <w:rPr>
                      <w:rFonts w:hint="default" w:ascii="Times New Roman" w:hAnsi="Times New Roman" w:eastAsia="宋体" w:cs="Times New Roman"/>
                      <w:color w:val="000000" w:themeColor="text1"/>
                      <w:sz w:val="21"/>
                      <w:szCs w:val="21"/>
                      <w:lang w:val="en-US" w:eastAsia="zh-CN"/>
                    </w:rPr>
                    <w:t>。</w:t>
                  </w:r>
                </w:p>
                <w:p w14:paraId="13ECAE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3</w:t>
                  </w:r>
                  <w:r>
                    <w:rPr>
                      <w:rFonts w:hint="default" w:ascii="Times New Roman" w:hAnsi="Times New Roman" w:eastAsia="宋体" w:cs="Times New Roman"/>
                      <w:color w:val="000000" w:themeColor="text1"/>
                      <w:sz w:val="21"/>
                      <w:szCs w:val="21"/>
                      <w:lang w:val="en-US" w:eastAsia="zh-CN"/>
                    </w:rPr>
                    <w:t>、项目</w:t>
                  </w:r>
                  <w:r>
                    <w:rPr>
                      <w:rFonts w:hint="default" w:ascii="Times New Roman" w:hAnsi="Times New Roman" w:eastAsia="宋体" w:cs="Times New Roman"/>
                      <w:color w:val="000000" w:themeColor="text1"/>
                      <w:sz w:val="21"/>
                      <w:szCs w:val="21"/>
                      <w:lang w:eastAsia="zh-CN"/>
                    </w:rPr>
                    <w:t>生产废水循环使用；生活污水进入园区污水处理厂处理，</w:t>
                  </w:r>
                  <w:r>
                    <w:rPr>
                      <w:rFonts w:hint="default" w:ascii="Times New Roman" w:hAnsi="Times New Roman" w:eastAsia="宋体" w:cs="Times New Roman"/>
                      <w:color w:val="000000" w:themeColor="text1"/>
                      <w:sz w:val="21"/>
                      <w:szCs w:val="21"/>
                      <w:lang w:val="en-US" w:eastAsia="zh-CN"/>
                    </w:rPr>
                    <w:t>无废污水直接外排</w:t>
                  </w:r>
                  <w:r>
                    <w:rPr>
                      <w:rFonts w:hint="eastAsia" w:ascii="Times New Roman" w:hAnsi="Times New Roman" w:eastAsia="宋体" w:cs="Times New Roman"/>
                      <w:color w:val="000000" w:themeColor="text1"/>
                      <w:sz w:val="21"/>
                      <w:szCs w:val="21"/>
                      <w:lang w:val="en-US" w:eastAsia="zh-CN"/>
                    </w:rPr>
                    <w:t>。</w:t>
                  </w:r>
                </w:p>
                <w:p w14:paraId="6658D6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4</w:t>
                  </w:r>
                  <w:r>
                    <w:rPr>
                      <w:rFonts w:hint="default" w:ascii="Times New Roman" w:hAnsi="Times New Roman" w:eastAsia="宋体" w:cs="Times New Roman"/>
                      <w:color w:val="000000" w:themeColor="text1"/>
                      <w:sz w:val="21"/>
                      <w:szCs w:val="21"/>
                      <w:lang w:val="en-US" w:eastAsia="zh-CN"/>
                    </w:rPr>
                    <w:t>、项目园区已建设园区污水处理厂，项目生活污水进入园区污水处理厂处理后排放。</w:t>
                  </w:r>
                </w:p>
                <w:p w14:paraId="54084B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5、项目区不属于泉域保护范围以及岩溶强发育、存在较多落水洞和岩溶漏斗的区域，厂区采取分区防渗措施，危废暂存间为重点防渗区；生产区、事故池、贮料池、化粪池、隔油池等为一般防渗区；车间地面为简单防渗区，对土壤及地下水影响较小。</w:t>
                  </w:r>
                </w:p>
              </w:tc>
              <w:tc>
                <w:tcPr>
                  <w:tcW w:w="424" w:type="pct"/>
                  <w:noWrap w:val="0"/>
                  <w:vAlign w:val="center"/>
                </w:tcPr>
                <w:p w14:paraId="6959C2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符合</w:t>
                  </w:r>
                </w:p>
              </w:tc>
            </w:tr>
            <w:tr w14:paraId="502AE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vMerge w:val="continue"/>
                  <w:noWrap w:val="0"/>
                  <w:vAlign w:val="center"/>
                </w:tcPr>
                <w:p w14:paraId="6489D7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rPr>
                  </w:pPr>
                </w:p>
              </w:tc>
              <w:tc>
                <w:tcPr>
                  <w:tcW w:w="2281" w:type="pct"/>
                  <w:noWrap w:val="0"/>
                  <w:vAlign w:val="center"/>
                </w:tcPr>
                <w:p w14:paraId="30D5E8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环境风险防控：</w:t>
                  </w:r>
                </w:p>
                <w:p w14:paraId="294907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1.靠近城区居民分布密集区周边区域不宜布置日常储量构成重大危险源的使用危险化学品的项目。</w:t>
                  </w:r>
                </w:p>
                <w:p w14:paraId="7D92AF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2.注重危险化学品的贮存和风险防范，其最大可信事故半致死浓度范围内不得有居民点存在。</w:t>
                  </w:r>
                </w:p>
                <w:p w14:paraId="3B4263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3</w:t>
                  </w:r>
                  <w:r>
                    <w:rPr>
                      <w:rFonts w:hint="eastAsia" w:ascii="Times New Roman" w:hAnsi="Times New Roman" w:eastAsia="宋体" w:cs="Times New Roman"/>
                      <w:color w:val="000000" w:themeColor="text1"/>
                      <w:sz w:val="21"/>
                      <w:szCs w:val="21"/>
                      <w:lang w:val="en-US" w:eastAsia="zh-CN"/>
                    </w:rPr>
                    <w:t>.</w:t>
                  </w:r>
                  <w:r>
                    <w:rPr>
                      <w:rFonts w:hint="default" w:ascii="Times New Roman" w:hAnsi="Times New Roman" w:eastAsia="宋体" w:cs="Times New Roman"/>
                      <w:color w:val="000000" w:themeColor="text1"/>
                      <w:sz w:val="21"/>
                      <w:szCs w:val="21"/>
                      <w:lang w:eastAsia="zh-CN"/>
                    </w:rPr>
                    <w:t>对于进驻园区项目在选址布局时要充分考虑卫生防护距离和安全防护距离的要求。及时完成重污染企业周边环境防护距离内居民的搬迁工作。</w:t>
                  </w:r>
                </w:p>
                <w:p w14:paraId="141301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4.制定突发环境事件应急预案，完善风险管理机制，加强风险控制防范。建立区域环境监测制度，加强规划实施的跟踪监测与管理。</w:t>
                  </w:r>
                </w:p>
              </w:tc>
              <w:tc>
                <w:tcPr>
                  <w:tcW w:w="1836" w:type="pct"/>
                  <w:noWrap w:val="0"/>
                  <w:vAlign w:val="center"/>
                </w:tcPr>
                <w:p w14:paraId="49F24E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1、项目风险物质主要为废机油，不涉及重大风险源。</w:t>
                  </w:r>
                </w:p>
                <w:p w14:paraId="01D434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w:t>
                  </w:r>
                  <w:r>
                    <w:rPr>
                      <w:rFonts w:hint="eastAsia" w:ascii="Times New Roman" w:hAnsi="Times New Roman" w:eastAsia="宋体" w:cs="Times New Roman"/>
                      <w:color w:val="000000" w:themeColor="text1"/>
                      <w:sz w:val="21"/>
                      <w:szCs w:val="21"/>
                      <w:lang w:val="en-US" w:eastAsia="zh-CN"/>
                    </w:rPr>
                    <w:t>项目原辅料不涉及危险化学品的使用和贮存</w:t>
                  </w:r>
                  <w:r>
                    <w:rPr>
                      <w:rFonts w:hint="default" w:ascii="Times New Roman" w:hAnsi="Times New Roman" w:eastAsia="宋体" w:cs="Times New Roman"/>
                      <w:color w:val="000000" w:themeColor="text1"/>
                      <w:sz w:val="21"/>
                      <w:szCs w:val="21"/>
                      <w:lang w:val="en-US" w:eastAsia="zh-CN"/>
                    </w:rPr>
                    <w:t>。</w:t>
                  </w:r>
                </w:p>
                <w:p w14:paraId="31A3C9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3、项目烘干使用生物质燃料，无燃煤使用；产生的量颗粒物、二氧化硫、氮氧化物污染物可做到达标排放，不考虑大气</w:t>
                  </w:r>
                  <w:r>
                    <w:rPr>
                      <w:rFonts w:hint="eastAsia" w:ascii="Times New Roman" w:hAnsi="Times New Roman" w:eastAsia="宋体" w:cs="Times New Roman"/>
                      <w:color w:val="000000" w:themeColor="text1"/>
                      <w:sz w:val="21"/>
                      <w:szCs w:val="21"/>
                      <w:lang w:val="en-US" w:eastAsia="zh-CN"/>
                    </w:rPr>
                    <w:t>和卫生</w:t>
                  </w:r>
                  <w:r>
                    <w:rPr>
                      <w:rFonts w:hint="default" w:ascii="Times New Roman" w:hAnsi="Times New Roman" w:eastAsia="宋体" w:cs="Times New Roman"/>
                      <w:color w:val="000000" w:themeColor="text1"/>
                      <w:sz w:val="21"/>
                      <w:szCs w:val="21"/>
                      <w:lang w:val="en-US" w:eastAsia="zh-CN"/>
                    </w:rPr>
                    <w:t>安全防护距离。</w:t>
                  </w:r>
                </w:p>
                <w:p w14:paraId="02366D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4、本次环评针对项目提出环境风险应急与防范措施，后续将建立应急响应联动机制和风险防控体系并编制应急预案以防范环境风险。</w:t>
                  </w:r>
                </w:p>
              </w:tc>
              <w:tc>
                <w:tcPr>
                  <w:tcW w:w="424" w:type="pct"/>
                  <w:noWrap w:val="0"/>
                  <w:vAlign w:val="center"/>
                </w:tcPr>
                <w:p w14:paraId="510958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符合</w:t>
                  </w:r>
                </w:p>
              </w:tc>
            </w:tr>
            <w:tr w14:paraId="3FBD3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vMerge w:val="continue"/>
                  <w:noWrap w:val="0"/>
                  <w:vAlign w:val="center"/>
                </w:tcPr>
                <w:p w14:paraId="4841A0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rPr>
                  </w:pPr>
                </w:p>
              </w:tc>
              <w:tc>
                <w:tcPr>
                  <w:tcW w:w="2281" w:type="pct"/>
                  <w:noWrap w:val="0"/>
                  <w:vAlign w:val="center"/>
                </w:tcPr>
                <w:p w14:paraId="086473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企业工业水循环利用率必须大于80%，中水回用率指标为100%。</w:t>
                  </w:r>
                </w:p>
              </w:tc>
              <w:tc>
                <w:tcPr>
                  <w:tcW w:w="1836" w:type="pct"/>
                  <w:noWrap w:val="0"/>
                  <w:vAlign w:val="center"/>
                </w:tcPr>
                <w:p w14:paraId="4DC275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本项目生产废水全部回用于生产，符合要求。</w:t>
                  </w:r>
                </w:p>
              </w:tc>
              <w:tc>
                <w:tcPr>
                  <w:tcW w:w="424" w:type="pct"/>
                  <w:noWrap w:val="0"/>
                  <w:vAlign w:val="center"/>
                </w:tcPr>
                <w:p w14:paraId="406C63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符合</w:t>
                  </w:r>
                </w:p>
              </w:tc>
            </w:tr>
          </w:tbl>
          <w:p w14:paraId="7BDE08E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atLeast"/>
              <w:ind w:left="0" w:right="0" w:firstLine="420"/>
              <w:jc w:val="center"/>
              <w:textAlignment w:val="auto"/>
              <w:rPr>
                <w:rFonts w:hint="default" w:ascii="Times New Roman" w:hAnsi="Times New Roman" w:eastAsia="宋体" w:cs="Times New Roman"/>
                <w:b w:val="0"/>
                <w:bCs w:val="0"/>
                <w:color w:val="000000" w:themeColor="text1"/>
                <w:sz w:val="21"/>
                <w:szCs w:val="21"/>
                <w:lang w:eastAsia="zh-CN"/>
              </w:rPr>
            </w:pPr>
            <w:r>
              <w:rPr>
                <w:rFonts w:hint="default" w:ascii="Times New Roman" w:hAnsi="Times New Roman" w:eastAsia="宋体" w:cs="Times New Roman"/>
                <w:b w:val="0"/>
                <w:bCs w:val="0"/>
                <w:color w:val="000000" w:themeColor="text1"/>
                <w:sz w:val="21"/>
                <w:szCs w:val="21"/>
                <w:lang w:eastAsia="zh-CN"/>
              </w:rPr>
              <w:pict>
                <v:shape id="_x0000_i1025" o:spt="75" alt="管控单元截图20250409" type="#_x0000_t75" style="height:359.75pt;width:307pt;" filled="f" o:preferrelative="t" stroked="f" coordsize="21600,21600">
                  <v:path/>
                  <v:fill on="f" focussize="0,0"/>
                  <v:stroke on="f"/>
                  <v:imagedata r:id="rId18" o:title="管控单元截图20250409"/>
                  <o:lock v:ext="edit" aspectratio="t"/>
                  <w10:wrap type="none"/>
                  <w10:anchorlock/>
                </v:shape>
              </w:pict>
            </w:r>
          </w:p>
          <w:p w14:paraId="50BCF054">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图1-1  “三线一单”管控单元查询结果示意图</w:t>
            </w:r>
          </w:p>
          <w:p w14:paraId="071E557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atLeast"/>
              <w:ind w:left="0" w:right="0" w:firstLine="420"/>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综上所述，经过与</w:t>
            </w:r>
            <w:r>
              <w:rPr>
                <w:rFonts w:hint="default" w:ascii="Times New Roman" w:hAnsi="Times New Roman" w:eastAsia="宋体" w:cs="Times New Roman"/>
                <w:b w:val="0"/>
                <w:bCs w:val="0"/>
                <w:color w:val="000000" w:themeColor="text1"/>
                <w:sz w:val="21"/>
                <w:szCs w:val="21"/>
                <w:lang w:val="en-US" w:eastAsia="zh-CN"/>
              </w:rPr>
              <w:t>《玉溪市“三线一单”生态环境分区管控实施意见的通知》（玉政发〔2021〕15号）、</w:t>
            </w:r>
            <w:r>
              <w:rPr>
                <w:rFonts w:hint="default" w:ascii="Times New Roman" w:hAnsi="Times New Roman" w:eastAsia="宋体" w:cs="Times New Roman"/>
                <w:b w:val="0"/>
                <w:bCs w:val="0"/>
                <w:color w:val="000000" w:themeColor="text1"/>
                <w:sz w:val="21"/>
                <w:szCs w:val="21"/>
              </w:rPr>
              <w:t>《玉溪市生态环境分区管控动态更新调整方案（2023年）》进行对照后，项目不在生态保护红线内、未超出环境质量底线及资源利用上线、未列入环境准入负面清单内</w:t>
            </w:r>
            <w:r>
              <w:rPr>
                <w:rFonts w:hint="eastAsia" w:ascii="Times New Roman" w:hAnsi="Times New Roman" w:eastAsia="宋体" w:cs="Times New Roman"/>
                <w:b w:val="0"/>
                <w:bCs w:val="0"/>
                <w:color w:val="000000" w:themeColor="text1"/>
                <w:sz w:val="21"/>
                <w:szCs w:val="21"/>
                <w:lang w:eastAsia="zh-CN"/>
              </w:rPr>
              <w:t>，</w:t>
            </w:r>
            <w:r>
              <w:rPr>
                <w:rFonts w:hint="eastAsia" w:ascii="Times New Roman" w:hAnsi="Times New Roman" w:eastAsia="宋体" w:cs="Times New Roman"/>
                <w:b w:val="0"/>
                <w:bCs w:val="0"/>
                <w:color w:val="000000" w:themeColor="text1"/>
                <w:sz w:val="21"/>
                <w:szCs w:val="21"/>
                <w:lang w:val="en-US" w:eastAsia="zh-CN"/>
              </w:rPr>
              <w:t>其与《玉溪市“三线一单”生态环境分区管控实施意见的通知》（玉政发〔2021〕15号）、</w:t>
            </w:r>
            <w:r>
              <w:rPr>
                <w:rFonts w:hint="default" w:ascii="Times New Roman" w:hAnsi="Times New Roman" w:eastAsia="宋体" w:cs="Times New Roman"/>
                <w:b w:val="0"/>
                <w:bCs w:val="0"/>
                <w:color w:val="000000" w:themeColor="text1"/>
                <w:sz w:val="21"/>
                <w:szCs w:val="21"/>
              </w:rPr>
              <w:t>《玉溪市生态环境分区管控动态更新调整方案（2023年）》相符。</w:t>
            </w:r>
          </w:p>
          <w:bookmarkEnd w:id="5"/>
          <w:p w14:paraId="2BCCDF2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atLeast"/>
              <w:ind w:left="0" w:leftChars="0" w:right="0" w:firstLine="0" w:firstLineChars="0"/>
              <w:jc w:val="both"/>
              <w:textAlignment w:val="auto"/>
              <w:rPr>
                <w:rFonts w:hint="default" w:ascii="Times New Roman" w:hAnsi="Times New Roman" w:eastAsia="宋体" w:cs="Times New Roman"/>
                <w:b/>
                <w:bCs/>
                <w:color w:val="000000" w:themeColor="text1"/>
                <w:sz w:val="21"/>
                <w:szCs w:val="21"/>
                <w:lang w:val="en-US"/>
              </w:rPr>
            </w:pPr>
            <w:r>
              <w:rPr>
                <w:rFonts w:hint="eastAsia" w:ascii="Times New Roman" w:hAnsi="Times New Roman" w:eastAsia="宋体" w:cs="Times New Roman"/>
                <w:b/>
                <w:bCs/>
                <w:color w:val="000000" w:themeColor="text1"/>
                <w:sz w:val="21"/>
                <w:szCs w:val="21"/>
                <w:lang w:val="en-US" w:eastAsia="zh-CN"/>
              </w:rPr>
              <w:t>4</w:t>
            </w:r>
            <w:r>
              <w:rPr>
                <w:rFonts w:hint="default" w:ascii="Times New Roman" w:hAnsi="Times New Roman" w:eastAsia="宋体" w:cs="Times New Roman"/>
                <w:b/>
                <w:bCs/>
                <w:color w:val="000000" w:themeColor="text1"/>
                <w:sz w:val="21"/>
                <w:szCs w:val="21"/>
                <w:lang w:val="en-US" w:eastAsia="zh-CN"/>
              </w:rPr>
              <w:t>、与《长江经济带发展负面清单指南（试行）》符合性分析</w:t>
            </w:r>
          </w:p>
          <w:p w14:paraId="06A483B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atLeast"/>
              <w:ind w:left="0" w:right="0" w:firstLine="420" w:firstLineChars="20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本项目不与区域土地利用规划、国土空间规划、主体功能区划、产业结构规划等相冲突，项目符合国家产业政策，符合通海工业园区规划的相关要求，且项目污染物排放量较少，对周边环境影响较小，对照《长江经济带发展负面清单指南（试行，2022年版）》分析如下：</w:t>
            </w:r>
          </w:p>
          <w:p w14:paraId="32D8F7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Times New Roman" w:hAnsi="Times New Roman" w:eastAsia="宋体" w:cs="Times New Roman"/>
                <w:b/>
                <w:bCs/>
                <w:color w:val="000000" w:themeColor="text1"/>
                <w:sz w:val="21"/>
                <w:szCs w:val="21"/>
                <w:lang w:val="en-US"/>
              </w:rPr>
            </w:pPr>
            <w:r>
              <w:rPr>
                <w:rFonts w:hint="default" w:ascii="Times New Roman" w:hAnsi="Times New Roman" w:eastAsia="宋体" w:cs="Times New Roman"/>
                <w:b/>
                <w:bCs/>
                <w:color w:val="000000" w:themeColor="text1"/>
                <w:sz w:val="21"/>
                <w:szCs w:val="21"/>
                <w:lang w:val="en-US" w:eastAsia="zh-CN"/>
              </w:rPr>
              <w:t>表1-</w:t>
            </w:r>
            <w:r>
              <w:rPr>
                <w:rFonts w:hint="eastAsia" w:ascii="Times New Roman" w:hAnsi="Times New Roman" w:eastAsia="宋体" w:cs="Times New Roman"/>
                <w:b/>
                <w:bCs/>
                <w:color w:val="000000" w:themeColor="text1"/>
                <w:sz w:val="21"/>
                <w:szCs w:val="21"/>
                <w:lang w:val="en-US" w:eastAsia="zh-CN"/>
              </w:rPr>
              <w:t>5</w:t>
            </w:r>
            <w:r>
              <w:rPr>
                <w:rFonts w:hint="default" w:ascii="Times New Roman" w:hAnsi="Times New Roman" w:eastAsia="宋体" w:cs="Times New Roman"/>
                <w:b/>
                <w:bCs/>
                <w:color w:val="000000" w:themeColor="text1"/>
                <w:sz w:val="21"/>
                <w:szCs w:val="21"/>
                <w:lang w:val="en-US" w:eastAsia="zh-CN"/>
              </w:rPr>
              <w:t xml:space="preserve">  与《长江经济带发展负面清单指南（试行）》符合性分析一览表</w:t>
            </w:r>
          </w:p>
          <w:tbl>
            <w:tblPr>
              <w:tblStyle w:val="43"/>
              <w:tblW w:w="778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2"/>
              <w:gridCol w:w="4212"/>
              <w:gridCol w:w="2471"/>
              <w:gridCol w:w="669"/>
            </w:tblGrid>
            <w:tr w14:paraId="215B9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2" w:type="dxa"/>
                  <w:tcBorders>
                    <w:top w:val="single" w:color="000000" w:sz="4" w:space="0"/>
                    <w:left w:val="single" w:color="000000" w:sz="4" w:space="0"/>
                    <w:bottom w:val="single" w:color="000000" w:sz="4" w:space="0"/>
                    <w:right w:val="single" w:color="000000" w:sz="4" w:space="0"/>
                  </w:tcBorders>
                  <w:noWrap w:val="0"/>
                  <w:vAlign w:val="center"/>
                </w:tcPr>
                <w:p w14:paraId="5D3EC298">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lang w:val="en-US"/>
                    </w:rPr>
                  </w:pPr>
                  <w:r>
                    <w:rPr>
                      <w:rFonts w:hint="default" w:ascii="Times New Roman" w:hAnsi="Times New Roman" w:eastAsia="宋体" w:cs="Times New Roman"/>
                      <w:b/>
                      <w:bCs/>
                      <w:color w:val="000000" w:themeColor="text1"/>
                      <w:sz w:val="21"/>
                      <w:szCs w:val="21"/>
                      <w:lang w:val="en-US" w:eastAsia="zh-CN"/>
                    </w:rPr>
                    <w:t>序号</w:t>
                  </w:r>
                </w:p>
              </w:tc>
              <w:tc>
                <w:tcPr>
                  <w:tcW w:w="4212" w:type="dxa"/>
                  <w:tcBorders>
                    <w:top w:val="single" w:color="000000" w:sz="4" w:space="0"/>
                    <w:left w:val="single" w:color="000000" w:sz="4" w:space="0"/>
                    <w:bottom w:val="single" w:color="000000" w:sz="4" w:space="0"/>
                    <w:right w:val="single" w:color="000000" w:sz="4" w:space="0"/>
                  </w:tcBorders>
                  <w:noWrap w:val="0"/>
                  <w:vAlign w:val="center"/>
                </w:tcPr>
                <w:p w14:paraId="515471D9">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lang w:val="en-US"/>
                    </w:rPr>
                  </w:pPr>
                  <w:r>
                    <w:rPr>
                      <w:rFonts w:hint="default" w:ascii="Times New Roman" w:hAnsi="Times New Roman" w:eastAsia="宋体" w:cs="Times New Roman"/>
                      <w:b/>
                      <w:bCs/>
                      <w:color w:val="000000" w:themeColor="text1"/>
                      <w:sz w:val="21"/>
                      <w:szCs w:val="21"/>
                      <w:lang w:val="en-US" w:eastAsia="zh-CN"/>
                    </w:rPr>
                    <w:t>长江经济带发展负面清单指南要求</w:t>
                  </w:r>
                </w:p>
              </w:tc>
              <w:tc>
                <w:tcPr>
                  <w:tcW w:w="2471" w:type="dxa"/>
                  <w:tcBorders>
                    <w:top w:val="single" w:color="000000" w:sz="4" w:space="0"/>
                    <w:left w:val="single" w:color="000000" w:sz="4" w:space="0"/>
                    <w:bottom w:val="single" w:color="000000" w:sz="4" w:space="0"/>
                    <w:right w:val="single" w:color="000000" w:sz="4" w:space="0"/>
                  </w:tcBorders>
                  <w:noWrap w:val="0"/>
                  <w:vAlign w:val="center"/>
                </w:tcPr>
                <w:p w14:paraId="08B65914">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lang w:val="en-US"/>
                    </w:rPr>
                  </w:pPr>
                  <w:r>
                    <w:rPr>
                      <w:rFonts w:hint="default" w:ascii="Times New Roman" w:hAnsi="Times New Roman" w:eastAsia="宋体" w:cs="Times New Roman"/>
                      <w:b/>
                      <w:bCs/>
                      <w:color w:val="000000" w:themeColor="text1"/>
                      <w:sz w:val="21"/>
                      <w:szCs w:val="21"/>
                      <w:lang w:val="en-US" w:eastAsia="zh-CN"/>
                    </w:rPr>
                    <w:t>项目实际建设情况</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68019398">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lang w:val="en-US"/>
                    </w:rPr>
                  </w:pPr>
                  <w:r>
                    <w:rPr>
                      <w:rFonts w:hint="default" w:ascii="Times New Roman" w:hAnsi="Times New Roman" w:eastAsia="宋体" w:cs="Times New Roman"/>
                      <w:b/>
                      <w:bCs/>
                      <w:color w:val="000000" w:themeColor="text1"/>
                      <w:sz w:val="21"/>
                      <w:szCs w:val="21"/>
                      <w:lang w:val="en-US" w:eastAsia="zh-CN"/>
                    </w:rPr>
                    <w:t>符合性</w:t>
                  </w:r>
                </w:p>
              </w:tc>
            </w:tr>
            <w:tr w14:paraId="0ACB5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2" w:type="dxa"/>
                  <w:tcBorders>
                    <w:top w:val="single" w:color="000000" w:sz="4" w:space="0"/>
                    <w:left w:val="single" w:color="000000" w:sz="4" w:space="0"/>
                    <w:bottom w:val="single" w:color="000000" w:sz="4" w:space="0"/>
                    <w:right w:val="single" w:color="000000" w:sz="4" w:space="0"/>
                  </w:tcBorders>
                  <w:noWrap w:val="0"/>
                  <w:vAlign w:val="center"/>
                </w:tcPr>
                <w:p w14:paraId="4325262A">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1</w:t>
                  </w:r>
                </w:p>
              </w:tc>
              <w:tc>
                <w:tcPr>
                  <w:tcW w:w="4212" w:type="dxa"/>
                  <w:tcBorders>
                    <w:top w:val="single" w:color="000000" w:sz="4" w:space="0"/>
                    <w:left w:val="single" w:color="000000" w:sz="4" w:space="0"/>
                    <w:bottom w:val="single" w:color="000000" w:sz="4" w:space="0"/>
                    <w:right w:val="single" w:color="000000" w:sz="4" w:space="0"/>
                  </w:tcBorders>
                  <w:noWrap w:val="0"/>
                  <w:vAlign w:val="center"/>
                </w:tcPr>
                <w:p w14:paraId="184AE6F8">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禁止建设不符合全国和省级港口布局规划以及港口总体规划的码头项目，禁止建设不符合《长江干线过江通道布局规划》的过江通道项目。</w:t>
                  </w:r>
                </w:p>
              </w:tc>
              <w:tc>
                <w:tcPr>
                  <w:tcW w:w="2471" w:type="dxa"/>
                  <w:tcBorders>
                    <w:top w:val="single" w:color="000000" w:sz="4" w:space="0"/>
                    <w:left w:val="single" w:color="000000" w:sz="4" w:space="0"/>
                    <w:bottom w:val="single" w:color="000000" w:sz="4" w:space="0"/>
                    <w:right w:val="single" w:color="000000" w:sz="4" w:space="0"/>
                  </w:tcBorders>
                  <w:noWrap w:val="0"/>
                  <w:vAlign w:val="center"/>
                </w:tcPr>
                <w:p w14:paraId="457A7448">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项目不涉及码头及过江通道。</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0B9A2CF3">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符合</w:t>
                  </w:r>
                </w:p>
              </w:tc>
            </w:tr>
            <w:tr w14:paraId="37475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2" w:type="dxa"/>
                  <w:tcBorders>
                    <w:top w:val="single" w:color="000000" w:sz="4" w:space="0"/>
                    <w:left w:val="single" w:color="000000" w:sz="4" w:space="0"/>
                    <w:bottom w:val="single" w:color="000000" w:sz="4" w:space="0"/>
                    <w:right w:val="single" w:color="000000" w:sz="4" w:space="0"/>
                  </w:tcBorders>
                  <w:noWrap w:val="0"/>
                  <w:vAlign w:val="center"/>
                </w:tcPr>
                <w:p w14:paraId="7832A632">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2</w:t>
                  </w:r>
                </w:p>
              </w:tc>
              <w:tc>
                <w:tcPr>
                  <w:tcW w:w="4212" w:type="dxa"/>
                  <w:tcBorders>
                    <w:top w:val="single" w:color="000000" w:sz="4" w:space="0"/>
                    <w:left w:val="single" w:color="000000" w:sz="4" w:space="0"/>
                    <w:bottom w:val="single" w:color="000000" w:sz="4" w:space="0"/>
                    <w:right w:val="single" w:color="000000" w:sz="4" w:space="0"/>
                  </w:tcBorders>
                  <w:noWrap w:val="0"/>
                  <w:vAlign w:val="center"/>
                </w:tcPr>
                <w:p w14:paraId="73AC44E0">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禁止在自然保护区核心区、缓冲区的岸线和河段范围内投资建设旅游和生产经营项目。禁止在风景名胜区核心景区的岸线和河段范围内投资建设与风景名胜资源保护无关的项目；</w:t>
                  </w:r>
                </w:p>
              </w:tc>
              <w:tc>
                <w:tcPr>
                  <w:tcW w:w="2471" w:type="dxa"/>
                  <w:tcBorders>
                    <w:top w:val="single" w:color="000000" w:sz="4" w:space="0"/>
                    <w:left w:val="single" w:color="000000" w:sz="4" w:space="0"/>
                    <w:bottom w:val="single" w:color="000000" w:sz="4" w:space="0"/>
                    <w:right w:val="single" w:color="000000" w:sz="4" w:space="0"/>
                  </w:tcBorders>
                  <w:noWrap w:val="0"/>
                  <w:vAlign w:val="center"/>
                </w:tcPr>
                <w:p w14:paraId="1CAEE071">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项目位于通海县里山五金产业园区，不涉及自然保护区核心区、缓冲区的岸线和河段范围内、风景名胜区等特殊敏感区。</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200F8DBA">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符合</w:t>
                  </w:r>
                </w:p>
              </w:tc>
            </w:tr>
            <w:tr w14:paraId="0CFE2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2" w:type="dxa"/>
                  <w:tcBorders>
                    <w:top w:val="single" w:color="000000" w:sz="4" w:space="0"/>
                    <w:left w:val="single" w:color="000000" w:sz="4" w:space="0"/>
                    <w:bottom w:val="single" w:color="000000" w:sz="4" w:space="0"/>
                    <w:right w:val="single" w:color="000000" w:sz="4" w:space="0"/>
                  </w:tcBorders>
                  <w:noWrap w:val="0"/>
                  <w:vAlign w:val="center"/>
                </w:tcPr>
                <w:p w14:paraId="4093895C">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3</w:t>
                  </w:r>
                </w:p>
              </w:tc>
              <w:tc>
                <w:tcPr>
                  <w:tcW w:w="4212" w:type="dxa"/>
                  <w:tcBorders>
                    <w:top w:val="single" w:color="000000" w:sz="4" w:space="0"/>
                    <w:left w:val="single" w:color="000000" w:sz="4" w:space="0"/>
                    <w:bottom w:val="single" w:color="000000" w:sz="4" w:space="0"/>
                    <w:right w:val="single" w:color="000000" w:sz="4" w:space="0"/>
                  </w:tcBorders>
                  <w:noWrap w:val="0"/>
                  <w:vAlign w:val="center"/>
                </w:tcPr>
                <w:p w14:paraId="4BD03EAD">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2471" w:type="dxa"/>
                  <w:tcBorders>
                    <w:top w:val="single" w:color="000000" w:sz="4" w:space="0"/>
                    <w:left w:val="single" w:color="000000" w:sz="4" w:space="0"/>
                    <w:bottom w:val="single" w:color="000000" w:sz="4" w:space="0"/>
                    <w:right w:val="single" w:color="000000" w:sz="4" w:space="0"/>
                  </w:tcBorders>
                  <w:noWrap w:val="0"/>
                  <w:vAlign w:val="center"/>
                </w:tcPr>
                <w:p w14:paraId="38F1A9BD">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项目位于通海县里山五金产业园区，不涉及到饮用水水源地。</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66BC3AF1">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符合</w:t>
                  </w:r>
                </w:p>
              </w:tc>
            </w:tr>
            <w:tr w14:paraId="780831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2" w:type="dxa"/>
                  <w:tcBorders>
                    <w:top w:val="single" w:color="000000" w:sz="4" w:space="0"/>
                    <w:left w:val="single" w:color="000000" w:sz="4" w:space="0"/>
                    <w:bottom w:val="single" w:color="000000" w:sz="4" w:space="0"/>
                    <w:right w:val="single" w:color="000000" w:sz="4" w:space="0"/>
                  </w:tcBorders>
                  <w:noWrap w:val="0"/>
                  <w:vAlign w:val="center"/>
                </w:tcPr>
                <w:p w14:paraId="64E907ED">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4</w:t>
                  </w:r>
                </w:p>
              </w:tc>
              <w:tc>
                <w:tcPr>
                  <w:tcW w:w="4212" w:type="dxa"/>
                  <w:tcBorders>
                    <w:top w:val="single" w:color="000000" w:sz="4" w:space="0"/>
                    <w:left w:val="single" w:color="000000" w:sz="4" w:space="0"/>
                    <w:bottom w:val="single" w:color="000000" w:sz="4" w:space="0"/>
                    <w:right w:val="single" w:color="000000" w:sz="4" w:space="0"/>
                  </w:tcBorders>
                  <w:noWrap w:val="0"/>
                  <w:vAlign w:val="center"/>
                </w:tcPr>
                <w:p w14:paraId="5CE3537A">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禁止在水产种植资源保护区的岸线和河段范围内新建围湖造田、围海造地或填海等投资建设项目。禁止在国家湿地公园的岸线和河段范围内挖砂、采矿，以及任何不符合主体功能定位的投资建设项目。</w:t>
                  </w:r>
                </w:p>
              </w:tc>
              <w:tc>
                <w:tcPr>
                  <w:tcW w:w="2471" w:type="dxa"/>
                  <w:tcBorders>
                    <w:top w:val="single" w:color="000000" w:sz="4" w:space="0"/>
                    <w:left w:val="single" w:color="000000" w:sz="4" w:space="0"/>
                    <w:bottom w:val="single" w:color="000000" w:sz="4" w:space="0"/>
                    <w:right w:val="single" w:color="000000" w:sz="4" w:space="0"/>
                  </w:tcBorders>
                  <w:noWrap w:val="0"/>
                  <w:vAlign w:val="center"/>
                </w:tcPr>
                <w:p w14:paraId="1EA3CC48">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项目位于通海县里山五金产业园区，符合园区功能定位，项目所在地处于曲江支流地表径流区，不属于水产种植资源保护区的岸线和河段范围。</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03EC963E">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符合</w:t>
                  </w:r>
                </w:p>
              </w:tc>
            </w:tr>
            <w:tr w14:paraId="52BBB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2" w:type="dxa"/>
                  <w:tcBorders>
                    <w:top w:val="single" w:color="000000" w:sz="4" w:space="0"/>
                    <w:left w:val="single" w:color="000000" w:sz="4" w:space="0"/>
                    <w:bottom w:val="single" w:color="000000" w:sz="4" w:space="0"/>
                    <w:right w:val="single" w:color="000000" w:sz="4" w:space="0"/>
                  </w:tcBorders>
                  <w:noWrap w:val="0"/>
                  <w:vAlign w:val="center"/>
                </w:tcPr>
                <w:p w14:paraId="3AD171AD">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5</w:t>
                  </w:r>
                </w:p>
              </w:tc>
              <w:tc>
                <w:tcPr>
                  <w:tcW w:w="4212" w:type="dxa"/>
                  <w:tcBorders>
                    <w:top w:val="single" w:color="000000" w:sz="4" w:space="0"/>
                    <w:left w:val="single" w:color="000000" w:sz="4" w:space="0"/>
                    <w:bottom w:val="single" w:color="000000" w:sz="4" w:space="0"/>
                    <w:right w:val="single" w:color="000000" w:sz="4" w:space="0"/>
                  </w:tcBorders>
                  <w:noWrap w:val="0"/>
                  <w:vAlign w:val="center"/>
                </w:tcPr>
                <w:p w14:paraId="3B7935E5">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471" w:type="dxa"/>
                  <w:vMerge w:val="restart"/>
                  <w:tcBorders>
                    <w:top w:val="single" w:color="000000" w:sz="4" w:space="0"/>
                    <w:left w:val="single" w:color="000000" w:sz="4" w:space="0"/>
                    <w:right w:val="single" w:color="000000" w:sz="4" w:space="0"/>
                  </w:tcBorders>
                  <w:noWrap w:val="0"/>
                  <w:vAlign w:val="center"/>
                </w:tcPr>
                <w:p w14:paraId="678A52AA">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项目地处曲江支流径流区，该河段不属于《长江岸线保护和开发利用总体规划》划定的岸线保护区和保留区，也不属于《全国重要江河湖泊水功能区划》划定的河段保护区、保留区。</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3F335463">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符合</w:t>
                  </w:r>
                </w:p>
              </w:tc>
            </w:tr>
            <w:tr w14:paraId="48F1A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2" w:type="dxa"/>
                  <w:tcBorders>
                    <w:top w:val="single" w:color="000000" w:sz="4" w:space="0"/>
                    <w:left w:val="single" w:color="000000" w:sz="4" w:space="0"/>
                    <w:bottom w:val="single" w:color="000000" w:sz="4" w:space="0"/>
                    <w:right w:val="single" w:color="000000" w:sz="4" w:space="0"/>
                  </w:tcBorders>
                  <w:noWrap w:val="0"/>
                  <w:vAlign w:val="center"/>
                </w:tcPr>
                <w:p w14:paraId="43CD3FA9">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6</w:t>
                  </w:r>
                </w:p>
              </w:tc>
              <w:tc>
                <w:tcPr>
                  <w:tcW w:w="4212" w:type="dxa"/>
                  <w:tcBorders>
                    <w:top w:val="single" w:color="000000" w:sz="4" w:space="0"/>
                    <w:left w:val="single" w:color="000000" w:sz="4" w:space="0"/>
                    <w:bottom w:val="single" w:color="000000" w:sz="4" w:space="0"/>
                    <w:right w:val="single" w:color="000000" w:sz="4" w:space="0"/>
                  </w:tcBorders>
                  <w:noWrap w:val="0"/>
                  <w:vAlign w:val="center"/>
                </w:tcPr>
                <w:p w14:paraId="55BA97B6">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禁止未经允许在长江干支流及湖泊新设、改设或扩大排污口。</w:t>
                  </w:r>
                </w:p>
              </w:tc>
              <w:tc>
                <w:tcPr>
                  <w:tcW w:w="2471" w:type="dxa"/>
                  <w:vMerge w:val="continue"/>
                  <w:tcBorders>
                    <w:left w:val="single" w:color="000000" w:sz="4" w:space="0"/>
                    <w:bottom w:val="single" w:color="000000" w:sz="4" w:space="0"/>
                    <w:right w:val="single" w:color="000000" w:sz="4" w:space="0"/>
                  </w:tcBorders>
                  <w:noWrap w:val="0"/>
                  <w:vAlign w:val="center"/>
                </w:tcPr>
                <w:p w14:paraId="5DE61C0D">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0000" w:themeColor="text1"/>
                      <w:sz w:val="21"/>
                      <w:szCs w:val="21"/>
                      <w:lang w:val="en-US"/>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6678008C">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符合</w:t>
                  </w:r>
                </w:p>
              </w:tc>
            </w:tr>
            <w:tr w14:paraId="59AA4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2" w:type="dxa"/>
                  <w:tcBorders>
                    <w:top w:val="single" w:color="000000" w:sz="4" w:space="0"/>
                    <w:left w:val="single" w:color="000000" w:sz="4" w:space="0"/>
                    <w:bottom w:val="single" w:color="000000" w:sz="4" w:space="0"/>
                    <w:right w:val="single" w:color="000000" w:sz="4" w:space="0"/>
                  </w:tcBorders>
                  <w:noWrap w:val="0"/>
                  <w:vAlign w:val="center"/>
                </w:tcPr>
                <w:p w14:paraId="11E4260A">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7</w:t>
                  </w:r>
                </w:p>
              </w:tc>
              <w:tc>
                <w:tcPr>
                  <w:tcW w:w="4212" w:type="dxa"/>
                  <w:tcBorders>
                    <w:top w:val="single" w:color="000000" w:sz="4" w:space="0"/>
                    <w:left w:val="single" w:color="000000" w:sz="4" w:space="0"/>
                    <w:bottom w:val="single" w:color="000000" w:sz="4" w:space="0"/>
                    <w:right w:val="single" w:color="000000" w:sz="4" w:space="0"/>
                  </w:tcBorders>
                  <w:noWrap w:val="0"/>
                  <w:vAlign w:val="center"/>
                </w:tcPr>
                <w:p w14:paraId="49D859BF">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禁止在“一江一口两湖七河”和332个水生生物保护区开展生产性捕捞。</w:t>
                  </w:r>
                </w:p>
              </w:tc>
              <w:tc>
                <w:tcPr>
                  <w:tcW w:w="2471" w:type="dxa"/>
                  <w:tcBorders>
                    <w:top w:val="single" w:color="000000" w:sz="4" w:space="0"/>
                    <w:left w:val="single" w:color="000000" w:sz="4" w:space="0"/>
                    <w:bottom w:val="single" w:color="000000" w:sz="4" w:space="0"/>
                    <w:right w:val="single" w:color="000000" w:sz="4" w:space="0"/>
                  </w:tcBorders>
                  <w:noWrap w:val="0"/>
                  <w:vAlign w:val="center"/>
                </w:tcPr>
                <w:p w14:paraId="59665C89">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项目不涉及“一江一口两湖七河”和332个水生生物保护区。</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7E242DB3">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符合</w:t>
                  </w:r>
                </w:p>
              </w:tc>
            </w:tr>
            <w:tr w14:paraId="5F08A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2" w:type="dxa"/>
                  <w:tcBorders>
                    <w:top w:val="single" w:color="000000" w:sz="4" w:space="0"/>
                    <w:left w:val="single" w:color="000000" w:sz="4" w:space="0"/>
                    <w:bottom w:val="single" w:color="000000" w:sz="4" w:space="0"/>
                    <w:right w:val="single" w:color="000000" w:sz="4" w:space="0"/>
                  </w:tcBorders>
                  <w:noWrap w:val="0"/>
                  <w:vAlign w:val="center"/>
                </w:tcPr>
                <w:p w14:paraId="181D5284">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8</w:t>
                  </w:r>
                </w:p>
              </w:tc>
              <w:tc>
                <w:tcPr>
                  <w:tcW w:w="4212" w:type="dxa"/>
                  <w:tcBorders>
                    <w:top w:val="single" w:color="000000" w:sz="4" w:space="0"/>
                    <w:left w:val="single" w:color="000000" w:sz="4" w:space="0"/>
                    <w:bottom w:val="single" w:color="000000" w:sz="4" w:space="0"/>
                    <w:right w:val="single" w:color="000000" w:sz="4" w:space="0"/>
                  </w:tcBorders>
                  <w:noWrap w:val="0"/>
                  <w:vAlign w:val="center"/>
                </w:tcPr>
                <w:p w14:paraId="6A63660F">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471" w:type="dxa"/>
                  <w:tcBorders>
                    <w:top w:val="single" w:color="000000" w:sz="4" w:space="0"/>
                    <w:left w:val="single" w:color="000000" w:sz="4" w:space="0"/>
                    <w:bottom w:val="single" w:color="000000" w:sz="4" w:space="0"/>
                    <w:right w:val="single" w:color="000000" w:sz="4" w:space="0"/>
                  </w:tcBorders>
                  <w:noWrap w:val="0"/>
                  <w:vAlign w:val="center"/>
                </w:tcPr>
                <w:p w14:paraId="256F935A">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项目所在地不涉及长江干支流、重要湖泊岸线一公里范围内，不涉及长江干流岸线三公里范围内和重要支流岸线一公里范围内</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3013798E">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符合</w:t>
                  </w:r>
                </w:p>
              </w:tc>
            </w:tr>
            <w:tr w14:paraId="4DEED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2" w:type="dxa"/>
                  <w:tcBorders>
                    <w:top w:val="single" w:color="000000" w:sz="4" w:space="0"/>
                    <w:left w:val="single" w:color="000000" w:sz="4" w:space="0"/>
                    <w:bottom w:val="single" w:color="000000" w:sz="4" w:space="0"/>
                    <w:right w:val="single" w:color="000000" w:sz="4" w:space="0"/>
                  </w:tcBorders>
                  <w:noWrap w:val="0"/>
                  <w:vAlign w:val="center"/>
                </w:tcPr>
                <w:p w14:paraId="221AF8D7">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9</w:t>
                  </w:r>
                </w:p>
              </w:tc>
              <w:tc>
                <w:tcPr>
                  <w:tcW w:w="4212" w:type="dxa"/>
                  <w:tcBorders>
                    <w:top w:val="single" w:color="000000" w:sz="4" w:space="0"/>
                    <w:left w:val="single" w:color="000000" w:sz="4" w:space="0"/>
                    <w:bottom w:val="single" w:color="000000" w:sz="4" w:space="0"/>
                    <w:right w:val="single" w:color="000000" w:sz="4" w:space="0"/>
                  </w:tcBorders>
                  <w:noWrap w:val="0"/>
                  <w:vAlign w:val="center"/>
                </w:tcPr>
                <w:p w14:paraId="006B2F58">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禁止在合规园区外新建、扩建钢铁、石化、化工、焦化、建材、有色、制浆造纸等高污染项目。</w:t>
                  </w:r>
                </w:p>
              </w:tc>
              <w:tc>
                <w:tcPr>
                  <w:tcW w:w="2471" w:type="dxa"/>
                  <w:tcBorders>
                    <w:top w:val="single" w:color="000000" w:sz="4" w:space="0"/>
                    <w:left w:val="single" w:color="000000" w:sz="4" w:space="0"/>
                    <w:bottom w:val="single" w:color="000000" w:sz="4" w:space="0"/>
                    <w:right w:val="single" w:color="000000" w:sz="4" w:space="0"/>
                  </w:tcBorders>
                  <w:noWrap w:val="0"/>
                  <w:vAlign w:val="center"/>
                </w:tcPr>
                <w:p w14:paraId="60F71D71">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项目在通海县里山五金产业园区新建。</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64D85B73">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符合</w:t>
                  </w:r>
                </w:p>
              </w:tc>
            </w:tr>
            <w:tr w14:paraId="0C961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2" w:type="dxa"/>
                  <w:tcBorders>
                    <w:top w:val="single" w:color="000000" w:sz="4" w:space="0"/>
                    <w:left w:val="single" w:color="000000" w:sz="4" w:space="0"/>
                    <w:bottom w:val="single" w:color="000000" w:sz="4" w:space="0"/>
                    <w:right w:val="single" w:color="000000" w:sz="4" w:space="0"/>
                  </w:tcBorders>
                  <w:noWrap w:val="0"/>
                  <w:vAlign w:val="center"/>
                </w:tcPr>
                <w:p w14:paraId="7383F8B6">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10</w:t>
                  </w:r>
                </w:p>
              </w:tc>
              <w:tc>
                <w:tcPr>
                  <w:tcW w:w="4212" w:type="dxa"/>
                  <w:tcBorders>
                    <w:top w:val="single" w:color="000000" w:sz="4" w:space="0"/>
                    <w:left w:val="single" w:color="000000" w:sz="4" w:space="0"/>
                    <w:bottom w:val="single" w:color="000000" w:sz="4" w:space="0"/>
                    <w:right w:val="single" w:color="000000" w:sz="4" w:space="0"/>
                  </w:tcBorders>
                  <w:noWrap w:val="0"/>
                  <w:vAlign w:val="center"/>
                </w:tcPr>
                <w:p w14:paraId="79D0922B">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禁止新建、扩建不符合国家石化、现代煤化工等产业布局规划的项目。</w:t>
                  </w:r>
                </w:p>
              </w:tc>
              <w:tc>
                <w:tcPr>
                  <w:tcW w:w="2471" w:type="dxa"/>
                  <w:tcBorders>
                    <w:top w:val="single" w:color="000000" w:sz="4" w:space="0"/>
                    <w:left w:val="single" w:color="000000" w:sz="4" w:space="0"/>
                    <w:bottom w:val="single" w:color="000000" w:sz="4" w:space="0"/>
                    <w:right w:val="single" w:color="000000" w:sz="4" w:space="0"/>
                  </w:tcBorders>
                  <w:noWrap w:val="0"/>
                  <w:vAlign w:val="center"/>
                </w:tcPr>
                <w:p w14:paraId="375AB2F7">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项目不属于石化、现代煤化工等项目。</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2C56D1CE">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符合</w:t>
                  </w:r>
                </w:p>
              </w:tc>
            </w:tr>
            <w:tr w14:paraId="5D97C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2" w:type="dxa"/>
                  <w:tcBorders>
                    <w:top w:val="single" w:color="000000" w:sz="4" w:space="0"/>
                    <w:left w:val="single" w:color="000000" w:sz="4" w:space="0"/>
                    <w:bottom w:val="single" w:color="000000" w:sz="4" w:space="0"/>
                    <w:right w:val="single" w:color="000000" w:sz="4" w:space="0"/>
                  </w:tcBorders>
                  <w:noWrap w:val="0"/>
                  <w:vAlign w:val="center"/>
                </w:tcPr>
                <w:p w14:paraId="29A514DF">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11</w:t>
                  </w:r>
                </w:p>
              </w:tc>
              <w:tc>
                <w:tcPr>
                  <w:tcW w:w="4212" w:type="dxa"/>
                  <w:tcBorders>
                    <w:top w:val="single" w:color="000000" w:sz="4" w:space="0"/>
                    <w:left w:val="single" w:color="000000" w:sz="4" w:space="0"/>
                    <w:bottom w:val="single" w:color="000000" w:sz="4" w:space="0"/>
                    <w:right w:val="single" w:color="000000" w:sz="4" w:space="0"/>
                  </w:tcBorders>
                  <w:noWrap w:val="0"/>
                  <w:vAlign w:val="center"/>
                </w:tcPr>
                <w:p w14:paraId="24C3193F">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禁止新建、扩建法律法规和相关政策明令禁止的落后产能项目。禁止新建、扩建不符合国家产能置换要求的严重过剩产能行业的项目。禁止新建、扩建不符合要求的高耗能高排放项目。</w:t>
                  </w:r>
                </w:p>
              </w:tc>
              <w:tc>
                <w:tcPr>
                  <w:tcW w:w="2471" w:type="dxa"/>
                  <w:tcBorders>
                    <w:top w:val="single" w:color="000000" w:sz="4" w:space="0"/>
                    <w:left w:val="single" w:color="000000" w:sz="4" w:space="0"/>
                    <w:bottom w:val="single" w:color="000000" w:sz="4" w:space="0"/>
                    <w:right w:val="single" w:color="000000" w:sz="4" w:space="0"/>
                  </w:tcBorders>
                  <w:noWrap w:val="0"/>
                  <w:vAlign w:val="center"/>
                </w:tcPr>
                <w:p w14:paraId="1A10531C">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项目不属于落后产能项目，也不属于过剩产能行业和高耗能高排放项目。</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509924CB">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符合</w:t>
                  </w:r>
                </w:p>
              </w:tc>
            </w:tr>
            <w:tr w14:paraId="2B036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2" w:type="dxa"/>
                  <w:tcBorders>
                    <w:top w:val="single" w:color="000000" w:sz="4" w:space="0"/>
                    <w:left w:val="single" w:color="000000" w:sz="4" w:space="0"/>
                    <w:bottom w:val="single" w:color="000000" w:sz="4" w:space="0"/>
                    <w:right w:val="single" w:color="000000" w:sz="4" w:space="0"/>
                  </w:tcBorders>
                  <w:noWrap w:val="0"/>
                  <w:vAlign w:val="center"/>
                </w:tcPr>
                <w:p w14:paraId="050F9719">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12</w:t>
                  </w:r>
                </w:p>
              </w:tc>
              <w:tc>
                <w:tcPr>
                  <w:tcW w:w="4212" w:type="dxa"/>
                  <w:tcBorders>
                    <w:top w:val="single" w:color="000000" w:sz="4" w:space="0"/>
                    <w:left w:val="single" w:color="000000" w:sz="4" w:space="0"/>
                    <w:bottom w:val="single" w:color="000000" w:sz="4" w:space="0"/>
                    <w:right w:val="single" w:color="000000" w:sz="4" w:space="0"/>
                  </w:tcBorders>
                  <w:noWrap w:val="0"/>
                  <w:vAlign w:val="center"/>
                </w:tcPr>
                <w:p w14:paraId="32F04409">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法律法规及相关政策文件有更加严格规定的从其规定。</w:t>
                  </w:r>
                </w:p>
              </w:tc>
              <w:tc>
                <w:tcPr>
                  <w:tcW w:w="2471" w:type="dxa"/>
                  <w:tcBorders>
                    <w:top w:val="single" w:color="000000" w:sz="4" w:space="0"/>
                    <w:left w:val="single" w:color="000000" w:sz="4" w:space="0"/>
                    <w:bottom w:val="single" w:color="000000" w:sz="4" w:space="0"/>
                    <w:right w:val="single" w:color="000000" w:sz="4" w:space="0"/>
                  </w:tcBorders>
                  <w:noWrap w:val="0"/>
                  <w:vAlign w:val="center"/>
                </w:tcPr>
                <w:p w14:paraId="5A8E31D3">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3259DF69">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w:t>
                  </w:r>
                </w:p>
              </w:tc>
            </w:tr>
          </w:tbl>
          <w:p w14:paraId="19D0F833">
            <w:pPr>
              <w:keepNext w:val="0"/>
              <w:keepLines w:val="0"/>
              <w:pageBreakBefore w:val="0"/>
              <w:widowControl/>
              <w:suppressLineNumbers w:val="0"/>
              <w:kinsoku/>
              <w:wordWrap/>
              <w:overflowPunct/>
              <w:topLinePunct w:val="0"/>
              <w:bidi w:val="0"/>
              <w:adjustRightInd w:val="0"/>
              <w:snapToGrid w:val="0"/>
              <w:spacing w:before="0" w:beforeAutospacing="0" w:after="0" w:afterAutospacing="0" w:line="440" w:lineRule="exact"/>
              <w:ind w:left="0" w:right="0"/>
              <w:jc w:val="left"/>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由上表可知，项目建设符合《长江经济带发展负面清单指南（试行）》的要求。</w:t>
            </w:r>
          </w:p>
          <w:p w14:paraId="55F6D0CB">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0" w:firstLineChars="0"/>
              <w:textAlignment w:val="auto"/>
              <w:rPr>
                <w:rFonts w:hint="default" w:ascii="Times New Roman" w:hAnsi="Times New Roman" w:eastAsia="宋体" w:cs="Times New Roman"/>
                <w:b/>
                <w:bCs/>
                <w:color w:val="000000" w:themeColor="text1"/>
                <w:sz w:val="21"/>
                <w:szCs w:val="21"/>
              </w:rPr>
            </w:pPr>
            <w:r>
              <w:rPr>
                <w:rFonts w:hint="eastAsia" w:ascii="Times New Roman" w:hAnsi="Times New Roman" w:eastAsia="宋体" w:cs="Times New Roman"/>
                <w:b/>
                <w:bCs/>
                <w:color w:val="000000" w:themeColor="text1"/>
                <w:sz w:val="21"/>
                <w:szCs w:val="21"/>
                <w:lang w:val="en-US" w:eastAsia="zh-CN"/>
              </w:rPr>
              <w:t>5</w:t>
            </w:r>
            <w:r>
              <w:rPr>
                <w:rFonts w:hint="default" w:ascii="Times New Roman" w:hAnsi="Times New Roman" w:eastAsia="宋体" w:cs="Times New Roman"/>
                <w:b/>
                <w:bCs/>
                <w:color w:val="000000" w:themeColor="text1"/>
                <w:sz w:val="21"/>
                <w:szCs w:val="21"/>
              </w:rPr>
              <w:t>、与《云南省长江经济带发展负面清单指南实施细则（试行）》符合性分析</w:t>
            </w:r>
          </w:p>
          <w:p w14:paraId="7027DA5D">
            <w:pPr>
              <w:keepNext w:val="0"/>
              <w:keepLines w:val="0"/>
              <w:pageBreakBefore w:val="0"/>
              <w:suppressLineNumbers w:val="0"/>
              <w:kinsoku/>
              <w:wordWrap/>
              <w:overflowPunct/>
              <w:topLinePunct w:val="0"/>
              <w:bidi w:val="0"/>
              <w:adjustRightInd w:val="0"/>
              <w:snapToGrid w:val="0"/>
              <w:spacing w:before="0" w:beforeAutospacing="0" w:after="0" w:afterAutospacing="0" w:line="440" w:lineRule="exact"/>
              <w:ind w:left="0" w:right="0" w:firstLine="420"/>
              <w:jc w:val="left"/>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根据《云南省长江经济带发展负面清单指南实施细则（试行</w:t>
            </w:r>
            <w:r>
              <w:rPr>
                <w:rFonts w:hint="default"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lang w:val="en-US" w:eastAsia="zh-CN"/>
              </w:rPr>
              <w:t>2022年版</w:t>
            </w:r>
            <w:r>
              <w:rPr>
                <w:rFonts w:hint="default" w:ascii="Times New Roman" w:hAnsi="Times New Roman" w:eastAsia="宋体" w:cs="Times New Roman"/>
                <w:color w:val="000000" w:themeColor="text1"/>
                <w:sz w:val="21"/>
                <w:szCs w:val="21"/>
              </w:rPr>
              <w:t>）》，本项目不属于负面清单内容。</w:t>
            </w:r>
          </w:p>
          <w:p w14:paraId="3E277AF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表1-</w:t>
            </w:r>
            <w:r>
              <w:rPr>
                <w:rFonts w:hint="eastAsia" w:ascii="Times New Roman" w:hAnsi="Times New Roman" w:eastAsia="宋体" w:cs="Times New Roman"/>
                <w:b/>
                <w:bCs/>
                <w:color w:val="000000" w:themeColor="text1"/>
                <w:sz w:val="21"/>
                <w:szCs w:val="21"/>
                <w:lang w:val="en-US" w:eastAsia="zh-CN"/>
              </w:rPr>
              <w:t>6</w:t>
            </w:r>
            <w:r>
              <w:rPr>
                <w:rFonts w:hint="default" w:ascii="Times New Roman" w:hAnsi="Times New Roman" w:eastAsia="宋体" w:cs="Times New Roman"/>
                <w:b/>
                <w:bCs/>
                <w:color w:val="000000" w:themeColor="text1"/>
                <w:sz w:val="21"/>
                <w:szCs w:val="21"/>
              </w:rPr>
              <w:t xml:space="preserve">  长江经济带发展负面清单对照一览表</w:t>
            </w:r>
          </w:p>
          <w:tbl>
            <w:tblPr>
              <w:tblStyle w:val="43"/>
              <w:tblW w:w="78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7"/>
              <w:gridCol w:w="2298"/>
              <w:gridCol w:w="656"/>
            </w:tblGrid>
            <w:tr w14:paraId="475E9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57" w:type="dxa"/>
                  <w:noWrap w:val="0"/>
                  <w:vAlign w:val="center"/>
                </w:tcPr>
                <w:p w14:paraId="57FE7F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相关内容</w:t>
                  </w:r>
                </w:p>
              </w:tc>
              <w:tc>
                <w:tcPr>
                  <w:tcW w:w="2298" w:type="dxa"/>
                  <w:noWrap w:val="0"/>
                  <w:vAlign w:val="center"/>
                </w:tcPr>
                <w:p w14:paraId="0326F9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项目建设情况</w:t>
                  </w:r>
                </w:p>
              </w:tc>
              <w:tc>
                <w:tcPr>
                  <w:tcW w:w="656" w:type="dxa"/>
                  <w:noWrap w:val="0"/>
                  <w:vAlign w:val="center"/>
                </w:tcPr>
                <w:p w14:paraId="531270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符合性</w:t>
                  </w:r>
                </w:p>
              </w:tc>
            </w:tr>
            <w:tr w14:paraId="7988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57" w:type="dxa"/>
                  <w:noWrap w:val="0"/>
                  <w:vAlign w:val="center"/>
                </w:tcPr>
                <w:p w14:paraId="369985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firstLine="420" w:firstLineChars="200"/>
                    <w:jc w:val="left"/>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①禁止一切不符合主体功能定位的投资建设项目，严禁任意改变用途，因国家重大战略资源勘查需要，在不影响主体功能定位的前提下，经依法批准后予以安排勘查项目。</w:t>
                  </w:r>
                </w:p>
              </w:tc>
              <w:tc>
                <w:tcPr>
                  <w:tcW w:w="2298" w:type="dxa"/>
                  <w:noWrap w:val="0"/>
                  <w:vAlign w:val="center"/>
                </w:tcPr>
                <w:p w14:paraId="00FB98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firstLine="420" w:firstLineChars="200"/>
                    <w:jc w:val="left"/>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本项目属</w:t>
                  </w:r>
                  <w:r>
                    <w:rPr>
                      <w:rFonts w:hint="default" w:ascii="Times New Roman" w:hAnsi="Times New Roman" w:eastAsia="宋体" w:cs="Times New Roman"/>
                      <w:color w:val="000000" w:themeColor="text1"/>
                      <w:sz w:val="21"/>
                      <w:szCs w:val="21"/>
                      <w:lang w:val="en-US" w:eastAsia="zh-CN"/>
                    </w:rPr>
                    <w:t>于纸制品制造</w:t>
                  </w:r>
                  <w:r>
                    <w:rPr>
                      <w:rFonts w:hint="default" w:ascii="Times New Roman" w:hAnsi="Times New Roman" w:eastAsia="宋体" w:cs="Times New Roman"/>
                      <w:color w:val="000000" w:themeColor="text1"/>
                      <w:sz w:val="21"/>
                      <w:szCs w:val="21"/>
                    </w:rPr>
                    <w:t>，对照《产业结构调整指导目录》（2024年本）项目属于“</w:t>
                  </w:r>
                  <w:r>
                    <w:rPr>
                      <w:rFonts w:hint="default" w:ascii="Times New Roman" w:hAnsi="Times New Roman" w:eastAsia="宋体" w:cs="Times New Roman"/>
                      <w:color w:val="000000" w:themeColor="text1"/>
                      <w:sz w:val="21"/>
                      <w:szCs w:val="21"/>
                      <w:lang w:val="en-US" w:eastAsia="zh-CN"/>
                    </w:rPr>
                    <w:t>允许类</w:t>
                  </w:r>
                  <w:r>
                    <w:rPr>
                      <w:rFonts w:hint="default" w:ascii="Times New Roman" w:hAnsi="Times New Roman" w:eastAsia="宋体" w:cs="Times New Roman"/>
                      <w:color w:val="000000" w:themeColor="text1"/>
                      <w:sz w:val="21"/>
                      <w:szCs w:val="21"/>
                    </w:rPr>
                    <w:t>”。</w:t>
                  </w:r>
                </w:p>
              </w:tc>
              <w:tc>
                <w:tcPr>
                  <w:tcW w:w="656" w:type="dxa"/>
                  <w:noWrap w:val="0"/>
                  <w:vAlign w:val="center"/>
                </w:tcPr>
                <w:p w14:paraId="7A162F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7D3F8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57" w:type="dxa"/>
                  <w:noWrap w:val="0"/>
                  <w:vAlign w:val="center"/>
                </w:tcPr>
                <w:p w14:paraId="378081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firstLine="420" w:firstLineChars="200"/>
                    <w:jc w:val="left"/>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②禁止在生态保护红线范围内投资建设除国家重大战略资源勘查项目、生态保护修复和环境治理项目、重大基础设施项目、军事国防项目以及农牧民基本生产生活等必要的民生项目以外的项目。</w:t>
                  </w:r>
                </w:p>
              </w:tc>
              <w:tc>
                <w:tcPr>
                  <w:tcW w:w="2298" w:type="dxa"/>
                  <w:vMerge w:val="restart"/>
                  <w:noWrap w:val="0"/>
                  <w:vAlign w:val="center"/>
                </w:tcPr>
                <w:p w14:paraId="624C29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firstLine="420" w:firstLineChars="200"/>
                    <w:jc w:val="left"/>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项目用地属于工业建设项目用地，不在生态保护红线区域内。</w:t>
                  </w:r>
                </w:p>
              </w:tc>
              <w:tc>
                <w:tcPr>
                  <w:tcW w:w="656" w:type="dxa"/>
                  <w:vMerge w:val="restart"/>
                  <w:noWrap w:val="0"/>
                  <w:vAlign w:val="center"/>
                </w:tcPr>
                <w:p w14:paraId="4639F1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344D5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57" w:type="dxa"/>
                  <w:noWrap w:val="0"/>
                  <w:vAlign w:val="center"/>
                </w:tcPr>
                <w:p w14:paraId="0FC652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firstLine="420" w:firstLineChars="200"/>
                    <w:jc w:val="left"/>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③生态保护红线原则上按禁止开发区域的要求进行管理。</w:t>
                  </w:r>
                </w:p>
              </w:tc>
              <w:tc>
                <w:tcPr>
                  <w:tcW w:w="2298" w:type="dxa"/>
                  <w:vMerge w:val="continue"/>
                  <w:noWrap w:val="0"/>
                  <w:vAlign w:val="center"/>
                </w:tcPr>
                <w:p w14:paraId="7024E3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firstLine="420" w:firstLineChars="200"/>
                    <w:jc w:val="left"/>
                    <w:textAlignment w:val="auto"/>
                    <w:rPr>
                      <w:rFonts w:hint="default" w:ascii="Times New Roman" w:hAnsi="Times New Roman" w:eastAsia="宋体" w:cs="Times New Roman"/>
                      <w:color w:val="000000" w:themeColor="text1"/>
                      <w:sz w:val="21"/>
                      <w:szCs w:val="21"/>
                    </w:rPr>
                  </w:pPr>
                </w:p>
              </w:tc>
              <w:tc>
                <w:tcPr>
                  <w:tcW w:w="656" w:type="dxa"/>
                  <w:vMerge w:val="continue"/>
                  <w:noWrap w:val="0"/>
                  <w:vAlign w:val="center"/>
                </w:tcPr>
                <w:p w14:paraId="6EDB50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color w:val="000000" w:themeColor="text1"/>
                      <w:sz w:val="21"/>
                      <w:szCs w:val="21"/>
                    </w:rPr>
                  </w:pPr>
                </w:p>
              </w:tc>
            </w:tr>
            <w:tr w14:paraId="1E9D6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57" w:type="dxa"/>
                  <w:noWrap w:val="0"/>
                  <w:vAlign w:val="center"/>
                </w:tcPr>
                <w:p w14:paraId="060725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firstLine="420" w:firstLineChars="200"/>
                    <w:jc w:val="left"/>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④禁止在永久基本农田范围内投资建设除国家重大战略资源勘查项目、生态保护修复和环境治理项目、重大基础设施项目、军事国防项目以及农牧民基本生产生活等必要的民生项目以外的项目，重大建设项目选址确实难以避让永久基本农田的，需依法依规办理农用地转用和土地征收，并按照“数量不减、质量不降、布局稳定”的要求进行补划和法定程序修改相应的土地利用总体规划。</w:t>
                  </w:r>
                </w:p>
              </w:tc>
              <w:tc>
                <w:tcPr>
                  <w:tcW w:w="2298" w:type="dxa"/>
                  <w:noWrap w:val="0"/>
                  <w:vAlign w:val="center"/>
                </w:tcPr>
                <w:p w14:paraId="5FBFBE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firstLine="420" w:firstLineChars="200"/>
                    <w:jc w:val="left"/>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本项目为新建项目，用地属于工业建设项目用地，不占用永久基本农田。</w:t>
                  </w:r>
                </w:p>
              </w:tc>
              <w:tc>
                <w:tcPr>
                  <w:tcW w:w="656" w:type="dxa"/>
                  <w:noWrap w:val="0"/>
                  <w:vAlign w:val="center"/>
                </w:tcPr>
                <w:p w14:paraId="3E86CE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5BACD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4" w:hRule="atLeast"/>
              </w:trPr>
              <w:tc>
                <w:tcPr>
                  <w:tcW w:w="4857" w:type="dxa"/>
                  <w:noWrap w:val="0"/>
                  <w:vAlign w:val="center"/>
                </w:tcPr>
                <w:p w14:paraId="421411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firstLine="420" w:firstLineChars="200"/>
                    <w:jc w:val="left"/>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⑤禁止擅自占用和调整已经划定的永久基本农田特别是城市周边永久基本农田，不得多预留永久基本农田为建设占用留有空间，严禁通过擅自调整县乡土地利用总体规划规避占用永久基本农田的审批，严禁未经审批违法违规占用。</w:t>
                  </w:r>
                </w:p>
                <w:p w14:paraId="009651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firstLine="420" w:firstLineChars="200"/>
                    <w:jc w:val="left"/>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⑥禁止在永久基本农田范围内建窑、建房、建坟、挖沙、采石、采矿、取土、堆放固体废弃物或者进行其他破坏永久基本农田的活动；禁止任何单位和个人破坏永久基本农田耕作层；禁止任何单位和个人闲置、荒芜永久基本农田。</w:t>
                  </w:r>
                </w:p>
                <w:p w14:paraId="5F5EFB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firstLine="420" w:firstLineChars="200"/>
                    <w:jc w:val="left"/>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⑦禁止以设施农用地为名违规占用永久基本农田建设休闲旅游、仓储厂房等设施，坚决防止永久基本农田“非农化”。</w:t>
                  </w:r>
                </w:p>
              </w:tc>
              <w:tc>
                <w:tcPr>
                  <w:tcW w:w="2298" w:type="dxa"/>
                  <w:noWrap w:val="0"/>
                  <w:vAlign w:val="center"/>
                </w:tcPr>
                <w:p w14:paraId="296E80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firstLine="420" w:firstLineChars="200"/>
                    <w:jc w:val="left"/>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本项目为新建项目，用地属于工业建设项目用地，不占用永久基本农田。</w:t>
                  </w:r>
                </w:p>
              </w:tc>
              <w:tc>
                <w:tcPr>
                  <w:tcW w:w="656" w:type="dxa"/>
                  <w:noWrap w:val="0"/>
                  <w:vAlign w:val="center"/>
                </w:tcPr>
                <w:p w14:paraId="3756E0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67D1F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57" w:type="dxa"/>
                  <w:noWrap w:val="0"/>
                  <w:vAlign w:val="center"/>
                </w:tcPr>
                <w:p w14:paraId="253EEF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firstLine="420" w:firstLineChars="200"/>
                    <w:jc w:val="left"/>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⑨禁止新建、扩建不符合国家石化、现代煤化工等产业布局规划的项目。</w:t>
                  </w:r>
                </w:p>
              </w:tc>
              <w:tc>
                <w:tcPr>
                  <w:tcW w:w="2298" w:type="dxa"/>
                  <w:noWrap w:val="0"/>
                  <w:vAlign w:val="center"/>
                </w:tcPr>
                <w:p w14:paraId="4A93A1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firstLine="420" w:firstLineChars="200"/>
                    <w:jc w:val="left"/>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不涉及。</w:t>
                  </w:r>
                </w:p>
              </w:tc>
              <w:tc>
                <w:tcPr>
                  <w:tcW w:w="656" w:type="dxa"/>
                  <w:noWrap w:val="0"/>
                  <w:vAlign w:val="center"/>
                </w:tcPr>
                <w:p w14:paraId="4ED4E5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39341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57" w:type="dxa"/>
                  <w:noWrap w:val="0"/>
                  <w:vAlign w:val="center"/>
                </w:tcPr>
                <w:p w14:paraId="7024CE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firstLine="420" w:firstLineChars="200"/>
                    <w:jc w:val="left"/>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⑩禁止新建、扩建法律法规和相关政策明令禁止的落后产能项目，依法依规淘汰不符合要求的电石炉及开放式电石炉、无化产回收的单一炼焦生产设施，依法依规淘汰不符合要求的硫铁矿制酸、硫磺制酸、黄磷生产、有钙焙烧铬化合物生产装置和有机—无机复混肥料、过磷酸钙和钙镁磷肥生产线。</w:t>
                  </w:r>
                </w:p>
              </w:tc>
              <w:tc>
                <w:tcPr>
                  <w:tcW w:w="2298" w:type="dxa"/>
                  <w:noWrap w:val="0"/>
                  <w:vAlign w:val="center"/>
                </w:tcPr>
                <w:p w14:paraId="74B842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firstLine="420" w:firstLineChars="200"/>
                    <w:jc w:val="left"/>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不涉及。</w:t>
                  </w:r>
                </w:p>
              </w:tc>
              <w:tc>
                <w:tcPr>
                  <w:tcW w:w="656" w:type="dxa"/>
                  <w:noWrap w:val="0"/>
                  <w:vAlign w:val="center"/>
                </w:tcPr>
                <w:p w14:paraId="2355B2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575E1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57" w:type="dxa"/>
                  <w:noWrap w:val="0"/>
                  <w:vAlign w:val="center"/>
                </w:tcPr>
                <w:p w14:paraId="598261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firstLine="420" w:firstLineChars="200"/>
                    <w:jc w:val="left"/>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⑪禁止建设高毒高残留以及对环境影响大的农药原药生产装置，严格控制尿素、磷铵、电石、焦炭、黄磷、烧碱、纯碱、聚氯乙烯等行业新增产能。</w:t>
                  </w:r>
                </w:p>
              </w:tc>
              <w:tc>
                <w:tcPr>
                  <w:tcW w:w="2298" w:type="dxa"/>
                  <w:noWrap w:val="0"/>
                  <w:vAlign w:val="center"/>
                </w:tcPr>
                <w:p w14:paraId="56029D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firstLine="420" w:firstLineChars="200"/>
                    <w:jc w:val="left"/>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项目不属于尿素、磷铵、电石、焦炭、黄磷、烧碱、纯碱等高毒高残留行业。</w:t>
                  </w:r>
                </w:p>
              </w:tc>
              <w:tc>
                <w:tcPr>
                  <w:tcW w:w="656" w:type="dxa"/>
                  <w:noWrap w:val="0"/>
                  <w:vAlign w:val="center"/>
                </w:tcPr>
                <w:p w14:paraId="74FE16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61321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57" w:type="dxa"/>
                  <w:noWrap w:val="0"/>
                  <w:vAlign w:val="center"/>
                </w:tcPr>
                <w:p w14:paraId="1FB4FB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firstLine="420" w:firstLineChars="200"/>
                    <w:jc w:val="left"/>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⑫禁止列入《云南省城镇人口密集区危险化学品生产企业搬迁改造名单》的搬迁改造企业在原址新建、扩建危险化学品生产项目，加强搬迁入园、关闭退出企业腾退土地污染风险管控和治理修复，确保腾退土地符合规划用地土壤环境质量标准。</w:t>
                  </w:r>
                </w:p>
              </w:tc>
              <w:tc>
                <w:tcPr>
                  <w:tcW w:w="2298" w:type="dxa"/>
                  <w:noWrap w:val="0"/>
                  <w:vAlign w:val="center"/>
                </w:tcPr>
                <w:p w14:paraId="5762C3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firstLine="420" w:firstLineChars="200"/>
                    <w:jc w:val="left"/>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项目不属于《云南省城镇人口密集区危险化学品生产企业搬迁改造名单》的搬迁改造企业。</w:t>
                  </w:r>
                </w:p>
              </w:tc>
              <w:tc>
                <w:tcPr>
                  <w:tcW w:w="656" w:type="dxa"/>
                  <w:noWrap w:val="0"/>
                  <w:vAlign w:val="center"/>
                </w:tcPr>
                <w:p w14:paraId="247138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bl>
          <w:p w14:paraId="3FFB75DA">
            <w:pPr>
              <w:pStyle w:val="38"/>
              <w:keepNext w:val="0"/>
              <w:keepLines w:val="0"/>
              <w:pageBreakBefore w:val="0"/>
              <w:widowControl w:val="0"/>
              <w:suppressLineNumbers w:val="0"/>
              <w:kinsoku/>
              <w:wordWrap/>
              <w:overflowPunct/>
              <w:topLinePunct/>
              <w:autoSpaceDE/>
              <w:autoSpaceDN/>
              <w:bidi w:val="0"/>
              <w:adjustRightInd w:val="0"/>
              <w:snapToGrid w:val="0"/>
              <w:spacing w:before="0" w:beforeLines="0" w:beforeAutospacing="0" w:after="0" w:afterLines="0" w:afterAutospacing="0" w:line="440" w:lineRule="exact"/>
              <w:ind w:left="0" w:leftChars="0" w:right="0" w:firstLine="0" w:firstLineChars="0"/>
              <w:jc w:val="both"/>
              <w:textAlignment w:val="auto"/>
              <w:rPr>
                <w:rFonts w:hint="default" w:ascii="Times New Roman" w:hAnsi="Times New Roman" w:eastAsia="宋体" w:cs="Times New Roman"/>
                <w:b/>
                <w:bCs w:val="0"/>
                <w:color w:val="000000" w:themeColor="text1"/>
                <w:sz w:val="21"/>
                <w:szCs w:val="21"/>
                <w:lang w:val="en-US"/>
              </w:rPr>
            </w:pPr>
            <w:r>
              <w:rPr>
                <w:rFonts w:hint="eastAsia" w:ascii="Times New Roman" w:hAnsi="Times New Roman" w:eastAsia="宋体" w:cs="Times New Roman"/>
                <w:b/>
                <w:bCs w:val="0"/>
                <w:color w:val="000000" w:themeColor="text1"/>
                <w:kern w:val="2"/>
                <w:sz w:val="21"/>
                <w:szCs w:val="21"/>
                <w:lang w:val="en-US" w:eastAsia="zh-CN" w:bidi="ar"/>
              </w:rPr>
              <w:t>6</w:t>
            </w:r>
            <w:r>
              <w:rPr>
                <w:rFonts w:hint="default" w:ascii="Times New Roman" w:hAnsi="Times New Roman" w:eastAsia="宋体" w:cs="Times New Roman"/>
                <w:b/>
                <w:bCs w:val="0"/>
                <w:color w:val="000000" w:themeColor="text1"/>
                <w:kern w:val="2"/>
                <w:sz w:val="21"/>
                <w:szCs w:val="21"/>
                <w:lang w:val="en-US" w:eastAsia="zh-CN" w:bidi="ar"/>
              </w:rPr>
              <w:t>、与《云南省“十四五”生态建设与环境保护规划》相符性分析</w:t>
            </w:r>
          </w:p>
          <w:p w14:paraId="06BAD3A6">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2022年4月8日，云南省生态环境厅印发了《云南省“十四五”生态建设与环境保护规划》（云环发〔2022〕13号），项目与其符合性分析详见下表：</w:t>
            </w:r>
          </w:p>
          <w:p w14:paraId="198917F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leftChars="0" w:right="0" w:firstLine="0" w:firstLineChars="0"/>
              <w:jc w:val="center"/>
              <w:textAlignment w:val="auto"/>
              <w:rPr>
                <w:rFonts w:hint="default" w:ascii="Times New Roman" w:hAnsi="Times New Roman" w:eastAsia="宋体" w:cs="Times New Roman"/>
                <w:b/>
                <w:bCs/>
                <w:color w:val="000000" w:themeColor="text1"/>
                <w:sz w:val="21"/>
                <w:szCs w:val="21"/>
                <w:lang w:val="en-US"/>
              </w:rPr>
            </w:pPr>
            <w:r>
              <w:rPr>
                <w:rFonts w:hint="default" w:ascii="Times New Roman" w:hAnsi="Times New Roman" w:eastAsia="宋体" w:cs="Times New Roman"/>
                <w:b/>
                <w:bCs/>
                <w:color w:val="000000" w:themeColor="text1"/>
                <w:kern w:val="2"/>
                <w:sz w:val="21"/>
                <w:szCs w:val="21"/>
                <w:lang w:val="en-US" w:eastAsia="zh-CN" w:bidi="ar"/>
              </w:rPr>
              <w:t>表1-</w:t>
            </w:r>
            <w:r>
              <w:rPr>
                <w:rFonts w:hint="eastAsia" w:ascii="Times New Roman" w:hAnsi="Times New Roman" w:eastAsia="宋体" w:cs="Times New Roman"/>
                <w:b/>
                <w:bCs/>
                <w:color w:val="000000" w:themeColor="text1"/>
                <w:kern w:val="2"/>
                <w:sz w:val="21"/>
                <w:szCs w:val="21"/>
                <w:lang w:val="en-US" w:eastAsia="zh-CN" w:bidi="ar"/>
              </w:rPr>
              <w:t>7</w:t>
            </w:r>
            <w:r>
              <w:rPr>
                <w:rFonts w:hint="default" w:ascii="Times New Roman" w:hAnsi="Times New Roman" w:eastAsia="宋体" w:cs="Times New Roman"/>
                <w:b/>
                <w:bCs/>
                <w:color w:val="000000" w:themeColor="text1"/>
                <w:kern w:val="2"/>
                <w:sz w:val="21"/>
                <w:szCs w:val="21"/>
                <w:lang w:val="en-US" w:eastAsia="zh-CN" w:bidi="ar"/>
              </w:rPr>
              <w:t xml:space="preserve">  项目与《云南省“十四五”生态建设与环境保护规划》</w:t>
            </w:r>
            <w:r>
              <w:rPr>
                <w:rFonts w:hint="eastAsia" w:ascii="Times New Roman" w:hAnsi="Times New Roman" w:eastAsia="宋体" w:cs="Times New Roman"/>
                <w:b/>
                <w:bCs/>
                <w:color w:val="000000" w:themeColor="text1"/>
                <w:kern w:val="2"/>
                <w:sz w:val="21"/>
                <w:szCs w:val="21"/>
                <w:lang w:val="en-US" w:eastAsia="zh-CN" w:bidi="ar"/>
              </w:rPr>
              <w:t>符合性分析</w:t>
            </w:r>
          </w:p>
          <w:tbl>
            <w:tblPr>
              <w:tblStyle w:val="43"/>
              <w:tblW w:w="7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494"/>
              <w:gridCol w:w="2843"/>
              <w:gridCol w:w="690"/>
            </w:tblGrid>
            <w:tr w14:paraId="4F572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1979FC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lang w:val="en-US"/>
                    </w:rPr>
                  </w:pPr>
                  <w:r>
                    <w:rPr>
                      <w:rFonts w:hint="default" w:ascii="Times New Roman" w:hAnsi="Times New Roman" w:eastAsia="宋体" w:cs="Times New Roman"/>
                      <w:b/>
                      <w:bCs/>
                      <w:color w:val="000000" w:themeColor="text1"/>
                      <w:kern w:val="2"/>
                      <w:sz w:val="21"/>
                      <w:szCs w:val="21"/>
                      <w:lang w:val="en-US" w:eastAsia="zh-CN" w:bidi="ar"/>
                    </w:rPr>
                    <w:t>章节</w:t>
                  </w:r>
                </w:p>
              </w:tc>
              <w:tc>
                <w:tcPr>
                  <w:tcW w:w="3494" w:type="dxa"/>
                  <w:tcBorders>
                    <w:top w:val="single" w:color="auto" w:sz="4" w:space="0"/>
                    <w:left w:val="nil"/>
                    <w:bottom w:val="single" w:color="auto" w:sz="4" w:space="0"/>
                    <w:right w:val="single" w:color="auto" w:sz="4" w:space="0"/>
                  </w:tcBorders>
                  <w:noWrap w:val="0"/>
                  <w:vAlign w:val="center"/>
                </w:tcPr>
                <w:p w14:paraId="56A23B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lang w:val="en-US"/>
                    </w:rPr>
                  </w:pPr>
                  <w:r>
                    <w:rPr>
                      <w:rFonts w:hint="default" w:ascii="Times New Roman" w:hAnsi="Times New Roman" w:eastAsia="宋体" w:cs="Times New Roman"/>
                      <w:b/>
                      <w:bCs/>
                      <w:color w:val="000000" w:themeColor="text1"/>
                      <w:kern w:val="2"/>
                      <w:sz w:val="21"/>
                      <w:szCs w:val="21"/>
                      <w:lang w:val="en-US" w:eastAsia="zh-CN" w:bidi="ar"/>
                    </w:rPr>
                    <w:t>要求</w:t>
                  </w:r>
                </w:p>
              </w:tc>
              <w:tc>
                <w:tcPr>
                  <w:tcW w:w="2843" w:type="dxa"/>
                  <w:tcBorders>
                    <w:top w:val="single" w:color="auto" w:sz="4" w:space="0"/>
                    <w:left w:val="nil"/>
                    <w:bottom w:val="single" w:color="auto" w:sz="4" w:space="0"/>
                    <w:right w:val="single" w:color="auto" w:sz="4" w:space="0"/>
                  </w:tcBorders>
                  <w:noWrap w:val="0"/>
                  <w:vAlign w:val="center"/>
                </w:tcPr>
                <w:p w14:paraId="4191EF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lang w:val="en-US"/>
                    </w:rPr>
                  </w:pPr>
                  <w:r>
                    <w:rPr>
                      <w:rFonts w:hint="default" w:ascii="Times New Roman" w:hAnsi="Times New Roman" w:eastAsia="宋体" w:cs="Times New Roman"/>
                      <w:b/>
                      <w:bCs/>
                      <w:color w:val="000000" w:themeColor="text1"/>
                      <w:kern w:val="2"/>
                      <w:sz w:val="21"/>
                      <w:szCs w:val="21"/>
                      <w:lang w:val="en-US" w:eastAsia="zh-CN" w:bidi="ar"/>
                    </w:rPr>
                    <w:t>项目建设情况</w:t>
                  </w:r>
                </w:p>
              </w:tc>
              <w:tc>
                <w:tcPr>
                  <w:tcW w:w="690" w:type="dxa"/>
                  <w:tcBorders>
                    <w:top w:val="single" w:color="auto" w:sz="4" w:space="0"/>
                    <w:left w:val="nil"/>
                    <w:bottom w:val="single" w:color="auto" w:sz="4" w:space="0"/>
                    <w:right w:val="single" w:color="auto" w:sz="4" w:space="0"/>
                  </w:tcBorders>
                  <w:noWrap w:val="0"/>
                  <w:vAlign w:val="center"/>
                </w:tcPr>
                <w:p w14:paraId="5A44AB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lang w:val="en-US"/>
                    </w:rPr>
                  </w:pPr>
                  <w:r>
                    <w:rPr>
                      <w:rFonts w:hint="default" w:ascii="Times New Roman" w:hAnsi="Times New Roman" w:eastAsia="宋体" w:cs="Times New Roman"/>
                      <w:b/>
                      <w:bCs/>
                      <w:color w:val="000000" w:themeColor="text1"/>
                      <w:kern w:val="2"/>
                      <w:sz w:val="21"/>
                      <w:szCs w:val="21"/>
                      <w:lang w:val="en-US" w:eastAsia="zh-CN" w:bidi="ar"/>
                    </w:rPr>
                    <w:t>符合性</w:t>
                  </w:r>
                </w:p>
              </w:tc>
            </w:tr>
            <w:tr w14:paraId="3E1BA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293F2E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优化生态环境空间管控</w:t>
                  </w:r>
                </w:p>
              </w:tc>
              <w:tc>
                <w:tcPr>
                  <w:tcW w:w="3494" w:type="dxa"/>
                  <w:tcBorders>
                    <w:top w:val="single" w:color="auto" w:sz="4" w:space="0"/>
                    <w:left w:val="nil"/>
                    <w:bottom w:val="single" w:color="auto" w:sz="4" w:space="0"/>
                    <w:right w:val="single" w:color="auto" w:sz="4" w:space="0"/>
                  </w:tcBorders>
                  <w:noWrap w:val="0"/>
                  <w:vAlign w:val="center"/>
                </w:tcPr>
                <w:p w14:paraId="6A6ACD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以国土空间规划为基础，</w:t>
                  </w:r>
                  <w:r>
                    <w:rPr>
                      <w:rFonts w:hint="default" w:ascii="Times New Roman" w:hAnsi="Times New Roman" w:eastAsia="宋体" w:cs="Times New Roman"/>
                      <w:color w:val="000000" w:themeColor="text1"/>
                      <w:kern w:val="2"/>
                      <w:sz w:val="21"/>
                      <w:szCs w:val="21"/>
                      <w:lang w:val="zh-CN" w:eastAsia="zh-CN" w:bidi="ar"/>
                    </w:rPr>
                    <w:t>严格落实生态保护红线、永久基本农田保护红线和城镇开发边界，减少对自然生态空间的占用。加快推进“三线一单”落实落地</w:t>
                  </w:r>
                  <w:r>
                    <w:rPr>
                      <w:rFonts w:hint="default" w:ascii="Times New Roman" w:hAnsi="Times New Roman" w:eastAsia="宋体" w:cs="Times New Roman"/>
                      <w:color w:val="000000" w:themeColor="text1"/>
                      <w:kern w:val="2"/>
                      <w:sz w:val="21"/>
                      <w:szCs w:val="21"/>
                      <w:lang w:val="en-US" w:eastAsia="zh-CN" w:bidi="ar"/>
                    </w:rPr>
                    <w:t>，把“三线一单”作为区域资源开发、产业布局和结构调整、城镇建设、重大项目选址的重要依据，确保发展不超载、底线不突破。</w:t>
                  </w:r>
                </w:p>
              </w:tc>
              <w:tc>
                <w:tcPr>
                  <w:tcW w:w="2843" w:type="dxa"/>
                  <w:tcBorders>
                    <w:top w:val="single" w:color="auto" w:sz="4" w:space="0"/>
                    <w:left w:val="nil"/>
                    <w:bottom w:val="single" w:color="auto" w:sz="4" w:space="0"/>
                    <w:right w:val="single" w:color="auto" w:sz="4" w:space="0"/>
                  </w:tcBorders>
                  <w:noWrap w:val="0"/>
                  <w:vAlign w:val="center"/>
                </w:tcPr>
                <w:p w14:paraId="1F5FF0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zh-CN" w:eastAsia="zh-CN" w:bidi="ar"/>
                    </w:rPr>
                    <w:t>本项目位于</w:t>
                  </w:r>
                  <w:r>
                    <w:rPr>
                      <w:rFonts w:hint="default" w:ascii="Times New Roman" w:hAnsi="Times New Roman" w:eastAsia="宋体" w:cs="Times New Roman"/>
                      <w:color w:val="000000" w:themeColor="text1"/>
                      <w:kern w:val="2"/>
                      <w:sz w:val="21"/>
                      <w:szCs w:val="21"/>
                      <w:lang w:val="en-US" w:eastAsia="zh-CN" w:bidi="ar"/>
                    </w:rPr>
                    <w:t>通海</w:t>
                  </w:r>
                  <w:r>
                    <w:rPr>
                      <w:rFonts w:hint="default" w:ascii="Times New Roman" w:hAnsi="Times New Roman" w:eastAsia="宋体" w:cs="Times New Roman"/>
                      <w:color w:val="000000" w:themeColor="text1"/>
                      <w:kern w:val="2"/>
                      <w:sz w:val="21"/>
                      <w:szCs w:val="21"/>
                      <w:lang w:val="zh-CN" w:eastAsia="zh-CN" w:bidi="ar"/>
                    </w:rPr>
                    <w:t>五金产业园区里山片区，不属于杞麓湖径流区，用地为工业用地</w:t>
                  </w:r>
                  <w:r>
                    <w:rPr>
                      <w:rFonts w:hint="eastAsia" w:ascii="Times New Roman" w:hAnsi="Times New Roman" w:eastAsia="宋体" w:cs="Times New Roman"/>
                      <w:color w:val="000000" w:themeColor="text1"/>
                      <w:kern w:val="2"/>
                      <w:sz w:val="21"/>
                      <w:szCs w:val="21"/>
                      <w:lang w:val="zh-CN" w:eastAsia="zh-CN" w:bidi="ar"/>
                    </w:rPr>
                    <w:t>，</w:t>
                  </w:r>
                  <w:r>
                    <w:rPr>
                      <w:rFonts w:hint="default" w:ascii="Times New Roman" w:hAnsi="Times New Roman" w:eastAsia="宋体" w:cs="Times New Roman"/>
                      <w:color w:val="000000" w:themeColor="text1"/>
                      <w:kern w:val="2"/>
                      <w:sz w:val="21"/>
                      <w:szCs w:val="21"/>
                      <w:lang w:val="zh-CN" w:eastAsia="zh-CN" w:bidi="ar"/>
                    </w:rPr>
                    <w:t>不涉及占用通海县生态红线，符合</w:t>
                  </w:r>
                  <w:r>
                    <w:rPr>
                      <w:rFonts w:hint="default" w:ascii="Times New Roman" w:hAnsi="Times New Roman" w:eastAsia="宋体" w:cs="Times New Roman"/>
                      <w:color w:val="000000" w:themeColor="text1"/>
                      <w:kern w:val="2"/>
                      <w:sz w:val="21"/>
                      <w:szCs w:val="21"/>
                      <w:lang w:val="en-US" w:eastAsia="zh-CN" w:bidi="ar"/>
                    </w:rPr>
                    <w:t>云南省和玉溪市</w:t>
                  </w:r>
                  <w:r>
                    <w:rPr>
                      <w:rFonts w:hint="default" w:ascii="Times New Roman" w:hAnsi="Times New Roman" w:eastAsia="宋体" w:cs="Times New Roman"/>
                      <w:color w:val="000000" w:themeColor="text1"/>
                      <w:kern w:val="2"/>
                      <w:sz w:val="21"/>
                      <w:szCs w:val="21"/>
                      <w:lang w:val="zh-CN" w:eastAsia="zh-CN" w:bidi="ar"/>
                    </w:rPr>
                    <w:t>“三线一单”要求。</w:t>
                  </w:r>
                </w:p>
              </w:tc>
              <w:tc>
                <w:tcPr>
                  <w:tcW w:w="690" w:type="dxa"/>
                  <w:tcBorders>
                    <w:top w:val="single" w:color="auto" w:sz="4" w:space="0"/>
                    <w:left w:val="nil"/>
                    <w:bottom w:val="single" w:color="auto" w:sz="4" w:space="0"/>
                    <w:right w:val="single" w:color="auto" w:sz="4" w:space="0"/>
                  </w:tcBorders>
                  <w:noWrap w:val="0"/>
                  <w:vAlign w:val="center"/>
                </w:tcPr>
                <w:p w14:paraId="79839D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符合</w:t>
                  </w:r>
                </w:p>
              </w:tc>
            </w:tr>
            <w:tr w14:paraId="2B9DC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8" w:type="dxa"/>
                  <w:vMerge w:val="restart"/>
                  <w:tcBorders>
                    <w:top w:val="single" w:color="auto" w:sz="4" w:space="0"/>
                    <w:left w:val="single" w:color="auto" w:sz="4" w:space="0"/>
                    <w:bottom w:val="single" w:color="auto" w:sz="4" w:space="0"/>
                    <w:right w:val="single" w:color="auto" w:sz="4" w:space="0"/>
                  </w:tcBorders>
                  <w:noWrap w:val="0"/>
                  <w:vAlign w:val="center"/>
                </w:tcPr>
                <w:p w14:paraId="48270A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优化产业结构</w:t>
                  </w:r>
                </w:p>
              </w:tc>
              <w:tc>
                <w:tcPr>
                  <w:tcW w:w="3494" w:type="dxa"/>
                  <w:tcBorders>
                    <w:top w:val="single" w:color="auto" w:sz="4" w:space="0"/>
                    <w:left w:val="nil"/>
                    <w:bottom w:val="single" w:color="auto" w:sz="4" w:space="0"/>
                    <w:right w:val="single" w:color="auto" w:sz="4" w:space="0"/>
                  </w:tcBorders>
                  <w:noWrap w:val="0"/>
                  <w:vAlign w:val="center"/>
                </w:tcPr>
                <w:p w14:paraId="737340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both"/>
                    <w:textAlignment w:val="auto"/>
                    <w:rPr>
                      <w:rFonts w:hint="default" w:ascii="Times New Roman" w:hAnsi="Times New Roman" w:eastAsia="宋体" w:cs="Times New Roman"/>
                      <w:color w:val="000000" w:themeColor="text1"/>
                      <w:sz w:val="21"/>
                      <w:szCs w:val="21"/>
                      <w:lang w:val="zh-CN"/>
                    </w:rPr>
                  </w:pPr>
                  <w:r>
                    <w:rPr>
                      <w:rFonts w:hint="default" w:ascii="Times New Roman" w:hAnsi="Times New Roman" w:eastAsia="宋体" w:cs="Times New Roman"/>
                      <w:color w:val="000000" w:themeColor="text1"/>
                      <w:kern w:val="2"/>
                      <w:sz w:val="21"/>
                      <w:szCs w:val="21"/>
                      <w:lang w:val="zh-CN" w:eastAsia="zh-CN" w:bidi="ar"/>
                    </w:rPr>
                    <w:t>推动重点行业加快实施限制类产能装备的升级改造，有序开展超低排放改造。促进各类开发区整合提升，依法依规推动工业企业入园入区发展，提高各类开发区聚集水平，深入推进各类开发区循环化改造。</w:t>
                  </w:r>
                </w:p>
              </w:tc>
              <w:tc>
                <w:tcPr>
                  <w:tcW w:w="2843" w:type="dxa"/>
                  <w:tcBorders>
                    <w:top w:val="single" w:color="auto" w:sz="4" w:space="0"/>
                    <w:left w:val="nil"/>
                    <w:bottom w:val="single" w:color="auto" w:sz="4" w:space="0"/>
                    <w:right w:val="single" w:color="auto" w:sz="4" w:space="0"/>
                  </w:tcBorders>
                  <w:noWrap w:val="0"/>
                  <w:vAlign w:val="center"/>
                </w:tcPr>
                <w:p w14:paraId="759C82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zh-CN" w:eastAsia="zh-CN" w:bidi="ar"/>
                    </w:rPr>
                    <w:t>本项目不生产《产业结构调整指导目录（20</w:t>
                  </w:r>
                  <w:r>
                    <w:rPr>
                      <w:rFonts w:hint="default" w:ascii="Times New Roman" w:hAnsi="Times New Roman" w:eastAsia="宋体" w:cs="Times New Roman"/>
                      <w:color w:val="000000" w:themeColor="text1"/>
                      <w:kern w:val="2"/>
                      <w:sz w:val="21"/>
                      <w:szCs w:val="21"/>
                      <w:lang w:val="en-US" w:eastAsia="zh-CN" w:bidi="ar"/>
                    </w:rPr>
                    <w:t>24</w:t>
                  </w:r>
                  <w:r>
                    <w:rPr>
                      <w:rFonts w:hint="default" w:ascii="Times New Roman" w:hAnsi="Times New Roman" w:eastAsia="宋体" w:cs="Times New Roman"/>
                      <w:color w:val="000000" w:themeColor="text1"/>
                      <w:kern w:val="2"/>
                      <w:sz w:val="21"/>
                      <w:szCs w:val="21"/>
                      <w:lang w:val="zh-CN" w:eastAsia="zh-CN" w:bidi="ar"/>
                    </w:rPr>
                    <w:t>年本）》的落后产品，不使用淘汰类生产设备，不属于云南引导不再承接的产业。项目位于</w:t>
                  </w:r>
                  <w:r>
                    <w:rPr>
                      <w:rFonts w:hint="default" w:ascii="Times New Roman" w:hAnsi="Times New Roman" w:eastAsia="宋体" w:cs="Times New Roman"/>
                      <w:color w:val="000000" w:themeColor="text1"/>
                      <w:kern w:val="2"/>
                      <w:sz w:val="21"/>
                      <w:szCs w:val="21"/>
                      <w:lang w:val="en-US" w:eastAsia="zh-CN" w:bidi="ar"/>
                    </w:rPr>
                    <w:t>通海</w:t>
                  </w:r>
                  <w:r>
                    <w:rPr>
                      <w:rFonts w:hint="default" w:ascii="Times New Roman" w:hAnsi="Times New Roman" w:eastAsia="宋体" w:cs="Times New Roman"/>
                      <w:color w:val="000000" w:themeColor="text1"/>
                      <w:kern w:val="2"/>
                      <w:sz w:val="21"/>
                      <w:szCs w:val="21"/>
                      <w:lang w:val="zh-CN" w:eastAsia="zh-CN" w:bidi="ar"/>
                    </w:rPr>
                    <w:t>五金产业园区里山片区，符合产业定位。</w:t>
                  </w:r>
                </w:p>
              </w:tc>
              <w:tc>
                <w:tcPr>
                  <w:tcW w:w="690" w:type="dxa"/>
                  <w:tcBorders>
                    <w:top w:val="single" w:color="auto" w:sz="4" w:space="0"/>
                    <w:left w:val="nil"/>
                    <w:bottom w:val="single" w:color="auto" w:sz="4" w:space="0"/>
                    <w:right w:val="single" w:color="auto" w:sz="4" w:space="0"/>
                  </w:tcBorders>
                  <w:noWrap w:val="0"/>
                  <w:vAlign w:val="center"/>
                </w:tcPr>
                <w:p w14:paraId="1A6E95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符合</w:t>
                  </w:r>
                </w:p>
              </w:tc>
            </w:tr>
            <w:tr w14:paraId="49C0B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8" w:type="dxa"/>
                  <w:vMerge w:val="continue"/>
                  <w:tcBorders>
                    <w:top w:val="single" w:color="auto" w:sz="4" w:space="0"/>
                    <w:left w:val="single" w:color="auto" w:sz="4" w:space="0"/>
                    <w:bottom w:val="single" w:color="auto" w:sz="4" w:space="0"/>
                    <w:right w:val="single" w:color="auto" w:sz="4" w:space="0"/>
                  </w:tcBorders>
                  <w:noWrap w:val="0"/>
                  <w:vAlign w:val="center"/>
                </w:tcPr>
                <w:p w14:paraId="0D8902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color w:val="000000" w:themeColor="text1"/>
                      <w:sz w:val="21"/>
                      <w:szCs w:val="21"/>
                    </w:rPr>
                  </w:pPr>
                </w:p>
              </w:tc>
              <w:tc>
                <w:tcPr>
                  <w:tcW w:w="3494" w:type="dxa"/>
                  <w:tcBorders>
                    <w:top w:val="single" w:color="auto" w:sz="4" w:space="0"/>
                    <w:left w:val="nil"/>
                    <w:bottom w:val="single" w:color="auto" w:sz="4" w:space="0"/>
                    <w:right w:val="single" w:color="auto" w:sz="4" w:space="0"/>
                  </w:tcBorders>
                  <w:noWrap w:val="0"/>
                  <w:vAlign w:val="center"/>
                </w:tcPr>
                <w:p w14:paraId="79A015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both"/>
                    <w:textAlignment w:val="auto"/>
                    <w:rPr>
                      <w:rFonts w:hint="default" w:ascii="Times New Roman" w:hAnsi="Times New Roman" w:eastAsia="宋体" w:cs="Times New Roman"/>
                      <w:color w:val="000000" w:themeColor="text1"/>
                      <w:sz w:val="21"/>
                      <w:szCs w:val="21"/>
                      <w:lang w:val="zh-CN"/>
                    </w:rPr>
                  </w:pPr>
                  <w:r>
                    <w:rPr>
                      <w:rFonts w:hint="default" w:ascii="Times New Roman" w:hAnsi="Times New Roman" w:eastAsia="宋体" w:cs="Times New Roman"/>
                      <w:color w:val="000000" w:themeColor="text1"/>
                      <w:kern w:val="2"/>
                      <w:sz w:val="21"/>
                      <w:szCs w:val="21"/>
                      <w:lang w:val="zh-CN" w:eastAsia="zh-CN" w:bidi="ar"/>
                    </w:rPr>
                    <w:t>推动落后低效和过剩产能淘汰。认真落实产业政策，严格环境影响评价，坚决遏制高耗能高排放项目盲目发展，加快淘汰落后产能，推动产业结构优化升级。严格执行质量、环保、能耗、安全等法规标准，加大钢铁、水泥熟料、烧结砖瓦、电解铝、电解锰等行业落后产能淘汰和过剩产能压减力度。</w:t>
                  </w:r>
                </w:p>
              </w:tc>
              <w:tc>
                <w:tcPr>
                  <w:tcW w:w="2843" w:type="dxa"/>
                  <w:tcBorders>
                    <w:top w:val="single" w:color="auto" w:sz="4" w:space="0"/>
                    <w:left w:val="nil"/>
                    <w:bottom w:val="single" w:color="auto" w:sz="4" w:space="0"/>
                    <w:right w:val="single" w:color="auto" w:sz="4" w:space="0"/>
                  </w:tcBorders>
                  <w:noWrap w:val="0"/>
                  <w:vAlign w:val="center"/>
                </w:tcPr>
                <w:p w14:paraId="67F307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zh-CN" w:eastAsia="zh-CN" w:bidi="ar"/>
                    </w:rPr>
                    <w:t>本项目符合《产业结构调整指导目录（20</w:t>
                  </w:r>
                  <w:r>
                    <w:rPr>
                      <w:rFonts w:hint="default" w:ascii="Times New Roman" w:hAnsi="Times New Roman" w:eastAsia="宋体" w:cs="Times New Roman"/>
                      <w:color w:val="000000" w:themeColor="text1"/>
                      <w:kern w:val="2"/>
                      <w:sz w:val="21"/>
                      <w:szCs w:val="21"/>
                      <w:lang w:val="en-US" w:eastAsia="zh-CN" w:bidi="ar"/>
                    </w:rPr>
                    <w:t>24</w:t>
                  </w:r>
                  <w:r>
                    <w:rPr>
                      <w:rFonts w:hint="default" w:ascii="Times New Roman" w:hAnsi="Times New Roman" w:eastAsia="宋体" w:cs="Times New Roman"/>
                      <w:color w:val="000000" w:themeColor="text1"/>
                      <w:kern w:val="2"/>
                      <w:sz w:val="21"/>
                      <w:szCs w:val="21"/>
                      <w:lang w:val="zh-CN" w:eastAsia="zh-CN" w:bidi="ar"/>
                    </w:rPr>
                    <w:t>年本）》，</w:t>
                  </w:r>
                  <w:r>
                    <w:rPr>
                      <w:rFonts w:hint="default" w:ascii="Times New Roman" w:hAnsi="Times New Roman" w:eastAsia="宋体" w:cs="Times New Roman"/>
                      <w:color w:val="000000" w:themeColor="text1"/>
                      <w:kern w:val="2"/>
                      <w:sz w:val="21"/>
                      <w:szCs w:val="21"/>
                      <w:lang w:val="en-US" w:eastAsia="zh-CN" w:bidi="ar"/>
                    </w:rPr>
                    <w:t>不属于</w:t>
                  </w:r>
                  <w:r>
                    <w:rPr>
                      <w:rFonts w:hint="default" w:ascii="Times New Roman" w:hAnsi="Times New Roman" w:eastAsia="宋体" w:cs="Times New Roman"/>
                      <w:color w:val="000000" w:themeColor="text1"/>
                      <w:kern w:val="2"/>
                      <w:sz w:val="21"/>
                      <w:szCs w:val="21"/>
                      <w:lang w:val="zh-CN" w:eastAsia="zh-CN" w:bidi="ar"/>
                    </w:rPr>
                    <w:t>淘汰和过剩产能。</w:t>
                  </w:r>
                </w:p>
              </w:tc>
              <w:tc>
                <w:tcPr>
                  <w:tcW w:w="690" w:type="dxa"/>
                  <w:tcBorders>
                    <w:top w:val="single" w:color="auto" w:sz="4" w:space="0"/>
                    <w:left w:val="nil"/>
                    <w:bottom w:val="single" w:color="auto" w:sz="4" w:space="0"/>
                    <w:right w:val="single" w:color="auto" w:sz="4" w:space="0"/>
                  </w:tcBorders>
                  <w:noWrap w:val="0"/>
                  <w:vAlign w:val="center"/>
                </w:tcPr>
                <w:p w14:paraId="400111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符合</w:t>
                  </w:r>
                </w:p>
              </w:tc>
            </w:tr>
            <w:tr w14:paraId="7C240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8" w:type="dxa"/>
                  <w:vMerge w:val="continue"/>
                  <w:tcBorders>
                    <w:top w:val="single" w:color="auto" w:sz="4" w:space="0"/>
                    <w:left w:val="single" w:color="auto" w:sz="4" w:space="0"/>
                    <w:bottom w:val="single" w:color="auto" w:sz="4" w:space="0"/>
                    <w:right w:val="single" w:color="auto" w:sz="4" w:space="0"/>
                  </w:tcBorders>
                  <w:noWrap w:val="0"/>
                  <w:vAlign w:val="center"/>
                </w:tcPr>
                <w:p w14:paraId="7AAE3B6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color w:val="000000" w:themeColor="text1"/>
                      <w:sz w:val="21"/>
                      <w:szCs w:val="21"/>
                    </w:rPr>
                  </w:pPr>
                </w:p>
              </w:tc>
              <w:tc>
                <w:tcPr>
                  <w:tcW w:w="3494" w:type="dxa"/>
                  <w:tcBorders>
                    <w:top w:val="single" w:color="auto" w:sz="4" w:space="0"/>
                    <w:left w:val="nil"/>
                    <w:bottom w:val="single" w:color="auto" w:sz="4" w:space="0"/>
                    <w:right w:val="single" w:color="auto" w:sz="4" w:space="0"/>
                  </w:tcBorders>
                  <w:noWrap w:val="0"/>
                  <w:vAlign w:val="center"/>
                </w:tcPr>
                <w:p w14:paraId="3DAD7C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both"/>
                    <w:textAlignment w:val="auto"/>
                    <w:rPr>
                      <w:rFonts w:hint="default" w:ascii="Times New Roman" w:hAnsi="Times New Roman" w:eastAsia="宋体" w:cs="Times New Roman"/>
                      <w:color w:val="000000" w:themeColor="text1"/>
                      <w:sz w:val="21"/>
                      <w:szCs w:val="21"/>
                      <w:lang w:val="zh-CN"/>
                    </w:rPr>
                  </w:pPr>
                  <w:r>
                    <w:rPr>
                      <w:rFonts w:hint="default" w:ascii="Times New Roman" w:hAnsi="Times New Roman" w:eastAsia="宋体" w:cs="Times New Roman"/>
                      <w:color w:val="000000" w:themeColor="text1"/>
                      <w:kern w:val="2"/>
                      <w:sz w:val="21"/>
                      <w:szCs w:val="21"/>
                      <w:lang w:val="zh-CN" w:eastAsia="zh-CN" w:bidi="ar"/>
                    </w:rPr>
                    <w:t>提升行业资源能源利用效率，严格执行产品能效、水效、能耗限额、碳排放、污染物排放等标准。</w:t>
                  </w:r>
                </w:p>
              </w:tc>
              <w:tc>
                <w:tcPr>
                  <w:tcW w:w="2843" w:type="dxa"/>
                  <w:tcBorders>
                    <w:top w:val="single" w:color="auto" w:sz="4" w:space="0"/>
                    <w:left w:val="nil"/>
                    <w:bottom w:val="single" w:color="auto" w:sz="4" w:space="0"/>
                    <w:right w:val="single" w:color="auto" w:sz="4" w:space="0"/>
                  </w:tcBorders>
                  <w:noWrap w:val="0"/>
                  <w:vAlign w:val="center"/>
                </w:tcPr>
                <w:p w14:paraId="3BD72C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项目运营期废气处理后达标排放，</w:t>
                  </w:r>
                  <w:r>
                    <w:rPr>
                      <w:rFonts w:hint="eastAsia" w:ascii="Times New Roman" w:hAnsi="Times New Roman" w:eastAsia="宋体" w:cs="Times New Roman"/>
                      <w:color w:val="000000" w:themeColor="text1"/>
                      <w:kern w:val="2"/>
                      <w:sz w:val="21"/>
                      <w:szCs w:val="21"/>
                      <w:lang w:val="en-US" w:eastAsia="zh-CN" w:bidi="ar"/>
                    </w:rPr>
                    <w:t>生产</w:t>
                  </w:r>
                  <w:r>
                    <w:rPr>
                      <w:rFonts w:hint="default" w:ascii="Times New Roman" w:hAnsi="Times New Roman" w:eastAsia="宋体" w:cs="Times New Roman"/>
                      <w:color w:val="000000" w:themeColor="text1"/>
                      <w:kern w:val="2"/>
                      <w:sz w:val="21"/>
                      <w:szCs w:val="21"/>
                      <w:lang w:val="en-US" w:eastAsia="zh-CN" w:bidi="ar"/>
                    </w:rPr>
                    <w:t>废水全部回用，不外排；</w:t>
                  </w:r>
                  <w:r>
                    <w:rPr>
                      <w:rFonts w:hint="default" w:ascii="Times New Roman" w:hAnsi="Times New Roman" w:eastAsia="宋体" w:cs="Times New Roman"/>
                      <w:color w:val="000000" w:themeColor="text1"/>
                      <w:kern w:val="2"/>
                      <w:sz w:val="21"/>
                      <w:szCs w:val="21"/>
                      <w:lang w:val="zh-CN" w:eastAsia="zh-CN" w:bidi="ar"/>
                    </w:rPr>
                    <w:t>能源消费对玉溪市“十四五”能源消费增量影响</w:t>
                  </w:r>
                  <w:r>
                    <w:rPr>
                      <w:rFonts w:hint="default" w:ascii="Times New Roman" w:hAnsi="Times New Roman" w:eastAsia="宋体" w:cs="Times New Roman"/>
                      <w:color w:val="000000" w:themeColor="text1"/>
                      <w:kern w:val="2"/>
                      <w:sz w:val="21"/>
                      <w:szCs w:val="21"/>
                      <w:lang w:val="en-US" w:eastAsia="zh-CN" w:bidi="ar"/>
                    </w:rPr>
                    <w:t>小</w:t>
                  </w:r>
                  <w:r>
                    <w:rPr>
                      <w:rFonts w:hint="eastAsia" w:ascii="Times New Roman" w:hAnsi="Times New Roman" w:eastAsia="宋体" w:cs="Times New Roman"/>
                      <w:color w:val="000000" w:themeColor="text1"/>
                      <w:kern w:val="2"/>
                      <w:sz w:val="21"/>
                      <w:szCs w:val="21"/>
                      <w:lang w:val="en-US" w:eastAsia="zh-CN" w:bidi="ar"/>
                    </w:rPr>
                    <w:t>。</w:t>
                  </w:r>
                </w:p>
              </w:tc>
              <w:tc>
                <w:tcPr>
                  <w:tcW w:w="690" w:type="dxa"/>
                  <w:tcBorders>
                    <w:top w:val="single" w:color="auto" w:sz="4" w:space="0"/>
                    <w:left w:val="nil"/>
                    <w:bottom w:val="single" w:color="auto" w:sz="4" w:space="0"/>
                    <w:right w:val="single" w:color="auto" w:sz="4" w:space="0"/>
                  </w:tcBorders>
                  <w:noWrap w:val="0"/>
                  <w:vAlign w:val="center"/>
                </w:tcPr>
                <w:p w14:paraId="790D9A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符合</w:t>
                  </w:r>
                </w:p>
              </w:tc>
            </w:tr>
            <w:tr w14:paraId="7D60A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2562F3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zh-CN"/>
                    </w:rPr>
                  </w:pPr>
                  <w:r>
                    <w:rPr>
                      <w:rFonts w:hint="default" w:ascii="Times New Roman" w:hAnsi="Times New Roman" w:eastAsia="宋体" w:cs="Times New Roman"/>
                      <w:color w:val="000000" w:themeColor="text1"/>
                      <w:kern w:val="2"/>
                      <w:sz w:val="21"/>
                      <w:szCs w:val="21"/>
                      <w:lang w:val="zh-CN" w:eastAsia="zh-CN" w:bidi="ar"/>
                    </w:rPr>
                    <w:t>控制温室气体排放</w:t>
                  </w:r>
                </w:p>
              </w:tc>
              <w:tc>
                <w:tcPr>
                  <w:tcW w:w="3494" w:type="dxa"/>
                  <w:tcBorders>
                    <w:top w:val="single" w:color="auto" w:sz="4" w:space="0"/>
                    <w:left w:val="nil"/>
                    <w:bottom w:val="single" w:color="auto" w:sz="4" w:space="0"/>
                    <w:right w:val="single" w:color="auto" w:sz="4" w:space="0"/>
                  </w:tcBorders>
                  <w:noWrap w:val="0"/>
                  <w:vAlign w:val="center"/>
                </w:tcPr>
                <w:p w14:paraId="6A1068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both"/>
                    <w:textAlignment w:val="auto"/>
                    <w:rPr>
                      <w:rFonts w:hint="default" w:ascii="Times New Roman" w:hAnsi="Times New Roman" w:eastAsia="宋体" w:cs="Times New Roman"/>
                      <w:color w:val="000000" w:themeColor="text1"/>
                      <w:sz w:val="21"/>
                      <w:szCs w:val="21"/>
                      <w:lang w:val="zh-CN"/>
                    </w:rPr>
                  </w:pPr>
                  <w:r>
                    <w:rPr>
                      <w:rFonts w:hint="default" w:ascii="Times New Roman" w:hAnsi="Times New Roman" w:eastAsia="宋体" w:cs="Times New Roman"/>
                      <w:color w:val="000000" w:themeColor="text1"/>
                      <w:kern w:val="2"/>
                      <w:sz w:val="21"/>
                      <w:szCs w:val="21"/>
                      <w:lang w:val="zh-CN" w:eastAsia="zh-CN" w:bidi="ar"/>
                    </w:rPr>
                    <w:t>控制工业行业二氧化碳排放。推动钢铁、水泥、石化、化工、有色等高耗能行业节能降耗，严格产能置换监管，提升系统电气化水平，强化先进低碳技术研发及应用，推进能效对标活动，提升能源利用效率。</w:t>
                  </w:r>
                </w:p>
              </w:tc>
              <w:tc>
                <w:tcPr>
                  <w:tcW w:w="2843" w:type="dxa"/>
                  <w:tcBorders>
                    <w:top w:val="single" w:color="auto" w:sz="4" w:space="0"/>
                    <w:left w:val="nil"/>
                    <w:bottom w:val="single" w:color="auto" w:sz="4" w:space="0"/>
                    <w:right w:val="single" w:color="auto" w:sz="4" w:space="0"/>
                  </w:tcBorders>
                  <w:noWrap w:val="0"/>
                  <w:vAlign w:val="center"/>
                </w:tcPr>
                <w:p w14:paraId="27439B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本项目不属于</w:t>
                  </w:r>
                  <w:r>
                    <w:rPr>
                      <w:rFonts w:hint="default" w:ascii="Times New Roman" w:hAnsi="Times New Roman" w:eastAsia="宋体" w:cs="Times New Roman"/>
                      <w:color w:val="000000" w:themeColor="text1"/>
                      <w:kern w:val="2"/>
                      <w:sz w:val="21"/>
                      <w:szCs w:val="21"/>
                      <w:lang w:val="zh-CN" w:eastAsia="zh-CN" w:bidi="ar"/>
                    </w:rPr>
                    <w:t>高耗能</w:t>
                  </w:r>
                  <w:r>
                    <w:rPr>
                      <w:rFonts w:hint="default" w:ascii="Times New Roman" w:hAnsi="Times New Roman" w:eastAsia="宋体" w:cs="Times New Roman"/>
                      <w:color w:val="000000" w:themeColor="text1"/>
                      <w:kern w:val="2"/>
                      <w:sz w:val="21"/>
                      <w:szCs w:val="21"/>
                      <w:lang w:val="en-US" w:eastAsia="zh-CN" w:bidi="ar"/>
                    </w:rPr>
                    <w:t>项目</w:t>
                  </w:r>
                  <w:r>
                    <w:rPr>
                      <w:rFonts w:hint="default" w:ascii="Times New Roman" w:hAnsi="Times New Roman" w:eastAsia="宋体" w:cs="Times New Roman"/>
                      <w:color w:val="000000" w:themeColor="text1"/>
                      <w:kern w:val="2"/>
                      <w:sz w:val="21"/>
                      <w:szCs w:val="21"/>
                      <w:lang w:val="zh-CN" w:eastAsia="zh-CN" w:bidi="ar"/>
                    </w:rPr>
                    <w:t>，项目使用</w:t>
                  </w:r>
                  <w:r>
                    <w:rPr>
                      <w:rFonts w:hint="eastAsia" w:ascii="Times New Roman" w:hAnsi="Times New Roman" w:eastAsia="宋体" w:cs="Times New Roman"/>
                      <w:color w:val="000000" w:themeColor="text1"/>
                      <w:kern w:val="2"/>
                      <w:sz w:val="21"/>
                      <w:szCs w:val="21"/>
                      <w:lang w:val="en-US" w:eastAsia="zh-CN" w:bidi="ar"/>
                    </w:rPr>
                    <w:t>生物质</w:t>
                  </w:r>
                  <w:r>
                    <w:rPr>
                      <w:rFonts w:hint="default" w:ascii="Times New Roman" w:hAnsi="Times New Roman" w:eastAsia="宋体" w:cs="Times New Roman"/>
                      <w:color w:val="000000" w:themeColor="text1"/>
                      <w:kern w:val="2"/>
                      <w:sz w:val="21"/>
                      <w:szCs w:val="21"/>
                      <w:lang w:val="zh-CN" w:eastAsia="zh-CN" w:bidi="ar"/>
                    </w:rPr>
                    <w:t>作为燃料，属于清洁能源</w:t>
                  </w:r>
                  <w:r>
                    <w:rPr>
                      <w:rFonts w:hint="default" w:ascii="Times New Roman" w:hAnsi="Times New Roman" w:eastAsia="宋体" w:cs="Times New Roman"/>
                      <w:color w:val="000000" w:themeColor="text1"/>
                      <w:kern w:val="2"/>
                      <w:sz w:val="21"/>
                      <w:szCs w:val="21"/>
                      <w:lang w:val="en-US" w:eastAsia="zh-CN" w:bidi="ar"/>
                    </w:rPr>
                    <w:t>。</w:t>
                  </w:r>
                </w:p>
              </w:tc>
              <w:tc>
                <w:tcPr>
                  <w:tcW w:w="690" w:type="dxa"/>
                  <w:tcBorders>
                    <w:top w:val="single" w:color="auto" w:sz="4" w:space="0"/>
                    <w:left w:val="nil"/>
                    <w:bottom w:val="single" w:color="auto" w:sz="4" w:space="0"/>
                    <w:right w:val="single" w:color="auto" w:sz="4" w:space="0"/>
                  </w:tcBorders>
                  <w:noWrap w:val="0"/>
                  <w:vAlign w:val="center"/>
                </w:tcPr>
                <w:p w14:paraId="4828BD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符合</w:t>
                  </w:r>
                </w:p>
              </w:tc>
            </w:tr>
            <w:tr w14:paraId="295BB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14:paraId="27003D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zh-CN"/>
                    </w:rPr>
                  </w:pPr>
                  <w:r>
                    <w:rPr>
                      <w:rFonts w:hint="default" w:ascii="Times New Roman" w:hAnsi="Times New Roman" w:eastAsia="宋体" w:cs="Times New Roman"/>
                      <w:color w:val="000000" w:themeColor="text1"/>
                      <w:kern w:val="2"/>
                      <w:sz w:val="21"/>
                      <w:szCs w:val="21"/>
                      <w:lang w:val="zh-CN" w:eastAsia="zh-CN" w:bidi="ar"/>
                    </w:rPr>
                    <w:t>持续推进污染源治理</w:t>
                  </w:r>
                </w:p>
              </w:tc>
              <w:tc>
                <w:tcPr>
                  <w:tcW w:w="3494" w:type="dxa"/>
                  <w:tcBorders>
                    <w:top w:val="single" w:color="auto" w:sz="4" w:space="0"/>
                    <w:left w:val="nil"/>
                    <w:bottom w:val="single" w:color="auto" w:sz="4" w:space="0"/>
                    <w:right w:val="single" w:color="auto" w:sz="4" w:space="0"/>
                  </w:tcBorders>
                  <w:noWrap w:val="0"/>
                  <w:vAlign w:val="center"/>
                </w:tcPr>
                <w:p w14:paraId="53BD64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both"/>
                    <w:textAlignment w:val="auto"/>
                    <w:rPr>
                      <w:rFonts w:hint="default" w:ascii="Times New Roman" w:hAnsi="Times New Roman" w:eastAsia="宋体" w:cs="Times New Roman"/>
                      <w:color w:val="000000" w:themeColor="text1"/>
                      <w:sz w:val="21"/>
                      <w:szCs w:val="21"/>
                      <w:lang w:val="zh-CN"/>
                    </w:rPr>
                  </w:pPr>
                  <w:r>
                    <w:rPr>
                      <w:rFonts w:hint="default" w:ascii="Times New Roman" w:hAnsi="Times New Roman" w:eastAsia="宋体" w:cs="Times New Roman"/>
                      <w:color w:val="000000" w:themeColor="text1"/>
                      <w:kern w:val="2"/>
                      <w:sz w:val="21"/>
                      <w:szCs w:val="21"/>
                      <w:lang w:val="zh-CN" w:eastAsia="zh-CN" w:bidi="ar"/>
                    </w:rPr>
                    <w:t>实施重点行业NOx等污染物深度治理。全面完成钢铁和燃煤发电企业超低排放改造。严格控制物料储存、输送及生产工艺过程无组织排放，全面提升无组织排放管控水平。</w:t>
                  </w:r>
                </w:p>
              </w:tc>
              <w:tc>
                <w:tcPr>
                  <w:tcW w:w="2843" w:type="dxa"/>
                  <w:tcBorders>
                    <w:top w:val="single" w:color="auto" w:sz="4" w:space="0"/>
                    <w:left w:val="nil"/>
                    <w:bottom w:val="single" w:color="auto" w:sz="4" w:space="0"/>
                    <w:right w:val="single" w:color="auto" w:sz="4" w:space="0"/>
                  </w:tcBorders>
                  <w:noWrap w:val="0"/>
                  <w:vAlign w:val="center"/>
                </w:tcPr>
                <w:p w14:paraId="30B738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项目生产线全部设置在封闭的车间内，</w:t>
                  </w:r>
                  <w:r>
                    <w:rPr>
                      <w:rFonts w:hint="default" w:ascii="Times New Roman" w:hAnsi="Times New Roman" w:eastAsia="宋体" w:cs="Times New Roman"/>
                      <w:color w:val="000000" w:themeColor="text1"/>
                      <w:sz w:val="21"/>
                      <w:szCs w:val="21"/>
                      <w:lang w:val="en-US" w:eastAsia="zh-CN"/>
                    </w:rPr>
                    <w:t>项目烘干使用生物质燃料，无燃煤使用；产生的量颗粒物、二氧化硫、氮氧化物污染物可做到达标排放</w:t>
                  </w:r>
                  <w:r>
                    <w:rPr>
                      <w:rFonts w:hint="default" w:ascii="Times New Roman" w:hAnsi="Times New Roman" w:eastAsia="宋体" w:cs="Times New Roman"/>
                      <w:color w:val="000000" w:themeColor="text1"/>
                      <w:kern w:val="2"/>
                      <w:sz w:val="21"/>
                      <w:szCs w:val="21"/>
                      <w:lang w:val="en-US" w:eastAsia="zh-CN" w:bidi="ar"/>
                    </w:rPr>
                    <w:t>。</w:t>
                  </w:r>
                </w:p>
              </w:tc>
              <w:tc>
                <w:tcPr>
                  <w:tcW w:w="690" w:type="dxa"/>
                  <w:tcBorders>
                    <w:top w:val="single" w:color="auto" w:sz="4" w:space="0"/>
                    <w:left w:val="nil"/>
                    <w:bottom w:val="single" w:color="auto" w:sz="4" w:space="0"/>
                    <w:right w:val="single" w:color="auto" w:sz="4" w:space="0"/>
                  </w:tcBorders>
                  <w:noWrap w:val="0"/>
                  <w:vAlign w:val="center"/>
                </w:tcPr>
                <w:p w14:paraId="38A3F5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符合</w:t>
                  </w:r>
                </w:p>
              </w:tc>
            </w:tr>
          </w:tbl>
          <w:p w14:paraId="009F39BB">
            <w:pPr>
              <w:pStyle w:val="197"/>
              <w:keepNext w:val="0"/>
              <w:keepLines w:val="0"/>
              <w:pageBreakBefore w:val="0"/>
              <w:widowControl/>
              <w:kinsoku/>
              <w:wordWrap/>
              <w:overflowPunct/>
              <w:topLinePunct/>
              <w:autoSpaceDE/>
              <w:autoSpaceDN/>
              <w:bidi w:val="0"/>
              <w:adjustRightInd w:val="0"/>
              <w:snapToGrid w:val="0"/>
              <w:spacing w:before="0" w:after="0" w:line="440" w:lineRule="exact"/>
              <w:ind w:firstLine="420" w:firstLineChars="200"/>
              <w:textAlignment w:val="auto"/>
              <w:rPr>
                <w:color w:val="000000" w:themeColor="text1"/>
                <w:sz w:val="21"/>
                <w:szCs w:val="21"/>
                <w:lang w:val="en-US"/>
              </w:rPr>
            </w:pPr>
            <w:r>
              <w:rPr>
                <w:rFonts w:hint="eastAsia" w:ascii="Times New Roman" w:hAnsi="Times New Roman" w:eastAsia="宋体" w:cs="宋体"/>
                <w:color w:val="000000" w:themeColor="text1"/>
                <w:sz w:val="21"/>
                <w:szCs w:val="21"/>
                <w:lang w:eastAsia="zh-CN"/>
              </w:rPr>
              <w:t>由上表可知，项目建设符合</w:t>
            </w:r>
            <w:r>
              <w:rPr>
                <w:rFonts w:hint="eastAsia" w:ascii="Times New Roman" w:hAnsi="Times New Roman" w:eastAsia="宋体" w:cs="宋体"/>
                <w:color w:val="000000" w:themeColor="text1"/>
                <w:kern w:val="2"/>
                <w:sz w:val="21"/>
                <w:szCs w:val="21"/>
                <w:lang w:eastAsia="zh-CN"/>
              </w:rPr>
              <w:t>《云南省</w:t>
            </w:r>
            <w:r>
              <w:rPr>
                <w:color w:val="000000" w:themeColor="text1"/>
                <w:kern w:val="2"/>
                <w:sz w:val="21"/>
                <w:szCs w:val="21"/>
                <w:lang w:val="en-US"/>
              </w:rPr>
              <w:t>“</w:t>
            </w:r>
            <w:r>
              <w:rPr>
                <w:rFonts w:hint="eastAsia" w:ascii="Times New Roman" w:hAnsi="Times New Roman" w:eastAsia="宋体" w:cs="宋体"/>
                <w:color w:val="000000" w:themeColor="text1"/>
                <w:kern w:val="2"/>
                <w:sz w:val="21"/>
                <w:szCs w:val="21"/>
                <w:lang w:eastAsia="zh-CN"/>
              </w:rPr>
              <w:t>十四五</w:t>
            </w:r>
            <w:r>
              <w:rPr>
                <w:color w:val="000000" w:themeColor="text1"/>
                <w:kern w:val="2"/>
                <w:sz w:val="21"/>
                <w:szCs w:val="21"/>
                <w:lang w:val="en-US"/>
              </w:rPr>
              <w:t>”</w:t>
            </w:r>
            <w:r>
              <w:rPr>
                <w:rFonts w:hint="eastAsia" w:ascii="Times New Roman" w:hAnsi="Times New Roman" w:eastAsia="宋体" w:cs="宋体"/>
                <w:color w:val="000000" w:themeColor="text1"/>
                <w:kern w:val="2"/>
                <w:sz w:val="21"/>
                <w:szCs w:val="21"/>
                <w:lang w:eastAsia="zh-CN"/>
              </w:rPr>
              <w:t>生态建设与环境保护规划》（云环发〔</w:t>
            </w:r>
            <w:r>
              <w:rPr>
                <w:color w:val="000000" w:themeColor="text1"/>
                <w:kern w:val="2"/>
                <w:sz w:val="21"/>
                <w:szCs w:val="21"/>
                <w:lang w:val="en-US"/>
              </w:rPr>
              <w:t>2022</w:t>
            </w:r>
            <w:r>
              <w:rPr>
                <w:rFonts w:hint="eastAsia" w:ascii="Times New Roman" w:hAnsi="Times New Roman" w:eastAsia="宋体" w:cs="宋体"/>
                <w:color w:val="000000" w:themeColor="text1"/>
                <w:kern w:val="2"/>
                <w:sz w:val="21"/>
                <w:szCs w:val="21"/>
                <w:lang w:eastAsia="zh-CN"/>
              </w:rPr>
              <w:t>〕</w:t>
            </w:r>
            <w:r>
              <w:rPr>
                <w:color w:val="000000" w:themeColor="text1"/>
                <w:kern w:val="2"/>
                <w:sz w:val="21"/>
                <w:szCs w:val="21"/>
                <w:lang w:val="en-US"/>
              </w:rPr>
              <w:t>13</w:t>
            </w:r>
            <w:r>
              <w:rPr>
                <w:rFonts w:hint="eastAsia" w:ascii="Times New Roman" w:hAnsi="Times New Roman" w:eastAsia="宋体" w:cs="宋体"/>
                <w:color w:val="000000" w:themeColor="text1"/>
                <w:kern w:val="2"/>
                <w:sz w:val="21"/>
                <w:szCs w:val="21"/>
                <w:lang w:eastAsia="zh-CN"/>
              </w:rPr>
              <w:t>号）</w:t>
            </w:r>
            <w:r>
              <w:rPr>
                <w:rFonts w:hint="eastAsia" w:ascii="Times New Roman" w:hAnsi="Times New Roman" w:eastAsia="宋体" w:cs="宋体"/>
                <w:color w:val="000000" w:themeColor="text1"/>
                <w:sz w:val="21"/>
                <w:szCs w:val="21"/>
                <w:lang w:eastAsia="zh-CN"/>
              </w:rPr>
              <w:t>要求。</w:t>
            </w:r>
          </w:p>
          <w:p w14:paraId="62932179">
            <w:pPr>
              <w:pStyle w:val="38"/>
              <w:keepNext w:val="0"/>
              <w:keepLines w:val="0"/>
              <w:pageBreakBefore w:val="0"/>
              <w:widowControl w:val="0"/>
              <w:suppressLineNumbers w:val="0"/>
              <w:kinsoku/>
              <w:wordWrap/>
              <w:overflowPunct/>
              <w:topLinePunct/>
              <w:autoSpaceDE/>
              <w:autoSpaceDN/>
              <w:bidi w:val="0"/>
              <w:adjustRightInd w:val="0"/>
              <w:snapToGrid w:val="0"/>
              <w:spacing w:before="0" w:beforeLines="0" w:beforeAutospacing="0" w:after="0" w:afterLines="0" w:afterAutospacing="0" w:line="440" w:lineRule="exact"/>
              <w:ind w:left="0" w:leftChars="0" w:right="0" w:firstLine="0" w:firstLineChars="0"/>
              <w:jc w:val="both"/>
              <w:textAlignment w:val="auto"/>
              <w:rPr>
                <w:rFonts w:hint="default" w:ascii="Times New Roman" w:hAnsi="Times New Roman" w:eastAsia="宋体" w:cs="Times New Roman"/>
                <w:b/>
                <w:bCs w:val="0"/>
                <w:color w:val="000000" w:themeColor="text1"/>
                <w:sz w:val="21"/>
                <w:szCs w:val="21"/>
                <w:lang w:val="en-US"/>
              </w:rPr>
            </w:pPr>
            <w:r>
              <w:rPr>
                <w:rFonts w:hint="eastAsia" w:ascii="Times New Roman" w:hAnsi="Times New Roman" w:eastAsia="宋体" w:cs="Times New Roman"/>
                <w:b/>
                <w:bCs w:val="0"/>
                <w:color w:val="000000" w:themeColor="text1"/>
                <w:kern w:val="2"/>
                <w:sz w:val="21"/>
                <w:szCs w:val="21"/>
                <w:lang w:val="en-US" w:eastAsia="zh-CN" w:bidi="ar"/>
              </w:rPr>
              <w:t>7</w:t>
            </w:r>
            <w:r>
              <w:rPr>
                <w:rFonts w:hint="default" w:ascii="Times New Roman" w:hAnsi="Times New Roman" w:eastAsia="宋体" w:cs="Times New Roman"/>
                <w:b/>
                <w:bCs w:val="0"/>
                <w:color w:val="000000" w:themeColor="text1"/>
                <w:kern w:val="2"/>
                <w:sz w:val="21"/>
                <w:szCs w:val="21"/>
                <w:lang w:val="en-US" w:eastAsia="zh-CN" w:bidi="ar"/>
              </w:rPr>
              <w:t>、与《云南省空气质量持续改善行动实施方案》相符性分析</w:t>
            </w:r>
          </w:p>
          <w:p w14:paraId="02F52B7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b w:val="0"/>
                <w:bCs w:val="0"/>
                <w:color w:val="000000" w:themeColor="text1"/>
                <w:kern w:val="2"/>
                <w:sz w:val="21"/>
                <w:szCs w:val="21"/>
                <w:lang w:val="en-US" w:eastAsia="zh-CN" w:bidi="ar"/>
              </w:rPr>
              <w:t>202</w:t>
            </w:r>
            <w:r>
              <w:rPr>
                <w:rFonts w:hint="eastAsia" w:ascii="Times New Roman" w:hAnsi="Times New Roman" w:eastAsia="宋体" w:cs="Times New Roman"/>
                <w:b w:val="0"/>
                <w:bCs w:val="0"/>
                <w:color w:val="000000" w:themeColor="text1"/>
                <w:kern w:val="2"/>
                <w:sz w:val="21"/>
                <w:szCs w:val="21"/>
                <w:lang w:val="en-US" w:eastAsia="zh-CN" w:bidi="ar"/>
              </w:rPr>
              <w:t>4</w:t>
            </w:r>
            <w:r>
              <w:rPr>
                <w:rFonts w:hint="default" w:ascii="Times New Roman" w:hAnsi="Times New Roman" w:eastAsia="宋体" w:cs="Times New Roman"/>
                <w:b w:val="0"/>
                <w:bCs w:val="0"/>
                <w:color w:val="000000" w:themeColor="text1"/>
                <w:kern w:val="2"/>
                <w:sz w:val="21"/>
                <w:szCs w:val="21"/>
                <w:lang w:val="en-US" w:eastAsia="zh-CN" w:bidi="ar"/>
              </w:rPr>
              <w:t>年4月</w:t>
            </w:r>
            <w:r>
              <w:rPr>
                <w:rFonts w:hint="eastAsia" w:ascii="Times New Roman" w:hAnsi="Times New Roman" w:eastAsia="宋体" w:cs="Times New Roman"/>
                <w:b w:val="0"/>
                <w:bCs w:val="0"/>
                <w:color w:val="000000" w:themeColor="text1"/>
                <w:kern w:val="2"/>
                <w:sz w:val="21"/>
                <w:szCs w:val="21"/>
                <w:lang w:val="en-US" w:eastAsia="zh-CN" w:bidi="ar"/>
              </w:rPr>
              <w:t>26</w:t>
            </w:r>
            <w:r>
              <w:rPr>
                <w:rFonts w:hint="default" w:ascii="Times New Roman" w:hAnsi="Times New Roman" w:eastAsia="宋体" w:cs="Times New Roman"/>
                <w:b w:val="0"/>
                <w:bCs w:val="0"/>
                <w:color w:val="000000" w:themeColor="text1"/>
                <w:kern w:val="2"/>
                <w:sz w:val="21"/>
                <w:szCs w:val="21"/>
                <w:lang w:val="en-US" w:eastAsia="zh-CN" w:bidi="ar"/>
              </w:rPr>
              <w:t>日，云南省人民政府印发了《云南省空气质量持续改善行动实施方案》（云</w:t>
            </w:r>
            <w:r>
              <w:rPr>
                <w:rFonts w:hint="eastAsia" w:ascii="Times New Roman" w:hAnsi="Times New Roman" w:eastAsia="宋体" w:cs="Times New Roman"/>
                <w:b w:val="0"/>
                <w:bCs w:val="0"/>
                <w:color w:val="000000" w:themeColor="text1"/>
                <w:kern w:val="2"/>
                <w:sz w:val="21"/>
                <w:szCs w:val="21"/>
                <w:lang w:val="en-US" w:eastAsia="zh-CN" w:bidi="ar"/>
              </w:rPr>
              <w:t>政</w:t>
            </w:r>
            <w:r>
              <w:rPr>
                <w:rFonts w:hint="default" w:ascii="Times New Roman" w:hAnsi="Times New Roman" w:eastAsia="宋体" w:cs="Times New Roman"/>
                <w:b w:val="0"/>
                <w:bCs w:val="0"/>
                <w:color w:val="000000" w:themeColor="text1"/>
                <w:kern w:val="2"/>
                <w:sz w:val="21"/>
                <w:szCs w:val="21"/>
                <w:lang w:val="en-US" w:eastAsia="zh-CN" w:bidi="ar"/>
              </w:rPr>
              <w:t>发〔202</w:t>
            </w:r>
            <w:r>
              <w:rPr>
                <w:rFonts w:hint="eastAsia" w:ascii="Times New Roman" w:hAnsi="Times New Roman" w:eastAsia="宋体" w:cs="Times New Roman"/>
                <w:b w:val="0"/>
                <w:bCs w:val="0"/>
                <w:color w:val="000000" w:themeColor="text1"/>
                <w:kern w:val="2"/>
                <w:sz w:val="21"/>
                <w:szCs w:val="21"/>
                <w:lang w:val="en-US" w:eastAsia="zh-CN" w:bidi="ar"/>
              </w:rPr>
              <w:t>4</w:t>
            </w:r>
            <w:r>
              <w:rPr>
                <w:rFonts w:hint="default" w:ascii="Times New Roman" w:hAnsi="Times New Roman" w:eastAsia="宋体" w:cs="Times New Roman"/>
                <w:b w:val="0"/>
                <w:bCs w:val="0"/>
                <w:color w:val="000000" w:themeColor="text1"/>
                <w:kern w:val="2"/>
                <w:sz w:val="21"/>
                <w:szCs w:val="21"/>
                <w:lang w:val="en-US" w:eastAsia="zh-CN" w:bidi="ar"/>
              </w:rPr>
              <w:t>〕1</w:t>
            </w:r>
            <w:r>
              <w:rPr>
                <w:rFonts w:hint="eastAsia" w:ascii="Times New Roman" w:hAnsi="Times New Roman" w:eastAsia="宋体" w:cs="Times New Roman"/>
                <w:b w:val="0"/>
                <w:bCs w:val="0"/>
                <w:color w:val="000000" w:themeColor="text1"/>
                <w:kern w:val="2"/>
                <w:sz w:val="21"/>
                <w:szCs w:val="21"/>
                <w:lang w:val="en-US" w:eastAsia="zh-CN" w:bidi="ar"/>
              </w:rPr>
              <w:t>4</w:t>
            </w:r>
            <w:r>
              <w:rPr>
                <w:rFonts w:hint="default" w:ascii="Times New Roman" w:hAnsi="Times New Roman" w:eastAsia="宋体" w:cs="Times New Roman"/>
                <w:b w:val="0"/>
                <w:bCs w:val="0"/>
                <w:color w:val="000000" w:themeColor="text1"/>
                <w:kern w:val="2"/>
                <w:sz w:val="21"/>
                <w:szCs w:val="21"/>
                <w:lang w:val="en-US" w:eastAsia="zh-CN" w:bidi="ar"/>
              </w:rPr>
              <w:t>号）</w:t>
            </w:r>
            <w:r>
              <w:rPr>
                <w:rFonts w:hint="default" w:ascii="Times New Roman" w:hAnsi="Times New Roman" w:eastAsia="宋体" w:cs="Times New Roman"/>
                <w:color w:val="000000" w:themeColor="text1"/>
                <w:kern w:val="2"/>
                <w:sz w:val="21"/>
                <w:szCs w:val="21"/>
                <w:lang w:val="en-US" w:eastAsia="zh-CN" w:bidi="ar"/>
              </w:rPr>
              <w:t>，</w:t>
            </w:r>
            <w:r>
              <w:rPr>
                <w:rFonts w:hint="eastAsia" w:ascii="Times New Roman" w:hAnsi="Times New Roman" w:eastAsia="宋体" w:cs="Times New Roman"/>
                <w:color w:val="000000" w:themeColor="text1"/>
                <w:kern w:val="2"/>
                <w:sz w:val="21"/>
                <w:szCs w:val="21"/>
                <w:lang w:val="en-US" w:eastAsia="zh-CN" w:bidi="ar"/>
              </w:rPr>
              <w:t>本次摘取已项目有关要求，</w:t>
            </w:r>
            <w:r>
              <w:rPr>
                <w:rFonts w:hint="default" w:ascii="Times New Roman" w:hAnsi="Times New Roman" w:eastAsia="宋体" w:cs="Times New Roman"/>
                <w:color w:val="000000" w:themeColor="text1"/>
                <w:kern w:val="2"/>
                <w:sz w:val="21"/>
                <w:szCs w:val="21"/>
                <w:lang w:val="en-US" w:eastAsia="zh-CN" w:bidi="ar"/>
              </w:rPr>
              <w:t>项目与其符合性分析详见下表：</w:t>
            </w:r>
          </w:p>
          <w:p w14:paraId="0C1E0C81">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leftChars="0" w:right="0" w:firstLine="0" w:firstLineChars="0"/>
              <w:jc w:val="center"/>
              <w:textAlignment w:val="auto"/>
              <w:rPr>
                <w:rFonts w:hint="default" w:ascii="Times New Roman" w:hAnsi="Times New Roman" w:eastAsia="宋体" w:cs="Times New Roman"/>
                <w:b/>
                <w:bCs/>
                <w:color w:val="000000" w:themeColor="text1"/>
                <w:sz w:val="21"/>
                <w:szCs w:val="21"/>
                <w:lang w:val="en-US"/>
              </w:rPr>
            </w:pPr>
            <w:r>
              <w:rPr>
                <w:rFonts w:hint="default" w:ascii="Times New Roman" w:hAnsi="Times New Roman" w:eastAsia="宋体" w:cs="Times New Roman"/>
                <w:b/>
                <w:bCs/>
                <w:color w:val="000000" w:themeColor="text1"/>
                <w:kern w:val="2"/>
                <w:sz w:val="21"/>
                <w:szCs w:val="21"/>
                <w:lang w:val="en-US" w:eastAsia="zh-CN" w:bidi="ar"/>
              </w:rPr>
              <w:t>表1-</w:t>
            </w:r>
            <w:r>
              <w:rPr>
                <w:rFonts w:hint="eastAsia" w:ascii="Times New Roman" w:hAnsi="Times New Roman" w:eastAsia="宋体" w:cs="Times New Roman"/>
                <w:b/>
                <w:bCs/>
                <w:color w:val="000000" w:themeColor="text1"/>
                <w:kern w:val="2"/>
                <w:sz w:val="21"/>
                <w:szCs w:val="21"/>
                <w:lang w:val="en-US" w:eastAsia="zh-CN" w:bidi="ar"/>
              </w:rPr>
              <w:t>8</w:t>
            </w:r>
            <w:r>
              <w:rPr>
                <w:rFonts w:hint="default" w:ascii="Times New Roman" w:hAnsi="Times New Roman" w:eastAsia="宋体" w:cs="Times New Roman"/>
                <w:b/>
                <w:bCs/>
                <w:color w:val="000000" w:themeColor="text1"/>
                <w:kern w:val="2"/>
                <w:sz w:val="21"/>
                <w:szCs w:val="21"/>
                <w:lang w:val="en-US" w:eastAsia="zh-CN" w:bidi="ar"/>
              </w:rPr>
              <w:t xml:space="preserve">  项目与《云南省空气质量持续改善行动实施方案》相符性</w:t>
            </w:r>
            <w:r>
              <w:rPr>
                <w:rFonts w:hint="eastAsia" w:ascii="Times New Roman" w:hAnsi="Times New Roman" w:eastAsia="宋体" w:cs="Times New Roman"/>
                <w:b/>
                <w:bCs/>
                <w:color w:val="000000" w:themeColor="text1"/>
                <w:kern w:val="2"/>
                <w:sz w:val="21"/>
                <w:szCs w:val="21"/>
                <w:lang w:val="en-US" w:eastAsia="zh-CN" w:bidi="ar"/>
              </w:rPr>
              <w:t>分析</w:t>
            </w:r>
          </w:p>
          <w:tbl>
            <w:tblPr>
              <w:tblStyle w:val="43"/>
              <w:tblW w:w="7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4545"/>
              <w:gridCol w:w="2012"/>
              <w:gridCol w:w="661"/>
            </w:tblGrid>
            <w:tr w14:paraId="7CFBD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dxa"/>
                  <w:tcBorders>
                    <w:top w:val="single" w:color="auto" w:sz="4" w:space="0"/>
                    <w:left w:val="single" w:color="auto" w:sz="4" w:space="0"/>
                    <w:bottom w:val="single" w:color="auto" w:sz="4" w:space="0"/>
                    <w:right w:val="single" w:color="auto" w:sz="4" w:space="0"/>
                  </w:tcBorders>
                  <w:noWrap w:val="0"/>
                  <w:vAlign w:val="center"/>
                </w:tcPr>
                <w:p w14:paraId="28AD68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lang w:val="en-US"/>
                    </w:rPr>
                  </w:pPr>
                  <w:r>
                    <w:rPr>
                      <w:rFonts w:hint="default" w:ascii="Times New Roman" w:hAnsi="Times New Roman" w:eastAsia="宋体" w:cs="Times New Roman"/>
                      <w:b/>
                      <w:bCs/>
                      <w:color w:val="000000" w:themeColor="text1"/>
                      <w:kern w:val="2"/>
                      <w:sz w:val="21"/>
                      <w:szCs w:val="21"/>
                      <w:lang w:val="en-US" w:eastAsia="zh-CN" w:bidi="ar"/>
                    </w:rPr>
                    <w:t>章节</w:t>
                  </w:r>
                </w:p>
              </w:tc>
              <w:tc>
                <w:tcPr>
                  <w:tcW w:w="4545" w:type="dxa"/>
                  <w:tcBorders>
                    <w:top w:val="single" w:color="auto" w:sz="4" w:space="0"/>
                    <w:left w:val="nil"/>
                    <w:bottom w:val="single" w:color="auto" w:sz="4" w:space="0"/>
                    <w:right w:val="single" w:color="auto" w:sz="4" w:space="0"/>
                  </w:tcBorders>
                  <w:noWrap w:val="0"/>
                  <w:vAlign w:val="center"/>
                </w:tcPr>
                <w:p w14:paraId="2D7535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lang w:val="en-US"/>
                    </w:rPr>
                  </w:pPr>
                  <w:r>
                    <w:rPr>
                      <w:rFonts w:hint="default" w:ascii="Times New Roman" w:hAnsi="Times New Roman" w:eastAsia="宋体" w:cs="Times New Roman"/>
                      <w:b/>
                      <w:bCs/>
                      <w:color w:val="000000" w:themeColor="text1"/>
                      <w:kern w:val="2"/>
                      <w:sz w:val="21"/>
                      <w:szCs w:val="21"/>
                      <w:lang w:val="en-US" w:eastAsia="zh-CN" w:bidi="ar"/>
                    </w:rPr>
                    <w:t>要求</w:t>
                  </w:r>
                </w:p>
              </w:tc>
              <w:tc>
                <w:tcPr>
                  <w:tcW w:w="2012" w:type="dxa"/>
                  <w:tcBorders>
                    <w:top w:val="single" w:color="auto" w:sz="4" w:space="0"/>
                    <w:left w:val="nil"/>
                    <w:bottom w:val="single" w:color="auto" w:sz="4" w:space="0"/>
                    <w:right w:val="single" w:color="auto" w:sz="4" w:space="0"/>
                  </w:tcBorders>
                  <w:noWrap w:val="0"/>
                  <w:vAlign w:val="center"/>
                </w:tcPr>
                <w:p w14:paraId="242599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lang w:val="en-US"/>
                    </w:rPr>
                  </w:pPr>
                  <w:r>
                    <w:rPr>
                      <w:rFonts w:hint="default" w:ascii="Times New Roman" w:hAnsi="Times New Roman" w:eastAsia="宋体" w:cs="Times New Roman"/>
                      <w:b/>
                      <w:bCs/>
                      <w:color w:val="000000" w:themeColor="text1"/>
                      <w:kern w:val="2"/>
                      <w:sz w:val="21"/>
                      <w:szCs w:val="21"/>
                      <w:lang w:val="en-US" w:eastAsia="zh-CN" w:bidi="ar"/>
                    </w:rPr>
                    <w:t>项目建设情况</w:t>
                  </w:r>
                </w:p>
              </w:tc>
              <w:tc>
                <w:tcPr>
                  <w:tcW w:w="661" w:type="dxa"/>
                  <w:tcBorders>
                    <w:top w:val="single" w:color="auto" w:sz="4" w:space="0"/>
                    <w:left w:val="nil"/>
                    <w:bottom w:val="single" w:color="auto" w:sz="4" w:space="0"/>
                    <w:right w:val="single" w:color="auto" w:sz="4" w:space="0"/>
                  </w:tcBorders>
                  <w:noWrap w:val="0"/>
                  <w:vAlign w:val="center"/>
                </w:tcPr>
                <w:p w14:paraId="5CA8EB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lang w:val="en-US"/>
                    </w:rPr>
                  </w:pPr>
                  <w:r>
                    <w:rPr>
                      <w:rFonts w:hint="default" w:ascii="Times New Roman" w:hAnsi="Times New Roman" w:eastAsia="宋体" w:cs="Times New Roman"/>
                      <w:b/>
                      <w:bCs/>
                      <w:color w:val="000000" w:themeColor="text1"/>
                      <w:kern w:val="2"/>
                      <w:sz w:val="21"/>
                      <w:szCs w:val="21"/>
                      <w:lang w:val="en-US" w:eastAsia="zh-CN" w:bidi="ar"/>
                    </w:rPr>
                    <w:t>符合性</w:t>
                  </w:r>
                </w:p>
              </w:tc>
            </w:tr>
            <w:tr w14:paraId="753D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dxa"/>
                  <w:tcBorders>
                    <w:top w:val="single" w:color="auto" w:sz="4" w:space="0"/>
                    <w:left w:val="single" w:color="auto" w:sz="4" w:space="0"/>
                    <w:right w:val="single" w:color="auto" w:sz="4" w:space="0"/>
                  </w:tcBorders>
                  <w:noWrap w:val="0"/>
                  <w:vAlign w:val="center"/>
                </w:tcPr>
                <w:p w14:paraId="3497A2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rPr>
                    <w:t>优化产业结构</w:t>
                  </w:r>
                </w:p>
              </w:tc>
              <w:tc>
                <w:tcPr>
                  <w:tcW w:w="4545" w:type="dxa"/>
                  <w:tcBorders>
                    <w:top w:val="single" w:color="auto" w:sz="4" w:space="0"/>
                    <w:left w:val="nil"/>
                    <w:bottom w:val="single" w:color="auto" w:sz="4" w:space="0"/>
                    <w:right w:val="single" w:color="auto" w:sz="4" w:space="0"/>
                  </w:tcBorders>
                  <w:noWrap w:val="0"/>
                  <w:vAlign w:val="center"/>
                </w:tcPr>
                <w:p w14:paraId="213B02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rPr>
                    <w:t>坚决遏制“两高一低”项目盲目上马。新改扩建项目严格落实国家和省产业规划、产业政策、生态环境分区管控方案、规划环评、项目环评、节能审查、产能置换、重点污染物总量控制、污染物排放区域削减、碳排放达峰目标等相关要求，原则上采用清洁运输方式。加快推进钢铁产业转型升级，鼓励钢铁、焦化、烧结一体化布局，减少独立焦化、烧结、球团和热轧企业及工序。到2025年，短流程炼钢产量占比达15%。</w:t>
                  </w:r>
                </w:p>
              </w:tc>
              <w:tc>
                <w:tcPr>
                  <w:tcW w:w="2012" w:type="dxa"/>
                  <w:tcBorders>
                    <w:top w:val="single" w:color="auto" w:sz="4" w:space="0"/>
                    <w:left w:val="nil"/>
                    <w:bottom w:val="single" w:color="auto" w:sz="4" w:space="0"/>
                    <w:right w:val="single" w:color="auto" w:sz="4" w:space="0"/>
                  </w:tcBorders>
                  <w:noWrap w:val="0"/>
                  <w:vAlign w:val="center"/>
                </w:tcPr>
                <w:p w14:paraId="569AC9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both"/>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本项目为纸制品制造；根据对照</w:t>
                  </w:r>
                  <w:r>
                    <w:rPr>
                      <w:rFonts w:hint="default" w:ascii="Times New Roman" w:hAnsi="Times New Roman" w:eastAsia="宋体" w:cs="Times New Roman"/>
                      <w:color w:val="000000" w:themeColor="text1"/>
                      <w:kern w:val="2"/>
                      <w:sz w:val="21"/>
                      <w:szCs w:val="21"/>
                      <w:lang w:val="zh-CN" w:eastAsia="zh-CN" w:bidi="ar"/>
                    </w:rPr>
                    <w:t>《产业结构调整指导目录（20</w:t>
                  </w:r>
                  <w:r>
                    <w:rPr>
                      <w:rFonts w:hint="default" w:ascii="Times New Roman" w:hAnsi="Times New Roman" w:eastAsia="宋体" w:cs="Times New Roman"/>
                      <w:color w:val="000000" w:themeColor="text1"/>
                      <w:kern w:val="2"/>
                      <w:sz w:val="21"/>
                      <w:szCs w:val="21"/>
                      <w:lang w:val="en-US" w:eastAsia="zh-CN" w:bidi="ar"/>
                    </w:rPr>
                    <w:t>24</w:t>
                  </w:r>
                  <w:r>
                    <w:rPr>
                      <w:rFonts w:hint="default" w:ascii="Times New Roman" w:hAnsi="Times New Roman" w:eastAsia="宋体" w:cs="Times New Roman"/>
                      <w:color w:val="000000" w:themeColor="text1"/>
                      <w:kern w:val="2"/>
                      <w:sz w:val="21"/>
                      <w:szCs w:val="21"/>
                      <w:lang w:val="zh-CN" w:eastAsia="zh-CN" w:bidi="ar"/>
                    </w:rPr>
                    <w:t>年本）》，</w:t>
                  </w:r>
                  <w:r>
                    <w:rPr>
                      <w:rFonts w:hint="default" w:ascii="Times New Roman" w:hAnsi="Times New Roman" w:eastAsia="宋体" w:cs="Times New Roman"/>
                      <w:color w:val="000000" w:themeColor="text1"/>
                      <w:kern w:val="2"/>
                      <w:sz w:val="21"/>
                      <w:szCs w:val="21"/>
                      <w:lang w:val="en-US" w:eastAsia="zh-CN" w:bidi="ar"/>
                    </w:rPr>
                    <w:t>不属于</w:t>
                  </w:r>
                  <w:r>
                    <w:rPr>
                      <w:rFonts w:hint="default" w:ascii="Times New Roman" w:hAnsi="Times New Roman" w:eastAsia="宋体" w:cs="Times New Roman"/>
                      <w:color w:val="000000" w:themeColor="text1"/>
                      <w:kern w:val="2"/>
                      <w:sz w:val="21"/>
                      <w:szCs w:val="21"/>
                      <w:lang w:val="zh-CN" w:eastAsia="zh-CN" w:bidi="ar"/>
                    </w:rPr>
                    <w:t>淘汰和过剩产能。</w:t>
                  </w:r>
                </w:p>
              </w:tc>
              <w:tc>
                <w:tcPr>
                  <w:tcW w:w="661" w:type="dxa"/>
                  <w:tcBorders>
                    <w:top w:val="single" w:color="auto" w:sz="4" w:space="0"/>
                    <w:left w:val="nil"/>
                    <w:bottom w:val="single" w:color="auto" w:sz="4" w:space="0"/>
                    <w:right w:val="single" w:color="auto" w:sz="4" w:space="0"/>
                  </w:tcBorders>
                  <w:noWrap w:val="0"/>
                  <w:vAlign w:val="center"/>
                </w:tcPr>
                <w:p w14:paraId="243C08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符合</w:t>
                  </w:r>
                </w:p>
              </w:tc>
            </w:tr>
            <w:tr w14:paraId="25123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dxa"/>
                  <w:vMerge w:val="restart"/>
                  <w:tcBorders>
                    <w:top w:val="single" w:color="auto" w:sz="4" w:space="0"/>
                    <w:left w:val="single" w:color="auto" w:sz="4" w:space="0"/>
                    <w:bottom w:val="single" w:color="auto" w:sz="4" w:space="0"/>
                    <w:right w:val="single" w:color="auto" w:sz="4" w:space="0"/>
                  </w:tcBorders>
                  <w:noWrap w:val="0"/>
                  <w:vAlign w:val="center"/>
                </w:tcPr>
                <w:p w14:paraId="34F8F0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rPr>
                    <w:t>优化能源结构</w:t>
                  </w:r>
                </w:p>
              </w:tc>
              <w:tc>
                <w:tcPr>
                  <w:tcW w:w="4545" w:type="dxa"/>
                  <w:tcBorders>
                    <w:top w:val="single" w:color="auto" w:sz="4" w:space="0"/>
                    <w:left w:val="nil"/>
                    <w:bottom w:val="single" w:color="auto" w:sz="4" w:space="0"/>
                    <w:right w:val="single" w:color="auto" w:sz="4" w:space="0"/>
                  </w:tcBorders>
                  <w:noWrap w:val="0"/>
                  <w:vAlign w:val="center"/>
                </w:tcPr>
                <w:p w14:paraId="5EE486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both"/>
                    <w:textAlignment w:val="auto"/>
                    <w:rPr>
                      <w:rFonts w:hint="default" w:ascii="Times New Roman" w:hAnsi="Times New Roman" w:eastAsia="宋体" w:cs="Times New Roman"/>
                      <w:color w:val="000000" w:themeColor="text1"/>
                      <w:sz w:val="21"/>
                      <w:szCs w:val="21"/>
                      <w:lang w:val="zh-CN"/>
                    </w:rPr>
                  </w:pPr>
                  <w:r>
                    <w:rPr>
                      <w:rFonts w:hint="default" w:ascii="Times New Roman" w:hAnsi="Times New Roman" w:eastAsia="宋体" w:cs="Times New Roman"/>
                      <w:color w:val="000000" w:themeColor="text1"/>
                      <w:sz w:val="21"/>
                      <w:szCs w:val="21"/>
                      <w:lang w:val="zh-CN"/>
                    </w:rPr>
                    <w:t>严格合理控制煤炭消费增长。有序推进煤炭消费减量替代。支持烟叶烘烤等农特产品加工燃煤设施实施清洁能源改造。对支撑电力稳定供应、电网安全运行、清洁能源大规模并网消纳的煤电项目及其用煤量予合理保障。</w:t>
                  </w:r>
                </w:p>
              </w:tc>
              <w:tc>
                <w:tcPr>
                  <w:tcW w:w="2012" w:type="dxa"/>
                  <w:tcBorders>
                    <w:top w:val="single" w:color="auto" w:sz="4" w:space="0"/>
                    <w:left w:val="nil"/>
                    <w:bottom w:val="single" w:color="auto" w:sz="4" w:space="0"/>
                    <w:right w:val="single" w:color="auto" w:sz="4" w:space="0"/>
                  </w:tcBorders>
                  <w:noWrap w:val="0"/>
                  <w:vAlign w:val="center"/>
                </w:tcPr>
                <w:p w14:paraId="029802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项目烘干使用生物质燃料，无燃煤使用；产生的量颗粒物、二氧化硫、氮氧化物污染物可做到达标排放</w:t>
                  </w:r>
                  <w:r>
                    <w:rPr>
                      <w:rFonts w:hint="default" w:ascii="Times New Roman" w:hAnsi="Times New Roman" w:eastAsia="宋体" w:cs="Times New Roman"/>
                      <w:color w:val="000000" w:themeColor="text1"/>
                      <w:kern w:val="2"/>
                      <w:sz w:val="21"/>
                      <w:szCs w:val="21"/>
                      <w:lang w:val="en-US" w:eastAsia="zh-CN" w:bidi="ar"/>
                    </w:rPr>
                    <w:t>。</w:t>
                  </w:r>
                </w:p>
              </w:tc>
              <w:tc>
                <w:tcPr>
                  <w:tcW w:w="661" w:type="dxa"/>
                  <w:tcBorders>
                    <w:top w:val="single" w:color="auto" w:sz="4" w:space="0"/>
                    <w:left w:val="nil"/>
                    <w:bottom w:val="single" w:color="auto" w:sz="4" w:space="0"/>
                    <w:right w:val="single" w:color="auto" w:sz="4" w:space="0"/>
                  </w:tcBorders>
                  <w:noWrap w:val="0"/>
                  <w:vAlign w:val="center"/>
                </w:tcPr>
                <w:p w14:paraId="5079AF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符合</w:t>
                  </w:r>
                </w:p>
              </w:tc>
            </w:tr>
            <w:tr w14:paraId="7635B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dxa"/>
                  <w:vMerge w:val="continue"/>
                  <w:tcBorders>
                    <w:top w:val="single" w:color="auto" w:sz="4" w:space="0"/>
                    <w:left w:val="single" w:color="auto" w:sz="4" w:space="0"/>
                    <w:bottom w:val="single" w:color="auto" w:sz="4" w:space="0"/>
                    <w:right w:val="single" w:color="auto" w:sz="4" w:space="0"/>
                  </w:tcBorders>
                  <w:noWrap w:val="0"/>
                  <w:vAlign w:val="center"/>
                </w:tcPr>
                <w:p w14:paraId="5634AE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color w:val="000000" w:themeColor="text1"/>
                      <w:sz w:val="21"/>
                      <w:szCs w:val="21"/>
                    </w:rPr>
                  </w:pPr>
                </w:p>
              </w:tc>
              <w:tc>
                <w:tcPr>
                  <w:tcW w:w="4545" w:type="dxa"/>
                  <w:tcBorders>
                    <w:top w:val="single" w:color="auto" w:sz="4" w:space="0"/>
                    <w:left w:val="nil"/>
                    <w:bottom w:val="single" w:color="auto" w:sz="4" w:space="0"/>
                    <w:right w:val="single" w:color="auto" w:sz="4" w:space="0"/>
                  </w:tcBorders>
                  <w:noWrap w:val="0"/>
                  <w:vAlign w:val="center"/>
                </w:tcPr>
                <w:p w14:paraId="72D7D2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both"/>
                    <w:textAlignment w:val="auto"/>
                    <w:rPr>
                      <w:rFonts w:hint="default" w:ascii="Times New Roman" w:hAnsi="Times New Roman" w:eastAsia="宋体" w:cs="Times New Roman"/>
                      <w:color w:val="000000" w:themeColor="text1"/>
                      <w:sz w:val="21"/>
                      <w:szCs w:val="21"/>
                      <w:lang w:val="zh-CN"/>
                    </w:rPr>
                  </w:pPr>
                  <w:r>
                    <w:rPr>
                      <w:rFonts w:hint="default" w:ascii="Times New Roman" w:hAnsi="Times New Roman" w:eastAsia="宋体" w:cs="Times New Roman"/>
                      <w:color w:val="000000" w:themeColor="text1"/>
                      <w:sz w:val="21"/>
                      <w:szCs w:val="21"/>
                      <w:lang w:val="zh-CN"/>
                    </w:rPr>
                    <w:t>开展燃煤锅炉关停整合。县级及以上城市建成区原则上不再新建35蒸吨/小时及以下燃煤锅炉。依托电厂、大型工业企业开展远距离供热示范，淘汰管网覆盖范围内的燃煤锅炉和散煤。到2025年，PM2.5未达标城市基本淘汰10蒸吨/小时及以下燃煤锅炉。</w:t>
                  </w:r>
                </w:p>
              </w:tc>
              <w:tc>
                <w:tcPr>
                  <w:tcW w:w="2012" w:type="dxa"/>
                  <w:tcBorders>
                    <w:top w:val="single" w:color="auto" w:sz="4" w:space="0"/>
                    <w:left w:val="nil"/>
                    <w:bottom w:val="single" w:color="auto" w:sz="4" w:space="0"/>
                    <w:right w:val="single" w:color="auto" w:sz="4" w:space="0"/>
                  </w:tcBorders>
                  <w:noWrap w:val="0"/>
                  <w:vAlign w:val="center"/>
                </w:tcPr>
                <w:p w14:paraId="7A56F9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项目烘干使用生物质燃料，无燃煤使用</w:t>
                  </w:r>
                  <w:r>
                    <w:rPr>
                      <w:rFonts w:hint="default" w:ascii="Times New Roman" w:hAnsi="Times New Roman" w:eastAsia="宋体" w:cs="Times New Roman"/>
                      <w:color w:val="000000" w:themeColor="text1"/>
                      <w:kern w:val="2"/>
                      <w:sz w:val="21"/>
                      <w:szCs w:val="21"/>
                      <w:lang w:val="en-US" w:eastAsia="zh-CN" w:bidi="ar"/>
                    </w:rPr>
                    <w:t>。</w:t>
                  </w:r>
                </w:p>
              </w:tc>
              <w:tc>
                <w:tcPr>
                  <w:tcW w:w="661" w:type="dxa"/>
                  <w:tcBorders>
                    <w:top w:val="single" w:color="auto" w:sz="4" w:space="0"/>
                    <w:left w:val="nil"/>
                    <w:bottom w:val="single" w:color="auto" w:sz="4" w:space="0"/>
                    <w:right w:val="single" w:color="auto" w:sz="4" w:space="0"/>
                  </w:tcBorders>
                  <w:noWrap w:val="0"/>
                  <w:vAlign w:val="center"/>
                </w:tcPr>
                <w:p w14:paraId="316928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符合</w:t>
                  </w:r>
                </w:p>
              </w:tc>
            </w:tr>
            <w:tr w14:paraId="1228B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dxa"/>
                  <w:vMerge w:val="continue"/>
                  <w:tcBorders>
                    <w:top w:val="single" w:color="auto" w:sz="4" w:space="0"/>
                    <w:left w:val="single" w:color="auto" w:sz="4" w:space="0"/>
                    <w:bottom w:val="single" w:color="auto" w:sz="4" w:space="0"/>
                    <w:right w:val="single" w:color="auto" w:sz="4" w:space="0"/>
                  </w:tcBorders>
                  <w:noWrap w:val="0"/>
                  <w:vAlign w:val="center"/>
                </w:tcPr>
                <w:p w14:paraId="75D15A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color w:val="000000" w:themeColor="text1"/>
                      <w:sz w:val="21"/>
                      <w:szCs w:val="21"/>
                    </w:rPr>
                  </w:pPr>
                </w:p>
              </w:tc>
              <w:tc>
                <w:tcPr>
                  <w:tcW w:w="4545" w:type="dxa"/>
                  <w:tcBorders>
                    <w:top w:val="single" w:color="auto" w:sz="4" w:space="0"/>
                    <w:left w:val="nil"/>
                    <w:bottom w:val="single" w:color="auto" w:sz="4" w:space="0"/>
                    <w:right w:val="single" w:color="auto" w:sz="4" w:space="0"/>
                  </w:tcBorders>
                  <w:noWrap w:val="0"/>
                  <w:vAlign w:val="center"/>
                </w:tcPr>
                <w:p w14:paraId="27F10D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both"/>
                    <w:textAlignment w:val="auto"/>
                    <w:rPr>
                      <w:rFonts w:hint="default" w:ascii="Times New Roman" w:hAnsi="Times New Roman" w:eastAsia="宋体" w:cs="Times New Roman"/>
                      <w:color w:val="000000" w:themeColor="text1"/>
                      <w:sz w:val="21"/>
                      <w:szCs w:val="21"/>
                      <w:lang w:val="zh-CN"/>
                    </w:rPr>
                  </w:pPr>
                  <w:r>
                    <w:rPr>
                      <w:rFonts w:hint="default" w:ascii="Times New Roman" w:hAnsi="Times New Roman" w:eastAsia="宋体" w:cs="Times New Roman"/>
                      <w:color w:val="000000" w:themeColor="text1"/>
                      <w:sz w:val="21"/>
                      <w:szCs w:val="21"/>
                      <w:lang w:val="zh-CN"/>
                    </w:rPr>
                    <w:t>推动工业炉窑清洁能源替代。有序推进以电代煤，积极稳妥推进以气代煤。对以煤、石油焦、渣油、重油等为燃料的工业炉窑，加快使用工业余热、电能、天然气等清洁能源进行替代。</w:t>
                  </w:r>
                </w:p>
              </w:tc>
              <w:tc>
                <w:tcPr>
                  <w:tcW w:w="2012" w:type="dxa"/>
                  <w:tcBorders>
                    <w:top w:val="single" w:color="auto" w:sz="4" w:space="0"/>
                    <w:left w:val="nil"/>
                    <w:bottom w:val="single" w:color="auto" w:sz="4" w:space="0"/>
                    <w:right w:val="single" w:color="auto" w:sz="4" w:space="0"/>
                  </w:tcBorders>
                  <w:noWrap w:val="0"/>
                  <w:vAlign w:val="center"/>
                </w:tcPr>
                <w:p w14:paraId="5BEF35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both"/>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项目烘干使用生物质燃料，无燃煤使用；产生的量颗粒物、二氧化硫、氮氧化物污染物可做到达标排放</w:t>
                  </w:r>
                  <w:r>
                    <w:rPr>
                      <w:rFonts w:hint="default" w:ascii="Times New Roman" w:hAnsi="Times New Roman" w:eastAsia="宋体" w:cs="Times New Roman"/>
                      <w:color w:val="000000" w:themeColor="text1"/>
                      <w:kern w:val="2"/>
                      <w:sz w:val="21"/>
                      <w:szCs w:val="21"/>
                      <w:lang w:val="en-US" w:eastAsia="zh-CN" w:bidi="ar"/>
                    </w:rPr>
                    <w:t>。</w:t>
                  </w:r>
                </w:p>
              </w:tc>
              <w:tc>
                <w:tcPr>
                  <w:tcW w:w="661" w:type="dxa"/>
                  <w:tcBorders>
                    <w:top w:val="single" w:color="auto" w:sz="4" w:space="0"/>
                    <w:left w:val="nil"/>
                    <w:bottom w:val="single" w:color="auto" w:sz="4" w:space="0"/>
                    <w:right w:val="single" w:color="auto" w:sz="4" w:space="0"/>
                  </w:tcBorders>
                  <w:noWrap w:val="0"/>
                  <w:vAlign w:val="center"/>
                </w:tcPr>
                <w:p w14:paraId="4E1039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符合</w:t>
                  </w:r>
                </w:p>
              </w:tc>
            </w:tr>
          </w:tbl>
          <w:p w14:paraId="2D50AE8F">
            <w:pPr>
              <w:pStyle w:val="197"/>
              <w:keepNext w:val="0"/>
              <w:keepLines w:val="0"/>
              <w:pageBreakBefore w:val="0"/>
              <w:widowControl/>
              <w:kinsoku/>
              <w:wordWrap/>
              <w:overflowPunct/>
              <w:topLinePunct/>
              <w:autoSpaceDE/>
              <w:autoSpaceDN/>
              <w:bidi w:val="0"/>
              <w:adjustRightInd w:val="0"/>
              <w:snapToGrid w:val="0"/>
              <w:spacing w:line="440" w:lineRule="exact"/>
              <w:textAlignment w:val="auto"/>
              <w:rPr>
                <w:rFonts w:hint="eastAsia" w:ascii="Times New Roman" w:hAnsi="Times New Roman" w:eastAsia="宋体" w:cs="宋体"/>
                <w:b w:val="0"/>
                <w:bCs w:val="0"/>
                <w:color w:val="000000" w:themeColor="text1"/>
                <w:sz w:val="21"/>
                <w:szCs w:val="21"/>
                <w:lang w:eastAsia="zh-CN"/>
              </w:rPr>
            </w:pPr>
            <w:r>
              <w:rPr>
                <w:rFonts w:hint="eastAsia" w:ascii="Times New Roman" w:hAnsi="Times New Roman" w:eastAsia="宋体" w:cs="宋体"/>
                <w:b w:val="0"/>
                <w:bCs w:val="0"/>
                <w:color w:val="000000" w:themeColor="text1"/>
                <w:sz w:val="21"/>
                <w:szCs w:val="21"/>
                <w:lang w:eastAsia="zh-CN"/>
              </w:rPr>
              <w:t>由上表可知，项目建设符合</w:t>
            </w:r>
            <w:r>
              <w:rPr>
                <w:rFonts w:hint="default" w:ascii="Times New Roman" w:hAnsi="Times New Roman" w:eastAsia="宋体" w:cs="Times New Roman"/>
                <w:b w:val="0"/>
                <w:bCs w:val="0"/>
                <w:color w:val="000000" w:themeColor="text1"/>
                <w:kern w:val="2"/>
                <w:sz w:val="21"/>
                <w:szCs w:val="21"/>
                <w:lang w:val="en-US" w:eastAsia="zh-CN" w:bidi="ar"/>
              </w:rPr>
              <w:t>《云南省空气质量持续改善行动实施方案》</w:t>
            </w:r>
            <w:r>
              <w:rPr>
                <w:rFonts w:hint="eastAsia" w:ascii="Times New Roman" w:hAnsi="Times New Roman" w:eastAsia="宋体" w:cs="宋体"/>
                <w:b w:val="0"/>
                <w:bCs w:val="0"/>
                <w:color w:val="000000" w:themeColor="text1"/>
                <w:sz w:val="21"/>
                <w:szCs w:val="21"/>
                <w:lang w:eastAsia="zh-CN"/>
              </w:rPr>
              <w:t>要求。</w:t>
            </w:r>
          </w:p>
          <w:p w14:paraId="1BDF9841">
            <w:pPr>
              <w:keepNext w:val="0"/>
              <w:keepLines w:val="0"/>
              <w:widowControl w:val="0"/>
              <w:suppressLineNumbers w:val="0"/>
              <w:bidi w:val="0"/>
              <w:spacing w:before="0" w:beforeAutospacing="0" w:after="0" w:afterAutospacing="0" w:line="360" w:lineRule="auto"/>
              <w:ind w:left="0" w:leftChars="0" w:right="0" w:firstLine="0" w:firstLineChars="0"/>
              <w:jc w:val="both"/>
              <w:rPr>
                <w:rFonts w:hint="default" w:ascii="Times New Roman" w:hAnsi="Times New Roman" w:eastAsia="宋体" w:cs="Times New Roman"/>
                <w:b/>
                <w:bCs/>
                <w:color w:val="00B050"/>
                <w:kern w:val="2"/>
                <w:sz w:val="21"/>
                <w:szCs w:val="21"/>
                <w:lang w:val="en-US" w:eastAsia="zh-CN" w:bidi="ar-SA"/>
              </w:rPr>
            </w:pPr>
            <w:r>
              <w:rPr>
                <w:rFonts w:hint="eastAsia" w:ascii="Times New Roman" w:hAnsi="Times New Roman" w:eastAsia="宋体" w:cs="Times New Roman"/>
                <w:b/>
                <w:bCs/>
                <w:color w:val="00B050"/>
                <w:kern w:val="2"/>
                <w:sz w:val="21"/>
                <w:szCs w:val="21"/>
                <w:lang w:val="en-US" w:eastAsia="zh-CN" w:bidi="ar-SA"/>
              </w:rPr>
              <w:t>8、与《云南省大气污染防治条例》符合性分析</w:t>
            </w:r>
          </w:p>
          <w:p w14:paraId="2ECFF50C">
            <w:pPr>
              <w:keepNext w:val="0"/>
              <w:keepLines w:val="0"/>
              <w:widowControl w:val="0"/>
              <w:suppressLineNumbers w:val="0"/>
              <w:bidi w:val="0"/>
              <w:spacing w:before="0" w:beforeAutospacing="0" w:after="0" w:afterAutospacing="0" w:line="360" w:lineRule="auto"/>
              <w:ind w:left="0" w:right="0" w:firstLine="420" w:firstLineChars="200"/>
              <w:jc w:val="both"/>
              <w:rPr>
                <w:rFonts w:hint="default" w:ascii="Times New Roman" w:hAnsi="Times New Roman" w:eastAsia="宋体" w:cs="Times New Roman"/>
                <w:color w:val="00B050"/>
                <w:kern w:val="2"/>
                <w:sz w:val="21"/>
                <w:szCs w:val="21"/>
                <w:lang w:val="en-US" w:eastAsia="zh-CN" w:bidi="ar-SA"/>
              </w:rPr>
            </w:pPr>
            <w:r>
              <w:rPr>
                <w:rFonts w:hint="eastAsia" w:ascii="Times New Roman" w:hAnsi="Times New Roman" w:eastAsia="宋体" w:cs="Times New Roman"/>
                <w:color w:val="00B050"/>
                <w:kern w:val="2"/>
                <w:sz w:val="21"/>
                <w:szCs w:val="21"/>
                <w:lang w:val="en-US" w:eastAsia="zh-CN" w:bidi="ar-SA"/>
              </w:rPr>
              <w:t>2018年11月29日云南省第十三届人民代表大会常务委员会第七次会议通过了《云南省大气污染防治条例》，自2019年1月1日执行。摘选部分与本项目相关内容，与其符合性分析见下表所示。</w:t>
            </w:r>
          </w:p>
          <w:p w14:paraId="5C913024">
            <w:pPr>
              <w:keepNext w:val="0"/>
              <w:keepLines w:val="0"/>
              <w:widowControl w:val="0"/>
              <w:suppressLineNumbers w:val="0"/>
              <w:bidi w:val="0"/>
              <w:spacing w:before="0" w:beforeAutospacing="0" w:after="0" w:afterAutospacing="0" w:line="360" w:lineRule="auto"/>
              <w:ind w:left="0" w:right="0" w:firstLine="422" w:firstLineChars="200"/>
              <w:jc w:val="center"/>
              <w:rPr>
                <w:rFonts w:hint="default" w:ascii="Times New Roman" w:hAnsi="Times New Roman" w:eastAsia="宋体" w:cs="Times New Roman"/>
                <w:b/>
                <w:bCs/>
                <w:color w:val="00B050"/>
                <w:kern w:val="2"/>
                <w:sz w:val="21"/>
                <w:szCs w:val="21"/>
                <w:lang w:val="en-US" w:eastAsia="zh-CN" w:bidi="ar-SA"/>
              </w:rPr>
            </w:pPr>
            <w:r>
              <w:rPr>
                <w:rFonts w:hint="eastAsia" w:ascii="Times New Roman" w:hAnsi="Times New Roman" w:eastAsia="宋体" w:cs="Times New Roman"/>
                <w:b/>
                <w:bCs/>
                <w:color w:val="00B050"/>
                <w:kern w:val="2"/>
                <w:sz w:val="21"/>
                <w:szCs w:val="21"/>
                <w:lang w:val="en-US" w:eastAsia="zh-CN" w:bidi="ar-SA"/>
              </w:rPr>
              <w:t>表1-9  本项目与《云南省大气污染防治条例》符合性分析（摘抄）</w:t>
            </w:r>
          </w:p>
          <w:tbl>
            <w:tblPr>
              <w:tblStyle w:val="43"/>
              <w:tblW w:w="7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3914"/>
              <w:gridCol w:w="2679"/>
              <w:gridCol w:w="830"/>
            </w:tblGrid>
            <w:tr w14:paraId="32006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494" w:type="dxa"/>
                  <w:noWrap w:val="0"/>
                  <w:vAlign w:val="center"/>
                </w:tcPr>
                <w:p w14:paraId="47461084">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00B050"/>
                      <w:kern w:val="2"/>
                      <w:sz w:val="21"/>
                      <w:szCs w:val="21"/>
                      <w:lang w:val="en-US" w:eastAsia="zh-CN" w:bidi="ar-SA"/>
                    </w:rPr>
                  </w:pPr>
                  <w:r>
                    <w:rPr>
                      <w:rFonts w:hint="eastAsia" w:ascii="Times New Roman" w:hAnsi="Times New Roman" w:eastAsia="宋体" w:cs="Times New Roman"/>
                      <w:b/>
                      <w:bCs/>
                      <w:color w:val="00B050"/>
                      <w:kern w:val="2"/>
                      <w:sz w:val="21"/>
                      <w:szCs w:val="21"/>
                      <w:lang w:val="en-US" w:eastAsia="zh-CN" w:bidi="ar-SA"/>
                    </w:rPr>
                    <w:t>序号</w:t>
                  </w:r>
                </w:p>
              </w:tc>
              <w:tc>
                <w:tcPr>
                  <w:tcW w:w="3914" w:type="dxa"/>
                  <w:noWrap w:val="0"/>
                  <w:vAlign w:val="center"/>
                </w:tcPr>
                <w:p w14:paraId="0E009BEC">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B050"/>
                      <w:kern w:val="2"/>
                      <w:sz w:val="21"/>
                      <w:szCs w:val="21"/>
                      <w:lang w:val="en-US" w:eastAsia="zh-CN" w:bidi="ar-SA"/>
                    </w:rPr>
                  </w:pPr>
                  <w:r>
                    <w:rPr>
                      <w:rFonts w:hint="eastAsia" w:ascii="Times New Roman" w:hAnsi="Times New Roman" w:eastAsia="宋体" w:cs="Times New Roman"/>
                      <w:b/>
                      <w:bCs/>
                      <w:color w:val="00B050"/>
                      <w:kern w:val="2"/>
                      <w:sz w:val="21"/>
                      <w:szCs w:val="21"/>
                      <w:lang w:val="en-US" w:eastAsia="zh-CN" w:bidi="ar-SA"/>
                    </w:rPr>
                    <w:t>条例规定</w:t>
                  </w:r>
                </w:p>
              </w:tc>
              <w:tc>
                <w:tcPr>
                  <w:tcW w:w="2679" w:type="dxa"/>
                  <w:noWrap w:val="0"/>
                  <w:vAlign w:val="center"/>
                </w:tcPr>
                <w:p w14:paraId="567E1008">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B050"/>
                      <w:kern w:val="2"/>
                      <w:sz w:val="21"/>
                      <w:szCs w:val="21"/>
                      <w:lang w:val="en-US" w:eastAsia="zh-CN" w:bidi="ar-SA"/>
                    </w:rPr>
                  </w:pPr>
                  <w:r>
                    <w:rPr>
                      <w:rFonts w:hint="eastAsia" w:ascii="Times New Roman" w:hAnsi="Times New Roman" w:eastAsia="宋体" w:cs="Times New Roman"/>
                      <w:b/>
                      <w:bCs/>
                      <w:color w:val="00B050"/>
                      <w:kern w:val="2"/>
                      <w:sz w:val="21"/>
                      <w:szCs w:val="21"/>
                      <w:lang w:val="en-US" w:eastAsia="zh-CN" w:bidi="ar-SA"/>
                    </w:rPr>
                    <w:t>本项目情况</w:t>
                  </w:r>
                </w:p>
              </w:tc>
              <w:tc>
                <w:tcPr>
                  <w:tcW w:w="830" w:type="dxa"/>
                  <w:noWrap w:val="0"/>
                  <w:vAlign w:val="center"/>
                </w:tcPr>
                <w:p w14:paraId="518DFE88">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B050"/>
                      <w:kern w:val="2"/>
                      <w:sz w:val="21"/>
                      <w:szCs w:val="21"/>
                      <w:lang w:val="en-US" w:eastAsia="zh-CN" w:bidi="ar-SA"/>
                    </w:rPr>
                  </w:pPr>
                  <w:r>
                    <w:rPr>
                      <w:rFonts w:hint="default" w:ascii="Times New Roman" w:hAnsi="Times New Roman" w:eastAsia="宋体" w:cs="Times New Roman"/>
                      <w:b/>
                      <w:bCs/>
                      <w:color w:val="00B050"/>
                      <w:kern w:val="2"/>
                      <w:sz w:val="21"/>
                      <w:szCs w:val="21"/>
                      <w:lang w:val="en-US" w:eastAsia="zh-CN" w:bidi="ar-SA"/>
                    </w:rPr>
                    <w:t>符合性</w:t>
                  </w:r>
                </w:p>
              </w:tc>
            </w:tr>
            <w:tr w14:paraId="2BBDC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jc w:val="center"/>
              </w:trPr>
              <w:tc>
                <w:tcPr>
                  <w:tcW w:w="494" w:type="dxa"/>
                  <w:noWrap w:val="0"/>
                  <w:vAlign w:val="center"/>
                </w:tcPr>
                <w:p w14:paraId="6E8E1D4B">
                  <w:pPr>
                    <w:pStyle w:val="62"/>
                    <w:keepNext w:val="0"/>
                    <w:keepLines w:val="0"/>
                    <w:suppressLineNumbers w:val="0"/>
                    <w:bidi w:val="0"/>
                    <w:spacing w:before="0" w:beforeAutospacing="0" w:after="0" w:afterAutospacing="0"/>
                    <w:ind w:left="0" w:right="0"/>
                    <w:rPr>
                      <w:rFonts w:hint="eastAsia" w:ascii="Times New Roman" w:hAnsi="Times New Roman" w:eastAsia="宋体" w:cs="Times New Roman"/>
                      <w:b/>
                      <w:i w:val="0"/>
                      <w:iCs w:val="0"/>
                      <w:caps w:val="0"/>
                      <w:color w:val="00B050"/>
                      <w:spacing w:val="0"/>
                      <w:kern w:val="2"/>
                      <w:szCs w:val="21"/>
                      <w:shd w:val="clear" w:color="auto" w:fill="FFFFFF"/>
                      <w:lang w:val="en-US" w:eastAsia="zh-CN" w:bidi="ar-SA"/>
                    </w:rPr>
                  </w:pPr>
                  <w:r>
                    <w:rPr>
                      <w:rFonts w:hint="eastAsia"/>
                      <w:lang w:val="en-US" w:eastAsia="zh-CN"/>
                    </w:rPr>
                    <w:t>1</w:t>
                  </w:r>
                </w:p>
              </w:tc>
              <w:tc>
                <w:tcPr>
                  <w:tcW w:w="3914" w:type="dxa"/>
                  <w:noWrap w:val="0"/>
                  <w:vAlign w:val="center"/>
                </w:tcPr>
                <w:p w14:paraId="72254AD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i w:val="0"/>
                      <w:iCs w:val="0"/>
                      <w:caps w:val="0"/>
                      <w:color w:val="00B050"/>
                      <w:spacing w:val="0"/>
                      <w:kern w:val="2"/>
                      <w:sz w:val="21"/>
                      <w:szCs w:val="21"/>
                      <w:shd w:val="clear" w:color="auto" w:fill="FFFFFF"/>
                      <w:lang w:val="en-US" w:eastAsia="zh-CN" w:bidi="ar-SA"/>
                    </w:rPr>
                  </w:pPr>
                  <w:r>
                    <w:rPr>
                      <w:rFonts w:hint="eastAsia" w:ascii="Times New Roman" w:hAnsi="Times New Roman" w:eastAsia="宋体" w:cs="Times New Roman"/>
                      <w:i w:val="0"/>
                      <w:iCs w:val="0"/>
                      <w:caps w:val="0"/>
                      <w:color w:val="00B050"/>
                      <w:spacing w:val="0"/>
                      <w:kern w:val="2"/>
                      <w:sz w:val="21"/>
                      <w:szCs w:val="21"/>
                      <w:shd w:val="clear" w:color="auto" w:fill="FFFFFF"/>
                      <w:lang w:val="en-US" w:eastAsia="zh-CN" w:bidi="ar-SA"/>
                    </w:rPr>
                    <w:t>第十九条 县级以上人民政府应当采取措施优化能源结构，推广利用清洁能源。推进生产和生活领域的以气代煤、以电代煤、以电代柴。加快天然气基础设施建设，增加天然气使用量，实现煤炭减量替代。</w:t>
                  </w:r>
                </w:p>
              </w:tc>
              <w:tc>
                <w:tcPr>
                  <w:tcW w:w="2679" w:type="dxa"/>
                  <w:noWrap w:val="0"/>
                  <w:vAlign w:val="center"/>
                </w:tcPr>
                <w:p w14:paraId="61914EC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i w:val="0"/>
                      <w:iCs w:val="0"/>
                      <w:caps w:val="0"/>
                      <w:color w:val="00B050"/>
                      <w:spacing w:val="0"/>
                      <w:kern w:val="2"/>
                      <w:sz w:val="21"/>
                      <w:szCs w:val="21"/>
                      <w:shd w:val="clear" w:color="auto" w:fill="FFFFFF"/>
                      <w:lang w:val="en-US" w:eastAsia="zh-CN" w:bidi="ar-SA"/>
                    </w:rPr>
                  </w:pPr>
                  <w:r>
                    <w:rPr>
                      <w:rFonts w:hint="eastAsia" w:ascii="Times New Roman" w:hAnsi="Times New Roman" w:eastAsia="宋体" w:cs="Times New Roman"/>
                      <w:i w:val="0"/>
                      <w:iCs w:val="0"/>
                      <w:caps w:val="0"/>
                      <w:color w:val="00B050"/>
                      <w:spacing w:val="0"/>
                      <w:kern w:val="2"/>
                      <w:sz w:val="21"/>
                      <w:szCs w:val="21"/>
                      <w:shd w:val="clear" w:color="auto" w:fill="FFFFFF"/>
                      <w:lang w:val="en-US" w:eastAsia="zh-CN" w:bidi="ar-SA"/>
                    </w:rPr>
                    <w:t>项目烘干使用生物质燃料，无燃煤使用。</w:t>
                  </w:r>
                </w:p>
              </w:tc>
              <w:tc>
                <w:tcPr>
                  <w:tcW w:w="830" w:type="dxa"/>
                  <w:noWrap w:val="0"/>
                  <w:vAlign w:val="center"/>
                </w:tcPr>
                <w:p w14:paraId="1F703AFA">
                  <w:pPr>
                    <w:keepNext w:val="0"/>
                    <w:keepLines w:val="0"/>
                    <w:widowControl w:val="0"/>
                    <w:suppressLineNumbers w:val="0"/>
                    <w:spacing w:before="0" w:beforeAutospacing="0" w:after="0" w:afterAutospacing="0"/>
                    <w:ind w:left="0" w:right="0" w:firstLine="0" w:firstLineChars="0"/>
                    <w:jc w:val="center"/>
                    <w:rPr>
                      <w:rFonts w:hint="eastAsia" w:ascii="Times New Roman" w:hAnsi="Times New Roman" w:eastAsia="宋体" w:cs="Times New Roman"/>
                      <w:color w:val="00B050"/>
                      <w:kern w:val="2"/>
                      <w:sz w:val="21"/>
                      <w:szCs w:val="21"/>
                      <w:lang w:val="en-US" w:eastAsia="zh-CN" w:bidi="ar-SA"/>
                    </w:rPr>
                  </w:pPr>
                  <w:r>
                    <w:rPr>
                      <w:rFonts w:hint="eastAsia" w:ascii="Times New Roman" w:hAnsi="Times New Roman" w:eastAsia="宋体" w:cs="Times New Roman"/>
                      <w:color w:val="00B050"/>
                      <w:kern w:val="2"/>
                      <w:sz w:val="21"/>
                      <w:szCs w:val="21"/>
                      <w:lang w:val="en-US" w:eastAsia="zh-CN" w:bidi="ar-SA"/>
                    </w:rPr>
                    <w:t>符合</w:t>
                  </w:r>
                </w:p>
              </w:tc>
            </w:tr>
            <w:tr w14:paraId="1CAD9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jc w:val="center"/>
              </w:trPr>
              <w:tc>
                <w:tcPr>
                  <w:tcW w:w="494" w:type="dxa"/>
                  <w:noWrap w:val="0"/>
                  <w:vAlign w:val="center"/>
                </w:tcPr>
                <w:p w14:paraId="0B2C244B">
                  <w:pPr>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b/>
                      <w:i w:val="0"/>
                      <w:iCs w:val="0"/>
                      <w:caps w:val="0"/>
                      <w:color w:val="00B050"/>
                      <w:spacing w:val="0"/>
                      <w:kern w:val="2"/>
                      <w:sz w:val="21"/>
                      <w:szCs w:val="21"/>
                      <w:shd w:val="clear" w:color="auto" w:fill="FFFFFF"/>
                      <w:lang w:val="en-US" w:eastAsia="zh-CN" w:bidi="ar-SA"/>
                    </w:rPr>
                  </w:pPr>
                  <w:r>
                    <w:rPr>
                      <w:rFonts w:hint="eastAsia" w:cs="Times New Roman"/>
                      <w:b/>
                      <w:i w:val="0"/>
                      <w:iCs w:val="0"/>
                      <w:caps w:val="0"/>
                      <w:color w:val="00B050"/>
                      <w:spacing w:val="0"/>
                      <w:kern w:val="2"/>
                      <w:sz w:val="21"/>
                      <w:szCs w:val="21"/>
                      <w:shd w:val="clear" w:color="auto" w:fill="FFFFFF"/>
                      <w:lang w:val="en-US" w:eastAsia="zh-CN" w:bidi="ar-SA"/>
                    </w:rPr>
                    <w:t>2</w:t>
                  </w:r>
                </w:p>
              </w:tc>
              <w:tc>
                <w:tcPr>
                  <w:tcW w:w="3914" w:type="dxa"/>
                  <w:noWrap w:val="0"/>
                  <w:vAlign w:val="center"/>
                </w:tcPr>
                <w:p w14:paraId="246028B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i w:val="0"/>
                      <w:iCs w:val="0"/>
                      <w:caps w:val="0"/>
                      <w:color w:val="00B050"/>
                      <w:spacing w:val="0"/>
                      <w:kern w:val="2"/>
                      <w:sz w:val="21"/>
                      <w:szCs w:val="21"/>
                      <w:shd w:val="clear" w:color="auto" w:fill="FFFFFF"/>
                      <w:lang w:val="en-US" w:eastAsia="zh-CN" w:bidi="ar-SA"/>
                    </w:rPr>
                  </w:pPr>
                  <w:r>
                    <w:rPr>
                      <w:rFonts w:hint="eastAsia" w:ascii="Times New Roman" w:hAnsi="Times New Roman" w:eastAsia="宋体" w:cs="Times New Roman"/>
                      <w:i w:val="0"/>
                      <w:iCs w:val="0"/>
                      <w:caps w:val="0"/>
                      <w:color w:val="00B050"/>
                      <w:spacing w:val="0"/>
                      <w:kern w:val="2"/>
                      <w:sz w:val="21"/>
                      <w:szCs w:val="21"/>
                      <w:shd w:val="clear" w:color="auto" w:fill="FFFFFF"/>
                      <w:lang w:val="en-US" w:eastAsia="zh-CN" w:bidi="ar-SA"/>
                    </w:rPr>
                    <w:t>第二十条 城市人民政府可以划定并公布高污染燃料禁燃区，并根据大气环境质量改善要求，逐步扩大高污染燃料禁燃区范围。</w:t>
                  </w:r>
                </w:p>
                <w:p w14:paraId="596C4A5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i w:val="0"/>
                      <w:iCs w:val="0"/>
                      <w:caps w:val="0"/>
                      <w:color w:val="00B050"/>
                      <w:spacing w:val="0"/>
                      <w:kern w:val="2"/>
                      <w:sz w:val="21"/>
                      <w:szCs w:val="21"/>
                      <w:shd w:val="clear" w:color="auto" w:fill="FFFFFF"/>
                      <w:lang w:val="en-US" w:eastAsia="zh-CN" w:bidi="ar-SA"/>
                    </w:rPr>
                  </w:pPr>
                  <w:r>
                    <w:rPr>
                      <w:rFonts w:hint="eastAsia" w:ascii="Times New Roman" w:hAnsi="Times New Roman" w:eastAsia="宋体" w:cs="Times New Roman"/>
                      <w:i w:val="0"/>
                      <w:iCs w:val="0"/>
                      <w:caps w:val="0"/>
                      <w:color w:val="00B050"/>
                      <w:spacing w:val="0"/>
                      <w:kern w:val="2"/>
                      <w:sz w:val="21"/>
                      <w:szCs w:val="21"/>
                      <w:shd w:val="clear" w:color="auto" w:fill="FFFFFF"/>
                      <w:lang w:val="en-US" w:eastAsia="zh-CN" w:bidi="ar-SA"/>
                    </w:rPr>
                    <w:t>在禁燃区内，禁止销售、燃用高污染燃料；禁止新建、扩建燃用高污染燃料的设施，已建成的，应当在城市人民政府规定的期限内改用天然气、液化石油气、电或者其他清洁能源。</w:t>
                  </w:r>
                </w:p>
              </w:tc>
              <w:tc>
                <w:tcPr>
                  <w:tcW w:w="2679" w:type="dxa"/>
                  <w:noWrap w:val="0"/>
                  <w:vAlign w:val="center"/>
                </w:tcPr>
                <w:p w14:paraId="7C65008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i w:val="0"/>
                      <w:iCs w:val="0"/>
                      <w:caps w:val="0"/>
                      <w:color w:val="00B050"/>
                      <w:spacing w:val="0"/>
                      <w:kern w:val="2"/>
                      <w:sz w:val="21"/>
                      <w:szCs w:val="21"/>
                      <w:shd w:val="clear" w:color="auto" w:fill="FFFFFF"/>
                      <w:lang w:val="en-US" w:eastAsia="zh-CN" w:bidi="ar-SA"/>
                    </w:rPr>
                  </w:pPr>
                  <w:r>
                    <w:rPr>
                      <w:rFonts w:hint="eastAsia" w:ascii="Times New Roman" w:hAnsi="Times New Roman" w:eastAsia="宋体" w:cs="Times New Roman"/>
                      <w:i w:val="0"/>
                      <w:iCs w:val="0"/>
                      <w:caps w:val="0"/>
                      <w:color w:val="00B050"/>
                      <w:spacing w:val="0"/>
                      <w:kern w:val="2"/>
                      <w:sz w:val="21"/>
                      <w:szCs w:val="21"/>
                      <w:shd w:val="clear" w:color="auto" w:fill="FFFFFF"/>
                      <w:lang w:val="en-US" w:eastAsia="zh-CN" w:bidi="ar-SA"/>
                    </w:rPr>
                    <w:t>项目烘干使用生物质燃料，无燃煤使用</w:t>
                  </w:r>
                  <w:r>
                    <w:rPr>
                      <w:rFonts w:hint="eastAsia" w:cs="Times New Roman"/>
                      <w:i w:val="0"/>
                      <w:iCs w:val="0"/>
                      <w:caps w:val="0"/>
                      <w:color w:val="00B050"/>
                      <w:spacing w:val="0"/>
                      <w:kern w:val="2"/>
                      <w:sz w:val="21"/>
                      <w:szCs w:val="21"/>
                      <w:shd w:val="clear" w:color="auto" w:fill="FFFFFF"/>
                      <w:lang w:val="en-US" w:eastAsia="zh-CN" w:bidi="ar-SA"/>
                    </w:rPr>
                    <w:t>，不属于高污染燃料</w:t>
                  </w:r>
                  <w:r>
                    <w:rPr>
                      <w:rFonts w:hint="eastAsia" w:ascii="Times New Roman" w:hAnsi="Times New Roman" w:eastAsia="宋体" w:cs="Times New Roman"/>
                      <w:i w:val="0"/>
                      <w:iCs w:val="0"/>
                      <w:caps w:val="0"/>
                      <w:color w:val="00B050"/>
                      <w:spacing w:val="0"/>
                      <w:kern w:val="2"/>
                      <w:sz w:val="21"/>
                      <w:szCs w:val="21"/>
                      <w:shd w:val="clear" w:color="auto" w:fill="FFFFFF"/>
                      <w:lang w:val="en-US" w:eastAsia="zh-CN" w:bidi="ar-SA"/>
                    </w:rPr>
                    <w:t>。</w:t>
                  </w:r>
                </w:p>
              </w:tc>
              <w:tc>
                <w:tcPr>
                  <w:tcW w:w="830" w:type="dxa"/>
                  <w:noWrap w:val="0"/>
                  <w:vAlign w:val="center"/>
                </w:tcPr>
                <w:p w14:paraId="3ED87A04">
                  <w:pPr>
                    <w:keepNext w:val="0"/>
                    <w:keepLines w:val="0"/>
                    <w:widowControl w:val="0"/>
                    <w:suppressLineNumbers w:val="0"/>
                    <w:spacing w:before="0" w:beforeAutospacing="0" w:after="0" w:afterAutospacing="0"/>
                    <w:ind w:left="0" w:right="0" w:firstLine="0" w:firstLineChars="0"/>
                    <w:jc w:val="center"/>
                    <w:rPr>
                      <w:rFonts w:hint="eastAsia" w:ascii="Times New Roman" w:hAnsi="Times New Roman" w:eastAsia="宋体" w:cs="Times New Roman"/>
                      <w:color w:val="00B050"/>
                      <w:kern w:val="2"/>
                      <w:sz w:val="21"/>
                      <w:szCs w:val="21"/>
                      <w:lang w:val="en-US" w:eastAsia="zh-CN" w:bidi="ar-SA"/>
                    </w:rPr>
                  </w:pPr>
                  <w:r>
                    <w:rPr>
                      <w:rFonts w:hint="eastAsia" w:ascii="Times New Roman" w:hAnsi="Times New Roman" w:eastAsia="宋体" w:cs="Times New Roman"/>
                      <w:color w:val="00B050"/>
                      <w:kern w:val="2"/>
                      <w:sz w:val="21"/>
                      <w:szCs w:val="21"/>
                      <w:lang w:val="en-US" w:eastAsia="zh-CN" w:bidi="ar-SA"/>
                    </w:rPr>
                    <w:t>符合</w:t>
                  </w:r>
                </w:p>
              </w:tc>
            </w:tr>
          </w:tbl>
          <w:p w14:paraId="4E91B7CC">
            <w:pPr>
              <w:keepNext w:val="0"/>
              <w:keepLines w:val="0"/>
              <w:widowControl w:val="0"/>
              <w:suppressLineNumbers w:val="0"/>
              <w:bidi w:val="0"/>
              <w:spacing w:before="0" w:beforeAutospacing="0" w:after="0" w:afterAutospacing="0" w:line="360" w:lineRule="auto"/>
              <w:ind w:left="0" w:leftChars="0" w:right="0" w:firstLine="0" w:firstLineChars="0"/>
              <w:jc w:val="both"/>
              <w:rPr>
                <w:rFonts w:hint="eastAsia" w:ascii="Times New Roman" w:hAnsi="Times New Roman" w:eastAsia="宋体" w:cs="Times New Roman"/>
                <w:b/>
                <w:bCs/>
                <w:color w:val="00B050"/>
                <w:kern w:val="2"/>
                <w:sz w:val="21"/>
                <w:szCs w:val="21"/>
                <w:lang w:val="en-US" w:eastAsia="zh-CN" w:bidi="ar-SA"/>
              </w:rPr>
            </w:pPr>
            <w:r>
              <w:rPr>
                <w:rFonts w:hint="eastAsia" w:ascii="Times New Roman" w:hAnsi="Times New Roman" w:eastAsia="宋体" w:cs="Times New Roman"/>
                <w:b/>
                <w:bCs/>
                <w:color w:val="00B050"/>
                <w:kern w:val="2"/>
                <w:sz w:val="21"/>
                <w:szCs w:val="21"/>
                <w:lang w:val="en-US" w:eastAsia="zh-CN" w:bidi="ar-SA"/>
              </w:rPr>
              <w:t>9、与《云南省关于深入打好污染防治攻坚战实施意见》符合性分析</w:t>
            </w:r>
          </w:p>
          <w:p w14:paraId="3395DFE0">
            <w:pPr>
              <w:keepNext w:val="0"/>
              <w:keepLines w:val="0"/>
              <w:widowControl w:val="0"/>
              <w:suppressLineNumbers w:val="0"/>
              <w:bidi w:val="0"/>
              <w:spacing w:before="0" w:beforeAutospacing="0" w:after="0" w:afterAutospacing="0" w:line="360" w:lineRule="auto"/>
              <w:ind w:left="0" w:right="0" w:firstLine="420" w:firstLineChars="200"/>
              <w:jc w:val="both"/>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2022年7月27日云南省发布了《中共云南省委 云南省人民政府 关于深入打好污染防治攻坚战的实施意见》，</w:t>
            </w:r>
            <w:r>
              <w:rPr>
                <w:rFonts w:hint="eastAsia" w:ascii="Times New Roman" w:hAnsi="Times New Roman" w:eastAsia="宋体" w:cs="Times New Roman"/>
                <w:b w:val="0"/>
                <w:bCs w:val="0"/>
                <w:color w:val="000000"/>
                <w:kern w:val="2"/>
                <w:sz w:val="21"/>
                <w:szCs w:val="21"/>
                <w:lang w:val="en-US" w:eastAsia="zh-CN" w:bidi="ar-SA"/>
              </w:rPr>
              <w:t>本项目与其符合性分析见下表所示：</w:t>
            </w:r>
          </w:p>
          <w:p w14:paraId="4764E160">
            <w:pPr>
              <w:keepNext w:val="0"/>
              <w:keepLines w:val="0"/>
              <w:widowControl w:val="0"/>
              <w:suppressLineNumbers w:val="0"/>
              <w:bidi w:val="0"/>
              <w:spacing w:before="0" w:beforeAutospacing="0" w:after="0" w:afterAutospacing="0" w:line="360" w:lineRule="auto"/>
              <w:ind w:left="0" w:right="0" w:firstLine="422" w:firstLineChars="200"/>
              <w:jc w:val="center"/>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eastAsia="宋体" w:cs="Times New Roman"/>
                <w:b/>
                <w:bCs/>
                <w:color w:val="000000"/>
                <w:kern w:val="2"/>
                <w:sz w:val="21"/>
                <w:szCs w:val="21"/>
                <w:lang w:val="en-US" w:eastAsia="zh-CN" w:bidi="ar-SA"/>
              </w:rPr>
              <w:t>表1-</w:t>
            </w:r>
            <w:r>
              <w:rPr>
                <w:rFonts w:hint="eastAsia" w:ascii="Times New Roman" w:hAnsi="Times New Roman" w:eastAsia="宋体" w:cs="Times New Roman"/>
                <w:b/>
                <w:bCs/>
                <w:color w:val="000000"/>
                <w:kern w:val="2"/>
                <w:sz w:val="21"/>
                <w:szCs w:val="21"/>
                <w:lang w:val="en-US" w:eastAsia="zh-CN" w:bidi="ar-SA"/>
              </w:rPr>
              <w:t xml:space="preserve">10  </w:t>
            </w:r>
            <w:r>
              <w:rPr>
                <w:rFonts w:hint="default" w:ascii="Times New Roman" w:hAnsi="Times New Roman" w:eastAsia="宋体" w:cs="Times New Roman"/>
                <w:b/>
                <w:bCs/>
                <w:color w:val="000000"/>
                <w:kern w:val="2"/>
                <w:sz w:val="21"/>
                <w:szCs w:val="21"/>
                <w:lang w:val="en-US" w:eastAsia="zh-CN" w:bidi="ar-SA"/>
              </w:rPr>
              <w:t>项目与《</w:t>
            </w:r>
            <w:r>
              <w:rPr>
                <w:rFonts w:hint="eastAsia" w:ascii="Times New Roman" w:hAnsi="Times New Roman" w:eastAsia="宋体" w:cs="Times New Roman"/>
                <w:b/>
                <w:bCs/>
                <w:color w:val="000000"/>
                <w:kern w:val="2"/>
                <w:sz w:val="21"/>
                <w:szCs w:val="21"/>
                <w:lang w:val="en-US" w:eastAsia="zh-CN" w:bidi="ar-SA"/>
              </w:rPr>
              <w:t>关于深入打好污染防治攻坚战的实施意见</w:t>
            </w:r>
            <w:r>
              <w:rPr>
                <w:rFonts w:hint="default" w:ascii="Times New Roman" w:hAnsi="Times New Roman" w:eastAsia="宋体" w:cs="Times New Roman"/>
                <w:b/>
                <w:bCs/>
                <w:color w:val="000000"/>
                <w:kern w:val="2"/>
                <w:sz w:val="21"/>
                <w:szCs w:val="21"/>
                <w:lang w:val="en-US" w:eastAsia="zh-CN" w:bidi="ar-SA"/>
              </w:rPr>
              <w:t>》符合性分析表</w:t>
            </w:r>
          </w:p>
          <w:tbl>
            <w:tblPr>
              <w:tblStyle w:val="44"/>
              <w:tblW w:w="7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7"/>
              <w:gridCol w:w="3504"/>
              <w:gridCol w:w="697"/>
            </w:tblGrid>
            <w:tr w14:paraId="1FEF1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9" w:hRule="atLeast"/>
              </w:trPr>
              <w:tc>
                <w:tcPr>
                  <w:tcW w:w="3657" w:type="dxa"/>
                  <w:noWrap w:val="0"/>
                  <w:vAlign w:val="center"/>
                </w:tcPr>
                <w:p w14:paraId="0839D903">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2"/>
                      <w:sz w:val="21"/>
                      <w:szCs w:val="21"/>
                      <w:lang w:val="en-US" w:eastAsia="zh-CN" w:bidi="ar-SA"/>
                    </w:rPr>
                  </w:pPr>
                  <w:r>
                    <w:rPr>
                      <w:rFonts w:hint="eastAsia" w:ascii="Times New Roman" w:hAnsi="Times New Roman" w:eastAsia="宋体" w:cs="Times New Roman"/>
                      <w:b/>
                      <w:bCs/>
                      <w:color w:val="000000"/>
                      <w:kern w:val="2"/>
                      <w:sz w:val="21"/>
                      <w:szCs w:val="21"/>
                      <w:lang w:val="en-US" w:eastAsia="zh-CN" w:bidi="ar-SA"/>
                    </w:rPr>
                    <w:t>意见要求</w:t>
                  </w:r>
                </w:p>
              </w:tc>
              <w:tc>
                <w:tcPr>
                  <w:tcW w:w="3504" w:type="dxa"/>
                  <w:noWrap w:val="0"/>
                  <w:vAlign w:val="center"/>
                </w:tcPr>
                <w:p w14:paraId="4409938F">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2"/>
                      <w:sz w:val="21"/>
                      <w:szCs w:val="21"/>
                      <w:lang w:val="en-US" w:eastAsia="zh-CN" w:bidi="ar-SA"/>
                    </w:rPr>
                  </w:pPr>
                  <w:r>
                    <w:rPr>
                      <w:rFonts w:hint="eastAsia" w:ascii="Times New Roman" w:hAnsi="Times New Roman" w:eastAsia="宋体" w:cs="Times New Roman"/>
                      <w:b/>
                      <w:bCs/>
                      <w:color w:val="000000"/>
                      <w:kern w:val="2"/>
                      <w:sz w:val="21"/>
                      <w:szCs w:val="21"/>
                      <w:lang w:val="en-US" w:eastAsia="zh-CN" w:bidi="ar-SA"/>
                    </w:rPr>
                    <w:t>项目情况</w:t>
                  </w:r>
                </w:p>
              </w:tc>
              <w:tc>
                <w:tcPr>
                  <w:tcW w:w="697" w:type="dxa"/>
                  <w:noWrap w:val="0"/>
                  <w:vAlign w:val="center"/>
                </w:tcPr>
                <w:p w14:paraId="3AE4BBF8">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2"/>
                      <w:sz w:val="21"/>
                      <w:szCs w:val="21"/>
                      <w:lang w:val="en-US" w:eastAsia="zh-CN" w:bidi="ar-SA"/>
                    </w:rPr>
                  </w:pPr>
                  <w:r>
                    <w:rPr>
                      <w:rFonts w:hint="eastAsia" w:ascii="Times New Roman" w:hAnsi="Times New Roman" w:eastAsia="宋体" w:cs="Times New Roman"/>
                      <w:b/>
                      <w:bCs/>
                      <w:color w:val="000000"/>
                      <w:kern w:val="2"/>
                      <w:sz w:val="21"/>
                      <w:szCs w:val="21"/>
                      <w:lang w:val="en-US" w:eastAsia="zh-CN" w:bidi="ar-SA"/>
                    </w:rPr>
                    <w:t>符合性</w:t>
                  </w:r>
                </w:p>
              </w:tc>
            </w:tr>
            <w:tr w14:paraId="04AAB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4" w:hRule="atLeast"/>
              </w:trPr>
              <w:tc>
                <w:tcPr>
                  <w:tcW w:w="3657" w:type="dxa"/>
                  <w:noWrap w:val="0"/>
                  <w:vAlign w:val="center"/>
                </w:tcPr>
                <w:p w14:paraId="4B22FC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w:t>
                  </w:r>
                  <w:r>
                    <w:rPr>
                      <w:rFonts w:hint="eastAsia" w:cs="Times New Roman"/>
                      <w:color w:val="000000"/>
                      <w:kern w:val="2"/>
                      <w:sz w:val="21"/>
                      <w:szCs w:val="21"/>
                      <w:lang w:val="en-US" w:eastAsia="zh-CN" w:bidi="ar-SA"/>
                    </w:rPr>
                    <w:t>一</w:t>
                  </w:r>
                  <w:r>
                    <w:rPr>
                      <w:rFonts w:hint="default" w:ascii="Times New Roman" w:hAnsi="Times New Roman" w:eastAsia="宋体" w:cs="Times New Roman"/>
                      <w:color w:val="000000"/>
                      <w:kern w:val="2"/>
                      <w:sz w:val="21"/>
                      <w:szCs w:val="21"/>
                      <w:lang w:val="en-US" w:eastAsia="zh-CN" w:bidi="ar-SA"/>
                    </w:rPr>
                    <w:t>）深入打好建筑施工工地扬尘污染治理攻坚战。全面推行绿色施工，落实施工期采取扬尘治理方案，推动扬尘精细化管控。加强建筑渣土运输管理，严格落实密闭运输措施。强化施工、道路、堆场、裸露地面等扬尘管控。</w:t>
                  </w:r>
                </w:p>
              </w:tc>
              <w:tc>
                <w:tcPr>
                  <w:tcW w:w="3504" w:type="dxa"/>
                  <w:noWrap w:val="0"/>
                  <w:vAlign w:val="center"/>
                </w:tcPr>
                <w:p w14:paraId="5497D1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B050"/>
                      <w:kern w:val="2"/>
                      <w:sz w:val="21"/>
                      <w:szCs w:val="21"/>
                      <w:lang w:val="en-US" w:eastAsia="zh-CN" w:bidi="ar-SA"/>
                    </w:rPr>
                    <w:t>本项目施工期采取扬尘治理方案；施工期产生的</w:t>
                  </w:r>
                  <w:r>
                    <w:rPr>
                      <w:rFonts w:hint="eastAsia" w:ascii="Times New Roman" w:hAnsi="Times New Roman" w:eastAsia="宋体" w:cs="Times New Roman"/>
                      <w:color w:val="00B050"/>
                      <w:kern w:val="2"/>
                      <w:sz w:val="21"/>
                      <w:szCs w:val="24"/>
                      <w:lang w:val="en-US" w:eastAsia="zh-CN" w:bidi="ar-SA"/>
                    </w:rPr>
                    <w:t>生活垃圾统一收集后，交园区环卫部门运走处理；建筑残土运到有关部门指定地点进行处理；对砖块瓦砾等废物，可采用一般堆放方法处理，对可再利用的废料，应进行回收利用，运输过程车厢设置覆盖设施，严禁随意倾弃。</w:t>
                  </w:r>
                </w:p>
              </w:tc>
              <w:tc>
                <w:tcPr>
                  <w:tcW w:w="697" w:type="dxa"/>
                  <w:noWrap w:val="0"/>
                  <w:vAlign w:val="center"/>
                </w:tcPr>
                <w:p w14:paraId="2D1BB245">
                  <w:pPr>
                    <w:keepNext w:val="0"/>
                    <w:keepLines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符合</w:t>
                  </w:r>
                </w:p>
              </w:tc>
            </w:tr>
            <w:tr w14:paraId="7C75D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4" w:hRule="atLeast"/>
              </w:trPr>
              <w:tc>
                <w:tcPr>
                  <w:tcW w:w="3657" w:type="dxa"/>
                  <w:noWrap w:val="0"/>
                  <w:vAlign w:val="center"/>
                </w:tcPr>
                <w:p w14:paraId="0962E5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二）深入打好“湖泊革命”攻坚战。以革命性措施抓好九大高原湖泊保护治理，坚持“退、减、调、治、管”多措并举。强化流域空间管控和生态减负，引导人口和产业有序退出。转变农业生产方式，严控农业面源污染。系统推进流域环湖截污治污，加强湖泊内源污染风险防范。</w:t>
                  </w:r>
                </w:p>
              </w:tc>
              <w:tc>
                <w:tcPr>
                  <w:tcW w:w="3504" w:type="dxa"/>
                  <w:noWrap w:val="0"/>
                  <w:vAlign w:val="center"/>
                </w:tcPr>
                <w:p w14:paraId="09A1FC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B050"/>
                      <w:kern w:val="2"/>
                      <w:sz w:val="21"/>
                      <w:szCs w:val="21"/>
                      <w:lang w:val="en-US" w:eastAsia="zh-CN" w:bidi="ar-SA"/>
                    </w:rPr>
                    <w:t>本项目</w:t>
                  </w:r>
                  <w:r>
                    <w:rPr>
                      <w:rFonts w:hint="eastAsia" w:cs="Times New Roman"/>
                      <w:color w:val="00B050"/>
                      <w:kern w:val="2"/>
                      <w:sz w:val="21"/>
                      <w:szCs w:val="21"/>
                      <w:lang w:val="en-US" w:eastAsia="zh-CN" w:bidi="ar-SA"/>
                    </w:rPr>
                    <w:t>不属于杞麓湖径流区，项目产生的生活污水接入园区污水管网进入污水处理厂处理，生产废水全部回用，不直接外排，对九大高原湖泊的影响不大</w:t>
                  </w:r>
                  <w:r>
                    <w:rPr>
                      <w:rFonts w:hint="eastAsia" w:ascii="Times New Roman" w:hAnsi="Times New Roman" w:eastAsia="宋体" w:cs="Times New Roman"/>
                      <w:color w:val="00B050"/>
                      <w:kern w:val="2"/>
                      <w:sz w:val="21"/>
                      <w:szCs w:val="21"/>
                      <w:lang w:val="en-US" w:eastAsia="zh-CN" w:bidi="ar-SA"/>
                    </w:rPr>
                    <w:t>。</w:t>
                  </w:r>
                </w:p>
              </w:tc>
              <w:tc>
                <w:tcPr>
                  <w:tcW w:w="697" w:type="dxa"/>
                  <w:noWrap w:val="0"/>
                  <w:vAlign w:val="center"/>
                </w:tcPr>
                <w:p w14:paraId="4D71DE66">
                  <w:pPr>
                    <w:keepNext w:val="0"/>
                    <w:keepLines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符合</w:t>
                  </w:r>
                </w:p>
              </w:tc>
            </w:tr>
          </w:tbl>
          <w:p w14:paraId="585CF0BD">
            <w:pPr>
              <w:keepNext w:val="0"/>
              <w:keepLines w:val="0"/>
              <w:widowControl w:val="0"/>
              <w:suppressLineNumbers w:val="0"/>
              <w:bidi w:val="0"/>
              <w:spacing w:before="0" w:beforeAutospacing="0" w:after="0" w:afterAutospacing="0" w:line="360" w:lineRule="auto"/>
              <w:ind w:left="0" w:leftChars="0" w:right="0" w:firstLine="0" w:firstLineChars="0"/>
              <w:jc w:val="both"/>
              <w:rPr>
                <w:rFonts w:hint="eastAsia" w:ascii="Times New Roman" w:hAnsi="Times New Roman" w:eastAsia="宋体" w:cs="Times New Roman"/>
                <w:b/>
                <w:bCs/>
                <w:color w:val="00B050"/>
                <w:kern w:val="2"/>
                <w:sz w:val="21"/>
                <w:szCs w:val="21"/>
                <w:lang w:val="en-US" w:eastAsia="zh-CN" w:bidi="ar-SA"/>
              </w:rPr>
            </w:pPr>
            <w:r>
              <w:rPr>
                <w:rFonts w:hint="eastAsia" w:ascii="Times New Roman" w:hAnsi="Times New Roman" w:eastAsia="宋体" w:cs="Times New Roman"/>
                <w:b/>
                <w:bCs/>
                <w:color w:val="00B050"/>
                <w:kern w:val="2"/>
                <w:sz w:val="21"/>
                <w:szCs w:val="21"/>
                <w:lang w:val="en-US" w:eastAsia="zh-CN" w:bidi="ar-SA"/>
              </w:rPr>
              <w:t>10、与《工业炉窑大气污染综合治理方案》符合性分析</w:t>
            </w:r>
          </w:p>
          <w:p w14:paraId="3029B7EF">
            <w:pPr>
              <w:keepNext w:val="0"/>
              <w:keepLines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z w:val="21"/>
                <w:szCs w:val="21"/>
                <w:lang w:val="en-US" w:eastAsia="zh-CN"/>
              </w:rPr>
              <w:t>根据2019年7月1日生态环境部、发展改革委、工业和信息化部、财政部联合发布的《关于印发&lt;工业炉窑大气污染综合治理方案&gt;的通知》（环大气〔2019〕56号），摘选部分与本项目相关内容，与其符合性分析见下表所示。</w:t>
            </w:r>
          </w:p>
          <w:p w14:paraId="05A417AC">
            <w:pPr>
              <w:keepNext w:val="0"/>
              <w:keepLines w:val="0"/>
              <w:widowControl w:val="0"/>
              <w:suppressLineNumbers w:val="0"/>
              <w:bidi w:val="0"/>
              <w:spacing w:before="0" w:beforeAutospacing="0" w:after="0" w:afterAutospacing="0" w:line="360" w:lineRule="auto"/>
              <w:ind w:left="0" w:right="0" w:firstLine="422" w:firstLineChars="200"/>
              <w:jc w:val="center"/>
              <w:rPr>
                <w:rFonts w:hint="default" w:ascii="Times New Roman" w:hAnsi="Times New Roman" w:eastAsia="宋体" w:cs="Times New Roman"/>
                <w:b/>
                <w:bCs/>
                <w:color w:val="000000" w:themeColor="text1"/>
                <w:kern w:val="2"/>
                <w:sz w:val="21"/>
                <w:szCs w:val="21"/>
                <w:lang w:val="en-US" w:eastAsia="zh-CN" w:bidi="ar-SA"/>
              </w:rPr>
            </w:pPr>
            <w:r>
              <w:rPr>
                <w:rFonts w:hint="eastAsia" w:ascii="Times New Roman" w:hAnsi="Times New Roman" w:eastAsia="宋体" w:cs="Times New Roman"/>
                <w:b/>
                <w:bCs/>
                <w:color w:val="000000" w:themeColor="text1"/>
                <w:kern w:val="2"/>
                <w:sz w:val="21"/>
                <w:szCs w:val="21"/>
                <w:lang w:val="en-US" w:eastAsia="zh-CN" w:bidi="ar-SA"/>
              </w:rPr>
              <w:t>表1-11  本项目与《工业炉窑大气污染综合治理方案》符合性分析（摘抄）</w:t>
            </w:r>
          </w:p>
          <w:tbl>
            <w:tblPr>
              <w:tblStyle w:val="43"/>
              <w:tblW w:w="7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5"/>
              <w:gridCol w:w="2652"/>
              <w:gridCol w:w="822"/>
            </w:tblGrid>
            <w:tr w14:paraId="2C459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65" w:type="dxa"/>
                  <w:noWrap w:val="0"/>
                  <w:vAlign w:val="center"/>
                </w:tcPr>
                <w:p w14:paraId="54C6155A">
                  <w:pPr>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b/>
                      <w:bCs/>
                      <w:color w:val="000000" w:themeColor="text1"/>
                      <w:kern w:val="2"/>
                      <w:sz w:val="21"/>
                      <w:szCs w:val="21"/>
                      <w:lang w:val="en-US" w:eastAsia="zh-CN" w:bidi="ar-SA"/>
                    </w:rPr>
                  </w:pPr>
                  <w:r>
                    <w:rPr>
                      <w:rFonts w:hint="eastAsia" w:ascii="Times New Roman" w:hAnsi="Times New Roman" w:eastAsia="宋体" w:cs="Times New Roman"/>
                      <w:b/>
                      <w:bCs/>
                      <w:color w:val="000000" w:themeColor="text1"/>
                      <w:kern w:val="2"/>
                      <w:sz w:val="21"/>
                      <w:szCs w:val="21"/>
                      <w:lang w:val="en-US" w:eastAsia="zh-CN" w:bidi="ar-SA"/>
                    </w:rPr>
                    <w:t>方案要求</w:t>
                  </w:r>
                </w:p>
              </w:tc>
              <w:tc>
                <w:tcPr>
                  <w:tcW w:w="2652" w:type="dxa"/>
                  <w:noWrap w:val="0"/>
                  <w:vAlign w:val="center"/>
                </w:tcPr>
                <w:p w14:paraId="6C6712F7">
                  <w:pPr>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b/>
                      <w:bCs/>
                      <w:color w:val="000000" w:themeColor="text1"/>
                      <w:kern w:val="2"/>
                      <w:sz w:val="21"/>
                      <w:szCs w:val="21"/>
                      <w:lang w:val="en-US" w:eastAsia="zh-CN" w:bidi="ar-SA"/>
                    </w:rPr>
                  </w:pPr>
                  <w:r>
                    <w:rPr>
                      <w:rFonts w:hint="eastAsia" w:ascii="Times New Roman" w:hAnsi="Times New Roman" w:eastAsia="宋体" w:cs="Times New Roman"/>
                      <w:b/>
                      <w:bCs/>
                      <w:color w:val="000000" w:themeColor="text1"/>
                      <w:kern w:val="2"/>
                      <w:sz w:val="21"/>
                      <w:szCs w:val="21"/>
                      <w:lang w:val="en-US" w:eastAsia="zh-CN" w:bidi="ar-SA"/>
                    </w:rPr>
                    <w:t>本项目情况</w:t>
                  </w:r>
                </w:p>
              </w:tc>
              <w:tc>
                <w:tcPr>
                  <w:tcW w:w="822" w:type="dxa"/>
                  <w:noWrap w:val="0"/>
                  <w:vAlign w:val="center"/>
                </w:tcPr>
                <w:p w14:paraId="48DE6861">
                  <w:pPr>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b/>
                      <w:bCs/>
                      <w:color w:val="000000" w:themeColor="text1"/>
                      <w:kern w:val="2"/>
                      <w:sz w:val="21"/>
                      <w:szCs w:val="21"/>
                      <w:lang w:val="en-US" w:eastAsia="zh-CN" w:bidi="ar-SA"/>
                    </w:rPr>
                  </w:pPr>
                  <w:r>
                    <w:rPr>
                      <w:rFonts w:hint="default" w:ascii="Times New Roman" w:hAnsi="Times New Roman" w:eastAsia="宋体" w:cs="Times New Roman"/>
                      <w:b/>
                      <w:bCs/>
                      <w:color w:val="000000" w:themeColor="text1"/>
                      <w:kern w:val="2"/>
                      <w:sz w:val="21"/>
                      <w:szCs w:val="21"/>
                      <w:lang w:val="en-US" w:eastAsia="zh-CN" w:bidi="ar-SA"/>
                    </w:rPr>
                    <w:t>符合性</w:t>
                  </w:r>
                </w:p>
              </w:tc>
            </w:tr>
            <w:tr w14:paraId="570AF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65" w:type="dxa"/>
                  <w:noWrap w:val="0"/>
                  <w:vAlign w:val="center"/>
                </w:tcPr>
                <w:p w14:paraId="2CC20D0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i w:val="0"/>
                      <w:iCs w:val="0"/>
                      <w:caps w:val="0"/>
                      <w:color w:val="000000" w:themeColor="text1"/>
                      <w:spacing w:val="0"/>
                      <w:kern w:val="2"/>
                      <w:sz w:val="21"/>
                      <w:szCs w:val="21"/>
                      <w:shd w:val="clear" w:fill="FFFFFF"/>
                      <w:lang w:val="en-US" w:eastAsia="zh-CN" w:bidi="ar-SA"/>
                    </w:rPr>
                  </w:pPr>
                  <w:r>
                    <w:rPr>
                      <w:rFonts w:hint="eastAsia" w:ascii="Times New Roman" w:hAnsi="Times New Roman" w:eastAsia="宋体" w:cs="Times New Roman"/>
                      <w:i w:val="0"/>
                      <w:iCs w:val="0"/>
                      <w:caps w:val="0"/>
                      <w:color w:val="000000" w:themeColor="text1"/>
                      <w:spacing w:val="0"/>
                      <w:kern w:val="2"/>
                      <w:sz w:val="21"/>
                      <w:szCs w:val="21"/>
                      <w:shd w:val="clear" w:fill="FFFFFF"/>
                      <w:lang w:val="en-US" w:eastAsia="zh-CN" w:bidi="ar-SA"/>
                    </w:rPr>
                    <w:t>（一）加大产业结构调整力度。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w:t>
                  </w:r>
                </w:p>
                <w:p w14:paraId="5FE4BB8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i w:val="0"/>
                      <w:iCs w:val="0"/>
                      <w:caps w:val="0"/>
                      <w:color w:val="000000" w:themeColor="text1"/>
                      <w:spacing w:val="0"/>
                      <w:kern w:val="2"/>
                      <w:sz w:val="21"/>
                      <w:szCs w:val="21"/>
                      <w:shd w:val="clear" w:fill="FFFFFF"/>
                      <w:lang w:val="en-US" w:eastAsia="zh-CN" w:bidi="ar-SA"/>
                    </w:rPr>
                  </w:pPr>
                  <w:r>
                    <w:rPr>
                      <w:rFonts w:hint="eastAsia" w:ascii="Times New Roman" w:hAnsi="Times New Roman" w:eastAsia="宋体" w:cs="Times New Roman"/>
                      <w:i w:val="0"/>
                      <w:iCs w:val="0"/>
                      <w:caps w:val="0"/>
                      <w:color w:val="000000" w:themeColor="text1"/>
                      <w:spacing w:val="0"/>
                      <w:kern w:val="2"/>
                      <w:sz w:val="21"/>
                      <w:szCs w:val="21"/>
                      <w:shd w:val="clear" w:fill="FFFFFF"/>
                      <w:lang w:val="en-US" w:eastAsia="zh-CN" w:bidi="ar-SA"/>
                    </w:rPr>
                    <w:t>加大落后产能和不达标工业炉窑淘汰力度。分行业清理《产业结构调整指导目录》淘汰类工业炉窑。天津、河北、山西、江苏、山东等地要按时完成各地已出台的钢铁、焦化、化工等行业产业结构调整任务。鼓励各地制定更加严格的环保标准，进一步促进产业结构调整。对热效率低下、敞开未封闭，装备简易落后、自动化程度低，无组织排放突出，以及无治理设施或治理设施工艺落后等严重污染环境的工业炉窑，依法责令停业关闭。</w:t>
                  </w:r>
                </w:p>
              </w:tc>
              <w:tc>
                <w:tcPr>
                  <w:tcW w:w="2652" w:type="dxa"/>
                  <w:noWrap w:val="0"/>
                  <w:vAlign w:val="center"/>
                </w:tcPr>
                <w:p w14:paraId="1E52990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i w:val="0"/>
                      <w:iCs w:val="0"/>
                      <w:caps w:val="0"/>
                      <w:color w:val="00B050"/>
                      <w:spacing w:val="0"/>
                      <w:kern w:val="2"/>
                      <w:sz w:val="21"/>
                      <w:szCs w:val="21"/>
                      <w:shd w:val="clear" w:fill="FFFFFF"/>
                      <w:lang w:val="en-US" w:eastAsia="zh-CN" w:bidi="ar-SA"/>
                    </w:rPr>
                  </w:pPr>
                  <w:r>
                    <w:rPr>
                      <w:rFonts w:hint="eastAsia" w:ascii="Times New Roman" w:hAnsi="Times New Roman" w:eastAsia="宋体" w:cs="Times New Roman"/>
                      <w:i w:val="0"/>
                      <w:iCs w:val="0"/>
                      <w:caps w:val="0"/>
                      <w:color w:val="00B050"/>
                      <w:spacing w:val="0"/>
                      <w:kern w:val="2"/>
                      <w:sz w:val="21"/>
                      <w:szCs w:val="21"/>
                      <w:shd w:val="clear" w:fill="FFFFFF"/>
                      <w:lang w:val="en-US" w:eastAsia="zh-CN" w:bidi="ar-SA"/>
                    </w:rPr>
                    <w:t>对照《产业结构调整指导目录(2024年本)》本项目属于“允许类”，不属于淘汰类工业炉窑。位于通海五金产业园区里山片区，烘干采用生物质颗粒，产生的废气采用“重力沉降+布袋除尘+水膜除尘设施”（TA001）处理后达标排放，不涉及煤气发生器，不属于重点区域。</w:t>
                  </w:r>
                </w:p>
              </w:tc>
              <w:tc>
                <w:tcPr>
                  <w:tcW w:w="822" w:type="dxa"/>
                  <w:noWrap w:val="0"/>
                  <w:vAlign w:val="center"/>
                </w:tcPr>
                <w:p w14:paraId="4F4322CC">
                  <w:pPr>
                    <w:keepNext w:val="0"/>
                    <w:keepLines w:val="0"/>
                    <w:widowControl w:val="0"/>
                    <w:suppressLineNumbers w:val="0"/>
                    <w:spacing w:before="0" w:beforeAutospacing="0" w:after="0" w:afterAutospacing="0"/>
                    <w:ind w:left="0" w:right="0" w:firstLine="0" w:firstLineChars="0"/>
                    <w:jc w:val="center"/>
                    <w:rPr>
                      <w:rFonts w:hint="eastAsia"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kern w:val="2"/>
                      <w:sz w:val="21"/>
                      <w:szCs w:val="21"/>
                      <w:lang w:val="en-US" w:eastAsia="zh-CN" w:bidi="ar-SA"/>
                    </w:rPr>
                    <w:t>符合</w:t>
                  </w:r>
                </w:p>
              </w:tc>
            </w:tr>
            <w:tr w14:paraId="5FAD7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65" w:type="dxa"/>
                  <w:noWrap w:val="0"/>
                  <w:vAlign w:val="center"/>
                </w:tcPr>
                <w:p w14:paraId="2F448EC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i w:val="0"/>
                      <w:iCs w:val="0"/>
                      <w:caps w:val="0"/>
                      <w:color w:val="000000" w:themeColor="text1"/>
                      <w:spacing w:val="0"/>
                      <w:kern w:val="2"/>
                      <w:sz w:val="21"/>
                      <w:szCs w:val="21"/>
                      <w:shd w:val="clear" w:fill="FFFFFF"/>
                      <w:lang w:val="en-US" w:eastAsia="zh-CN" w:bidi="ar-SA"/>
                    </w:rPr>
                  </w:pPr>
                  <w:r>
                    <w:rPr>
                      <w:rFonts w:hint="eastAsia" w:ascii="Times New Roman" w:hAnsi="Times New Roman" w:eastAsia="宋体" w:cs="Times New Roman"/>
                      <w:i w:val="0"/>
                      <w:iCs w:val="0"/>
                      <w:caps w:val="0"/>
                      <w:color w:val="000000" w:themeColor="text1"/>
                      <w:spacing w:val="0"/>
                      <w:kern w:val="2"/>
                      <w:sz w:val="21"/>
                      <w:szCs w:val="21"/>
                      <w:shd w:val="clear" w:fill="FFFFFF"/>
                      <w:lang w:val="en-US" w:eastAsia="zh-CN" w:bidi="ar-SA"/>
                    </w:rPr>
                    <w:t>（二）加快燃料清洁低碳化替代。对以煤、石油焦、渣油、重油等为燃料的工业炉窑，加快使用清洁低碳能源以及利用工厂余热、电厂热力等进行替代。重点区域禁止掺烧高硫石油焦（硫含量大于3%）。玻璃行业全面禁止掺烧高硫石油焦。</w:t>
                  </w:r>
                </w:p>
                <w:p w14:paraId="5840296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i w:val="0"/>
                      <w:iCs w:val="0"/>
                      <w:caps w:val="0"/>
                      <w:color w:val="000000" w:themeColor="text1"/>
                      <w:spacing w:val="0"/>
                      <w:kern w:val="2"/>
                      <w:sz w:val="21"/>
                      <w:szCs w:val="21"/>
                      <w:shd w:val="clear" w:fill="FFFFFF"/>
                      <w:lang w:val="en-US" w:eastAsia="zh-CN" w:bidi="ar-SA"/>
                    </w:rPr>
                  </w:pPr>
                  <w:r>
                    <w:rPr>
                      <w:rFonts w:hint="eastAsia" w:ascii="Times New Roman" w:hAnsi="Times New Roman" w:eastAsia="宋体" w:cs="Times New Roman"/>
                      <w:i w:val="0"/>
                      <w:iCs w:val="0"/>
                      <w:caps w:val="0"/>
                      <w:color w:val="000000" w:themeColor="text1"/>
                      <w:spacing w:val="0"/>
                      <w:kern w:val="2"/>
                      <w:sz w:val="21"/>
                      <w:szCs w:val="21"/>
                      <w:shd w:val="clear" w:fill="FFFFFF"/>
                      <w:lang w:val="en-US" w:eastAsia="zh-CN" w:bidi="ar-SA"/>
                    </w:rPr>
                    <w:t>加快淘汰燃煤工业炉窑。重点区域取缔燃煤热风炉，基本淘汰热电联产供热管网覆盖范围内的燃煤加热、烘干炉（窑）。加快推动铸造（10吨/小时及以下）、岩棉等行业冲天炉改为电炉。</w:t>
                  </w:r>
                </w:p>
              </w:tc>
              <w:tc>
                <w:tcPr>
                  <w:tcW w:w="2652" w:type="dxa"/>
                  <w:noWrap w:val="0"/>
                  <w:vAlign w:val="center"/>
                </w:tcPr>
                <w:p w14:paraId="76D52D1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i w:val="0"/>
                      <w:iCs w:val="0"/>
                      <w:caps w:val="0"/>
                      <w:color w:val="00B050"/>
                      <w:spacing w:val="0"/>
                      <w:kern w:val="2"/>
                      <w:sz w:val="21"/>
                      <w:szCs w:val="21"/>
                      <w:shd w:val="clear" w:fill="FFFFFF"/>
                      <w:lang w:val="en-US" w:eastAsia="zh-CN" w:bidi="ar-SA"/>
                    </w:rPr>
                  </w:pPr>
                  <w:r>
                    <w:rPr>
                      <w:rFonts w:hint="eastAsia" w:ascii="Times New Roman" w:hAnsi="Times New Roman" w:eastAsia="宋体" w:cs="Times New Roman"/>
                      <w:i w:val="0"/>
                      <w:iCs w:val="0"/>
                      <w:caps w:val="0"/>
                      <w:color w:val="00B050"/>
                      <w:spacing w:val="0"/>
                      <w:kern w:val="2"/>
                      <w:sz w:val="21"/>
                      <w:szCs w:val="21"/>
                      <w:shd w:val="clear" w:fill="FFFFFF"/>
                      <w:lang w:val="en-US" w:eastAsia="zh-CN" w:bidi="ar-SA"/>
                    </w:rPr>
                    <w:t>本项目烘干使用生物质燃料，不使用煤，不使用高污染燃料，不使用煤气发生炉。不位于重点区域，不属于铸造、岩棉等行业。</w:t>
                  </w:r>
                </w:p>
              </w:tc>
              <w:tc>
                <w:tcPr>
                  <w:tcW w:w="822" w:type="dxa"/>
                  <w:noWrap w:val="0"/>
                  <w:vAlign w:val="center"/>
                </w:tcPr>
                <w:p w14:paraId="648E0E63">
                  <w:pPr>
                    <w:keepNext w:val="0"/>
                    <w:keepLines w:val="0"/>
                    <w:widowControl w:val="0"/>
                    <w:suppressLineNumbers w:val="0"/>
                    <w:spacing w:before="0" w:beforeAutospacing="0" w:after="0" w:afterAutospacing="0"/>
                    <w:ind w:left="0" w:right="0" w:firstLine="0" w:firstLineChars="0"/>
                    <w:jc w:val="center"/>
                    <w:rPr>
                      <w:rFonts w:hint="eastAsia"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kern w:val="2"/>
                      <w:sz w:val="21"/>
                      <w:szCs w:val="21"/>
                      <w:lang w:val="en-US" w:eastAsia="zh-CN" w:bidi="ar-SA"/>
                    </w:rPr>
                    <w:t>符合</w:t>
                  </w:r>
                </w:p>
              </w:tc>
            </w:tr>
            <w:tr w14:paraId="2A2B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65" w:type="dxa"/>
                  <w:noWrap w:val="0"/>
                  <w:vAlign w:val="center"/>
                </w:tcPr>
                <w:p w14:paraId="7872E5A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i w:val="0"/>
                      <w:iCs w:val="0"/>
                      <w:caps w:val="0"/>
                      <w:color w:val="000000" w:themeColor="text1"/>
                      <w:spacing w:val="0"/>
                      <w:kern w:val="2"/>
                      <w:sz w:val="21"/>
                      <w:szCs w:val="21"/>
                      <w:shd w:val="clear" w:fill="FFFFFF"/>
                      <w:lang w:val="en-US" w:eastAsia="zh-CN" w:bidi="ar-SA"/>
                    </w:rPr>
                  </w:pPr>
                  <w:r>
                    <w:rPr>
                      <w:rFonts w:hint="eastAsia" w:ascii="Times New Roman" w:hAnsi="Times New Roman" w:eastAsia="宋体" w:cs="Times New Roman"/>
                      <w:i w:val="0"/>
                      <w:iCs w:val="0"/>
                      <w:caps w:val="0"/>
                      <w:color w:val="000000" w:themeColor="text1"/>
                      <w:spacing w:val="0"/>
                      <w:kern w:val="2"/>
                      <w:sz w:val="21"/>
                      <w:szCs w:val="21"/>
                      <w:shd w:val="clear" w:fill="FFFFFF"/>
                      <w:lang w:val="en-US" w:eastAsia="zh-CN" w:bidi="ar-SA"/>
                    </w:rPr>
                    <w:t>（三）实施污染深度治理。推进工业炉窑全面达标排放。已有行业排放标准的工业炉窑，严格执行行业排放标准相关规定，配套建设高效脱硫脱硝除尘设施，确保稳定达标排放。已制定更严格地方排放标准的，按地方标准执行。重点区域钢铁、水泥、焦化、石化、化工、有色等行业，二氧化硫、氮氧化物、颗粒物、挥发性有机物（VOCs）排放全面执行大气污染物特别排放限值。已核发排污许可证的，应严格执行许可要求。</w:t>
                  </w:r>
                </w:p>
                <w:p w14:paraId="23D0DBC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i w:val="0"/>
                      <w:iCs w:val="0"/>
                      <w:caps w:val="0"/>
                      <w:color w:val="000000" w:themeColor="text1"/>
                      <w:spacing w:val="0"/>
                      <w:kern w:val="2"/>
                      <w:sz w:val="21"/>
                      <w:szCs w:val="21"/>
                      <w:shd w:val="clear" w:fill="FFFFFF"/>
                      <w:lang w:val="en-US" w:eastAsia="zh-CN" w:bidi="ar-SA"/>
                    </w:rPr>
                  </w:pPr>
                  <w:r>
                    <w:rPr>
                      <w:rFonts w:hint="eastAsia" w:ascii="Times New Roman" w:hAnsi="Times New Roman" w:eastAsia="宋体" w:cs="Times New Roman"/>
                      <w:i w:val="0"/>
                      <w:iCs w:val="0"/>
                      <w:caps w:val="0"/>
                      <w:color w:val="000000" w:themeColor="text1"/>
                      <w:spacing w:val="0"/>
                      <w:kern w:val="2"/>
                      <w:sz w:val="21"/>
                      <w:szCs w:val="21"/>
                      <w:shd w:val="clear" w:fill="FFFFFF"/>
                      <w:lang w:val="en-US" w:eastAsia="zh-CN" w:bidi="ar-SA"/>
                    </w:rPr>
                    <w:t>全面加强无组织排放管理。严格控制工业炉窑生产工艺过程及相关物料储存、输送等无组织排放，在保障生产安全的前提下，采取密闭、封闭等有效措施，有效提高废气收集率，产尘点及车间不得有可见烟粉尘外逸。生产工艺产尘点（装置）应采取密闭、封闭或设置集气罩等措施。煤粉、粉煤灰、石灰、除尘灰、脱硫灰等粉状物料应密闭或封闭储存，采用密闭皮带、封闭通廊、管状带式输送机或密闭车厢、真空罐车、气力输送等方式输送。粒状、块状物料应采用入棚入仓或建设防风抑尘网等方式进行储存，粒状物料采用密闭、封闭等方式输送。物料输送过程中产尘点应采取有效抑尘措施。</w:t>
                  </w:r>
                </w:p>
              </w:tc>
              <w:tc>
                <w:tcPr>
                  <w:tcW w:w="2652" w:type="dxa"/>
                  <w:noWrap w:val="0"/>
                  <w:vAlign w:val="center"/>
                </w:tcPr>
                <w:p w14:paraId="27AD078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i w:val="0"/>
                      <w:iCs w:val="0"/>
                      <w:caps w:val="0"/>
                      <w:color w:val="00B050"/>
                      <w:spacing w:val="0"/>
                      <w:kern w:val="2"/>
                      <w:sz w:val="21"/>
                      <w:szCs w:val="21"/>
                      <w:shd w:val="clear" w:fill="FFFFFF"/>
                      <w:lang w:val="en-US" w:eastAsia="zh-CN" w:bidi="ar-SA"/>
                    </w:rPr>
                  </w:pPr>
                  <w:r>
                    <w:rPr>
                      <w:rFonts w:hint="eastAsia" w:ascii="Times New Roman" w:hAnsi="Times New Roman" w:eastAsia="宋体" w:cs="Times New Roman"/>
                      <w:i w:val="0"/>
                      <w:iCs w:val="0"/>
                      <w:caps w:val="0"/>
                      <w:color w:val="00B050"/>
                      <w:spacing w:val="0"/>
                      <w:kern w:val="2"/>
                      <w:sz w:val="21"/>
                      <w:szCs w:val="21"/>
                      <w:shd w:val="clear" w:fill="FFFFFF"/>
                      <w:lang w:val="en-US" w:eastAsia="zh-CN" w:bidi="ar-SA"/>
                    </w:rPr>
                    <w:t>本项目废气经过“重力沉降+布袋除尘+水膜除尘设施”（TA001）处理后达到《大气污染物综合排放标准》(GB16297-1996)和《工业炉窑大气污染物排放标准》(GB9078-1996)相关标准，方可通过排气筒排放。本项目不位于重点区域。</w:t>
                  </w:r>
                </w:p>
                <w:p w14:paraId="4D04BC9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i w:val="0"/>
                      <w:iCs w:val="0"/>
                      <w:caps w:val="0"/>
                      <w:color w:val="000000" w:themeColor="text1"/>
                      <w:spacing w:val="0"/>
                      <w:kern w:val="2"/>
                      <w:sz w:val="21"/>
                      <w:szCs w:val="21"/>
                      <w:shd w:val="clear" w:fill="FFFFFF"/>
                      <w:lang w:val="en-US" w:eastAsia="zh-CN" w:bidi="ar-SA"/>
                    </w:rPr>
                  </w:pPr>
                  <w:r>
                    <w:rPr>
                      <w:rFonts w:hint="eastAsia" w:ascii="Times New Roman" w:hAnsi="Times New Roman" w:eastAsia="宋体" w:cs="Times New Roman"/>
                      <w:i w:val="0"/>
                      <w:iCs w:val="0"/>
                      <w:caps w:val="0"/>
                      <w:color w:val="000000" w:themeColor="text1"/>
                      <w:spacing w:val="0"/>
                      <w:kern w:val="2"/>
                      <w:sz w:val="21"/>
                      <w:szCs w:val="21"/>
                      <w:shd w:val="clear" w:fill="FFFFFF"/>
                      <w:lang w:val="en-US" w:eastAsia="zh-CN" w:bidi="ar-SA"/>
                    </w:rPr>
                    <w:t>本项目生产过程中相关物料投料环节采取封闭式厂房，投料后使用水力碎料机和搅拌机进行分解，有效控制无组织粉尘的排放。</w:t>
                  </w:r>
                </w:p>
              </w:tc>
              <w:tc>
                <w:tcPr>
                  <w:tcW w:w="822" w:type="dxa"/>
                  <w:noWrap w:val="0"/>
                  <w:vAlign w:val="center"/>
                </w:tcPr>
                <w:p w14:paraId="2ECD594E">
                  <w:pPr>
                    <w:keepNext w:val="0"/>
                    <w:keepLines w:val="0"/>
                    <w:widowControl w:val="0"/>
                    <w:suppressLineNumbers w:val="0"/>
                    <w:spacing w:before="0" w:beforeAutospacing="0" w:after="0" w:afterAutospacing="0"/>
                    <w:ind w:left="0" w:right="0" w:firstLine="0" w:firstLineChars="0"/>
                    <w:jc w:val="center"/>
                    <w:rPr>
                      <w:rFonts w:hint="eastAsia"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kern w:val="2"/>
                      <w:sz w:val="21"/>
                      <w:szCs w:val="21"/>
                      <w:lang w:val="en-US" w:eastAsia="zh-CN" w:bidi="ar-SA"/>
                    </w:rPr>
                    <w:t>符合</w:t>
                  </w:r>
                </w:p>
              </w:tc>
            </w:tr>
            <w:tr w14:paraId="6799C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65" w:type="dxa"/>
                  <w:noWrap w:val="0"/>
                  <w:vAlign w:val="center"/>
                </w:tcPr>
                <w:p w14:paraId="204954C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i w:val="0"/>
                      <w:iCs w:val="0"/>
                      <w:caps w:val="0"/>
                      <w:color w:val="000000" w:themeColor="text1"/>
                      <w:spacing w:val="0"/>
                      <w:kern w:val="2"/>
                      <w:sz w:val="21"/>
                      <w:szCs w:val="21"/>
                      <w:shd w:val="clear" w:fill="FFFFFF"/>
                      <w:lang w:val="en-US" w:eastAsia="zh-CN" w:bidi="ar-SA"/>
                    </w:rPr>
                  </w:pPr>
                  <w:r>
                    <w:rPr>
                      <w:rFonts w:hint="eastAsia" w:ascii="Times New Roman" w:hAnsi="Times New Roman" w:eastAsia="宋体" w:cs="Times New Roman"/>
                      <w:i w:val="0"/>
                      <w:iCs w:val="0"/>
                      <w:caps w:val="0"/>
                      <w:color w:val="000000" w:themeColor="text1"/>
                      <w:spacing w:val="0"/>
                      <w:kern w:val="2"/>
                      <w:sz w:val="21"/>
                      <w:szCs w:val="21"/>
                      <w:shd w:val="clear" w:fill="FFFFFF"/>
                      <w:lang w:val="en-US" w:eastAsia="zh-CN" w:bidi="ar-SA"/>
                    </w:rPr>
                    <w:t>（四）开展工业园区和产业集群综合整治。各地要加大涉工业炉窑类工业园区和产业集群的综合整治力度，结合“三线一单”（生态保护红线、环境质量底线、资源利用上线和生态环境准入清单）、规划环评等要求，进一步梳理确定园区和产业发展定位、规模及结构等。制定综合整治方案，对标先进企业，从生产工艺、产能规模、燃料类型、污染治理等方面提出明确要求，提升产业发展质量和环保治理水平。按照统一标准、统一时间表的要求，同步推进区域环境综合整治和企业升级改造。加强工业园区能源替代利用与资源共享，积极推广集中供汽供热或建设清洁低碳能源中心等，替代工业炉窑燃料用煤；充分利用园区内工厂余热、焦炉煤气等清洁低碳能源，加强分质与梯级利用，提高能源利用效率，促进形成清洁低碳高效产业链。</w:t>
                  </w:r>
                </w:p>
              </w:tc>
              <w:tc>
                <w:tcPr>
                  <w:tcW w:w="2652" w:type="dxa"/>
                  <w:noWrap w:val="0"/>
                  <w:vAlign w:val="center"/>
                </w:tcPr>
                <w:p w14:paraId="507D667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i w:val="0"/>
                      <w:iCs w:val="0"/>
                      <w:caps w:val="0"/>
                      <w:color w:val="00B050"/>
                      <w:spacing w:val="0"/>
                      <w:kern w:val="2"/>
                      <w:sz w:val="21"/>
                      <w:szCs w:val="21"/>
                      <w:shd w:val="clear" w:fill="FFFFFF"/>
                      <w:lang w:val="en-US" w:eastAsia="zh-CN" w:bidi="ar-SA"/>
                    </w:rPr>
                  </w:pPr>
                  <w:r>
                    <w:rPr>
                      <w:rFonts w:hint="eastAsia" w:ascii="Times New Roman" w:hAnsi="Times New Roman" w:eastAsia="宋体" w:cs="Times New Roman"/>
                      <w:i w:val="0"/>
                      <w:iCs w:val="0"/>
                      <w:caps w:val="0"/>
                      <w:color w:val="00B050"/>
                      <w:spacing w:val="0"/>
                      <w:kern w:val="2"/>
                      <w:sz w:val="21"/>
                      <w:szCs w:val="21"/>
                      <w:shd w:val="clear" w:fill="FFFFFF"/>
                      <w:lang w:val="en-US" w:eastAsia="zh-CN" w:bidi="ar-SA"/>
                    </w:rPr>
                    <w:t>本项目符合《云南通海产业园区总体规划修编（2021~2035年）》《云南通海产业园区总体规划修编（2021~2035年）环境影响报告书》相关要求，已取得园区管委会下发的《通海云禾纸模包装制品有限公司新建(搬迁)年产3亿片纸浆模塑包装制品项目人园通知》，符合通海五金产业园区里山片区的产业定位，符合《玉溪市生态环境分区管控动态更新调整方案（2023年）》要求，不使用煤，使用生物质燃料，产生的废气经过“重力沉降+布袋除尘+水膜除尘设施”（TA001）处理后达标排放。</w:t>
                  </w:r>
                </w:p>
              </w:tc>
              <w:tc>
                <w:tcPr>
                  <w:tcW w:w="822" w:type="dxa"/>
                  <w:noWrap w:val="0"/>
                  <w:vAlign w:val="center"/>
                </w:tcPr>
                <w:p w14:paraId="6D0DFA63">
                  <w:pPr>
                    <w:keepNext w:val="0"/>
                    <w:keepLines w:val="0"/>
                    <w:widowControl w:val="0"/>
                    <w:suppressLineNumbers w:val="0"/>
                    <w:spacing w:before="0" w:beforeAutospacing="0" w:after="0" w:afterAutospacing="0"/>
                    <w:ind w:left="0" w:right="0" w:firstLine="0" w:firstLineChars="0"/>
                    <w:jc w:val="center"/>
                    <w:rPr>
                      <w:rFonts w:hint="eastAsia"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kern w:val="2"/>
                      <w:sz w:val="21"/>
                      <w:szCs w:val="21"/>
                      <w:lang w:val="en-US" w:eastAsia="zh-CN" w:bidi="ar-SA"/>
                    </w:rPr>
                    <w:t>符合</w:t>
                  </w:r>
                </w:p>
              </w:tc>
            </w:tr>
          </w:tbl>
          <w:p w14:paraId="6BE40071">
            <w:pPr>
              <w:pStyle w:val="197"/>
              <w:keepNext w:val="0"/>
              <w:keepLines w:val="0"/>
              <w:pageBreakBefore w:val="0"/>
              <w:widowControl/>
              <w:kinsoku/>
              <w:wordWrap/>
              <w:overflowPunct/>
              <w:topLinePunct/>
              <w:autoSpaceDE/>
              <w:autoSpaceDN/>
              <w:bidi w:val="0"/>
              <w:adjustRightInd w:val="0"/>
              <w:snapToGrid w:val="0"/>
              <w:spacing w:line="440" w:lineRule="exact"/>
              <w:textAlignment w:val="auto"/>
              <w:rPr>
                <w:rFonts w:hint="eastAsia" w:ascii="Times New Roman" w:hAnsi="Times New Roman" w:eastAsia="宋体" w:cs="宋体"/>
                <w:b w:val="0"/>
                <w:bCs w:val="0"/>
                <w:color w:val="000000" w:themeColor="text1"/>
                <w:sz w:val="21"/>
                <w:szCs w:val="21"/>
                <w:lang w:eastAsia="zh-CN"/>
              </w:rPr>
            </w:pPr>
          </w:p>
          <w:p w14:paraId="7AC60275">
            <w:pPr>
              <w:pStyle w:val="197"/>
              <w:keepNext w:val="0"/>
              <w:keepLines w:val="0"/>
              <w:pageBreakBefore w:val="0"/>
              <w:widowControl/>
              <w:kinsoku/>
              <w:wordWrap/>
              <w:overflowPunct/>
              <w:topLinePunct/>
              <w:autoSpaceDE/>
              <w:autoSpaceDN/>
              <w:bidi w:val="0"/>
              <w:adjustRightInd w:val="0"/>
              <w:snapToGrid w:val="0"/>
              <w:spacing w:line="440" w:lineRule="exact"/>
              <w:textAlignment w:val="auto"/>
              <w:rPr>
                <w:rFonts w:hint="eastAsia" w:ascii="Times New Roman" w:hAnsi="Times New Roman" w:eastAsia="宋体" w:cs="宋体"/>
                <w:b w:val="0"/>
                <w:bCs w:val="0"/>
                <w:color w:val="000000" w:themeColor="text1"/>
                <w:sz w:val="21"/>
                <w:szCs w:val="21"/>
                <w:lang w:eastAsia="zh-CN"/>
              </w:rPr>
            </w:pPr>
          </w:p>
          <w:p w14:paraId="02859DFA">
            <w:pPr>
              <w:pStyle w:val="197"/>
              <w:keepNext w:val="0"/>
              <w:keepLines w:val="0"/>
              <w:pageBreakBefore w:val="0"/>
              <w:widowControl/>
              <w:kinsoku/>
              <w:wordWrap/>
              <w:overflowPunct/>
              <w:topLinePunct/>
              <w:autoSpaceDE/>
              <w:autoSpaceDN/>
              <w:bidi w:val="0"/>
              <w:adjustRightInd w:val="0"/>
              <w:snapToGrid w:val="0"/>
              <w:spacing w:line="440" w:lineRule="exact"/>
              <w:textAlignment w:val="auto"/>
              <w:rPr>
                <w:rFonts w:hint="eastAsia" w:ascii="Times New Roman" w:hAnsi="Times New Roman" w:eastAsia="宋体" w:cs="宋体"/>
                <w:b w:val="0"/>
                <w:bCs w:val="0"/>
                <w:color w:val="000000" w:themeColor="text1"/>
                <w:sz w:val="21"/>
                <w:szCs w:val="21"/>
                <w:lang w:eastAsia="zh-CN"/>
              </w:rPr>
            </w:pPr>
          </w:p>
          <w:p w14:paraId="65998F49">
            <w:pPr>
              <w:pStyle w:val="197"/>
              <w:keepNext w:val="0"/>
              <w:keepLines w:val="0"/>
              <w:pageBreakBefore w:val="0"/>
              <w:widowControl/>
              <w:kinsoku/>
              <w:wordWrap/>
              <w:overflowPunct/>
              <w:topLinePunct/>
              <w:autoSpaceDE/>
              <w:autoSpaceDN/>
              <w:bidi w:val="0"/>
              <w:adjustRightInd w:val="0"/>
              <w:snapToGrid w:val="0"/>
              <w:spacing w:line="440" w:lineRule="exact"/>
              <w:textAlignment w:val="auto"/>
              <w:rPr>
                <w:rFonts w:hint="eastAsia" w:ascii="Times New Roman" w:hAnsi="Times New Roman" w:eastAsia="宋体" w:cs="宋体"/>
                <w:b w:val="0"/>
                <w:bCs w:val="0"/>
                <w:color w:val="000000" w:themeColor="text1"/>
                <w:sz w:val="21"/>
                <w:szCs w:val="21"/>
                <w:lang w:eastAsia="zh-CN"/>
              </w:rPr>
            </w:pPr>
          </w:p>
          <w:p w14:paraId="00F45FF2">
            <w:pPr>
              <w:pStyle w:val="197"/>
              <w:keepNext w:val="0"/>
              <w:keepLines w:val="0"/>
              <w:pageBreakBefore w:val="0"/>
              <w:widowControl/>
              <w:kinsoku/>
              <w:wordWrap/>
              <w:overflowPunct/>
              <w:topLinePunct/>
              <w:autoSpaceDE/>
              <w:autoSpaceDN/>
              <w:bidi w:val="0"/>
              <w:adjustRightInd w:val="0"/>
              <w:snapToGrid w:val="0"/>
              <w:spacing w:line="440" w:lineRule="exact"/>
              <w:textAlignment w:val="auto"/>
              <w:rPr>
                <w:rFonts w:hint="eastAsia" w:ascii="Times New Roman" w:hAnsi="Times New Roman" w:eastAsia="宋体" w:cs="宋体"/>
                <w:b w:val="0"/>
                <w:bCs w:val="0"/>
                <w:color w:val="000000" w:themeColor="text1"/>
                <w:sz w:val="21"/>
                <w:szCs w:val="21"/>
                <w:lang w:eastAsia="zh-CN"/>
              </w:rPr>
            </w:pPr>
          </w:p>
          <w:p w14:paraId="45657EC3">
            <w:pPr>
              <w:pStyle w:val="197"/>
              <w:keepNext w:val="0"/>
              <w:keepLines w:val="0"/>
              <w:pageBreakBefore w:val="0"/>
              <w:widowControl/>
              <w:kinsoku/>
              <w:wordWrap/>
              <w:overflowPunct/>
              <w:topLinePunct/>
              <w:autoSpaceDE/>
              <w:autoSpaceDN/>
              <w:bidi w:val="0"/>
              <w:adjustRightInd w:val="0"/>
              <w:snapToGrid w:val="0"/>
              <w:spacing w:line="440" w:lineRule="exact"/>
              <w:textAlignment w:val="auto"/>
              <w:rPr>
                <w:rFonts w:hint="default" w:ascii="Times New Roman" w:hAnsi="Times New Roman" w:eastAsia="宋体" w:cs="宋体"/>
                <w:b w:val="0"/>
                <w:bCs w:val="0"/>
                <w:color w:val="000000" w:themeColor="text1"/>
                <w:sz w:val="21"/>
                <w:szCs w:val="21"/>
                <w:lang w:eastAsia="zh-CN"/>
              </w:rPr>
            </w:pPr>
          </w:p>
        </w:tc>
      </w:tr>
    </w:tbl>
    <w:p w14:paraId="4B5A1332">
      <w:pPr>
        <w:pStyle w:val="95"/>
        <w:adjustRightInd/>
        <w:snapToGrid/>
        <w:ind w:firstLine="360"/>
        <w:contextualSpacing/>
        <w:jc w:val="both"/>
        <w:rPr>
          <w:color w:val="000000" w:themeColor="text1"/>
        </w:rPr>
        <w:sectPr>
          <w:foot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6B484401">
      <w:pPr>
        <w:pStyle w:val="2"/>
        <w:jc w:val="center"/>
        <w:rPr>
          <w:color w:val="000000" w:themeColor="text1"/>
        </w:rPr>
      </w:pPr>
      <w:bookmarkStart w:id="6" w:name="_Toc2021"/>
      <w:bookmarkStart w:id="7" w:name="_Toc1466"/>
    </w:p>
    <w:p w14:paraId="2DD08B21">
      <w:pPr>
        <w:rPr>
          <w:color w:val="000000" w:themeColor="text1"/>
        </w:rPr>
      </w:pPr>
    </w:p>
    <w:p w14:paraId="66F724CD">
      <w:pPr>
        <w:pStyle w:val="23"/>
        <w:rPr>
          <w:color w:val="000000" w:themeColor="text1"/>
        </w:rPr>
        <w:sectPr>
          <w:footerReference r:id="rId14" w:type="default"/>
          <w:type w:val="continuous"/>
          <w:pgSz w:w="11906" w:h="16838"/>
          <w:pgMar w:top="1440" w:right="1701" w:bottom="1440" w:left="1701" w:header="851" w:footer="992" w:gutter="0"/>
          <w:pgBorders>
            <w:top w:val="none" w:sz="0" w:space="0"/>
            <w:left w:val="none" w:sz="0" w:space="0"/>
            <w:bottom w:val="none" w:sz="0" w:space="0"/>
            <w:right w:val="none" w:sz="0" w:space="0"/>
          </w:pgBorders>
          <w:cols w:space="720" w:num="1"/>
          <w:docGrid w:type="lines" w:linePitch="312" w:charSpace="0"/>
        </w:sectPr>
      </w:pPr>
    </w:p>
    <w:p w14:paraId="5B181D11">
      <w:pPr>
        <w:pStyle w:val="2"/>
        <w:jc w:val="center"/>
        <w:rPr>
          <w:rFonts w:hint="eastAsia"/>
          <w:color w:val="000000" w:themeColor="text1"/>
        </w:rPr>
      </w:pPr>
      <w:r>
        <w:rPr>
          <w:color w:val="000000" w:themeColor="text1"/>
        </w:rPr>
        <w:t>二、建设项目</w:t>
      </w:r>
      <w:r>
        <w:rPr>
          <w:rFonts w:hint="eastAsia"/>
          <w:color w:val="000000" w:themeColor="text1"/>
        </w:rPr>
        <w:t>工程分析</w:t>
      </w:r>
      <w:bookmarkEnd w:id="6"/>
      <w:bookmarkEnd w:id="7"/>
    </w:p>
    <w:tbl>
      <w:tblPr>
        <w:tblStyle w:val="43"/>
        <w:tblW w:w="51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230"/>
      </w:tblGrid>
      <w:tr w14:paraId="24C3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9" w:type="pct"/>
            <w:noWrap w:val="0"/>
            <w:vAlign w:val="center"/>
          </w:tcPr>
          <w:p w14:paraId="49D292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建设内容</w:t>
            </w:r>
          </w:p>
        </w:tc>
        <w:tc>
          <w:tcPr>
            <w:tcW w:w="4620" w:type="pct"/>
            <w:noWrap w:val="0"/>
            <w:vAlign w:val="top"/>
          </w:tcPr>
          <w:p w14:paraId="340BFB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textAlignment w:val="auto"/>
              <w:rPr>
                <w:rFonts w:hint="default" w:ascii="Times New Roman" w:hAnsi="Times New Roman" w:cs="Times New Roman"/>
                <w:b/>
                <w:bCs w:val="0"/>
                <w:color w:val="000000" w:themeColor="text1"/>
                <w:szCs w:val="21"/>
                <w:lang w:val="en-US" w:bidi="ar"/>
              </w:rPr>
            </w:pPr>
            <w:r>
              <w:rPr>
                <w:rFonts w:hint="default" w:ascii="Times New Roman" w:hAnsi="Times New Roman" w:cs="Times New Roman"/>
                <w:b/>
                <w:bCs/>
                <w:color w:val="000000" w:themeColor="text1"/>
                <w:sz w:val="21"/>
                <w:szCs w:val="21"/>
              </w:rPr>
              <w:t>1、</w:t>
            </w:r>
            <w:r>
              <w:rPr>
                <w:rFonts w:hint="eastAsia" w:ascii="Times New Roman" w:hAnsi="Times New Roman" w:eastAsia="宋体" w:cs="宋体"/>
                <w:b/>
                <w:bCs w:val="0"/>
                <w:color w:val="000000" w:themeColor="text1"/>
                <w:kern w:val="2"/>
                <w:sz w:val="21"/>
                <w:szCs w:val="21"/>
                <w:lang w:val="en-US" w:eastAsia="zh-CN" w:bidi="ar"/>
              </w:rPr>
              <w:t>项目环评文件确定类别</w:t>
            </w:r>
          </w:p>
          <w:p w14:paraId="78CC6A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jc w:val="left"/>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color w:val="000000" w:themeColor="text1"/>
                <w:sz w:val="21"/>
                <w:szCs w:val="21"/>
              </w:rPr>
              <w:t>本项目</w:t>
            </w:r>
            <w:r>
              <w:rPr>
                <w:rFonts w:hint="eastAsia" w:ascii="Times New Roman" w:hAnsi="Times New Roman" w:eastAsia="宋体" w:cs="Times New Roman"/>
                <w:color w:val="000000" w:themeColor="text1"/>
                <w:sz w:val="21"/>
                <w:szCs w:val="21"/>
                <w:lang w:val="en-US" w:eastAsia="zh-CN"/>
              </w:rPr>
              <w:t>生产工艺为将</w:t>
            </w:r>
            <w:r>
              <w:rPr>
                <w:rFonts w:hint="default" w:ascii="Times New Roman" w:hAnsi="Times New Roman" w:eastAsia="宋体" w:cs="Times New Roman"/>
                <w:color w:val="000000" w:themeColor="text1"/>
                <w:sz w:val="21"/>
                <w:szCs w:val="21"/>
              </w:rPr>
              <w:t>废纸进行湿式搅碎，加入石粉等辅料后成型烘干制成蛋托</w:t>
            </w:r>
            <w:r>
              <w:rPr>
                <w:rFonts w:hint="eastAsia" w:ascii="Times New Roman" w:hAnsi="Times New Roman" w:eastAsia="宋体" w:cs="Times New Roman"/>
                <w:color w:val="000000" w:themeColor="text1"/>
                <w:sz w:val="21"/>
                <w:szCs w:val="21"/>
                <w:lang w:val="en-US" w:eastAsia="zh-CN"/>
              </w:rPr>
              <w:t>等</w:t>
            </w:r>
            <w:r>
              <w:rPr>
                <w:rFonts w:hint="default" w:ascii="Times New Roman" w:hAnsi="Times New Roman" w:eastAsia="宋体" w:cs="Times New Roman"/>
                <w:color w:val="000000" w:themeColor="text1"/>
                <w:sz w:val="21"/>
                <w:szCs w:val="21"/>
              </w:rPr>
              <w:t>纸浆模塑包装制品，湿式搅碎仅是将废纸打碎形成碎纸浆，以便于进行后续纸浆模塑的成型，而并非制成纤维纸浆，与传统的造纸制浆有着本质的区别，且本项目无造纸的典型设备（如蒸煮器、造纸机等），对照《国民经济行业分类》（GB</w:t>
            </w:r>
            <w:r>
              <w:rPr>
                <w:rFonts w:hint="eastAsia" w:ascii="Times New Roman" w:hAnsi="Times New Roman" w:eastAsia="宋体" w:cs="Times New Roman"/>
                <w:color w:val="000000" w:themeColor="text1"/>
                <w:sz w:val="21"/>
                <w:szCs w:val="21"/>
                <w:lang w:val="en-US" w:eastAsia="zh-CN"/>
              </w:rPr>
              <w:t>/</w:t>
            </w:r>
            <w:r>
              <w:rPr>
                <w:rFonts w:hint="default" w:ascii="Times New Roman" w:hAnsi="Times New Roman" w:eastAsia="宋体" w:cs="Times New Roman"/>
                <w:color w:val="000000" w:themeColor="text1"/>
                <w:sz w:val="21"/>
                <w:szCs w:val="21"/>
              </w:rPr>
              <w:t>T</w:t>
            </w:r>
            <w:r>
              <w:rPr>
                <w:rFonts w:hint="eastAsia" w:ascii="Times New Roman" w:hAnsi="Times New Roman" w:eastAsia="宋体" w:cs="Times New Roman"/>
                <w:color w:val="000000" w:themeColor="text1"/>
                <w:sz w:val="21"/>
                <w:szCs w:val="21"/>
                <w:lang w:val="en-US" w:eastAsia="zh-CN"/>
              </w:rPr>
              <w:t xml:space="preserve">  </w:t>
            </w:r>
            <w:r>
              <w:rPr>
                <w:rFonts w:hint="default" w:ascii="Times New Roman" w:hAnsi="Times New Roman" w:eastAsia="宋体" w:cs="Times New Roman"/>
                <w:color w:val="000000" w:themeColor="text1"/>
                <w:sz w:val="21"/>
                <w:szCs w:val="21"/>
              </w:rPr>
              <w:t>4754-2017），本项目不属于C222造纸，项目归类于C223纸制品制造中的“C2239其他纸制品制造”</w:t>
            </w:r>
            <w:r>
              <w:rPr>
                <w:rFonts w:hint="eastAsia" w:ascii="Times New Roman" w:hAnsi="Times New Roman" w:eastAsia="宋体" w:cs="Times New Roman"/>
                <w:color w:val="000000" w:themeColor="text1"/>
                <w:sz w:val="21"/>
                <w:szCs w:val="21"/>
                <w:lang w:val="en-US" w:eastAsia="zh-CN"/>
              </w:rPr>
              <w:t>中的“纸浆模制品：一次性纸浆模餐具、方便面碗、纸浆模制超市托盒(盘)、医用一次性托盘和用具、精密工业品包装纸浆模制品、其他纸浆模制品”</w:t>
            </w:r>
            <w:r>
              <w:rPr>
                <w:rFonts w:hint="default" w:ascii="Times New Roman" w:hAnsi="Times New Roman" w:eastAsia="宋体" w:cs="Times New Roman"/>
                <w:color w:val="000000" w:themeColor="text1"/>
                <w:sz w:val="21"/>
                <w:szCs w:val="21"/>
              </w:rPr>
              <w:t>。</w:t>
            </w:r>
          </w:p>
          <w:p w14:paraId="6C6FDF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jc w:val="left"/>
              <w:textAlignment w:val="auto"/>
              <w:rPr>
                <w:rFonts w:hint="default" w:ascii="Times New Roman" w:hAnsi="Times New Roman" w:cs="Times New Roman"/>
                <w:color w:val="000000" w:themeColor="text1"/>
                <w:sz w:val="21"/>
                <w:szCs w:val="21"/>
              </w:rPr>
            </w:pPr>
            <w:r>
              <w:rPr>
                <w:rFonts w:hint="eastAsia" w:ascii="Times New Roman" w:hAnsi="Times New Roman" w:eastAsia="宋体" w:cs="宋体"/>
                <w:color w:val="000000" w:themeColor="text1"/>
                <w:kern w:val="2"/>
                <w:sz w:val="21"/>
                <w:szCs w:val="21"/>
                <w:lang w:val="en-US" w:eastAsia="zh-CN" w:bidi="ar"/>
              </w:rPr>
              <w:t>根据《建设项目环境影响评价分类管理名录（</w:t>
            </w:r>
            <w:r>
              <w:rPr>
                <w:rFonts w:hint="default" w:ascii="Times New Roman" w:hAnsi="Times New Roman" w:eastAsia="宋体" w:cs="Times New Roman"/>
                <w:color w:val="000000" w:themeColor="text1"/>
                <w:kern w:val="2"/>
                <w:sz w:val="21"/>
                <w:szCs w:val="21"/>
                <w:lang w:val="en-US" w:eastAsia="zh-CN" w:bidi="ar"/>
              </w:rPr>
              <w:t>2021</w:t>
            </w:r>
            <w:r>
              <w:rPr>
                <w:rFonts w:hint="eastAsia" w:ascii="Times New Roman" w:hAnsi="Times New Roman" w:eastAsia="宋体" w:cs="宋体"/>
                <w:color w:val="000000" w:themeColor="text1"/>
                <w:kern w:val="2"/>
                <w:sz w:val="21"/>
                <w:szCs w:val="21"/>
                <w:lang w:val="en-US" w:eastAsia="zh-CN" w:bidi="ar"/>
              </w:rPr>
              <w:t>版）》（生态环境部令第</w:t>
            </w:r>
            <w:r>
              <w:rPr>
                <w:rFonts w:hint="default" w:ascii="Times New Roman" w:hAnsi="Times New Roman" w:eastAsia="宋体" w:cs="Times New Roman"/>
                <w:color w:val="000000" w:themeColor="text1"/>
                <w:kern w:val="2"/>
                <w:sz w:val="21"/>
                <w:szCs w:val="21"/>
                <w:lang w:val="en-US" w:eastAsia="zh-CN" w:bidi="ar"/>
              </w:rPr>
              <w:t>16</w:t>
            </w:r>
            <w:r>
              <w:rPr>
                <w:rFonts w:hint="eastAsia" w:ascii="Times New Roman" w:hAnsi="Times New Roman" w:eastAsia="宋体" w:cs="宋体"/>
                <w:color w:val="000000" w:themeColor="text1"/>
                <w:kern w:val="2"/>
                <w:sz w:val="21"/>
                <w:szCs w:val="21"/>
                <w:lang w:val="en-US" w:eastAsia="zh-CN" w:bidi="ar"/>
              </w:rPr>
              <w:t>号）、国民经济行业类型，</w:t>
            </w:r>
            <w:r>
              <w:rPr>
                <w:rFonts w:hint="eastAsia" w:ascii="Times New Roman" w:hAnsi="Times New Roman" w:cs="Times New Roman"/>
                <w:color w:val="000000" w:themeColor="text1"/>
                <w:spacing w:val="0"/>
                <w:sz w:val="21"/>
                <w:szCs w:val="21"/>
                <w:u w:val="single"/>
                <w:lang w:eastAsia="zh-CN"/>
              </w:rPr>
              <w:t>本项目应属于“</w:t>
            </w:r>
            <w:r>
              <w:rPr>
                <w:rFonts w:hint="eastAsia" w:ascii="Times New Roman" w:hAnsi="Times New Roman" w:cs="Times New Roman"/>
                <w:color w:val="000000" w:themeColor="text1"/>
                <w:spacing w:val="0"/>
                <w:sz w:val="21"/>
                <w:szCs w:val="21"/>
                <w:u w:val="single"/>
                <w:lang w:val="en-US" w:eastAsia="zh-CN"/>
              </w:rPr>
              <w:t>十九、造纸和纸制品制造22</w:t>
            </w:r>
            <w:r>
              <w:rPr>
                <w:rFonts w:hint="eastAsia" w:ascii="Times New Roman" w:hAnsi="Times New Roman" w:cs="Times New Roman"/>
                <w:color w:val="000000" w:themeColor="text1"/>
                <w:spacing w:val="0"/>
                <w:sz w:val="21"/>
                <w:szCs w:val="21"/>
                <w:u w:val="single"/>
                <w:lang w:eastAsia="zh-CN"/>
              </w:rPr>
              <w:t>”</w:t>
            </w:r>
            <w:r>
              <w:rPr>
                <w:rFonts w:hint="eastAsia" w:ascii="Times New Roman" w:hAnsi="Times New Roman" w:cs="Times New Roman"/>
                <w:color w:val="000000" w:themeColor="text1"/>
                <w:spacing w:val="0"/>
                <w:sz w:val="21"/>
                <w:szCs w:val="21"/>
                <w:u w:val="single"/>
                <w:lang w:val="en-US" w:eastAsia="zh-CN"/>
              </w:rPr>
              <w:t>中“38 纸制品制造223”类别，应编制环境影响报告表。</w:t>
            </w:r>
            <w:r>
              <w:rPr>
                <w:rFonts w:hint="eastAsia" w:ascii="Times New Roman" w:hAnsi="Times New Roman" w:eastAsia="宋体" w:cs="宋体"/>
                <w:color w:val="000000" w:themeColor="text1"/>
                <w:kern w:val="2"/>
                <w:sz w:val="21"/>
                <w:szCs w:val="21"/>
                <w:lang w:val="en-US" w:eastAsia="zh-CN" w:bidi="ar"/>
              </w:rPr>
              <w:t>我公司接受委托后，按相关要求组织环评技术人员对项目现存环境问题、周围环境现状进行实地踏勘收集相关资料，并进行深入实施工程分析和环境问题识别基础上，按照报告表编制技术指南、现行环境政策的相关要求，编制完成了项目环境影响报告表。</w:t>
            </w:r>
          </w:p>
          <w:p w14:paraId="4384A0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textAlignment w:val="auto"/>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2、建设内容及规模</w:t>
            </w:r>
          </w:p>
          <w:p w14:paraId="3DED37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项目占地面积约为</w:t>
            </w:r>
            <w:r>
              <w:rPr>
                <w:rFonts w:hint="eastAsia" w:ascii="Times New Roman" w:hAnsi="Times New Roman" w:cs="Times New Roman"/>
                <w:color w:val="000000" w:themeColor="text1"/>
                <w:sz w:val="21"/>
                <w:szCs w:val="21"/>
                <w:lang w:val="en-US" w:eastAsia="zh-CN"/>
              </w:rPr>
              <w:t>9826.67</w:t>
            </w:r>
            <w:r>
              <w:rPr>
                <w:rFonts w:hint="default" w:ascii="Times New Roman" w:hAnsi="Times New Roman" w:cs="Times New Roman"/>
                <w:color w:val="000000" w:themeColor="text1"/>
                <w:sz w:val="21"/>
                <w:szCs w:val="21"/>
              </w:rPr>
              <w:t>㎡，</w:t>
            </w:r>
            <w:r>
              <w:rPr>
                <w:rFonts w:hint="eastAsia" w:ascii="Times New Roman" w:hAnsi="Times New Roman" w:cs="Times New Roman"/>
                <w:color w:val="000000" w:themeColor="text1"/>
                <w:sz w:val="21"/>
                <w:szCs w:val="21"/>
                <w:lang w:val="en-US" w:eastAsia="zh-CN"/>
              </w:rPr>
              <w:t>设置生产车间、消防泵房、办公用房及其他辅助用房，</w:t>
            </w:r>
            <w:r>
              <w:rPr>
                <w:rFonts w:hint="default" w:ascii="Times New Roman" w:hAnsi="Times New Roman" w:cs="Times New Roman"/>
                <w:color w:val="000000" w:themeColor="text1"/>
                <w:sz w:val="21"/>
                <w:szCs w:val="21"/>
              </w:rPr>
              <w:t>购置</w:t>
            </w:r>
            <w:r>
              <w:rPr>
                <w:rFonts w:hint="eastAsia" w:ascii="Times New Roman" w:hAnsi="Times New Roman" w:cs="Times New Roman"/>
                <w:color w:val="000000" w:themeColor="text1"/>
                <w:sz w:val="21"/>
                <w:szCs w:val="21"/>
                <w:lang w:val="en-US" w:eastAsia="zh-CN"/>
              </w:rPr>
              <w:t>水力制料机、成型机、烘干炉、定型机等生产设备；项目建设完成后</w:t>
            </w:r>
            <w:r>
              <w:rPr>
                <w:rFonts w:hint="default" w:ascii="Times New Roman" w:hAnsi="Times New Roman" w:cs="Times New Roman"/>
                <w:color w:val="000000" w:themeColor="text1"/>
                <w:sz w:val="21"/>
                <w:szCs w:val="21"/>
              </w:rPr>
              <w:t>形成年产</w:t>
            </w:r>
            <w:r>
              <w:rPr>
                <w:rFonts w:hint="eastAsia" w:ascii="Times New Roman" w:hAnsi="Times New Roman" w:cs="Times New Roman"/>
                <w:color w:val="000000" w:themeColor="text1"/>
                <w:sz w:val="21"/>
                <w:szCs w:val="21"/>
                <w:lang w:val="en-US" w:eastAsia="zh-CN"/>
              </w:rPr>
              <w:t>3亿片纸浆模塑包装制品的生产规模，</w:t>
            </w:r>
            <w:r>
              <w:rPr>
                <w:rFonts w:hint="default" w:ascii="Times New Roman" w:hAnsi="Times New Roman" w:cs="Times New Roman"/>
                <w:color w:val="000000" w:themeColor="text1"/>
                <w:sz w:val="21"/>
                <w:szCs w:val="21"/>
              </w:rPr>
              <w:t>安装</w:t>
            </w:r>
            <w:r>
              <w:rPr>
                <w:rFonts w:hint="eastAsia" w:ascii="Times New Roman" w:hAnsi="Times New Roman" w:cs="Times New Roman"/>
                <w:color w:val="000000" w:themeColor="text1"/>
                <w:sz w:val="21"/>
                <w:szCs w:val="21"/>
                <w:lang w:val="en-US" w:eastAsia="zh-CN"/>
              </w:rPr>
              <w:t>生产线3条，其中蛋托</w:t>
            </w:r>
            <w:r>
              <w:rPr>
                <w:rFonts w:hint="default" w:ascii="Times New Roman" w:hAnsi="Times New Roman" w:cs="Times New Roman"/>
                <w:color w:val="000000" w:themeColor="text1"/>
                <w:sz w:val="21"/>
                <w:szCs w:val="21"/>
              </w:rPr>
              <w:t>生产线</w:t>
            </w:r>
            <w:r>
              <w:rPr>
                <w:rFonts w:hint="eastAsia" w:ascii="Times New Roman" w:hAnsi="Times New Roman" w:cs="Times New Roman"/>
                <w:color w:val="000000" w:themeColor="text1"/>
                <w:sz w:val="21"/>
                <w:szCs w:val="21"/>
                <w:lang w:val="en-US" w:eastAsia="zh-CN"/>
              </w:rPr>
              <w:t>1</w:t>
            </w:r>
            <w:r>
              <w:rPr>
                <w:rFonts w:hint="default" w:ascii="Times New Roman" w:hAnsi="Times New Roman" w:cs="Times New Roman"/>
                <w:color w:val="000000" w:themeColor="text1"/>
                <w:sz w:val="21"/>
                <w:szCs w:val="21"/>
              </w:rPr>
              <w:t>条，</w:t>
            </w:r>
            <w:r>
              <w:rPr>
                <w:rFonts w:hint="eastAsia" w:ascii="Times New Roman" w:hAnsi="Times New Roman" w:cs="Times New Roman"/>
                <w:color w:val="000000" w:themeColor="text1"/>
                <w:sz w:val="21"/>
                <w:szCs w:val="21"/>
                <w:lang w:val="en-US" w:eastAsia="zh-CN"/>
              </w:rPr>
              <w:t>果托生产线1条，蛋盒和瓶托生产线1条</w:t>
            </w:r>
            <w:r>
              <w:rPr>
                <w:rFonts w:hint="default" w:ascii="Times New Roman" w:hAnsi="Times New Roman" w:cs="Times New Roman"/>
                <w:color w:val="000000" w:themeColor="text1"/>
                <w:sz w:val="21"/>
                <w:szCs w:val="21"/>
              </w:rPr>
              <w:t>。</w:t>
            </w:r>
            <w:r>
              <w:rPr>
                <w:rFonts w:hint="default" w:ascii="Times New Roman" w:hAnsi="Times New Roman" w:cs="Times New Roman"/>
                <w:b/>
                <w:bCs/>
                <w:color w:val="000000" w:themeColor="text1"/>
                <w:sz w:val="18"/>
                <w:szCs w:val="18"/>
              </w:rPr>
              <w:t>注：项目不设实验室，其相关质量检测均委托有资质单位进行。</w:t>
            </w:r>
            <w:r>
              <w:rPr>
                <w:rFonts w:hint="default" w:ascii="Times New Roman" w:hAnsi="Times New Roman" w:cs="Times New Roman"/>
                <w:color w:val="000000" w:themeColor="text1"/>
                <w:sz w:val="21"/>
                <w:szCs w:val="21"/>
              </w:rPr>
              <w:t>项目总体工程组成详见表2-</w:t>
            </w:r>
            <w:r>
              <w:rPr>
                <w:rFonts w:hint="eastAsia" w:ascii="Times New Roman" w:hAnsi="Times New Roman" w:cs="Times New Roman"/>
                <w:color w:val="000000" w:themeColor="text1"/>
                <w:sz w:val="21"/>
                <w:szCs w:val="21"/>
                <w:lang w:val="en-US" w:eastAsia="zh-CN"/>
              </w:rPr>
              <w:t>1</w:t>
            </w:r>
            <w:r>
              <w:rPr>
                <w:rFonts w:hint="default" w:ascii="Times New Roman" w:hAnsi="Times New Roman" w:cs="Times New Roman"/>
                <w:color w:val="000000" w:themeColor="text1"/>
                <w:sz w:val="21"/>
                <w:szCs w:val="21"/>
              </w:rPr>
              <w:t>。</w:t>
            </w:r>
          </w:p>
          <w:p w14:paraId="50199EF1">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cs="Times New Roman"/>
                <w:color w:val="000000" w:themeColor="text1"/>
              </w:rPr>
            </w:pPr>
            <w:r>
              <w:rPr>
                <w:rFonts w:hint="default" w:cs="Times New Roman"/>
                <w:color w:val="000000" w:themeColor="text1"/>
              </w:rPr>
              <w:t>表2-</w:t>
            </w:r>
            <w:r>
              <w:rPr>
                <w:rFonts w:hint="eastAsia" w:cs="Times New Roman"/>
                <w:color w:val="000000" w:themeColor="text1"/>
                <w:lang w:val="en-US" w:eastAsia="zh-CN"/>
              </w:rPr>
              <w:t>1</w:t>
            </w:r>
            <w:r>
              <w:rPr>
                <w:rFonts w:hint="default" w:cs="Times New Roman"/>
                <w:color w:val="000000" w:themeColor="text1"/>
              </w:rPr>
              <w:t xml:space="preserve">  项目建设组成一览表 </w:t>
            </w:r>
          </w:p>
          <w:tbl>
            <w:tblPr>
              <w:tblStyle w:val="4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73"/>
              <w:gridCol w:w="617"/>
              <w:gridCol w:w="827"/>
              <w:gridCol w:w="1425"/>
              <w:gridCol w:w="3959"/>
              <w:gridCol w:w="597"/>
            </w:tblGrid>
            <w:tr w14:paraId="55684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58" w:type="pct"/>
                  <w:noWrap w:val="0"/>
                  <w:vAlign w:val="center"/>
                </w:tcPr>
                <w:p w14:paraId="0242A4C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b/>
                      <w:bCs/>
                      <w:color w:val="000000" w:themeColor="text1"/>
                    </w:rPr>
                  </w:pPr>
                  <w:r>
                    <w:rPr>
                      <w:rFonts w:hint="default" w:cs="Times New Roman"/>
                      <w:b/>
                      <w:bCs/>
                      <w:color w:val="000000" w:themeColor="text1"/>
                    </w:rPr>
                    <w:t>工程类别</w:t>
                  </w:r>
                </w:p>
              </w:tc>
              <w:tc>
                <w:tcPr>
                  <w:tcW w:w="902" w:type="pct"/>
                  <w:gridSpan w:val="2"/>
                  <w:noWrap w:val="0"/>
                  <w:vAlign w:val="center"/>
                </w:tcPr>
                <w:p w14:paraId="47D64CE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b/>
                      <w:bCs/>
                      <w:color w:val="000000" w:themeColor="text1"/>
                    </w:rPr>
                  </w:pPr>
                  <w:r>
                    <w:rPr>
                      <w:rFonts w:hint="default" w:cs="Times New Roman"/>
                      <w:b/>
                      <w:bCs/>
                      <w:color w:val="000000" w:themeColor="text1"/>
                    </w:rPr>
                    <w:t>项目名称</w:t>
                  </w:r>
                </w:p>
              </w:tc>
              <w:tc>
                <w:tcPr>
                  <w:tcW w:w="3365" w:type="pct"/>
                  <w:gridSpan w:val="2"/>
                  <w:noWrap w:val="0"/>
                  <w:vAlign w:val="center"/>
                </w:tcPr>
                <w:p w14:paraId="37D7C36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b/>
                      <w:bCs/>
                      <w:color w:val="000000" w:themeColor="text1"/>
                    </w:rPr>
                  </w:pPr>
                  <w:r>
                    <w:rPr>
                      <w:rFonts w:hint="default" w:cs="Times New Roman"/>
                      <w:b/>
                      <w:bCs/>
                      <w:color w:val="000000" w:themeColor="text1"/>
                    </w:rPr>
                    <w:t>内容及规模</w:t>
                  </w:r>
                </w:p>
              </w:tc>
              <w:tc>
                <w:tcPr>
                  <w:tcW w:w="373" w:type="pct"/>
                  <w:noWrap w:val="0"/>
                  <w:vAlign w:val="center"/>
                </w:tcPr>
                <w:p w14:paraId="7E01E6A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b/>
                      <w:bCs/>
                      <w:color w:val="000000" w:themeColor="text1"/>
                    </w:rPr>
                  </w:pPr>
                  <w:r>
                    <w:rPr>
                      <w:rFonts w:hint="default" w:cs="Times New Roman"/>
                      <w:b/>
                      <w:bCs/>
                      <w:color w:val="000000" w:themeColor="text1"/>
                    </w:rPr>
                    <w:t>备注</w:t>
                  </w:r>
                </w:p>
              </w:tc>
            </w:tr>
            <w:tr w14:paraId="19405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58" w:type="pct"/>
                  <w:vMerge w:val="restart"/>
                  <w:noWrap w:val="0"/>
                  <w:vAlign w:val="center"/>
                </w:tcPr>
                <w:p w14:paraId="0DCA57EA">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主体工程</w:t>
                  </w:r>
                </w:p>
              </w:tc>
              <w:tc>
                <w:tcPr>
                  <w:tcW w:w="902" w:type="pct"/>
                  <w:gridSpan w:val="2"/>
                  <w:noWrap w:val="0"/>
                  <w:vAlign w:val="center"/>
                </w:tcPr>
                <w:p w14:paraId="6B2D5962">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lang w:val="en-US" w:eastAsia="zh-CN"/>
                    </w:rPr>
                  </w:pPr>
                  <w:r>
                    <w:rPr>
                      <w:rFonts w:hint="eastAsia" w:eastAsia="宋体" w:cs="Times New Roman"/>
                      <w:color w:val="000000" w:themeColor="text1"/>
                      <w:lang w:val="en-US" w:eastAsia="zh-CN"/>
                    </w:rPr>
                    <w:t>1#生产车间</w:t>
                  </w:r>
                </w:p>
              </w:tc>
              <w:tc>
                <w:tcPr>
                  <w:tcW w:w="3365" w:type="pct"/>
                  <w:gridSpan w:val="2"/>
                  <w:noWrap w:val="0"/>
                  <w:vAlign w:val="center"/>
                </w:tcPr>
                <w:p w14:paraId="3B86C6FD">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cs="Times New Roman"/>
                      <w:color w:val="000000" w:themeColor="text1"/>
                    </w:rPr>
                  </w:pPr>
                  <w:r>
                    <w:rPr>
                      <w:rFonts w:hint="eastAsia" w:cs="Times New Roman"/>
                      <w:color w:val="000000" w:themeColor="text1"/>
                      <w:lang w:val="en-US" w:eastAsia="zh-CN"/>
                    </w:rPr>
                    <w:t>1F，占地面积1545.6m</w:t>
                  </w:r>
                  <w:r>
                    <w:rPr>
                      <w:rFonts w:hint="eastAsia" w:cs="Times New Roman"/>
                      <w:color w:val="000000" w:themeColor="text1"/>
                      <w:vertAlign w:val="superscript"/>
                      <w:lang w:val="en-US" w:eastAsia="zh-CN"/>
                    </w:rPr>
                    <w:t>2</w:t>
                  </w:r>
                  <w:r>
                    <w:rPr>
                      <w:rFonts w:hint="eastAsia" w:cs="Times New Roman"/>
                      <w:color w:val="000000" w:themeColor="text1"/>
                      <w:vertAlign w:val="baseline"/>
                      <w:lang w:val="en-US" w:eastAsia="zh-CN"/>
                    </w:rPr>
                    <w:t>，</w:t>
                  </w:r>
                  <w:r>
                    <w:rPr>
                      <w:rFonts w:hint="default" w:cs="Times New Roman"/>
                      <w:color w:val="000000" w:themeColor="text1"/>
                    </w:rPr>
                    <w:t>整体为轻钢骨架复合彩钢板结构</w:t>
                  </w:r>
                  <w:r>
                    <w:rPr>
                      <w:rFonts w:hint="eastAsia" w:cs="Times New Roman"/>
                      <w:color w:val="000000" w:themeColor="text1"/>
                      <w:lang w:eastAsia="zh-CN"/>
                    </w:rPr>
                    <w:t>，</w:t>
                  </w:r>
                  <w:r>
                    <w:rPr>
                      <w:rFonts w:hint="eastAsia" w:cs="Times New Roman"/>
                      <w:color w:val="00B050"/>
                      <w:lang w:val="en-US" w:eastAsia="zh-CN"/>
                    </w:rPr>
                    <w:t>为封闭式车间</w:t>
                  </w:r>
                  <w:r>
                    <w:rPr>
                      <w:rFonts w:hint="default" w:cs="Times New Roman"/>
                      <w:color w:val="000000" w:themeColor="text1"/>
                    </w:rPr>
                    <w:t>，高约</w:t>
                  </w:r>
                  <w:r>
                    <w:rPr>
                      <w:rFonts w:hint="eastAsia" w:cs="Times New Roman"/>
                      <w:color w:val="000000" w:themeColor="text1"/>
                      <w:lang w:val="en-US" w:eastAsia="zh-CN"/>
                    </w:rPr>
                    <w:t>9</w:t>
                  </w:r>
                  <w:r>
                    <w:rPr>
                      <w:rFonts w:hint="default" w:cs="Times New Roman"/>
                      <w:color w:val="000000" w:themeColor="text1"/>
                    </w:rPr>
                    <w:t>m。其主要</w:t>
                  </w:r>
                  <w:r>
                    <w:rPr>
                      <w:rFonts w:hint="eastAsia" w:cs="Times New Roman"/>
                      <w:color w:val="000000" w:themeColor="text1"/>
                      <w:lang w:val="en-US" w:eastAsia="zh-CN"/>
                    </w:rPr>
                    <w:t>布置有原辅料的储存区、消防泵房、蛋盒和瓶托生产线1条和蛋盒和瓶托成品库。</w:t>
                  </w:r>
                </w:p>
              </w:tc>
              <w:tc>
                <w:tcPr>
                  <w:tcW w:w="373" w:type="pct"/>
                  <w:vMerge w:val="restart"/>
                  <w:noWrap w:val="0"/>
                  <w:vAlign w:val="center"/>
                </w:tcPr>
                <w:p w14:paraId="30B3390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lang w:val="en-US" w:eastAsia="zh-CN"/>
                    </w:rPr>
                  </w:pPr>
                  <w:r>
                    <w:rPr>
                      <w:rFonts w:hint="eastAsia" w:cs="Times New Roman"/>
                      <w:color w:val="000000" w:themeColor="text1"/>
                      <w:lang w:val="en-US" w:eastAsia="zh-CN"/>
                    </w:rPr>
                    <w:t>新建</w:t>
                  </w:r>
                </w:p>
              </w:tc>
            </w:tr>
            <w:tr w14:paraId="1995F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58" w:type="pct"/>
                  <w:vMerge w:val="continue"/>
                  <w:noWrap w:val="0"/>
                  <w:vAlign w:val="center"/>
                </w:tcPr>
                <w:p w14:paraId="339E433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p>
              </w:tc>
              <w:tc>
                <w:tcPr>
                  <w:tcW w:w="902" w:type="pct"/>
                  <w:gridSpan w:val="2"/>
                  <w:noWrap w:val="0"/>
                  <w:vAlign w:val="center"/>
                </w:tcPr>
                <w:p w14:paraId="441040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2#生产车间</w:t>
                  </w:r>
                </w:p>
              </w:tc>
              <w:tc>
                <w:tcPr>
                  <w:tcW w:w="3365" w:type="pct"/>
                  <w:gridSpan w:val="2"/>
                  <w:noWrap w:val="0"/>
                  <w:vAlign w:val="center"/>
                </w:tcPr>
                <w:p w14:paraId="61D1C34B">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cs="Times New Roman"/>
                      <w:color w:val="000000" w:themeColor="text1"/>
                    </w:rPr>
                  </w:pPr>
                  <w:r>
                    <w:rPr>
                      <w:rFonts w:hint="eastAsia" w:cs="Times New Roman"/>
                      <w:color w:val="000000" w:themeColor="text1"/>
                      <w:lang w:val="en-US" w:eastAsia="zh-CN"/>
                    </w:rPr>
                    <w:t>1F，占地面积2232.1m</w:t>
                  </w:r>
                  <w:r>
                    <w:rPr>
                      <w:rFonts w:hint="eastAsia" w:cs="Times New Roman"/>
                      <w:color w:val="000000" w:themeColor="text1"/>
                      <w:vertAlign w:val="superscript"/>
                      <w:lang w:val="en-US" w:eastAsia="zh-CN"/>
                    </w:rPr>
                    <w:t>2</w:t>
                  </w:r>
                  <w:r>
                    <w:rPr>
                      <w:rFonts w:hint="eastAsia" w:cs="Times New Roman"/>
                      <w:color w:val="000000" w:themeColor="text1"/>
                      <w:vertAlign w:val="baseline"/>
                      <w:lang w:val="en-US" w:eastAsia="zh-CN"/>
                    </w:rPr>
                    <w:t>，</w:t>
                  </w:r>
                  <w:r>
                    <w:rPr>
                      <w:rFonts w:hint="default" w:cs="Times New Roman"/>
                      <w:color w:val="000000" w:themeColor="text1"/>
                    </w:rPr>
                    <w:t>为轻钢骨架复合彩钢板结构，</w:t>
                  </w:r>
                  <w:r>
                    <w:rPr>
                      <w:rFonts w:hint="default" w:cs="Times New Roman"/>
                      <w:color w:val="00B050"/>
                      <w:lang w:val="en-US" w:eastAsia="zh-CN"/>
                    </w:rPr>
                    <w:t>为封闭式车间</w:t>
                  </w:r>
                  <w:r>
                    <w:rPr>
                      <w:rFonts w:hint="default" w:cs="Times New Roman"/>
                      <w:color w:val="000000" w:themeColor="text1"/>
                    </w:rPr>
                    <w:t>，</w:t>
                  </w:r>
                  <w:r>
                    <w:rPr>
                      <w:rFonts w:hint="eastAsia" w:cs="Times New Roman"/>
                      <w:color w:val="000000" w:themeColor="text1"/>
                      <w:lang w:val="en-US" w:eastAsia="zh-CN"/>
                    </w:rPr>
                    <w:t>高约9m；根据功能分为制料区、成型区、干燥区、打包区和成品储存区</w:t>
                  </w:r>
                  <w:r>
                    <w:rPr>
                      <w:rFonts w:hint="default" w:cs="Times New Roman"/>
                      <w:color w:val="000000" w:themeColor="text1"/>
                    </w:rPr>
                    <w:t>，主要设置</w:t>
                  </w:r>
                  <w:r>
                    <w:rPr>
                      <w:rFonts w:hint="eastAsia" w:cs="Times New Roman"/>
                      <w:color w:val="000000" w:themeColor="text1"/>
                      <w:lang w:val="en-US" w:eastAsia="zh-CN"/>
                    </w:rPr>
                    <w:t>水力制料机、搅拌机、成型机、烘干炉和定型机</w:t>
                  </w:r>
                  <w:r>
                    <w:rPr>
                      <w:rFonts w:hint="default" w:cs="Times New Roman"/>
                      <w:color w:val="000000" w:themeColor="text1"/>
                    </w:rPr>
                    <w:t>等设备</w:t>
                  </w:r>
                  <w:r>
                    <w:rPr>
                      <w:rFonts w:hint="eastAsia" w:cs="Times New Roman"/>
                      <w:color w:val="000000" w:themeColor="text1"/>
                      <w:lang w:eastAsia="zh-CN"/>
                    </w:rPr>
                    <w:t>，</w:t>
                  </w:r>
                  <w:r>
                    <w:rPr>
                      <w:rFonts w:hint="eastAsia" w:cs="Times New Roman"/>
                      <w:color w:val="000000" w:themeColor="text1"/>
                      <w:lang w:val="en-US" w:eastAsia="zh-CN"/>
                    </w:rPr>
                    <w:t>设置有蛋托生产线1条，果托生产线1条及其公辅设施</w:t>
                  </w:r>
                  <w:r>
                    <w:rPr>
                      <w:rFonts w:hint="default" w:cs="Times New Roman"/>
                      <w:color w:val="000000" w:themeColor="text1"/>
                    </w:rPr>
                    <w:t>。</w:t>
                  </w:r>
                </w:p>
              </w:tc>
              <w:tc>
                <w:tcPr>
                  <w:tcW w:w="373" w:type="pct"/>
                  <w:vMerge w:val="continue"/>
                  <w:noWrap w:val="0"/>
                  <w:vAlign w:val="center"/>
                </w:tcPr>
                <w:p w14:paraId="292F40ED">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p>
              </w:tc>
            </w:tr>
            <w:tr w14:paraId="3EDC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58" w:type="pct"/>
                  <w:vMerge w:val="restart"/>
                  <w:noWrap w:val="0"/>
                  <w:vAlign w:val="center"/>
                </w:tcPr>
                <w:p w14:paraId="53AF5703">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辅助工程</w:t>
                  </w:r>
                </w:p>
              </w:tc>
              <w:tc>
                <w:tcPr>
                  <w:tcW w:w="902" w:type="pct"/>
                  <w:gridSpan w:val="2"/>
                  <w:noWrap w:val="0"/>
                  <w:vAlign w:val="center"/>
                </w:tcPr>
                <w:p w14:paraId="6727385A">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办公</w:t>
                  </w:r>
                  <w:r>
                    <w:rPr>
                      <w:rFonts w:hint="eastAsia" w:cs="Times New Roman"/>
                      <w:color w:val="000000" w:themeColor="text1"/>
                      <w:lang w:val="en-US" w:eastAsia="zh-CN"/>
                    </w:rPr>
                    <w:t>生活</w:t>
                  </w:r>
                  <w:r>
                    <w:rPr>
                      <w:rFonts w:hint="default" w:cs="Times New Roman"/>
                      <w:color w:val="000000" w:themeColor="text1"/>
                    </w:rPr>
                    <w:t>区</w:t>
                  </w:r>
                </w:p>
              </w:tc>
              <w:tc>
                <w:tcPr>
                  <w:tcW w:w="3365" w:type="pct"/>
                  <w:gridSpan w:val="2"/>
                  <w:noWrap w:val="0"/>
                  <w:vAlign w:val="center"/>
                </w:tcPr>
                <w:p w14:paraId="10DD3578">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both"/>
                    <w:textAlignment w:val="auto"/>
                    <w:rPr>
                      <w:rFonts w:hint="default" w:cs="Times New Roman"/>
                      <w:color w:val="000000" w:themeColor="text1"/>
                    </w:rPr>
                  </w:pPr>
                  <w:r>
                    <w:rPr>
                      <w:rFonts w:hint="eastAsia" w:cs="Times New Roman"/>
                      <w:color w:val="000000" w:themeColor="text1"/>
                      <w:lang w:val="en-US" w:eastAsia="zh-CN"/>
                    </w:rPr>
                    <w:t>1F，彩钢瓦钢架结构，</w:t>
                  </w:r>
                  <w:r>
                    <w:rPr>
                      <w:rFonts w:hint="default" w:cs="Times New Roman"/>
                      <w:color w:val="000000" w:themeColor="text1"/>
                    </w:rPr>
                    <w:t>办公区占地</w:t>
                  </w:r>
                  <w:r>
                    <w:rPr>
                      <w:rFonts w:hint="eastAsia" w:cs="Times New Roman"/>
                      <w:color w:val="000000" w:themeColor="text1"/>
                      <w:lang w:val="en-US" w:eastAsia="zh-CN"/>
                    </w:rPr>
                    <w:t>150</w:t>
                  </w:r>
                  <w:r>
                    <w:rPr>
                      <w:rFonts w:hint="default" w:cs="Times New Roman"/>
                      <w:color w:val="000000" w:themeColor="text1"/>
                    </w:rPr>
                    <w:t>平方米，主要为公司行政办公、开单</w:t>
                  </w:r>
                  <w:r>
                    <w:rPr>
                      <w:rFonts w:hint="eastAsia" w:cs="Times New Roman"/>
                      <w:color w:val="000000" w:themeColor="text1"/>
                      <w:lang w:eastAsia="zh-CN"/>
                    </w:rPr>
                    <w:t>、</w:t>
                  </w:r>
                  <w:r>
                    <w:rPr>
                      <w:rFonts w:hint="eastAsia" w:cs="Times New Roman"/>
                      <w:color w:val="000000" w:themeColor="text1"/>
                      <w:lang w:val="en-US" w:eastAsia="zh-CN"/>
                    </w:rPr>
                    <w:t>员工住宿</w:t>
                  </w:r>
                  <w:r>
                    <w:rPr>
                      <w:rFonts w:hint="default" w:cs="Times New Roman"/>
                      <w:color w:val="000000" w:themeColor="text1"/>
                    </w:rPr>
                    <w:t>等使用。</w:t>
                  </w:r>
                </w:p>
              </w:tc>
              <w:tc>
                <w:tcPr>
                  <w:tcW w:w="373" w:type="pct"/>
                  <w:vMerge w:val="restart"/>
                  <w:noWrap w:val="0"/>
                  <w:vAlign w:val="center"/>
                </w:tcPr>
                <w:p w14:paraId="2667B210">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lang w:val="en-US" w:eastAsia="zh-CN"/>
                    </w:rPr>
                  </w:pPr>
                  <w:r>
                    <w:rPr>
                      <w:rFonts w:hint="eastAsia" w:cs="Times New Roman"/>
                      <w:color w:val="000000" w:themeColor="text1"/>
                      <w:lang w:val="en-US" w:eastAsia="zh-CN"/>
                    </w:rPr>
                    <w:t>新建</w:t>
                  </w:r>
                </w:p>
              </w:tc>
            </w:tr>
            <w:tr w14:paraId="552AE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58" w:type="pct"/>
                  <w:vMerge w:val="continue"/>
                  <w:noWrap w:val="0"/>
                  <w:vAlign w:val="center"/>
                </w:tcPr>
                <w:p w14:paraId="533E8862">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p>
              </w:tc>
              <w:tc>
                <w:tcPr>
                  <w:tcW w:w="902" w:type="pct"/>
                  <w:gridSpan w:val="2"/>
                  <w:noWrap w:val="0"/>
                  <w:vAlign w:val="center"/>
                </w:tcPr>
                <w:p w14:paraId="4577485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lang w:val="en-US" w:eastAsia="zh-CN"/>
                    </w:rPr>
                  </w:pPr>
                  <w:r>
                    <w:rPr>
                      <w:rFonts w:hint="eastAsia" w:cs="Times New Roman"/>
                      <w:color w:val="000000" w:themeColor="text1"/>
                      <w:lang w:val="en-US" w:eastAsia="zh-CN"/>
                    </w:rPr>
                    <w:t>消防泵房</w:t>
                  </w:r>
                </w:p>
              </w:tc>
              <w:tc>
                <w:tcPr>
                  <w:tcW w:w="3365" w:type="pct"/>
                  <w:gridSpan w:val="2"/>
                  <w:noWrap w:val="0"/>
                  <w:vAlign w:val="center"/>
                </w:tcPr>
                <w:p w14:paraId="06094573">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both"/>
                    <w:textAlignment w:val="auto"/>
                    <w:rPr>
                      <w:rFonts w:hint="eastAsia" w:cs="Times New Roman"/>
                      <w:color w:val="000000" w:themeColor="text1"/>
                      <w:lang w:val="en-US" w:eastAsia="zh-CN"/>
                    </w:rPr>
                  </w:pPr>
                  <w:r>
                    <w:rPr>
                      <w:rFonts w:hint="default" w:cs="Times New Roman"/>
                      <w:color w:val="000000" w:themeColor="text1"/>
                    </w:rPr>
                    <w:t>占地</w:t>
                  </w:r>
                  <w:r>
                    <w:rPr>
                      <w:rFonts w:hint="eastAsia" w:cs="Times New Roman"/>
                      <w:color w:val="000000" w:themeColor="text1"/>
                      <w:lang w:val="en-US" w:eastAsia="zh-CN"/>
                    </w:rPr>
                    <w:t>50</w:t>
                  </w:r>
                  <w:r>
                    <w:rPr>
                      <w:rFonts w:hint="default" w:cs="Times New Roman"/>
                      <w:color w:val="000000" w:themeColor="text1"/>
                    </w:rPr>
                    <w:t>平方米</w:t>
                  </w:r>
                  <w:r>
                    <w:rPr>
                      <w:rFonts w:hint="eastAsia" w:cs="Times New Roman"/>
                      <w:color w:val="000000" w:themeColor="text1"/>
                      <w:lang w:eastAsia="zh-CN"/>
                    </w:rPr>
                    <w:t>，</w:t>
                  </w:r>
                  <w:r>
                    <w:rPr>
                      <w:rFonts w:hint="eastAsia" w:cs="Times New Roman"/>
                      <w:color w:val="000000" w:themeColor="text1"/>
                      <w:lang w:val="en-US" w:eastAsia="zh-CN"/>
                    </w:rPr>
                    <w:t>配套160m</w:t>
                  </w:r>
                  <w:r>
                    <w:rPr>
                      <w:rFonts w:hint="eastAsia" w:cs="Times New Roman"/>
                      <w:color w:val="000000" w:themeColor="text1"/>
                      <w:vertAlign w:val="superscript"/>
                      <w:lang w:val="en-US" w:eastAsia="zh-CN"/>
                    </w:rPr>
                    <w:t>3</w:t>
                  </w:r>
                  <w:r>
                    <w:rPr>
                      <w:rFonts w:hint="eastAsia" w:cs="Times New Roman"/>
                      <w:color w:val="000000" w:themeColor="text1"/>
                      <w:lang w:val="en-US" w:eastAsia="zh-CN"/>
                    </w:rPr>
                    <w:t>消防水池1个，建设于1#生产车间</w:t>
                  </w:r>
                  <w:r>
                    <w:rPr>
                      <w:rFonts w:hint="default" w:cs="Times New Roman"/>
                      <w:color w:val="000000" w:themeColor="text1"/>
                    </w:rPr>
                    <w:t>。</w:t>
                  </w:r>
                </w:p>
              </w:tc>
              <w:tc>
                <w:tcPr>
                  <w:tcW w:w="373" w:type="pct"/>
                  <w:vMerge w:val="continue"/>
                  <w:noWrap w:val="0"/>
                  <w:vAlign w:val="center"/>
                </w:tcPr>
                <w:p w14:paraId="7128FFBB">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cs="Times New Roman"/>
                      <w:color w:val="000000" w:themeColor="text1"/>
                      <w:lang w:val="en-US" w:eastAsia="zh-CN"/>
                    </w:rPr>
                  </w:pPr>
                </w:p>
              </w:tc>
            </w:tr>
            <w:tr w14:paraId="3CF95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58" w:type="pct"/>
                  <w:vMerge w:val="continue"/>
                  <w:noWrap w:val="0"/>
                  <w:vAlign w:val="center"/>
                </w:tcPr>
                <w:p w14:paraId="5456EFD9">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p>
              </w:tc>
              <w:tc>
                <w:tcPr>
                  <w:tcW w:w="902" w:type="pct"/>
                  <w:gridSpan w:val="2"/>
                  <w:noWrap w:val="0"/>
                  <w:vAlign w:val="center"/>
                </w:tcPr>
                <w:p w14:paraId="33C0178D">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lang w:val="en-US" w:eastAsia="zh-CN"/>
                    </w:rPr>
                  </w:pPr>
                  <w:r>
                    <w:rPr>
                      <w:rFonts w:hint="eastAsia" w:cs="Times New Roman"/>
                      <w:color w:val="000000" w:themeColor="text1"/>
                      <w:lang w:val="en-US" w:eastAsia="zh-CN"/>
                    </w:rPr>
                    <w:t>维修车间</w:t>
                  </w:r>
                </w:p>
              </w:tc>
              <w:tc>
                <w:tcPr>
                  <w:tcW w:w="3365" w:type="pct"/>
                  <w:gridSpan w:val="2"/>
                  <w:noWrap w:val="0"/>
                  <w:vAlign w:val="center"/>
                </w:tcPr>
                <w:p w14:paraId="58E1EE0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both"/>
                    <w:textAlignment w:val="auto"/>
                    <w:rPr>
                      <w:rFonts w:hint="eastAsia" w:cs="Times New Roman"/>
                      <w:color w:val="000000" w:themeColor="text1"/>
                      <w:lang w:val="en-US" w:eastAsia="zh-CN"/>
                    </w:rPr>
                  </w:pPr>
                  <w:r>
                    <w:rPr>
                      <w:rFonts w:hint="eastAsia" w:cs="Times New Roman"/>
                      <w:color w:val="000000" w:themeColor="text1"/>
                      <w:lang w:val="en-US" w:eastAsia="zh-CN"/>
                    </w:rPr>
                    <w:t>1F，彩钢瓦钢架结构，</w:t>
                  </w:r>
                  <w:r>
                    <w:rPr>
                      <w:rFonts w:hint="default" w:cs="Times New Roman"/>
                      <w:color w:val="000000" w:themeColor="text1"/>
                    </w:rPr>
                    <w:t>占地</w:t>
                  </w:r>
                  <w:r>
                    <w:rPr>
                      <w:rFonts w:hint="eastAsia" w:cs="Times New Roman"/>
                      <w:color w:val="000000" w:themeColor="text1"/>
                      <w:lang w:val="en-US" w:eastAsia="zh-CN"/>
                    </w:rPr>
                    <w:t>564.1</w:t>
                  </w:r>
                  <w:r>
                    <w:rPr>
                      <w:rFonts w:hint="default" w:cs="Times New Roman"/>
                      <w:color w:val="000000" w:themeColor="text1"/>
                    </w:rPr>
                    <w:t>平方米</w:t>
                  </w:r>
                  <w:r>
                    <w:rPr>
                      <w:rFonts w:hint="eastAsia" w:cs="Times New Roman"/>
                      <w:color w:val="000000" w:themeColor="text1"/>
                      <w:lang w:eastAsia="zh-CN"/>
                    </w:rPr>
                    <w:t>，</w:t>
                  </w:r>
                  <w:r>
                    <w:rPr>
                      <w:rFonts w:hint="eastAsia" w:cs="Times New Roman"/>
                      <w:color w:val="000000" w:themeColor="text1"/>
                      <w:lang w:val="en-US" w:eastAsia="zh-CN"/>
                    </w:rPr>
                    <w:t>高7.6m，用于生产设备检维修</w:t>
                  </w:r>
                  <w:r>
                    <w:rPr>
                      <w:rFonts w:hint="default" w:cs="Times New Roman"/>
                      <w:color w:val="000000" w:themeColor="text1"/>
                    </w:rPr>
                    <w:t>。</w:t>
                  </w:r>
                </w:p>
              </w:tc>
              <w:tc>
                <w:tcPr>
                  <w:tcW w:w="373" w:type="pct"/>
                  <w:vMerge w:val="continue"/>
                  <w:noWrap w:val="0"/>
                  <w:vAlign w:val="center"/>
                </w:tcPr>
                <w:p w14:paraId="26B5DE82">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cs="Times New Roman"/>
                      <w:color w:val="000000" w:themeColor="text1"/>
                      <w:lang w:val="en-US" w:eastAsia="zh-CN"/>
                    </w:rPr>
                  </w:pPr>
                </w:p>
              </w:tc>
            </w:tr>
            <w:tr w14:paraId="3BF89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58" w:type="pct"/>
                  <w:vMerge w:val="continue"/>
                  <w:noWrap w:val="0"/>
                  <w:vAlign w:val="center"/>
                </w:tcPr>
                <w:p w14:paraId="6AC4B648">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p>
              </w:tc>
              <w:tc>
                <w:tcPr>
                  <w:tcW w:w="902" w:type="pct"/>
                  <w:gridSpan w:val="2"/>
                  <w:noWrap w:val="0"/>
                  <w:vAlign w:val="center"/>
                </w:tcPr>
                <w:p w14:paraId="3D4FABF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lang w:val="en-US" w:eastAsia="zh-CN"/>
                    </w:rPr>
                  </w:pPr>
                  <w:r>
                    <w:rPr>
                      <w:rFonts w:hint="eastAsia" w:cs="Times New Roman"/>
                      <w:color w:val="000000" w:themeColor="text1"/>
                      <w:lang w:val="en-US" w:eastAsia="zh-CN"/>
                    </w:rPr>
                    <w:t>烘干系统</w:t>
                  </w:r>
                </w:p>
              </w:tc>
              <w:tc>
                <w:tcPr>
                  <w:tcW w:w="3365" w:type="pct"/>
                  <w:gridSpan w:val="2"/>
                  <w:noWrap w:val="0"/>
                  <w:vAlign w:val="center"/>
                </w:tcPr>
                <w:p w14:paraId="671C8671">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both"/>
                    <w:textAlignment w:val="auto"/>
                    <w:rPr>
                      <w:rFonts w:hint="eastAsia" w:cs="Times New Roman"/>
                      <w:color w:val="000000" w:themeColor="text1"/>
                      <w:lang w:val="en-US" w:eastAsia="zh-CN"/>
                    </w:rPr>
                  </w:pPr>
                  <w:r>
                    <w:rPr>
                      <w:rFonts w:hint="eastAsia" w:cs="Times New Roman"/>
                      <w:color w:val="000000" w:themeColor="text1"/>
                      <w:lang w:val="en-US" w:eastAsia="zh-CN"/>
                    </w:rPr>
                    <w:t>项目设置蛋托生产线和果托生产线，分别设置一套烘干机。蛋托和果托湿模坯由机械输送至分别的烘干机中进行烘干，烘干机热风炉使用生物质颗粒燃料，通过燃烧生物质燃料提供热源，热气进入烘干线与蛋托直接接触，使蛋托湿模坯充分的于热气形成热交换，蛋托湿模坯水分逐渐被烘干。烘干温度为120℃-200℃,持续供热4小时。</w:t>
                  </w:r>
                </w:p>
              </w:tc>
              <w:tc>
                <w:tcPr>
                  <w:tcW w:w="373" w:type="pct"/>
                  <w:vMerge w:val="continue"/>
                  <w:noWrap w:val="0"/>
                  <w:vAlign w:val="center"/>
                </w:tcPr>
                <w:p w14:paraId="0331E463">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cs="Times New Roman"/>
                      <w:color w:val="000000" w:themeColor="text1"/>
                      <w:lang w:val="en-US" w:eastAsia="zh-CN"/>
                    </w:rPr>
                  </w:pPr>
                </w:p>
              </w:tc>
            </w:tr>
            <w:tr w14:paraId="39B3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58" w:type="pct"/>
                  <w:vMerge w:val="continue"/>
                  <w:noWrap w:val="0"/>
                  <w:vAlign w:val="center"/>
                </w:tcPr>
                <w:p w14:paraId="592FF6DA">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p>
              </w:tc>
              <w:tc>
                <w:tcPr>
                  <w:tcW w:w="902" w:type="pct"/>
                  <w:gridSpan w:val="2"/>
                  <w:noWrap w:val="0"/>
                  <w:vAlign w:val="center"/>
                </w:tcPr>
                <w:p w14:paraId="078BB86A">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lang w:val="en-US" w:eastAsia="zh-CN"/>
                    </w:rPr>
                  </w:pPr>
                  <w:r>
                    <w:rPr>
                      <w:rFonts w:hint="eastAsia" w:cs="Times New Roman"/>
                      <w:color w:val="000000" w:themeColor="text1"/>
                      <w:lang w:val="en-US" w:eastAsia="zh-CN"/>
                    </w:rPr>
                    <w:t>食堂</w:t>
                  </w:r>
                </w:p>
              </w:tc>
              <w:tc>
                <w:tcPr>
                  <w:tcW w:w="3365" w:type="pct"/>
                  <w:gridSpan w:val="2"/>
                  <w:noWrap w:val="0"/>
                  <w:vAlign w:val="center"/>
                </w:tcPr>
                <w:p w14:paraId="1E1B13B1">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cs="Times New Roman"/>
                      <w:color w:val="000000" w:themeColor="text1"/>
                    </w:rPr>
                  </w:pPr>
                  <w:r>
                    <w:rPr>
                      <w:rFonts w:hint="eastAsia" w:cs="Times New Roman"/>
                      <w:color w:val="000000" w:themeColor="text1"/>
                      <w:lang w:val="en-US" w:eastAsia="zh-CN"/>
                    </w:rPr>
                    <w:t>1F，彩钢瓦钢架结构，食堂</w:t>
                  </w:r>
                  <w:r>
                    <w:rPr>
                      <w:rFonts w:hint="default" w:cs="Times New Roman"/>
                      <w:color w:val="000000" w:themeColor="text1"/>
                    </w:rPr>
                    <w:t>占地</w:t>
                  </w:r>
                  <w:r>
                    <w:rPr>
                      <w:rFonts w:hint="eastAsia" w:cs="Times New Roman"/>
                      <w:color w:val="000000" w:themeColor="text1"/>
                      <w:lang w:val="en-US" w:eastAsia="zh-CN"/>
                    </w:rPr>
                    <w:t>50</w:t>
                  </w:r>
                  <w:r>
                    <w:rPr>
                      <w:rFonts w:hint="default" w:cs="Times New Roman"/>
                      <w:color w:val="000000" w:themeColor="text1"/>
                    </w:rPr>
                    <w:t>平方米。</w:t>
                  </w:r>
                </w:p>
              </w:tc>
              <w:tc>
                <w:tcPr>
                  <w:tcW w:w="373" w:type="pct"/>
                  <w:vMerge w:val="continue"/>
                  <w:noWrap w:val="0"/>
                  <w:vAlign w:val="center"/>
                </w:tcPr>
                <w:p w14:paraId="5B591656">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p>
              </w:tc>
            </w:tr>
            <w:tr w14:paraId="1A0CD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58" w:type="pct"/>
                  <w:vMerge w:val="restart"/>
                  <w:noWrap w:val="0"/>
                  <w:vAlign w:val="center"/>
                </w:tcPr>
                <w:p w14:paraId="733915ED">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公用工程</w:t>
                  </w:r>
                </w:p>
              </w:tc>
              <w:tc>
                <w:tcPr>
                  <w:tcW w:w="902" w:type="pct"/>
                  <w:gridSpan w:val="2"/>
                  <w:noWrap w:val="0"/>
                  <w:vAlign w:val="center"/>
                </w:tcPr>
                <w:p w14:paraId="77AB25F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供水</w:t>
                  </w:r>
                </w:p>
              </w:tc>
              <w:tc>
                <w:tcPr>
                  <w:tcW w:w="3365" w:type="pct"/>
                  <w:gridSpan w:val="2"/>
                  <w:noWrap w:val="0"/>
                  <w:vAlign w:val="center"/>
                </w:tcPr>
                <w:p w14:paraId="11727891">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由</w:t>
                  </w:r>
                  <w:r>
                    <w:rPr>
                      <w:rFonts w:hint="eastAsia" w:cs="Times New Roman"/>
                      <w:color w:val="000000" w:themeColor="text1"/>
                      <w:lang w:val="en-US" w:eastAsia="zh-CN"/>
                    </w:rPr>
                    <w:t>园区</w:t>
                  </w:r>
                  <w:r>
                    <w:rPr>
                      <w:rFonts w:hint="default" w:cs="Times New Roman"/>
                      <w:color w:val="000000" w:themeColor="text1"/>
                    </w:rPr>
                    <w:t>供水管网供水。</w:t>
                  </w:r>
                </w:p>
              </w:tc>
              <w:tc>
                <w:tcPr>
                  <w:tcW w:w="373" w:type="pct"/>
                  <w:vMerge w:val="restart"/>
                  <w:noWrap w:val="0"/>
                  <w:vAlign w:val="center"/>
                </w:tcPr>
                <w:p w14:paraId="2A09BA6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lang w:val="en-US" w:eastAsia="zh-CN"/>
                    </w:rPr>
                  </w:pPr>
                  <w:r>
                    <w:rPr>
                      <w:rFonts w:hint="eastAsia" w:cs="Times New Roman"/>
                      <w:color w:val="000000" w:themeColor="text1"/>
                      <w:lang w:val="en-US" w:eastAsia="zh-CN"/>
                    </w:rPr>
                    <w:t>新建</w:t>
                  </w:r>
                </w:p>
              </w:tc>
            </w:tr>
            <w:tr w14:paraId="2D477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58" w:type="pct"/>
                  <w:vMerge w:val="continue"/>
                  <w:noWrap w:val="0"/>
                  <w:vAlign w:val="center"/>
                </w:tcPr>
                <w:p w14:paraId="77FCCC5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p>
              </w:tc>
              <w:tc>
                <w:tcPr>
                  <w:tcW w:w="902" w:type="pct"/>
                  <w:gridSpan w:val="2"/>
                  <w:noWrap w:val="0"/>
                  <w:vAlign w:val="center"/>
                </w:tcPr>
                <w:p w14:paraId="3B95585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排水</w:t>
                  </w:r>
                </w:p>
              </w:tc>
              <w:tc>
                <w:tcPr>
                  <w:tcW w:w="3365" w:type="pct"/>
                  <w:gridSpan w:val="2"/>
                  <w:noWrap w:val="0"/>
                  <w:vAlign w:val="center"/>
                </w:tcPr>
                <w:p w14:paraId="4BE5152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cs="Times New Roman"/>
                      <w:color w:val="000000" w:themeColor="text1"/>
                    </w:rPr>
                  </w:pPr>
                  <w:r>
                    <w:rPr>
                      <w:rFonts w:hint="eastAsia" w:ascii="宋体" w:hAnsi="宋体" w:cs="宋体"/>
                      <w:color w:val="000000" w:themeColor="text1"/>
                    </w:rPr>
                    <w:t>①</w:t>
                  </w:r>
                  <w:r>
                    <w:rPr>
                      <w:rFonts w:hint="default" w:cs="Times New Roman"/>
                      <w:color w:val="000000" w:themeColor="text1"/>
                    </w:rPr>
                    <w:t>雨水：</w:t>
                  </w:r>
                  <w:r>
                    <w:rPr>
                      <w:rFonts w:hint="eastAsia" w:cs="Times New Roman"/>
                      <w:color w:val="00B050"/>
                      <w:lang w:val="en-US" w:eastAsia="zh-CN"/>
                    </w:rPr>
                    <w:t>本项目生产线和原料、成品贮存区均在车间内，故</w:t>
                  </w:r>
                  <w:r>
                    <w:rPr>
                      <w:rFonts w:hint="default" w:cs="Times New Roman"/>
                      <w:color w:val="000000" w:themeColor="text1"/>
                    </w:rPr>
                    <w:t>雨水经</w:t>
                  </w:r>
                  <w:r>
                    <w:rPr>
                      <w:rFonts w:hint="eastAsia" w:cs="Times New Roman"/>
                      <w:color w:val="000000" w:themeColor="text1"/>
                      <w:lang w:val="en-US" w:eastAsia="zh-CN"/>
                    </w:rPr>
                    <w:t>雨水管道</w:t>
                  </w:r>
                  <w:r>
                    <w:rPr>
                      <w:rFonts w:hint="default" w:cs="Times New Roman"/>
                      <w:color w:val="000000" w:themeColor="text1"/>
                    </w:rPr>
                    <w:t>收集后排入附近</w:t>
                  </w:r>
                  <w:r>
                    <w:rPr>
                      <w:rFonts w:hint="eastAsia" w:cs="Times New Roman"/>
                      <w:color w:val="000000" w:themeColor="text1"/>
                      <w:lang w:val="en-US" w:eastAsia="zh-CN"/>
                    </w:rPr>
                    <w:t>园区</w:t>
                  </w:r>
                  <w:r>
                    <w:rPr>
                      <w:rFonts w:hint="default" w:cs="Times New Roman"/>
                      <w:color w:val="000000" w:themeColor="text1"/>
                    </w:rPr>
                    <w:t>雨水</w:t>
                  </w:r>
                  <w:r>
                    <w:rPr>
                      <w:rFonts w:hint="eastAsia" w:cs="Times New Roman"/>
                      <w:color w:val="000000" w:themeColor="text1"/>
                      <w:lang w:val="en-US" w:eastAsia="zh-CN"/>
                    </w:rPr>
                    <w:t>管网</w:t>
                  </w:r>
                  <w:r>
                    <w:rPr>
                      <w:rFonts w:hint="default" w:cs="Times New Roman"/>
                      <w:color w:val="000000" w:themeColor="text1"/>
                    </w:rPr>
                    <w:t>。</w:t>
                  </w:r>
                </w:p>
                <w:p w14:paraId="46F5FEBC">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cs="Times New Roman"/>
                      <w:color w:val="000000" w:themeColor="text1"/>
                    </w:rPr>
                  </w:pPr>
                  <w:r>
                    <w:rPr>
                      <w:rFonts w:hint="eastAsia" w:ascii="宋体" w:hAnsi="宋体" w:cs="宋体"/>
                      <w:color w:val="000000" w:themeColor="text1"/>
                    </w:rPr>
                    <w:t>②</w:t>
                  </w:r>
                  <w:r>
                    <w:rPr>
                      <w:rFonts w:hint="default" w:cs="Times New Roman"/>
                      <w:color w:val="000000" w:themeColor="text1"/>
                    </w:rPr>
                    <w:t>食堂废水经隔油池</w:t>
                  </w:r>
                  <w:r>
                    <w:rPr>
                      <w:rFonts w:hint="default" w:cs="Times New Roman"/>
                      <w:color w:val="000000" w:themeColor="text1"/>
                      <w:lang w:val="en-US" w:eastAsia="zh-CN"/>
                    </w:rPr>
                    <w:t>（TW001）</w:t>
                  </w:r>
                  <w:r>
                    <w:rPr>
                      <w:rFonts w:hint="default" w:cs="Times New Roman"/>
                      <w:color w:val="000000" w:themeColor="text1"/>
                    </w:rPr>
                    <w:t>处理后和其他生活废水排入化粪池</w:t>
                  </w:r>
                  <w:r>
                    <w:rPr>
                      <w:rFonts w:hint="default" w:cs="Times New Roman"/>
                      <w:color w:val="000000" w:themeColor="text1"/>
                      <w:lang w:val="en-US" w:eastAsia="zh-CN"/>
                    </w:rPr>
                    <w:t>（TW00</w:t>
                  </w:r>
                  <w:r>
                    <w:rPr>
                      <w:rFonts w:hint="eastAsia" w:cs="Times New Roman"/>
                      <w:color w:val="000000" w:themeColor="text1"/>
                      <w:lang w:val="en-US" w:eastAsia="zh-CN"/>
                    </w:rPr>
                    <w:t>2</w:t>
                  </w:r>
                  <w:r>
                    <w:rPr>
                      <w:rFonts w:hint="default" w:cs="Times New Roman"/>
                      <w:color w:val="000000" w:themeColor="text1"/>
                      <w:lang w:val="en-US" w:eastAsia="zh-CN"/>
                    </w:rPr>
                    <w:t>）</w:t>
                  </w:r>
                  <w:r>
                    <w:rPr>
                      <w:rFonts w:hint="default" w:cs="Times New Roman"/>
                      <w:color w:val="000000" w:themeColor="text1"/>
                    </w:rPr>
                    <w:t>处理</w:t>
                  </w:r>
                  <w:r>
                    <w:rPr>
                      <w:rFonts w:hint="eastAsia" w:cs="Times New Roman"/>
                      <w:color w:val="000000" w:themeColor="text1"/>
                      <w:lang w:val="en-US" w:eastAsia="zh-CN"/>
                    </w:rPr>
                    <w:t>后接管园区生活污水处理厂处理</w:t>
                  </w:r>
                  <w:r>
                    <w:rPr>
                      <w:rFonts w:hint="eastAsia" w:cs="Times New Roman"/>
                      <w:color w:val="000000" w:themeColor="text1"/>
                    </w:rPr>
                    <w:t>；生产废水</w:t>
                  </w:r>
                  <w:r>
                    <w:rPr>
                      <w:rFonts w:hint="eastAsia" w:cs="Times New Roman"/>
                      <w:color w:val="000000" w:themeColor="text1"/>
                      <w:lang w:val="en-US" w:eastAsia="zh-CN"/>
                    </w:rPr>
                    <w:t>循环使用</w:t>
                  </w:r>
                  <w:r>
                    <w:rPr>
                      <w:rFonts w:hint="eastAsia" w:cs="Times New Roman"/>
                      <w:color w:val="000000" w:themeColor="text1"/>
                    </w:rPr>
                    <w:t>，不外排。</w:t>
                  </w:r>
                </w:p>
              </w:tc>
              <w:tc>
                <w:tcPr>
                  <w:tcW w:w="373" w:type="pct"/>
                  <w:vMerge w:val="continue"/>
                  <w:noWrap w:val="0"/>
                  <w:vAlign w:val="center"/>
                </w:tcPr>
                <w:p w14:paraId="0657E0B0">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p>
              </w:tc>
            </w:tr>
            <w:tr w14:paraId="4977C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58" w:type="pct"/>
                  <w:vMerge w:val="continue"/>
                  <w:noWrap w:val="0"/>
                  <w:vAlign w:val="center"/>
                </w:tcPr>
                <w:p w14:paraId="5FBC06C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p>
              </w:tc>
              <w:tc>
                <w:tcPr>
                  <w:tcW w:w="902" w:type="pct"/>
                  <w:gridSpan w:val="2"/>
                  <w:noWrap w:val="0"/>
                  <w:vAlign w:val="center"/>
                </w:tcPr>
                <w:p w14:paraId="2CC65EE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供电</w:t>
                  </w:r>
                </w:p>
              </w:tc>
              <w:tc>
                <w:tcPr>
                  <w:tcW w:w="3365" w:type="pct"/>
                  <w:gridSpan w:val="2"/>
                  <w:noWrap w:val="0"/>
                  <w:vAlign w:val="center"/>
                </w:tcPr>
                <w:p w14:paraId="1657CD56">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由</w:t>
                  </w:r>
                  <w:r>
                    <w:rPr>
                      <w:rFonts w:hint="eastAsia" w:cs="Times New Roman"/>
                      <w:color w:val="000000" w:themeColor="text1"/>
                      <w:lang w:val="en-US" w:eastAsia="zh-CN"/>
                    </w:rPr>
                    <w:t>园区供</w:t>
                  </w:r>
                  <w:r>
                    <w:rPr>
                      <w:rFonts w:hint="default" w:cs="Times New Roman"/>
                      <w:color w:val="000000" w:themeColor="text1"/>
                    </w:rPr>
                    <w:t>电网</w:t>
                  </w:r>
                  <w:r>
                    <w:rPr>
                      <w:rFonts w:hint="eastAsia" w:cs="Times New Roman"/>
                      <w:color w:val="000000" w:themeColor="text1"/>
                      <w:lang w:val="en-US" w:eastAsia="zh-CN"/>
                    </w:rPr>
                    <w:t>经项目设置的配电房（占地93.8m</w:t>
                  </w:r>
                  <w:r>
                    <w:rPr>
                      <w:rFonts w:hint="eastAsia" w:cs="Times New Roman"/>
                      <w:color w:val="000000" w:themeColor="text1"/>
                      <w:vertAlign w:val="superscript"/>
                      <w:lang w:val="en-US" w:eastAsia="zh-CN"/>
                    </w:rPr>
                    <w:t>2</w:t>
                  </w:r>
                  <w:r>
                    <w:rPr>
                      <w:rFonts w:hint="eastAsia" w:cs="Times New Roman"/>
                      <w:color w:val="000000" w:themeColor="text1"/>
                      <w:lang w:val="en-US" w:eastAsia="zh-CN"/>
                    </w:rPr>
                    <w:t>）</w:t>
                  </w:r>
                  <w:r>
                    <w:rPr>
                      <w:rFonts w:hint="default" w:cs="Times New Roman"/>
                      <w:color w:val="000000" w:themeColor="text1"/>
                    </w:rPr>
                    <w:t>供给。</w:t>
                  </w:r>
                </w:p>
              </w:tc>
              <w:tc>
                <w:tcPr>
                  <w:tcW w:w="373" w:type="pct"/>
                  <w:vMerge w:val="continue"/>
                  <w:noWrap w:val="0"/>
                  <w:vAlign w:val="center"/>
                </w:tcPr>
                <w:p w14:paraId="6E9E2489">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p>
              </w:tc>
            </w:tr>
            <w:tr w14:paraId="437DA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58" w:type="pct"/>
                  <w:vMerge w:val="restart"/>
                  <w:noWrap w:val="0"/>
                  <w:vAlign w:val="center"/>
                </w:tcPr>
                <w:p w14:paraId="384108F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环保工程</w:t>
                  </w:r>
                </w:p>
              </w:tc>
              <w:tc>
                <w:tcPr>
                  <w:tcW w:w="385" w:type="pct"/>
                  <w:vMerge w:val="restart"/>
                  <w:noWrap w:val="0"/>
                  <w:vAlign w:val="center"/>
                </w:tcPr>
                <w:p w14:paraId="11C9735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废水处理</w:t>
                  </w:r>
                </w:p>
              </w:tc>
              <w:tc>
                <w:tcPr>
                  <w:tcW w:w="517" w:type="pct"/>
                  <w:noWrap w:val="0"/>
                  <w:vAlign w:val="center"/>
                </w:tcPr>
                <w:p w14:paraId="4EA131F3">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雨污分流系统</w:t>
                  </w:r>
                </w:p>
              </w:tc>
              <w:tc>
                <w:tcPr>
                  <w:tcW w:w="3365" w:type="pct"/>
                  <w:gridSpan w:val="2"/>
                  <w:noWrap w:val="0"/>
                  <w:vAlign w:val="center"/>
                </w:tcPr>
                <w:p w14:paraId="5395B2F0">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cs="Times New Roman"/>
                      <w:color w:val="000000" w:themeColor="text1"/>
                    </w:rPr>
                  </w:pPr>
                  <w:r>
                    <w:rPr>
                      <w:rFonts w:hint="default" w:cs="Times New Roman"/>
                      <w:color w:val="000000" w:themeColor="text1"/>
                    </w:rPr>
                    <w:t>项目</w:t>
                  </w:r>
                  <w:r>
                    <w:rPr>
                      <w:rFonts w:hint="eastAsia" w:cs="Times New Roman"/>
                      <w:color w:val="000000" w:themeColor="text1"/>
                      <w:lang w:val="en-US" w:eastAsia="zh-CN"/>
                    </w:rPr>
                    <w:t>设置</w:t>
                  </w:r>
                  <w:r>
                    <w:rPr>
                      <w:rFonts w:hint="default" w:cs="Times New Roman"/>
                      <w:color w:val="000000" w:themeColor="text1"/>
                    </w:rPr>
                    <w:t>雨污分流</w:t>
                  </w:r>
                  <w:r>
                    <w:rPr>
                      <w:rFonts w:hint="eastAsia" w:cs="Times New Roman"/>
                      <w:color w:val="000000" w:themeColor="text1"/>
                      <w:lang w:val="en-US" w:eastAsia="zh-CN"/>
                    </w:rPr>
                    <w:t>系统1套</w:t>
                  </w:r>
                  <w:r>
                    <w:rPr>
                      <w:rFonts w:hint="default" w:cs="Times New Roman"/>
                      <w:color w:val="000000" w:themeColor="text1"/>
                    </w:rPr>
                    <w:t>，雨水经</w:t>
                  </w:r>
                  <w:r>
                    <w:rPr>
                      <w:rFonts w:hint="eastAsia" w:cs="Times New Roman"/>
                      <w:color w:val="000000" w:themeColor="text1"/>
                      <w:lang w:val="en-US" w:eastAsia="zh-CN"/>
                    </w:rPr>
                    <w:t>雨水管道</w:t>
                  </w:r>
                  <w:r>
                    <w:rPr>
                      <w:rFonts w:hint="default" w:cs="Times New Roman"/>
                      <w:color w:val="000000" w:themeColor="text1"/>
                    </w:rPr>
                    <w:t>收集后排入附近</w:t>
                  </w:r>
                  <w:r>
                    <w:rPr>
                      <w:rFonts w:hint="eastAsia" w:cs="Times New Roman"/>
                      <w:color w:val="000000" w:themeColor="text1"/>
                      <w:lang w:val="en-US" w:eastAsia="zh-CN"/>
                    </w:rPr>
                    <w:t>园区</w:t>
                  </w:r>
                  <w:r>
                    <w:rPr>
                      <w:rFonts w:hint="default" w:cs="Times New Roman"/>
                      <w:color w:val="000000" w:themeColor="text1"/>
                    </w:rPr>
                    <w:t>雨水</w:t>
                  </w:r>
                  <w:r>
                    <w:rPr>
                      <w:rFonts w:hint="eastAsia" w:cs="Times New Roman"/>
                      <w:color w:val="000000" w:themeColor="text1"/>
                      <w:lang w:val="en-US" w:eastAsia="zh-CN"/>
                    </w:rPr>
                    <w:t>管网；</w:t>
                  </w:r>
                  <w:r>
                    <w:rPr>
                      <w:rFonts w:hint="default" w:cs="Times New Roman"/>
                      <w:color w:val="000000" w:themeColor="text1"/>
                    </w:rPr>
                    <w:t>生产用水循环使用，不外排。</w:t>
                  </w:r>
                </w:p>
              </w:tc>
              <w:tc>
                <w:tcPr>
                  <w:tcW w:w="373" w:type="pct"/>
                  <w:vMerge w:val="restart"/>
                  <w:noWrap w:val="0"/>
                  <w:vAlign w:val="center"/>
                </w:tcPr>
                <w:p w14:paraId="0287B3F8">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lang w:val="en-US" w:eastAsia="zh-CN"/>
                    </w:rPr>
                  </w:pPr>
                  <w:r>
                    <w:rPr>
                      <w:rFonts w:hint="eastAsia" w:cs="Times New Roman"/>
                      <w:color w:val="000000" w:themeColor="text1"/>
                      <w:lang w:val="en-US" w:eastAsia="zh-CN"/>
                    </w:rPr>
                    <w:t>新建</w:t>
                  </w:r>
                </w:p>
              </w:tc>
            </w:tr>
            <w:tr w14:paraId="4B809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58" w:type="pct"/>
                  <w:vMerge w:val="continue"/>
                  <w:noWrap w:val="0"/>
                  <w:vAlign w:val="center"/>
                </w:tcPr>
                <w:p w14:paraId="6563D2A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p>
              </w:tc>
              <w:tc>
                <w:tcPr>
                  <w:tcW w:w="385" w:type="pct"/>
                  <w:vMerge w:val="continue"/>
                  <w:noWrap w:val="0"/>
                  <w:vAlign w:val="center"/>
                </w:tcPr>
                <w:p w14:paraId="1473A7EA">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p>
              </w:tc>
              <w:tc>
                <w:tcPr>
                  <w:tcW w:w="517" w:type="pct"/>
                  <w:noWrap w:val="0"/>
                  <w:vAlign w:val="center"/>
                </w:tcPr>
                <w:p w14:paraId="2269F79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lang w:val="en-US" w:eastAsia="zh-CN"/>
                    </w:rPr>
                  </w:pPr>
                  <w:r>
                    <w:rPr>
                      <w:rFonts w:hint="eastAsia" w:cs="Times New Roman"/>
                      <w:color w:val="000000" w:themeColor="text1"/>
                      <w:lang w:val="en-US" w:eastAsia="zh-CN"/>
                    </w:rPr>
                    <w:t>废水循环系统</w:t>
                  </w:r>
                </w:p>
              </w:tc>
              <w:tc>
                <w:tcPr>
                  <w:tcW w:w="3365" w:type="pct"/>
                  <w:gridSpan w:val="2"/>
                  <w:noWrap w:val="0"/>
                  <w:vAlign w:val="center"/>
                </w:tcPr>
                <w:p w14:paraId="4E876C68">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eastAsia="宋体" w:cs="Times New Roman"/>
                      <w:color w:val="000000" w:themeColor="text1"/>
                      <w:lang w:val="en-US" w:eastAsia="zh-CN"/>
                    </w:rPr>
                  </w:pPr>
                  <w:r>
                    <w:rPr>
                      <w:rFonts w:hint="eastAsia" w:cs="Times New Roman"/>
                      <w:color w:val="000000" w:themeColor="text1"/>
                      <w:lang w:val="en-US" w:eastAsia="zh-CN"/>
                    </w:rPr>
                    <w:t>1套，将成型废水、冷凝废水和冷却废水使用</w:t>
                  </w:r>
                  <w:r>
                    <w:rPr>
                      <w:rFonts w:hint="eastAsia" w:ascii="宋体" w:hAnsi="宋体" w:eastAsia="宋体" w:cs="宋体"/>
                      <w:color w:val="000000" w:themeColor="text1"/>
                      <w:sz w:val="21"/>
                      <w:szCs w:val="21"/>
                      <w:lang w:val="en-US" w:eastAsia="zh-CN"/>
                    </w:rPr>
                    <w:t>回流管道回用于搅拌制料工序。其循环流程为将成型、烘干和冷却废水→真空泵和回流管道→</w:t>
                  </w:r>
                  <w:r>
                    <w:rPr>
                      <w:rFonts w:hint="eastAsia" w:ascii="宋体" w:hAnsi="宋体" w:cs="宋体"/>
                      <w:color w:val="00B050"/>
                      <w:sz w:val="21"/>
                      <w:szCs w:val="21"/>
                      <w:lang w:val="en-US" w:eastAsia="zh-CN"/>
                    </w:rPr>
                    <w:t>循环水池（</w:t>
                  </w:r>
                  <w:r>
                    <w:rPr>
                      <w:rFonts w:hint="default" w:ascii="Times New Roman" w:hAnsi="Times New Roman" w:cs="Times New Roman"/>
                      <w:color w:val="00B050"/>
                      <w:sz w:val="21"/>
                      <w:szCs w:val="21"/>
                      <w:lang w:val="en-US" w:eastAsia="zh-CN"/>
                    </w:rPr>
                    <w:t>TW003</w:t>
                  </w:r>
                  <w:r>
                    <w:rPr>
                      <w:rFonts w:hint="eastAsia" w:ascii="宋体" w:hAnsi="宋体" w:cs="宋体"/>
                      <w:color w:val="00B050"/>
                      <w:sz w:val="21"/>
                      <w:szCs w:val="21"/>
                      <w:lang w:val="en-US" w:eastAsia="zh-CN"/>
                    </w:rPr>
                    <w:t>）</w:t>
                  </w:r>
                  <w:r>
                    <w:rPr>
                      <w:rFonts w:hint="eastAsia" w:ascii="宋体" w:hAnsi="宋体" w:eastAsia="宋体" w:cs="宋体"/>
                      <w:color w:val="000000" w:themeColor="text1"/>
                      <w:sz w:val="21"/>
                      <w:szCs w:val="21"/>
                      <w:lang w:val="en-US" w:eastAsia="zh-CN"/>
                    </w:rPr>
                    <w:t>→配料池→成型、烘干工序。</w:t>
                  </w:r>
                </w:p>
              </w:tc>
              <w:tc>
                <w:tcPr>
                  <w:tcW w:w="373" w:type="pct"/>
                  <w:vMerge w:val="continue"/>
                  <w:noWrap w:val="0"/>
                  <w:vAlign w:val="center"/>
                </w:tcPr>
                <w:p w14:paraId="1DE5DDF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cs="Times New Roman"/>
                      <w:color w:val="000000" w:themeColor="text1"/>
                      <w:lang w:val="en-US" w:eastAsia="zh-CN"/>
                    </w:rPr>
                  </w:pPr>
                </w:p>
              </w:tc>
            </w:tr>
            <w:tr w14:paraId="09AA3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58" w:type="pct"/>
                  <w:vMerge w:val="continue"/>
                  <w:noWrap w:val="0"/>
                  <w:vAlign w:val="center"/>
                </w:tcPr>
                <w:p w14:paraId="056A6FD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p>
              </w:tc>
              <w:tc>
                <w:tcPr>
                  <w:tcW w:w="385" w:type="pct"/>
                  <w:vMerge w:val="continue"/>
                  <w:noWrap w:val="0"/>
                  <w:vAlign w:val="center"/>
                </w:tcPr>
                <w:p w14:paraId="6DAAAC83">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p>
              </w:tc>
              <w:tc>
                <w:tcPr>
                  <w:tcW w:w="517" w:type="pct"/>
                  <w:vMerge w:val="restart"/>
                  <w:noWrap w:val="0"/>
                  <w:vAlign w:val="center"/>
                </w:tcPr>
                <w:p w14:paraId="3DB1DC99">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生活</w:t>
                  </w:r>
                </w:p>
                <w:p w14:paraId="407BAFE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污水</w:t>
                  </w:r>
                </w:p>
              </w:tc>
              <w:tc>
                <w:tcPr>
                  <w:tcW w:w="890" w:type="pct"/>
                  <w:noWrap w:val="0"/>
                  <w:vAlign w:val="center"/>
                </w:tcPr>
                <w:p w14:paraId="6F960147">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化粪池</w:t>
                  </w:r>
                </w:p>
              </w:tc>
              <w:tc>
                <w:tcPr>
                  <w:tcW w:w="2474" w:type="pct"/>
                  <w:noWrap w:val="0"/>
                  <w:vAlign w:val="center"/>
                </w:tcPr>
                <w:p w14:paraId="4D069FFC">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cs="Times New Roman"/>
                      <w:color w:val="000000" w:themeColor="text1"/>
                    </w:rPr>
                  </w:pPr>
                  <w:r>
                    <w:rPr>
                      <w:rFonts w:hint="eastAsia" w:cs="Times New Roman"/>
                      <w:color w:val="000000" w:themeColor="text1"/>
                    </w:rPr>
                    <w:t>项目</w:t>
                  </w:r>
                  <w:r>
                    <w:rPr>
                      <w:rFonts w:hint="eastAsia" w:cs="Times New Roman"/>
                      <w:color w:val="000000" w:themeColor="text1"/>
                      <w:lang w:val="en-US" w:eastAsia="zh-CN"/>
                    </w:rPr>
                    <w:t>拟建</w:t>
                  </w:r>
                  <w:r>
                    <w:rPr>
                      <w:rFonts w:hint="default" w:cs="Times New Roman"/>
                      <w:color w:val="000000" w:themeColor="text1"/>
                    </w:rPr>
                    <w:t>1个容积为</w:t>
                  </w:r>
                  <w:r>
                    <w:rPr>
                      <w:rFonts w:hint="eastAsia" w:cs="Times New Roman"/>
                      <w:color w:val="000000" w:themeColor="text1"/>
                      <w:lang w:val="en-US" w:eastAsia="zh-CN"/>
                    </w:rPr>
                    <w:t>5</w:t>
                  </w:r>
                  <w:r>
                    <w:rPr>
                      <w:rFonts w:hint="default" w:cs="Times New Roman"/>
                      <w:color w:val="000000" w:themeColor="text1"/>
                    </w:rPr>
                    <w:t>m³的化粪池</w:t>
                  </w:r>
                  <w:r>
                    <w:rPr>
                      <w:rFonts w:hint="default" w:cs="Times New Roman"/>
                      <w:color w:val="00B050"/>
                      <w:lang w:val="en-US" w:eastAsia="zh-CN"/>
                    </w:rPr>
                    <w:t>（TW00</w:t>
                  </w:r>
                  <w:r>
                    <w:rPr>
                      <w:rFonts w:hint="eastAsia" w:cs="Times New Roman"/>
                      <w:color w:val="00B050"/>
                      <w:lang w:val="en-US" w:eastAsia="zh-CN"/>
                    </w:rPr>
                    <w:t>2</w:t>
                  </w:r>
                  <w:r>
                    <w:rPr>
                      <w:rFonts w:hint="default" w:cs="Times New Roman"/>
                      <w:color w:val="00B050"/>
                      <w:lang w:val="en-US" w:eastAsia="zh-CN"/>
                    </w:rPr>
                    <w:t>）</w:t>
                  </w:r>
                  <w:r>
                    <w:rPr>
                      <w:rFonts w:hint="default" w:cs="Times New Roman"/>
                      <w:color w:val="000000" w:themeColor="text1"/>
                    </w:rPr>
                    <w:t>，用于处理厂区内员工的生活废水。</w:t>
                  </w:r>
                </w:p>
              </w:tc>
              <w:tc>
                <w:tcPr>
                  <w:tcW w:w="373" w:type="pct"/>
                  <w:vMerge w:val="continue"/>
                  <w:noWrap w:val="0"/>
                  <w:vAlign w:val="center"/>
                </w:tcPr>
                <w:p w14:paraId="56B5140A">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p>
              </w:tc>
            </w:tr>
            <w:tr w14:paraId="69A8C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58" w:type="pct"/>
                  <w:vMerge w:val="continue"/>
                  <w:noWrap w:val="0"/>
                  <w:vAlign w:val="center"/>
                </w:tcPr>
                <w:p w14:paraId="1E0C02BB">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p>
              </w:tc>
              <w:tc>
                <w:tcPr>
                  <w:tcW w:w="385" w:type="pct"/>
                  <w:vMerge w:val="continue"/>
                  <w:noWrap w:val="0"/>
                  <w:vAlign w:val="center"/>
                </w:tcPr>
                <w:p w14:paraId="46596BFC">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p>
              </w:tc>
              <w:tc>
                <w:tcPr>
                  <w:tcW w:w="517" w:type="pct"/>
                  <w:vMerge w:val="continue"/>
                  <w:noWrap w:val="0"/>
                  <w:vAlign w:val="center"/>
                </w:tcPr>
                <w:p w14:paraId="6FDD6321">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p>
              </w:tc>
              <w:tc>
                <w:tcPr>
                  <w:tcW w:w="890" w:type="pct"/>
                  <w:noWrap w:val="0"/>
                  <w:vAlign w:val="center"/>
                </w:tcPr>
                <w:p w14:paraId="771E70D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隔油池</w:t>
                  </w:r>
                </w:p>
              </w:tc>
              <w:tc>
                <w:tcPr>
                  <w:tcW w:w="2474" w:type="pct"/>
                  <w:noWrap w:val="0"/>
                  <w:vAlign w:val="center"/>
                </w:tcPr>
                <w:p w14:paraId="7179DC32">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cs="Times New Roman"/>
                      <w:color w:val="000000" w:themeColor="text1"/>
                    </w:rPr>
                  </w:pPr>
                  <w:r>
                    <w:rPr>
                      <w:rFonts w:hint="default" w:cs="Times New Roman"/>
                      <w:color w:val="000000" w:themeColor="text1"/>
                    </w:rPr>
                    <w:t>设置1个容积为</w:t>
                  </w:r>
                  <w:r>
                    <w:rPr>
                      <w:rFonts w:hint="eastAsia" w:cs="Times New Roman"/>
                      <w:color w:val="000000" w:themeColor="text1"/>
                      <w:lang w:val="en-US" w:eastAsia="zh-CN"/>
                    </w:rPr>
                    <w:t>0.5</w:t>
                  </w:r>
                  <w:r>
                    <w:rPr>
                      <w:rFonts w:hint="default" w:cs="Times New Roman"/>
                      <w:color w:val="000000" w:themeColor="text1"/>
                    </w:rPr>
                    <w:t>m³的隔油池</w:t>
                  </w:r>
                  <w:r>
                    <w:rPr>
                      <w:rFonts w:hint="default" w:cs="Times New Roman"/>
                      <w:color w:val="00B050"/>
                      <w:lang w:val="en-US" w:eastAsia="zh-CN"/>
                    </w:rPr>
                    <w:t>（T</w:t>
                  </w:r>
                  <w:r>
                    <w:rPr>
                      <w:rFonts w:hint="eastAsia" w:cs="Times New Roman"/>
                      <w:color w:val="00B050"/>
                      <w:lang w:val="en-US" w:eastAsia="zh-CN"/>
                    </w:rPr>
                    <w:t>W</w:t>
                  </w:r>
                  <w:r>
                    <w:rPr>
                      <w:rFonts w:hint="default" w:cs="Times New Roman"/>
                      <w:color w:val="00B050"/>
                      <w:lang w:val="en-US" w:eastAsia="zh-CN"/>
                    </w:rPr>
                    <w:t>001）</w:t>
                  </w:r>
                  <w:r>
                    <w:rPr>
                      <w:rFonts w:hint="default" w:cs="Times New Roman"/>
                      <w:color w:val="000000" w:themeColor="text1"/>
                    </w:rPr>
                    <w:t>，用于处理厂区内员工的食堂废水。</w:t>
                  </w:r>
                </w:p>
              </w:tc>
              <w:tc>
                <w:tcPr>
                  <w:tcW w:w="373" w:type="pct"/>
                  <w:vMerge w:val="continue"/>
                  <w:noWrap w:val="0"/>
                  <w:vAlign w:val="center"/>
                </w:tcPr>
                <w:p w14:paraId="00CEE21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p>
              </w:tc>
            </w:tr>
            <w:tr w14:paraId="56600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0" w:hRule="atLeast"/>
                <w:jc w:val="center"/>
              </w:trPr>
              <w:tc>
                <w:tcPr>
                  <w:tcW w:w="358" w:type="pct"/>
                  <w:vMerge w:val="continue"/>
                  <w:noWrap w:val="0"/>
                  <w:vAlign w:val="center"/>
                </w:tcPr>
                <w:p w14:paraId="67BC3507">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p>
              </w:tc>
              <w:tc>
                <w:tcPr>
                  <w:tcW w:w="385" w:type="pct"/>
                  <w:vMerge w:val="restart"/>
                  <w:noWrap w:val="0"/>
                  <w:vAlign w:val="center"/>
                </w:tcPr>
                <w:p w14:paraId="64F04E0D">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废气治理</w:t>
                  </w:r>
                </w:p>
              </w:tc>
              <w:tc>
                <w:tcPr>
                  <w:tcW w:w="517" w:type="pct"/>
                  <w:noWrap w:val="0"/>
                  <w:vAlign w:val="center"/>
                </w:tcPr>
                <w:p w14:paraId="7EBB2E81">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DA001</w:t>
                  </w:r>
                </w:p>
                <w:p w14:paraId="3B53DFD7">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排气筒</w:t>
                  </w:r>
                </w:p>
              </w:tc>
              <w:tc>
                <w:tcPr>
                  <w:tcW w:w="890" w:type="pct"/>
                  <w:noWrap w:val="0"/>
                  <w:vAlign w:val="center"/>
                </w:tcPr>
                <w:p w14:paraId="16954189">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eastAsia="宋体" w:cs="Times New Roman"/>
                      <w:color w:val="000000" w:themeColor="text1"/>
                      <w:lang w:val="en-US" w:eastAsia="zh-CN"/>
                    </w:rPr>
                  </w:pPr>
                  <w:r>
                    <w:rPr>
                      <w:rFonts w:hint="eastAsia" w:cs="Times New Roman"/>
                      <w:color w:val="000000" w:themeColor="text1"/>
                      <w:lang w:val="en-US" w:eastAsia="zh-CN"/>
                    </w:rPr>
                    <w:t>烘干废气</w:t>
                  </w:r>
                </w:p>
              </w:tc>
              <w:tc>
                <w:tcPr>
                  <w:tcW w:w="2474" w:type="pct"/>
                  <w:noWrap w:val="0"/>
                  <w:vAlign w:val="center"/>
                </w:tcPr>
                <w:p w14:paraId="6617E3E3">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cs="Times New Roman"/>
                      <w:color w:val="000000" w:themeColor="text1"/>
                    </w:rPr>
                  </w:pPr>
                  <w:r>
                    <w:rPr>
                      <w:rFonts w:hint="eastAsia" w:cs="Times New Roman"/>
                      <w:color w:val="00B050"/>
                      <w:lang w:val="en-US" w:eastAsia="zh-CN"/>
                    </w:rPr>
                    <w:t>热风炉产生的废气先</w:t>
                  </w:r>
                  <w:r>
                    <w:rPr>
                      <w:rFonts w:hint="eastAsia" w:cs="Times New Roman"/>
                      <w:color w:val="00B050"/>
                    </w:rPr>
                    <w:t>经</w:t>
                  </w:r>
                  <w:r>
                    <w:rPr>
                      <w:rFonts w:hint="eastAsia" w:cs="Times New Roman"/>
                      <w:color w:val="00B050"/>
                      <w:lang w:val="en-US" w:eastAsia="zh-CN"/>
                    </w:rPr>
                    <w:t>“重力沉降+布袋除尘”（TA001）处理后进入烘干机，烘干后的废气合并经水膜除尘设施（TA001）</w:t>
                  </w:r>
                  <w:r>
                    <w:rPr>
                      <w:rFonts w:hint="eastAsia" w:cs="Times New Roman"/>
                      <w:color w:val="000000" w:themeColor="text1"/>
                    </w:rPr>
                    <w:t>处理后通过</w:t>
                  </w:r>
                  <w:r>
                    <w:rPr>
                      <w:rFonts w:hint="eastAsia" w:cs="Times New Roman"/>
                      <w:color w:val="000000" w:themeColor="text1"/>
                      <w:lang w:eastAsia="zh-CN"/>
                    </w:rPr>
                    <w:t>20</w:t>
                  </w:r>
                  <w:r>
                    <w:rPr>
                      <w:rFonts w:hint="default" w:cs="Times New Roman"/>
                      <w:color w:val="000000" w:themeColor="text1"/>
                    </w:rPr>
                    <w:t>m排气筒</w:t>
                  </w:r>
                  <w:r>
                    <w:rPr>
                      <w:rFonts w:hint="eastAsia" w:cs="Times New Roman"/>
                      <w:color w:val="000000" w:themeColor="text1"/>
                    </w:rPr>
                    <w:t>排放（DA001）。</w:t>
                  </w:r>
                </w:p>
              </w:tc>
              <w:tc>
                <w:tcPr>
                  <w:tcW w:w="373" w:type="pct"/>
                  <w:noWrap w:val="0"/>
                  <w:vAlign w:val="center"/>
                </w:tcPr>
                <w:p w14:paraId="2B534B5B">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eastAsia" w:cs="Times New Roman"/>
                      <w:color w:val="000000" w:themeColor="text1"/>
                    </w:rPr>
                    <w:t>新建</w:t>
                  </w:r>
                </w:p>
              </w:tc>
            </w:tr>
            <w:tr w14:paraId="4A557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26" w:hRule="atLeast"/>
                <w:jc w:val="center"/>
              </w:trPr>
              <w:tc>
                <w:tcPr>
                  <w:tcW w:w="358" w:type="pct"/>
                  <w:vMerge w:val="continue"/>
                  <w:noWrap w:val="0"/>
                  <w:vAlign w:val="center"/>
                </w:tcPr>
                <w:p w14:paraId="576A92AD">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p>
              </w:tc>
              <w:tc>
                <w:tcPr>
                  <w:tcW w:w="385" w:type="pct"/>
                  <w:vMerge w:val="continue"/>
                  <w:noWrap w:val="0"/>
                  <w:vAlign w:val="center"/>
                </w:tcPr>
                <w:p w14:paraId="66126FF9">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p>
              </w:tc>
              <w:tc>
                <w:tcPr>
                  <w:tcW w:w="517" w:type="pct"/>
                  <w:noWrap w:val="0"/>
                  <w:vAlign w:val="center"/>
                </w:tcPr>
                <w:p w14:paraId="59CF099C">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油烟净化系统</w:t>
                  </w:r>
                </w:p>
              </w:tc>
              <w:tc>
                <w:tcPr>
                  <w:tcW w:w="3365" w:type="pct"/>
                  <w:gridSpan w:val="2"/>
                  <w:noWrap w:val="0"/>
                  <w:vAlign w:val="center"/>
                </w:tcPr>
                <w:p w14:paraId="601E3F4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cs="Times New Roman"/>
                      <w:color w:val="000000" w:themeColor="text1"/>
                    </w:rPr>
                  </w:pPr>
                  <w:r>
                    <w:rPr>
                      <w:rFonts w:hint="default" w:cs="Times New Roman"/>
                      <w:color w:val="000000" w:themeColor="text1"/>
                    </w:rPr>
                    <w:t>本次环评要求项目在食堂内安装</w:t>
                  </w:r>
                  <w:r>
                    <w:rPr>
                      <w:rFonts w:hint="eastAsia" w:cs="Times New Roman"/>
                      <w:color w:val="000000" w:themeColor="text1"/>
                    </w:rPr>
                    <w:t>油烟机</w:t>
                  </w:r>
                  <w:r>
                    <w:rPr>
                      <w:rFonts w:hint="eastAsia" w:cs="Times New Roman"/>
                      <w:color w:val="000000" w:themeColor="text1"/>
                      <w:lang w:val="en-US" w:eastAsia="zh-CN"/>
                    </w:rPr>
                    <w:t>（</w:t>
                  </w:r>
                  <w:r>
                    <w:rPr>
                      <w:rFonts w:hint="eastAsia" w:cs="Times New Roman"/>
                      <w:color w:val="00B050"/>
                      <w:lang w:val="en-US" w:eastAsia="zh-CN"/>
                    </w:rPr>
                    <w:t>TA002</w:t>
                  </w:r>
                  <w:r>
                    <w:rPr>
                      <w:rFonts w:hint="eastAsia" w:cs="Times New Roman"/>
                      <w:color w:val="000000" w:themeColor="text1"/>
                      <w:lang w:val="en-US" w:eastAsia="zh-CN"/>
                    </w:rPr>
                    <w:t>）</w:t>
                  </w:r>
                  <w:r>
                    <w:rPr>
                      <w:rFonts w:hint="default" w:cs="Times New Roman"/>
                      <w:color w:val="000000" w:themeColor="text1"/>
                    </w:rPr>
                    <w:t>，油烟</w:t>
                  </w:r>
                  <w:r>
                    <w:rPr>
                      <w:rFonts w:hint="eastAsia" w:cs="Times New Roman"/>
                      <w:color w:val="000000" w:themeColor="text1"/>
                    </w:rPr>
                    <w:t>收集后</w:t>
                  </w:r>
                  <w:r>
                    <w:rPr>
                      <w:rFonts w:hint="default" w:cs="Times New Roman"/>
                      <w:color w:val="000000" w:themeColor="text1"/>
                    </w:rPr>
                    <w:t>从食堂外排气筒排出。</w:t>
                  </w:r>
                </w:p>
              </w:tc>
              <w:tc>
                <w:tcPr>
                  <w:tcW w:w="373" w:type="pct"/>
                  <w:noWrap w:val="0"/>
                  <w:vAlign w:val="center"/>
                </w:tcPr>
                <w:p w14:paraId="0B80D643">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eastAsia" w:cs="Times New Roman"/>
                      <w:color w:val="000000" w:themeColor="text1"/>
                    </w:rPr>
                    <w:t>新建</w:t>
                  </w:r>
                </w:p>
              </w:tc>
            </w:tr>
            <w:tr w14:paraId="19E63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58" w:type="pct"/>
                  <w:vMerge w:val="continue"/>
                  <w:noWrap w:val="0"/>
                  <w:vAlign w:val="center"/>
                </w:tcPr>
                <w:p w14:paraId="5AC82447">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p>
              </w:tc>
              <w:tc>
                <w:tcPr>
                  <w:tcW w:w="385" w:type="pct"/>
                  <w:noWrap w:val="0"/>
                  <w:vAlign w:val="center"/>
                </w:tcPr>
                <w:p w14:paraId="2D2605AA">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噪声处理</w:t>
                  </w:r>
                </w:p>
              </w:tc>
              <w:tc>
                <w:tcPr>
                  <w:tcW w:w="517" w:type="pct"/>
                  <w:noWrap w:val="0"/>
                  <w:vAlign w:val="center"/>
                </w:tcPr>
                <w:p w14:paraId="0A4DE6FD">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减震降噪设施</w:t>
                  </w:r>
                </w:p>
              </w:tc>
              <w:tc>
                <w:tcPr>
                  <w:tcW w:w="3365" w:type="pct"/>
                  <w:gridSpan w:val="2"/>
                  <w:noWrap w:val="0"/>
                  <w:vAlign w:val="center"/>
                </w:tcPr>
                <w:p w14:paraId="20F9D7B2">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主要产噪设备加装减震软垫，降低厂界噪声。</w:t>
                  </w:r>
                </w:p>
              </w:tc>
              <w:tc>
                <w:tcPr>
                  <w:tcW w:w="373" w:type="pct"/>
                  <w:noWrap w:val="0"/>
                  <w:vAlign w:val="center"/>
                </w:tcPr>
                <w:p w14:paraId="1F893148">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eastAsia" w:cs="Times New Roman"/>
                      <w:color w:val="000000" w:themeColor="text1"/>
                    </w:rPr>
                    <w:t>新建</w:t>
                  </w:r>
                </w:p>
              </w:tc>
            </w:tr>
            <w:tr w14:paraId="70A9B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58" w:type="pct"/>
                  <w:vMerge w:val="continue"/>
                  <w:noWrap w:val="0"/>
                  <w:vAlign w:val="center"/>
                </w:tcPr>
                <w:p w14:paraId="5A7111AC">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p>
              </w:tc>
              <w:tc>
                <w:tcPr>
                  <w:tcW w:w="385" w:type="pct"/>
                  <w:vMerge w:val="restart"/>
                  <w:noWrap w:val="0"/>
                  <w:vAlign w:val="center"/>
                </w:tcPr>
                <w:p w14:paraId="2B6C4E3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固体废物处理</w:t>
                  </w:r>
                </w:p>
              </w:tc>
              <w:tc>
                <w:tcPr>
                  <w:tcW w:w="517" w:type="pct"/>
                  <w:noWrap w:val="0"/>
                  <w:vAlign w:val="center"/>
                </w:tcPr>
                <w:p w14:paraId="2F6C8B5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生活</w:t>
                  </w:r>
                </w:p>
                <w:p w14:paraId="47672B8A">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垃圾</w:t>
                  </w:r>
                </w:p>
              </w:tc>
              <w:tc>
                <w:tcPr>
                  <w:tcW w:w="3365" w:type="pct"/>
                  <w:gridSpan w:val="2"/>
                  <w:noWrap w:val="0"/>
                  <w:vAlign w:val="center"/>
                </w:tcPr>
                <w:p w14:paraId="7F8BCE23">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both"/>
                    <w:textAlignment w:val="auto"/>
                    <w:rPr>
                      <w:rFonts w:hint="default" w:cs="Times New Roman"/>
                      <w:color w:val="000000" w:themeColor="text1"/>
                    </w:rPr>
                  </w:pPr>
                  <w:r>
                    <w:rPr>
                      <w:rFonts w:hint="default" w:cs="Times New Roman"/>
                      <w:color w:val="000000" w:themeColor="text1"/>
                    </w:rPr>
                    <w:t>生活垃圾经垃圾桶收集后委托</w:t>
                  </w:r>
                  <w:r>
                    <w:rPr>
                      <w:rFonts w:hint="eastAsia" w:cs="Times New Roman"/>
                      <w:color w:val="000000" w:themeColor="text1"/>
                      <w:lang w:val="en-US" w:eastAsia="zh-CN"/>
                    </w:rPr>
                    <w:t>园区</w:t>
                  </w:r>
                  <w:r>
                    <w:rPr>
                      <w:rFonts w:hint="default" w:cs="Times New Roman"/>
                      <w:color w:val="000000" w:themeColor="text1"/>
                    </w:rPr>
                    <w:t>环卫部门清运处置。</w:t>
                  </w:r>
                </w:p>
              </w:tc>
              <w:tc>
                <w:tcPr>
                  <w:tcW w:w="373" w:type="pct"/>
                  <w:noWrap w:val="0"/>
                  <w:vAlign w:val="center"/>
                </w:tcPr>
                <w:p w14:paraId="770DBBE9">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eastAsia" w:cs="Times New Roman"/>
                      <w:color w:val="000000" w:themeColor="text1"/>
                    </w:rPr>
                    <w:t>新建</w:t>
                  </w:r>
                </w:p>
              </w:tc>
            </w:tr>
            <w:tr w14:paraId="0C362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58" w:type="pct"/>
                  <w:vMerge w:val="continue"/>
                  <w:noWrap w:val="0"/>
                  <w:vAlign w:val="center"/>
                </w:tcPr>
                <w:p w14:paraId="5778126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p>
              </w:tc>
              <w:tc>
                <w:tcPr>
                  <w:tcW w:w="385" w:type="pct"/>
                  <w:vMerge w:val="continue"/>
                  <w:noWrap w:val="0"/>
                  <w:vAlign w:val="center"/>
                </w:tcPr>
                <w:p w14:paraId="5939EA99">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p>
              </w:tc>
              <w:tc>
                <w:tcPr>
                  <w:tcW w:w="517" w:type="pct"/>
                  <w:noWrap w:val="0"/>
                  <w:vAlign w:val="center"/>
                </w:tcPr>
                <w:p w14:paraId="23B355D2">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危险</w:t>
                  </w:r>
                </w:p>
                <w:p w14:paraId="593BB126">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废物</w:t>
                  </w:r>
                </w:p>
              </w:tc>
              <w:tc>
                <w:tcPr>
                  <w:tcW w:w="3365" w:type="pct"/>
                  <w:gridSpan w:val="2"/>
                  <w:noWrap w:val="0"/>
                  <w:vAlign w:val="center"/>
                </w:tcPr>
                <w:p w14:paraId="4772684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both"/>
                    <w:textAlignment w:val="auto"/>
                    <w:rPr>
                      <w:rFonts w:hint="default" w:cs="Times New Roman"/>
                      <w:color w:val="000000" w:themeColor="text1"/>
                    </w:rPr>
                  </w:pPr>
                  <w:r>
                    <w:rPr>
                      <w:rFonts w:hint="eastAsia" w:cs="Times New Roman"/>
                      <w:color w:val="000000" w:themeColor="text1"/>
                      <w:lang w:val="en-US" w:eastAsia="zh-CN"/>
                    </w:rPr>
                    <w:t>建设</w:t>
                  </w:r>
                  <w:r>
                    <w:rPr>
                      <w:rFonts w:hint="default" w:cs="Times New Roman"/>
                      <w:color w:val="000000" w:themeColor="text1"/>
                    </w:rPr>
                    <w:t>1间5㎡危险废物暂存间</w:t>
                  </w:r>
                  <w:r>
                    <w:rPr>
                      <w:rFonts w:hint="default" w:cs="Times New Roman"/>
                      <w:color w:val="00B050"/>
                      <w:lang w:val="en-US" w:eastAsia="zh-CN"/>
                    </w:rPr>
                    <w:t>（TS00</w:t>
                  </w:r>
                  <w:r>
                    <w:rPr>
                      <w:rFonts w:hint="eastAsia" w:cs="Times New Roman"/>
                      <w:color w:val="00B050"/>
                      <w:lang w:val="en-US" w:eastAsia="zh-CN"/>
                    </w:rPr>
                    <w:t>2</w:t>
                  </w:r>
                  <w:r>
                    <w:rPr>
                      <w:rFonts w:hint="default" w:cs="Times New Roman"/>
                      <w:color w:val="00B050"/>
                      <w:lang w:val="en-US" w:eastAsia="zh-CN"/>
                    </w:rPr>
                    <w:t>）</w:t>
                  </w:r>
                  <w:r>
                    <w:rPr>
                      <w:rFonts w:hint="default" w:cs="Times New Roman"/>
                      <w:color w:val="000000" w:themeColor="text1"/>
                    </w:rPr>
                    <w:t>，地面及内墙面护壁进行防渗、防风、防雨、防晒、防流失处理，防渗系数≤10</w:t>
                  </w:r>
                  <w:r>
                    <w:rPr>
                      <w:rFonts w:hint="default" w:cs="Times New Roman"/>
                      <w:color w:val="000000" w:themeColor="text1"/>
                      <w:vertAlign w:val="superscript"/>
                    </w:rPr>
                    <w:t>-10</w:t>
                  </w:r>
                  <w:r>
                    <w:rPr>
                      <w:rFonts w:hint="default" w:cs="Times New Roman"/>
                      <w:color w:val="000000" w:themeColor="text1"/>
                    </w:rPr>
                    <w:t>cm/s，设置危险废物标识牌。</w:t>
                  </w:r>
                </w:p>
              </w:tc>
              <w:tc>
                <w:tcPr>
                  <w:tcW w:w="373" w:type="pct"/>
                  <w:noWrap w:val="0"/>
                  <w:vAlign w:val="center"/>
                </w:tcPr>
                <w:p w14:paraId="702110D6">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eastAsia" w:cs="Times New Roman"/>
                      <w:color w:val="000000" w:themeColor="text1"/>
                    </w:rPr>
                    <w:t>新建</w:t>
                  </w:r>
                </w:p>
              </w:tc>
            </w:tr>
            <w:tr w14:paraId="5AFF6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58" w:type="pct"/>
                  <w:vMerge w:val="continue"/>
                  <w:noWrap w:val="0"/>
                  <w:vAlign w:val="center"/>
                </w:tcPr>
                <w:p w14:paraId="2D35D026">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p>
              </w:tc>
              <w:tc>
                <w:tcPr>
                  <w:tcW w:w="385" w:type="pct"/>
                  <w:vMerge w:val="continue"/>
                  <w:noWrap w:val="0"/>
                  <w:vAlign w:val="center"/>
                </w:tcPr>
                <w:p w14:paraId="5C9D76BB">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p>
              </w:tc>
              <w:tc>
                <w:tcPr>
                  <w:tcW w:w="517" w:type="pct"/>
                  <w:noWrap w:val="0"/>
                  <w:vAlign w:val="center"/>
                </w:tcPr>
                <w:p w14:paraId="5B54C75A">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一般固体废物</w:t>
                  </w:r>
                </w:p>
              </w:tc>
              <w:tc>
                <w:tcPr>
                  <w:tcW w:w="3365" w:type="pct"/>
                  <w:gridSpan w:val="2"/>
                  <w:noWrap w:val="0"/>
                  <w:vAlign w:val="center"/>
                </w:tcPr>
                <w:p w14:paraId="1D16E929">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both"/>
                    <w:textAlignment w:val="auto"/>
                    <w:rPr>
                      <w:rFonts w:hint="default" w:cs="Times New Roman"/>
                      <w:color w:val="000000" w:themeColor="text1"/>
                    </w:rPr>
                  </w:pPr>
                  <w:r>
                    <w:rPr>
                      <w:rFonts w:hint="default" w:cs="Times New Roman"/>
                      <w:color w:val="000000" w:themeColor="text1"/>
                    </w:rPr>
                    <w:t>设置1间</w:t>
                  </w:r>
                  <w:r>
                    <w:rPr>
                      <w:rFonts w:hint="eastAsia" w:cs="Times New Roman"/>
                      <w:color w:val="000000" w:themeColor="text1"/>
                      <w:lang w:val="en-US" w:eastAsia="zh-CN"/>
                    </w:rPr>
                    <w:t>10m</w:t>
                  </w:r>
                  <w:r>
                    <w:rPr>
                      <w:rFonts w:hint="eastAsia" w:cs="Times New Roman"/>
                      <w:color w:val="000000" w:themeColor="text1"/>
                      <w:vertAlign w:val="superscript"/>
                      <w:lang w:val="en-US" w:eastAsia="zh-CN"/>
                    </w:rPr>
                    <w:t>2</w:t>
                  </w:r>
                  <w:r>
                    <w:rPr>
                      <w:rFonts w:hint="default" w:cs="Times New Roman"/>
                      <w:color w:val="000000" w:themeColor="text1"/>
                    </w:rPr>
                    <w:t>一般固体废物摆放间</w:t>
                  </w:r>
                  <w:r>
                    <w:rPr>
                      <w:rFonts w:hint="default" w:cs="Times New Roman"/>
                      <w:color w:val="00B050"/>
                      <w:lang w:val="en-US" w:eastAsia="zh-CN"/>
                    </w:rPr>
                    <w:t>（TS001）</w:t>
                  </w:r>
                  <w:r>
                    <w:rPr>
                      <w:rFonts w:hint="default" w:cs="Times New Roman"/>
                      <w:color w:val="000000" w:themeColor="text1"/>
                    </w:rPr>
                    <w:t>，主要用于摆放废弃的原材料包装材料</w:t>
                  </w:r>
                  <w:r>
                    <w:rPr>
                      <w:rFonts w:hint="eastAsia" w:cs="Times New Roman"/>
                      <w:color w:val="000000" w:themeColor="text1"/>
                    </w:rPr>
                    <w:t>。</w:t>
                  </w:r>
                </w:p>
              </w:tc>
              <w:tc>
                <w:tcPr>
                  <w:tcW w:w="373" w:type="pct"/>
                  <w:noWrap w:val="0"/>
                  <w:vAlign w:val="center"/>
                </w:tcPr>
                <w:p w14:paraId="0D7C5846">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eastAsia" w:cs="Times New Roman"/>
                      <w:color w:val="000000" w:themeColor="text1"/>
                    </w:rPr>
                    <w:t>新建</w:t>
                  </w:r>
                </w:p>
              </w:tc>
            </w:tr>
            <w:tr w14:paraId="2B8C7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58" w:type="pct"/>
                  <w:vMerge w:val="restart"/>
                  <w:noWrap w:val="0"/>
                  <w:vAlign w:val="center"/>
                </w:tcPr>
                <w:p w14:paraId="729AC65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环境风险</w:t>
                  </w:r>
                </w:p>
              </w:tc>
              <w:tc>
                <w:tcPr>
                  <w:tcW w:w="902" w:type="pct"/>
                  <w:gridSpan w:val="2"/>
                  <w:noWrap w:val="0"/>
                  <w:vAlign w:val="center"/>
                </w:tcPr>
                <w:p w14:paraId="49F5BAFC">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防渗</w:t>
                  </w:r>
                </w:p>
              </w:tc>
              <w:tc>
                <w:tcPr>
                  <w:tcW w:w="3365" w:type="pct"/>
                  <w:gridSpan w:val="2"/>
                  <w:noWrap w:val="0"/>
                  <w:vAlign w:val="center"/>
                </w:tcPr>
                <w:p w14:paraId="3F6C61EB">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cs="Times New Roman"/>
                      <w:color w:val="000000" w:themeColor="text1"/>
                    </w:rPr>
                  </w:pPr>
                  <w:r>
                    <w:rPr>
                      <w:rFonts w:hint="eastAsia" w:ascii="宋体" w:hAnsi="宋体" w:cs="宋体"/>
                      <w:color w:val="000000" w:themeColor="text1"/>
                    </w:rPr>
                    <w:t>①</w:t>
                  </w:r>
                  <w:r>
                    <w:rPr>
                      <w:rFonts w:hint="default" w:cs="Times New Roman"/>
                      <w:color w:val="000000" w:themeColor="text1"/>
                    </w:rPr>
                    <w:t>重点防渗区域：危险废物暂存间按照</w:t>
                  </w:r>
                  <w:r>
                    <w:rPr>
                      <w:rFonts w:hint="default" w:cs="Times New Roman"/>
                      <w:color w:val="000000" w:themeColor="text1"/>
                      <w:lang w:val="en-US" w:eastAsia="zh-CN"/>
                    </w:rPr>
                    <w:t>《危险废物贮存污染控制标准》（GB18597-2023）</w:t>
                  </w:r>
                  <w:r>
                    <w:rPr>
                      <w:rFonts w:hint="default" w:cs="Times New Roman"/>
                      <w:color w:val="000000" w:themeColor="text1"/>
                    </w:rPr>
                    <w:t>中要求</w:t>
                  </w:r>
                  <w:r>
                    <w:rPr>
                      <w:rFonts w:hint="eastAsia" w:cs="Times New Roman"/>
                      <w:color w:val="000000" w:themeColor="text1"/>
                    </w:rPr>
                    <w:t>采取</w:t>
                  </w:r>
                  <w:r>
                    <w:rPr>
                      <w:rFonts w:hint="default" w:cs="Times New Roman"/>
                      <w:color w:val="000000" w:themeColor="text1"/>
                    </w:rPr>
                    <w:t>重点防渗。</w:t>
                  </w:r>
                </w:p>
                <w:p w14:paraId="5CE71189">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both"/>
                    <w:textAlignment w:val="auto"/>
                    <w:rPr>
                      <w:rFonts w:hint="default" w:cs="Times New Roman"/>
                      <w:color w:val="000000" w:themeColor="text1"/>
                    </w:rPr>
                  </w:pPr>
                  <w:r>
                    <w:rPr>
                      <w:rFonts w:hint="eastAsia" w:ascii="宋体" w:hAnsi="宋体" w:cs="宋体"/>
                      <w:color w:val="000000" w:themeColor="text1"/>
                    </w:rPr>
                    <w:t>②</w:t>
                  </w:r>
                  <w:r>
                    <w:rPr>
                      <w:rFonts w:hint="eastAsia" w:cs="Times New Roman"/>
                      <w:color w:val="000000" w:themeColor="text1"/>
                    </w:rPr>
                    <w:t>一般</w:t>
                  </w:r>
                  <w:r>
                    <w:rPr>
                      <w:rFonts w:hint="default" w:cs="Times New Roman"/>
                      <w:color w:val="000000" w:themeColor="text1"/>
                    </w:rPr>
                    <w:t>防渗区：</w:t>
                  </w:r>
                  <w:r>
                    <w:rPr>
                      <w:rFonts w:hint="eastAsia" w:cs="Times New Roman"/>
                      <w:color w:val="000000" w:themeColor="text1"/>
                      <w:lang w:val="en-US" w:eastAsia="zh-CN"/>
                    </w:rPr>
                    <w:t>生产区、事故池、贮料池</w:t>
                  </w:r>
                  <w:r>
                    <w:rPr>
                      <w:rFonts w:hint="eastAsia" w:cs="Times New Roman"/>
                      <w:color w:val="000000" w:themeColor="text1"/>
                    </w:rPr>
                    <w:t>、化粪池、隔油池等池体划定为一般防渗区</w:t>
                  </w:r>
                  <w:r>
                    <w:rPr>
                      <w:rFonts w:hint="default" w:cs="Times New Roman"/>
                      <w:color w:val="000000" w:themeColor="text1"/>
                    </w:rPr>
                    <w:t>。</w:t>
                  </w:r>
                </w:p>
                <w:p w14:paraId="40ED2A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③简单防渗区：其他区域采取一般防渗。</w:t>
                  </w:r>
                </w:p>
              </w:tc>
              <w:tc>
                <w:tcPr>
                  <w:tcW w:w="373" w:type="pct"/>
                  <w:noWrap w:val="0"/>
                  <w:vAlign w:val="center"/>
                </w:tcPr>
                <w:p w14:paraId="56E0F6D8">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eastAsia" w:cs="Times New Roman"/>
                      <w:color w:val="000000" w:themeColor="text1"/>
                    </w:rPr>
                    <w:t>新建</w:t>
                  </w:r>
                </w:p>
              </w:tc>
            </w:tr>
            <w:tr w14:paraId="41008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58" w:type="pct"/>
                  <w:vMerge w:val="continue"/>
                  <w:noWrap w:val="0"/>
                  <w:vAlign w:val="center"/>
                </w:tcPr>
                <w:p w14:paraId="7D959E83">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p>
              </w:tc>
              <w:tc>
                <w:tcPr>
                  <w:tcW w:w="902" w:type="pct"/>
                  <w:gridSpan w:val="2"/>
                  <w:noWrap w:val="0"/>
                  <w:vAlign w:val="center"/>
                </w:tcPr>
                <w:p w14:paraId="4C7B65A3">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eastAsia" w:cs="Times New Roman"/>
                      <w:color w:val="000000" w:themeColor="text1"/>
                    </w:rPr>
                    <w:t>事故防范</w:t>
                  </w:r>
                </w:p>
              </w:tc>
              <w:tc>
                <w:tcPr>
                  <w:tcW w:w="3365" w:type="pct"/>
                  <w:gridSpan w:val="2"/>
                  <w:noWrap w:val="0"/>
                  <w:vAlign w:val="center"/>
                </w:tcPr>
                <w:p w14:paraId="12849729">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宋体" w:hAnsi="宋体" w:cs="宋体"/>
                      <w:color w:val="000000" w:themeColor="text1"/>
                    </w:rPr>
                  </w:pPr>
                  <w:r>
                    <w:rPr>
                      <w:rFonts w:hint="eastAsia" w:ascii="宋体" w:hAnsi="宋体" w:cs="宋体"/>
                      <w:color w:val="000000" w:themeColor="text1"/>
                    </w:rPr>
                    <w:t>①</w:t>
                  </w:r>
                  <w:r>
                    <w:rPr>
                      <w:rFonts w:hint="default" w:ascii="宋体" w:hAnsi="宋体" w:cs="宋体"/>
                      <w:color w:val="000000" w:themeColor="text1"/>
                    </w:rPr>
                    <w:t>一级防控</w:t>
                  </w:r>
                </w:p>
                <w:p w14:paraId="4DE02DC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宋体" w:hAnsi="宋体" w:cs="宋体"/>
                      <w:color w:val="000000" w:themeColor="text1"/>
                    </w:rPr>
                  </w:pPr>
                  <w:r>
                    <w:rPr>
                      <w:rFonts w:hint="default" w:ascii="宋体" w:hAnsi="宋体" w:cs="宋体"/>
                      <w:color w:val="000000" w:themeColor="text1"/>
                    </w:rPr>
                    <w:t>项目</w:t>
                  </w:r>
                  <w:r>
                    <w:rPr>
                      <w:rFonts w:hint="eastAsia" w:ascii="宋体" w:hAnsi="宋体" w:cs="宋体"/>
                      <w:color w:val="000000" w:themeColor="text1"/>
                      <w:lang w:val="en-US" w:eastAsia="zh-CN"/>
                    </w:rPr>
                    <w:t>制料</w:t>
                  </w:r>
                  <w:r>
                    <w:rPr>
                      <w:rFonts w:hint="default" w:ascii="宋体" w:hAnsi="宋体" w:cs="宋体"/>
                      <w:color w:val="000000" w:themeColor="text1"/>
                    </w:rPr>
                    <w:t>区设</w:t>
                  </w:r>
                  <w:r>
                    <w:rPr>
                      <w:rFonts w:hint="eastAsia" w:ascii="宋体" w:hAnsi="宋体" w:cs="宋体"/>
                      <w:color w:val="000000" w:themeColor="text1"/>
                    </w:rPr>
                    <w:t>置</w:t>
                  </w:r>
                  <w:r>
                    <w:rPr>
                      <w:rFonts w:hint="default" w:ascii="宋体" w:hAnsi="宋体" w:cs="宋体"/>
                      <w:color w:val="000000" w:themeColor="text1"/>
                    </w:rPr>
                    <w:t>环形明沟，</w:t>
                  </w:r>
                  <w:r>
                    <w:rPr>
                      <w:rFonts w:hint="eastAsia" w:ascii="宋体" w:hAnsi="宋体" w:cs="宋体"/>
                      <w:color w:val="000000" w:themeColor="text1"/>
                    </w:rPr>
                    <w:t>并</w:t>
                  </w:r>
                  <w:r>
                    <w:rPr>
                      <w:rFonts w:hint="default" w:ascii="宋体" w:hAnsi="宋体" w:cs="宋体"/>
                      <w:color w:val="000000" w:themeColor="text1"/>
                    </w:rPr>
                    <w:t>设置排水管道与事故水池相连。</w:t>
                  </w:r>
                </w:p>
                <w:p w14:paraId="67CE437C">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宋体" w:hAnsi="宋体" w:cs="宋体"/>
                      <w:color w:val="000000" w:themeColor="text1"/>
                    </w:rPr>
                  </w:pPr>
                  <w:r>
                    <w:rPr>
                      <w:rFonts w:hint="eastAsia" w:ascii="宋体" w:hAnsi="宋体" w:cs="宋体"/>
                      <w:color w:val="000000" w:themeColor="text1"/>
                    </w:rPr>
                    <w:t>②</w:t>
                  </w:r>
                  <w:r>
                    <w:rPr>
                      <w:rFonts w:hint="default" w:ascii="宋体" w:hAnsi="宋体" w:cs="宋体"/>
                      <w:color w:val="000000" w:themeColor="text1"/>
                    </w:rPr>
                    <w:t>二级防控</w:t>
                  </w:r>
                </w:p>
                <w:p w14:paraId="4BEE9F12">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宋体" w:hAnsi="宋体" w:cs="宋体"/>
                      <w:color w:val="000000" w:themeColor="text1"/>
                    </w:rPr>
                  </w:pPr>
                  <w:r>
                    <w:rPr>
                      <w:rFonts w:hint="eastAsia" w:ascii="宋体" w:hAnsi="宋体" w:cs="宋体"/>
                      <w:color w:val="000000" w:themeColor="text1"/>
                    </w:rPr>
                    <w:t>为避免贮料池</w:t>
                  </w:r>
                  <w:r>
                    <w:rPr>
                      <w:rFonts w:hint="eastAsia" w:ascii="宋体" w:hAnsi="宋体" w:cs="宋体"/>
                      <w:color w:val="000000" w:themeColor="text1"/>
                      <w:lang w:val="en-US" w:eastAsia="zh-CN"/>
                    </w:rPr>
                    <w:t>和</w:t>
                  </w:r>
                  <w:r>
                    <w:rPr>
                      <w:rFonts w:hint="eastAsia" w:ascii="宋体" w:hAnsi="宋体" w:cs="宋体"/>
                      <w:color w:val="000000" w:themeColor="text1"/>
                    </w:rPr>
                    <w:t>配料池</w:t>
                  </w:r>
                  <w:r>
                    <w:rPr>
                      <w:rFonts w:hint="eastAsia" w:ascii="宋体" w:hAnsi="宋体" w:cs="宋体"/>
                      <w:color w:val="000000" w:themeColor="text1"/>
                      <w:lang w:val="en-US" w:eastAsia="zh-CN"/>
                    </w:rPr>
                    <w:t>事故</w:t>
                  </w:r>
                  <w:r>
                    <w:rPr>
                      <w:rFonts w:hint="eastAsia" w:ascii="宋体" w:hAnsi="宋体" w:cs="宋体"/>
                      <w:color w:val="000000" w:themeColor="text1"/>
                    </w:rPr>
                    <w:t>泄漏对周边地表水造成污染，本次要求在</w:t>
                  </w:r>
                  <w:r>
                    <w:rPr>
                      <w:rFonts w:hint="eastAsia" w:ascii="宋体" w:hAnsi="宋体" w:cs="宋体"/>
                      <w:color w:val="000000" w:themeColor="text1"/>
                      <w:lang w:val="en-US" w:eastAsia="zh-CN"/>
                    </w:rPr>
                    <w:t>配料区</w:t>
                  </w:r>
                  <w:r>
                    <w:rPr>
                      <w:rFonts w:hint="eastAsia" w:ascii="宋体" w:hAnsi="宋体" w:cs="宋体"/>
                      <w:color w:val="000000" w:themeColor="text1"/>
                    </w:rPr>
                    <w:t>建设1个不小于</w:t>
                  </w:r>
                  <w:r>
                    <w:rPr>
                      <w:rFonts w:hint="eastAsia" w:ascii="宋体" w:hAnsi="宋体" w:cs="宋体"/>
                      <w:color w:val="000000" w:themeColor="text1"/>
                      <w:lang w:val="en-US" w:eastAsia="zh-CN"/>
                    </w:rPr>
                    <w:t>160</w:t>
                  </w:r>
                  <w:r>
                    <w:rPr>
                      <w:rFonts w:hint="eastAsia" w:ascii="宋体" w:hAnsi="宋体" w:cs="宋体"/>
                      <w:color w:val="000000" w:themeColor="text1"/>
                    </w:rPr>
                    <w:t>m</w:t>
                  </w:r>
                  <w:r>
                    <w:rPr>
                      <w:rFonts w:hint="eastAsia" w:ascii="宋体" w:hAnsi="宋体" w:cs="宋体"/>
                      <w:color w:val="000000" w:themeColor="text1"/>
                      <w:vertAlign w:val="superscript"/>
                    </w:rPr>
                    <w:t>3</w:t>
                  </w:r>
                  <w:r>
                    <w:rPr>
                      <w:rFonts w:hint="eastAsia" w:ascii="宋体" w:hAnsi="宋体" w:cs="宋体"/>
                      <w:color w:val="000000" w:themeColor="text1"/>
                    </w:rPr>
                    <w:t>（</w:t>
                  </w:r>
                  <w:r>
                    <w:rPr>
                      <w:rFonts w:hint="eastAsia" w:ascii="宋体" w:hAnsi="宋体" w:cs="宋体"/>
                      <w:color w:val="000000" w:themeColor="text1"/>
                      <w:lang w:val="en-US" w:eastAsia="zh-CN"/>
                    </w:rPr>
                    <w:t>发现事故立即停工，考虑为停留1小时</w:t>
                  </w:r>
                  <w:r>
                    <w:rPr>
                      <w:rFonts w:hint="eastAsia" w:ascii="宋体" w:hAnsi="宋体" w:cs="宋体"/>
                      <w:color w:val="000000" w:themeColor="text1"/>
                    </w:rPr>
                    <w:t>）的事故应急池。</w:t>
                  </w:r>
                </w:p>
                <w:p w14:paraId="5E944AC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宋体" w:hAnsi="宋体" w:cs="宋体"/>
                      <w:color w:val="000000" w:themeColor="text1"/>
                    </w:rPr>
                  </w:pPr>
                  <w:r>
                    <w:rPr>
                      <w:rFonts w:hint="eastAsia" w:cs="Times New Roman"/>
                      <w:color w:val="000000" w:themeColor="text1"/>
                    </w:rPr>
                    <w:t>③</w:t>
                  </w:r>
                  <w:r>
                    <w:rPr>
                      <w:rFonts w:hint="default" w:ascii="宋体" w:hAnsi="宋体" w:cs="宋体"/>
                      <w:color w:val="000000" w:themeColor="text1"/>
                    </w:rPr>
                    <w:t>三级防控</w:t>
                  </w:r>
                </w:p>
                <w:p w14:paraId="6BE0D6F9">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宋体" w:hAnsi="宋体" w:cs="宋体"/>
                      <w:color w:val="000000" w:themeColor="text1"/>
                    </w:rPr>
                  </w:pPr>
                  <w:r>
                    <w:rPr>
                      <w:rFonts w:hint="default" w:ascii="宋体" w:hAnsi="宋体" w:cs="宋体"/>
                      <w:color w:val="000000" w:themeColor="text1"/>
                    </w:rPr>
                    <w:t>项目在厂区雨水排放口设置总阀门，当厂区发生事故时，第一时间关闭阀门，截断废水外排途径。</w:t>
                  </w:r>
                </w:p>
              </w:tc>
              <w:tc>
                <w:tcPr>
                  <w:tcW w:w="373" w:type="pct"/>
                  <w:noWrap w:val="0"/>
                  <w:vAlign w:val="center"/>
                </w:tcPr>
                <w:p w14:paraId="0130DE47">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eastAsia" w:cs="Times New Roman"/>
                      <w:color w:val="000000" w:themeColor="text1"/>
                    </w:rPr>
                    <w:t>新建</w:t>
                  </w:r>
                </w:p>
              </w:tc>
            </w:tr>
          </w:tbl>
          <w:p w14:paraId="7BDD1A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textAlignment w:val="auto"/>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3、产品方案</w:t>
            </w:r>
          </w:p>
          <w:p w14:paraId="6E2E97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b/>
                <w:bCs/>
                <w:color w:val="000000" w:themeColor="text1"/>
                <w:sz w:val="21"/>
                <w:szCs w:val="21"/>
              </w:rPr>
            </w:pPr>
            <w:bookmarkStart w:id="8" w:name="_Toc9215"/>
            <w:r>
              <w:rPr>
                <w:rFonts w:hint="eastAsia" w:ascii="Times New Roman" w:hAnsi="Times New Roman" w:cs="Times New Roman"/>
                <w:b/>
                <w:bCs/>
                <w:color w:val="000000" w:themeColor="text1"/>
                <w:sz w:val="21"/>
                <w:szCs w:val="21"/>
              </w:rPr>
              <w:t>（1）产品类型</w:t>
            </w:r>
          </w:p>
          <w:p w14:paraId="1A108F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本项目预计年产</w:t>
            </w:r>
            <w:r>
              <w:rPr>
                <w:rFonts w:hint="eastAsia" w:ascii="Times New Roman" w:hAnsi="Times New Roman" w:cs="Times New Roman"/>
                <w:color w:val="000000" w:themeColor="text1"/>
                <w:sz w:val="21"/>
                <w:szCs w:val="21"/>
                <w:lang w:val="en-US" w:eastAsia="zh-CN"/>
              </w:rPr>
              <w:t>3亿片纸浆模塑包装制品，</w:t>
            </w:r>
            <w:r>
              <w:rPr>
                <w:rFonts w:hint="eastAsia" w:ascii="Times New Roman" w:hAnsi="Times New Roman" w:cs="Times New Roman"/>
                <w:color w:val="000000" w:themeColor="text1"/>
                <w:sz w:val="21"/>
                <w:szCs w:val="21"/>
              </w:rPr>
              <w:t>本项目</w:t>
            </w:r>
            <w:r>
              <w:rPr>
                <w:rFonts w:hint="default" w:ascii="Times New Roman" w:hAnsi="Times New Roman" w:cs="Times New Roman"/>
                <w:color w:val="000000" w:themeColor="text1"/>
                <w:sz w:val="21"/>
                <w:szCs w:val="21"/>
              </w:rPr>
              <w:t>主要设置3条生产线</w:t>
            </w:r>
            <w:r>
              <w:rPr>
                <w:rFonts w:hint="eastAsia" w:ascii="Times New Roman" w:hAnsi="Times New Roman" w:cs="Times New Roman"/>
                <w:color w:val="000000" w:themeColor="text1"/>
                <w:sz w:val="21"/>
                <w:szCs w:val="21"/>
                <w:lang w:val="en-US" w:eastAsia="zh-CN"/>
              </w:rPr>
              <w:t>，其中蛋托</w:t>
            </w:r>
            <w:r>
              <w:rPr>
                <w:rFonts w:hint="default" w:ascii="Times New Roman" w:hAnsi="Times New Roman" w:cs="Times New Roman"/>
                <w:color w:val="000000" w:themeColor="text1"/>
                <w:sz w:val="21"/>
                <w:szCs w:val="21"/>
              </w:rPr>
              <w:t>生产线</w:t>
            </w:r>
            <w:r>
              <w:rPr>
                <w:rFonts w:hint="eastAsia" w:ascii="Times New Roman" w:hAnsi="Times New Roman" w:cs="Times New Roman"/>
                <w:color w:val="000000" w:themeColor="text1"/>
                <w:sz w:val="21"/>
                <w:szCs w:val="21"/>
                <w:lang w:val="en-US" w:eastAsia="zh-CN"/>
              </w:rPr>
              <w:t>1</w:t>
            </w:r>
            <w:r>
              <w:rPr>
                <w:rFonts w:hint="default" w:ascii="Times New Roman" w:hAnsi="Times New Roman" w:cs="Times New Roman"/>
                <w:color w:val="000000" w:themeColor="text1"/>
                <w:sz w:val="21"/>
                <w:szCs w:val="21"/>
              </w:rPr>
              <w:t>条，</w:t>
            </w:r>
            <w:r>
              <w:rPr>
                <w:rFonts w:hint="eastAsia" w:ascii="Times New Roman" w:hAnsi="Times New Roman" w:cs="Times New Roman"/>
                <w:color w:val="000000" w:themeColor="text1"/>
                <w:sz w:val="21"/>
                <w:szCs w:val="21"/>
                <w:lang w:val="en-US" w:eastAsia="zh-CN"/>
              </w:rPr>
              <w:t>果托生产线1条，蛋盒和瓶托生产线1条</w:t>
            </w:r>
            <w:r>
              <w:rPr>
                <w:rFonts w:hint="default" w:ascii="Times New Roman" w:hAnsi="Times New Roman" w:cs="Times New Roman"/>
                <w:color w:val="000000" w:themeColor="text1"/>
                <w:sz w:val="21"/>
                <w:szCs w:val="21"/>
              </w:rPr>
              <w:t>。本项目产品类型见表2-</w:t>
            </w:r>
            <w:r>
              <w:rPr>
                <w:rFonts w:hint="eastAsia" w:ascii="Times New Roman" w:hAnsi="Times New Roman" w:cs="Times New Roman"/>
                <w:color w:val="000000" w:themeColor="text1"/>
                <w:sz w:val="21"/>
                <w:szCs w:val="21"/>
                <w:lang w:val="en-US" w:eastAsia="zh-CN"/>
              </w:rPr>
              <w:t>2</w:t>
            </w:r>
            <w:r>
              <w:rPr>
                <w:rFonts w:hint="default" w:ascii="Times New Roman" w:hAnsi="Times New Roman" w:cs="Times New Roman"/>
                <w:color w:val="000000" w:themeColor="text1"/>
                <w:sz w:val="21"/>
                <w:szCs w:val="21"/>
              </w:rPr>
              <w:t>。</w:t>
            </w:r>
          </w:p>
          <w:p w14:paraId="29236488">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cs="Times New Roman"/>
                <w:color w:val="000000" w:themeColor="text1"/>
              </w:rPr>
            </w:pPr>
            <w:r>
              <w:rPr>
                <w:rFonts w:hint="default" w:cs="Times New Roman"/>
                <w:color w:val="000000" w:themeColor="text1"/>
              </w:rPr>
              <w:t>表2-</w:t>
            </w:r>
            <w:r>
              <w:rPr>
                <w:rFonts w:hint="eastAsia" w:cs="Times New Roman"/>
                <w:color w:val="000000" w:themeColor="text1"/>
                <w:lang w:val="en-US" w:eastAsia="zh-CN"/>
              </w:rPr>
              <w:t>2</w:t>
            </w:r>
            <w:r>
              <w:rPr>
                <w:rFonts w:hint="eastAsia" w:cs="Times New Roman"/>
                <w:color w:val="000000" w:themeColor="text1"/>
              </w:rPr>
              <w:t xml:space="preserve"> </w:t>
            </w:r>
            <w:r>
              <w:rPr>
                <w:rFonts w:hint="default" w:cs="Times New Roman"/>
                <w:color w:val="000000" w:themeColor="text1"/>
              </w:rPr>
              <w:t xml:space="preserve"> 项目产品类型表</w:t>
            </w:r>
          </w:p>
          <w:tbl>
            <w:tblPr>
              <w:tblStyle w:val="43"/>
              <w:tblW w:w="49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2"/>
              <w:gridCol w:w="1423"/>
              <w:gridCol w:w="2090"/>
              <w:gridCol w:w="1696"/>
            </w:tblGrid>
            <w:tr w14:paraId="107BE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1" w:type="pct"/>
                  <w:noWrap w:val="0"/>
                  <w:vAlign w:val="center"/>
                </w:tcPr>
                <w:p w14:paraId="2A71FDB3">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b/>
                      <w:bCs/>
                      <w:color w:val="000000" w:themeColor="text1"/>
                    </w:rPr>
                  </w:pPr>
                  <w:r>
                    <w:rPr>
                      <w:rFonts w:hint="default" w:cs="Times New Roman"/>
                      <w:b/>
                      <w:bCs/>
                      <w:color w:val="000000" w:themeColor="text1"/>
                    </w:rPr>
                    <w:t>生产线</w:t>
                  </w:r>
                </w:p>
              </w:tc>
              <w:tc>
                <w:tcPr>
                  <w:tcW w:w="898" w:type="pct"/>
                  <w:noWrap w:val="0"/>
                  <w:vAlign w:val="center"/>
                </w:tcPr>
                <w:p w14:paraId="6DCD604D">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b/>
                      <w:bCs/>
                      <w:color w:val="000000" w:themeColor="text1"/>
                    </w:rPr>
                  </w:pPr>
                  <w:r>
                    <w:rPr>
                      <w:rFonts w:hint="default" w:cs="Times New Roman"/>
                      <w:b/>
                      <w:bCs/>
                      <w:color w:val="000000" w:themeColor="text1"/>
                    </w:rPr>
                    <w:t>产品种类</w:t>
                  </w:r>
                </w:p>
              </w:tc>
              <w:tc>
                <w:tcPr>
                  <w:tcW w:w="1319" w:type="pct"/>
                  <w:noWrap w:val="0"/>
                  <w:vAlign w:val="center"/>
                </w:tcPr>
                <w:p w14:paraId="487486BA">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b/>
                      <w:bCs/>
                      <w:color w:val="000000" w:themeColor="text1"/>
                    </w:rPr>
                  </w:pPr>
                  <w:r>
                    <w:rPr>
                      <w:rFonts w:hint="default" w:cs="Times New Roman"/>
                      <w:b/>
                      <w:bCs/>
                      <w:color w:val="000000" w:themeColor="text1"/>
                    </w:rPr>
                    <w:t>数量（</w:t>
                  </w:r>
                  <w:r>
                    <w:rPr>
                      <w:rFonts w:hint="eastAsia" w:cs="Times New Roman"/>
                      <w:b/>
                      <w:bCs/>
                      <w:color w:val="000000" w:themeColor="text1"/>
                      <w:lang w:val="en-US" w:eastAsia="zh-CN"/>
                    </w:rPr>
                    <w:t>万片</w:t>
                  </w:r>
                  <w:r>
                    <w:rPr>
                      <w:rFonts w:hint="default" w:cs="Times New Roman"/>
                      <w:b/>
                      <w:bCs/>
                      <w:color w:val="000000" w:themeColor="text1"/>
                    </w:rPr>
                    <w:t>/年）</w:t>
                  </w:r>
                </w:p>
              </w:tc>
              <w:tc>
                <w:tcPr>
                  <w:tcW w:w="1070" w:type="pct"/>
                  <w:noWrap w:val="0"/>
                  <w:vAlign w:val="center"/>
                </w:tcPr>
                <w:p w14:paraId="1F1F3472">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b/>
                      <w:bCs/>
                      <w:color w:val="000000" w:themeColor="text1"/>
                    </w:rPr>
                  </w:pPr>
                  <w:r>
                    <w:rPr>
                      <w:rFonts w:hint="default" w:cs="Times New Roman"/>
                      <w:b/>
                      <w:bCs/>
                      <w:color w:val="000000" w:themeColor="text1"/>
                    </w:rPr>
                    <w:t>备注</w:t>
                  </w:r>
                </w:p>
              </w:tc>
            </w:tr>
            <w:tr w14:paraId="0B261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1" w:type="pct"/>
                  <w:noWrap w:val="0"/>
                  <w:vAlign w:val="center"/>
                </w:tcPr>
                <w:p w14:paraId="671D9E5C">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eastAsia" w:cs="Times New Roman"/>
                      <w:color w:val="000000" w:themeColor="text1"/>
                    </w:rPr>
                    <w:t>蛋托生产线</w:t>
                  </w:r>
                </w:p>
              </w:tc>
              <w:tc>
                <w:tcPr>
                  <w:tcW w:w="898" w:type="pct"/>
                  <w:noWrap w:val="0"/>
                  <w:vAlign w:val="center"/>
                </w:tcPr>
                <w:p w14:paraId="0673F1DA">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eastAsia" w:cs="Times New Roman"/>
                      <w:color w:val="000000" w:themeColor="text1"/>
                    </w:rPr>
                    <w:t>蛋托</w:t>
                  </w:r>
                </w:p>
              </w:tc>
              <w:tc>
                <w:tcPr>
                  <w:tcW w:w="1319" w:type="pct"/>
                  <w:noWrap w:val="0"/>
                  <w:vAlign w:val="center"/>
                </w:tcPr>
                <w:p w14:paraId="37970511">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lang w:val="en-US" w:eastAsia="zh-CN"/>
                    </w:rPr>
                  </w:pPr>
                  <w:r>
                    <w:rPr>
                      <w:rFonts w:hint="eastAsia" w:cs="Times New Roman"/>
                      <w:color w:val="000000" w:themeColor="text1"/>
                      <w:lang w:val="en-US" w:eastAsia="zh-CN"/>
                    </w:rPr>
                    <w:t>13900</w:t>
                  </w:r>
                </w:p>
              </w:tc>
              <w:tc>
                <w:tcPr>
                  <w:tcW w:w="1070" w:type="pct"/>
                  <w:vMerge w:val="restart"/>
                  <w:noWrap w:val="0"/>
                  <w:vAlign w:val="center"/>
                </w:tcPr>
                <w:p w14:paraId="5B9CC76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lang w:val="en-US" w:eastAsia="zh-CN"/>
                    </w:rPr>
                  </w:pPr>
                  <w:r>
                    <w:rPr>
                      <w:rFonts w:hint="eastAsia" w:cs="Times New Roman"/>
                      <w:color w:val="00B050"/>
                      <w:lang w:val="en-US" w:eastAsia="zh-CN"/>
                    </w:rPr>
                    <w:t>含水率10%</w:t>
                  </w:r>
                </w:p>
              </w:tc>
            </w:tr>
            <w:tr w14:paraId="06FDB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1" w:type="pct"/>
                  <w:noWrap w:val="0"/>
                  <w:vAlign w:val="center"/>
                </w:tcPr>
                <w:p w14:paraId="0CF5D488">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eastAsia" w:cs="Times New Roman"/>
                      <w:color w:val="000000" w:themeColor="text1"/>
                    </w:rPr>
                    <w:t>果托生产线</w:t>
                  </w:r>
                </w:p>
              </w:tc>
              <w:tc>
                <w:tcPr>
                  <w:tcW w:w="898" w:type="pct"/>
                  <w:noWrap w:val="0"/>
                  <w:vAlign w:val="center"/>
                </w:tcPr>
                <w:p w14:paraId="333F555D">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eastAsia" w:cs="Times New Roman"/>
                      <w:color w:val="000000" w:themeColor="text1"/>
                    </w:rPr>
                    <w:t>果托</w:t>
                  </w:r>
                </w:p>
              </w:tc>
              <w:tc>
                <w:tcPr>
                  <w:tcW w:w="1319" w:type="pct"/>
                  <w:noWrap w:val="0"/>
                  <w:vAlign w:val="center"/>
                </w:tcPr>
                <w:p w14:paraId="573FA20B">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lang w:val="en-US" w:eastAsia="zh-CN"/>
                    </w:rPr>
                  </w:pPr>
                  <w:r>
                    <w:rPr>
                      <w:rFonts w:hint="eastAsia" w:cs="Times New Roman"/>
                      <w:color w:val="000000" w:themeColor="text1"/>
                      <w:lang w:val="en-US" w:eastAsia="zh-CN"/>
                    </w:rPr>
                    <w:t>13900</w:t>
                  </w:r>
                </w:p>
              </w:tc>
              <w:tc>
                <w:tcPr>
                  <w:tcW w:w="1070" w:type="pct"/>
                  <w:vMerge w:val="continue"/>
                  <w:noWrap w:val="0"/>
                  <w:vAlign w:val="center"/>
                </w:tcPr>
                <w:p w14:paraId="0C0BA820">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lang w:val="en-US" w:eastAsia="zh-CN"/>
                    </w:rPr>
                  </w:pPr>
                </w:p>
              </w:tc>
            </w:tr>
            <w:tr w14:paraId="5CFBA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1" w:type="pct"/>
                  <w:vMerge w:val="restart"/>
                  <w:noWrap w:val="0"/>
                  <w:vAlign w:val="center"/>
                </w:tcPr>
                <w:p w14:paraId="4FAE6A11">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eastAsia" w:cs="Times New Roman"/>
                      <w:color w:val="000000" w:themeColor="text1"/>
                    </w:rPr>
                    <w:t>蛋盒和瓶托生产线</w:t>
                  </w:r>
                </w:p>
              </w:tc>
              <w:tc>
                <w:tcPr>
                  <w:tcW w:w="898" w:type="pct"/>
                  <w:noWrap w:val="0"/>
                  <w:vAlign w:val="center"/>
                </w:tcPr>
                <w:p w14:paraId="49C55019">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eastAsia" w:cs="Times New Roman"/>
                      <w:color w:val="000000" w:themeColor="text1"/>
                    </w:rPr>
                    <w:t>蛋盒</w:t>
                  </w:r>
                </w:p>
              </w:tc>
              <w:tc>
                <w:tcPr>
                  <w:tcW w:w="1319" w:type="pct"/>
                  <w:noWrap w:val="0"/>
                  <w:vAlign w:val="center"/>
                </w:tcPr>
                <w:p w14:paraId="2E1CD3D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lang w:val="en-US" w:eastAsia="zh-CN"/>
                    </w:rPr>
                  </w:pPr>
                  <w:r>
                    <w:rPr>
                      <w:rFonts w:hint="eastAsia" w:cs="Times New Roman"/>
                      <w:color w:val="000000" w:themeColor="text1"/>
                      <w:lang w:val="en-US" w:eastAsia="zh-CN"/>
                    </w:rPr>
                    <w:t>1700</w:t>
                  </w:r>
                </w:p>
              </w:tc>
              <w:tc>
                <w:tcPr>
                  <w:tcW w:w="1070" w:type="pct"/>
                  <w:vMerge w:val="restart"/>
                  <w:noWrap w:val="0"/>
                  <w:vAlign w:val="center"/>
                </w:tcPr>
                <w:p w14:paraId="148E4178">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lang w:val="en-US" w:eastAsia="zh-CN"/>
                    </w:rPr>
                  </w:pPr>
                  <w:r>
                    <w:rPr>
                      <w:rFonts w:hint="eastAsia" w:eastAsia="宋体" w:cs="Times New Roman"/>
                      <w:color w:val="00B050"/>
                      <w:lang w:val="en-US" w:eastAsia="zh-CN"/>
                    </w:rPr>
                    <w:t>含水率1</w:t>
                  </w:r>
                  <w:r>
                    <w:rPr>
                      <w:rFonts w:hint="eastAsia" w:cs="Times New Roman"/>
                      <w:color w:val="00B050"/>
                      <w:lang w:val="en-US" w:eastAsia="zh-CN"/>
                    </w:rPr>
                    <w:t>4</w:t>
                  </w:r>
                  <w:r>
                    <w:rPr>
                      <w:rFonts w:hint="eastAsia" w:eastAsia="宋体" w:cs="Times New Roman"/>
                      <w:color w:val="00B050"/>
                      <w:lang w:val="en-US" w:eastAsia="zh-CN"/>
                    </w:rPr>
                    <w:t>%</w:t>
                  </w:r>
                </w:p>
              </w:tc>
            </w:tr>
            <w:tr w14:paraId="0763D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1" w:type="pct"/>
                  <w:vMerge w:val="continue"/>
                  <w:noWrap w:val="0"/>
                  <w:vAlign w:val="center"/>
                </w:tcPr>
                <w:p w14:paraId="38804EAA">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cs="Times New Roman"/>
                      <w:color w:val="000000" w:themeColor="text1"/>
                    </w:rPr>
                  </w:pPr>
                </w:p>
              </w:tc>
              <w:tc>
                <w:tcPr>
                  <w:tcW w:w="898" w:type="pct"/>
                  <w:noWrap w:val="0"/>
                  <w:vAlign w:val="center"/>
                </w:tcPr>
                <w:p w14:paraId="1EC9CED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eastAsia" w:cs="Times New Roman"/>
                      <w:color w:val="000000" w:themeColor="text1"/>
                    </w:rPr>
                    <w:t>瓶托</w:t>
                  </w:r>
                </w:p>
              </w:tc>
              <w:tc>
                <w:tcPr>
                  <w:tcW w:w="1319" w:type="pct"/>
                  <w:noWrap w:val="0"/>
                  <w:vAlign w:val="center"/>
                </w:tcPr>
                <w:p w14:paraId="51AE242D">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lang w:val="en-US" w:eastAsia="zh-CN"/>
                    </w:rPr>
                  </w:pPr>
                  <w:r>
                    <w:rPr>
                      <w:rFonts w:hint="eastAsia" w:cs="Times New Roman"/>
                      <w:color w:val="000000" w:themeColor="text1"/>
                      <w:lang w:val="en-US" w:eastAsia="zh-CN"/>
                    </w:rPr>
                    <w:t>500</w:t>
                  </w:r>
                </w:p>
              </w:tc>
              <w:tc>
                <w:tcPr>
                  <w:tcW w:w="1070" w:type="pct"/>
                  <w:vMerge w:val="continue"/>
                  <w:noWrap w:val="0"/>
                  <w:vAlign w:val="center"/>
                </w:tcPr>
                <w:p w14:paraId="52BB6A62">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lang w:val="en-US" w:eastAsia="zh-CN"/>
                    </w:rPr>
                  </w:pPr>
                </w:p>
              </w:tc>
            </w:tr>
            <w:tr w14:paraId="12AB6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1" w:type="pct"/>
                  <w:noWrap w:val="0"/>
                  <w:vAlign w:val="center"/>
                </w:tcPr>
                <w:p w14:paraId="4347758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合计</w:t>
                  </w:r>
                </w:p>
              </w:tc>
              <w:tc>
                <w:tcPr>
                  <w:tcW w:w="898" w:type="pct"/>
                  <w:noWrap w:val="0"/>
                  <w:vAlign w:val="center"/>
                </w:tcPr>
                <w:p w14:paraId="7559C9D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lang w:val="en-US" w:eastAsia="zh-CN"/>
                    </w:rPr>
                  </w:pPr>
                  <w:r>
                    <w:rPr>
                      <w:rFonts w:hint="eastAsia" w:cs="Times New Roman"/>
                      <w:color w:val="000000" w:themeColor="text1"/>
                      <w:lang w:val="en-US" w:eastAsia="zh-CN"/>
                    </w:rPr>
                    <w:t>/</w:t>
                  </w:r>
                </w:p>
              </w:tc>
              <w:tc>
                <w:tcPr>
                  <w:tcW w:w="1319" w:type="pct"/>
                  <w:noWrap w:val="0"/>
                  <w:vAlign w:val="center"/>
                </w:tcPr>
                <w:p w14:paraId="3ADFF45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lang w:val="en-US" w:eastAsia="zh-CN"/>
                    </w:rPr>
                  </w:pPr>
                  <w:r>
                    <w:rPr>
                      <w:rFonts w:hint="eastAsia" w:cs="Times New Roman"/>
                      <w:color w:val="000000" w:themeColor="text1"/>
                      <w:lang w:val="en-US" w:eastAsia="zh-CN"/>
                    </w:rPr>
                    <w:t>30000</w:t>
                  </w:r>
                </w:p>
              </w:tc>
              <w:tc>
                <w:tcPr>
                  <w:tcW w:w="1070" w:type="pct"/>
                  <w:noWrap w:val="0"/>
                  <w:vAlign w:val="center"/>
                </w:tcPr>
                <w:p w14:paraId="32A64EF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w:t>
                  </w:r>
                </w:p>
              </w:tc>
            </w:tr>
          </w:tbl>
          <w:p w14:paraId="17E75788">
            <w:pPr>
              <w:keepNext w:val="0"/>
              <w:keepLines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textAlignment w:val="auto"/>
              <w:rPr>
                <w:rFonts w:hint="eastAsia" w:ascii="Times New Roman" w:hAnsi="Times New Roman" w:cs="Times New Roman"/>
                <w:b/>
                <w:bCs/>
                <w:color w:val="000000" w:themeColor="text1"/>
                <w:sz w:val="21"/>
                <w:szCs w:val="21"/>
              </w:rPr>
            </w:pPr>
            <w:r>
              <w:rPr>
                <w:rFonts w:hint="eastAsia" w:ascii="Times New Roman" w:hAnsi="Times New Roman" w:cs="Times New Roman"/>
                <w:b/>
                <w:bCs/>
                <w:color w:val="000000" w:themeColor="text1"/>
                <w:sz w:val="21"/>
                <w:szCs w:val="21"/>
              </w:rPr>
              <w:t>（2）产品标准</w:t>
            </w:r>
          </w:p>
          <w:p w14:paraId="3C6AD232">
            <w:pPr>
              <w:pStyle w:val="3"/>
              <w:keepNext w:val="0"/>
              <w:keepLines w:val="0"/>
              <w:pageBreakBefore/>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firstLine="420" w:firstLineChars="200"/>
              <w:textAlignment w:val="auto"/>
              <w:rPr>
                <w:rFonts w:hint="default"/>
                <w:color w:val="000000" w:themeColor="text1"/>
              </w:rPr>
            </w:pPr>
            <w:r>
              <w:rPr>
                <w:rFonts w:ascii="宋体" w:hAnsi="宋体" w:eastAsia="宋体" w:cs="宋体"/>
                <w:b w:val="0"/>
                <w:bCs/>
                <w:color w:val="000000" w:themeColor="text1"/>
                <w:sz w:val="21"/>
                <w:szCs w:val="21"/>
              </w:rPr>
              <w:t>纸浆模塑制品（蛋托、蛋盒、果托、瓶托）等产品的主要原料是以废纸为原料，不存在原料质量要求。</w:t>
            </w:r>
            <w:r>
              <w:rPr>
                <w:rFonts w:ascii="宋体" w:hAnsi="宋体" w:eastAsia="宋体" w:cs="宋体"/>
                <w:b w:val="0"/>
                <w:bCs/>
                <w:color w:val="00B050"/>
                <w:sz w:val="21"/>
                <w:szCs w:val="21"/>
              </w:rPr>
              <w:t>纸浆模塑制品（蛋托、蛋盒、果托、瓶托）质量应符合《</w:t>
            </w:r>
            <w:r>
              <w:rPr>
                <w:rFonts w:hint="eastAsia" w:ascii="宋体" w:hAnsi="宋体" w:cs="宋体"/>
                <w:b w:val="0"/>
                <w:bCs/>
                <w:color w:val="00B050"/>
                <w:sz w:val="21"/>
                <w:szCs w:val="21"/>
                <w:lang w:val="en-US" w:eastAsia="zh-CN"/>
              </w:rPr>
              <w:t>纸浆</w:t>
            </w:r>
            <w:r>
              <w:rPr>
                <w:rFonts w:ascii="宋体" w:hAnsi="宋体" w:eastAsia="宋体" w:cs="宋体"/>
                <w:b w:val="0"/>
                <w:bCs/>
                <w:color w:val="00B050"/>
                <w:sz w:val="21"/>
                <w:szCs w:val="21"/>
              </w:rPr>
              <w:t>模塑制品工业品包装》（BB/T0045-20</w:t>
            </w:r>
            <w:r>
              <w:rPr>
                <w:rFonts w:hint="eastAsia" w:ascii="宋体" w:hAnsi="宋体" w:cs="宋体"/>
                <w:b w:val="0"/>
                <w:bCs/>
                <w:color w:val="00B050"/>
                <w:sz w:val="21"/>
                <w:szCs w:val="21"/>
                <w:lang w:val="en-US" w:eastAsia="zh-CN"/>
              </w:rPr>
              <w:t>21</w:t>
            </w:r>
            <w:r>
              <w:rPr>
                <w:rFonts w:ascii="宋体" w:hAnsi="宋体" w:eastAsia="宋体" w:cs="宋体"/>
                <w:b w:val="0"/>
                <w:bCs/>
                <w:color w:val="00B050"/>
                <w:sz w:val="21"/>
                <w:szCs w:val="21"/>
              </w:rPr>
              <w:t>）和《纸浆模塑蛋托》（BB/</w:t>
            </w:r>
            <w:r>
              <w:rPr>
                <w:rFonts w:hint="eastAsia" w:ascii="宋体" w:hAnsi="宋体" w:cs="宋体"/>
                <w:b w:val="0"/>
                <w:bCs/>
                <w:color w:val="00B050"/>
                <w:sz w:val="21"/>
                <w:szCs w:val="21"/>
                <w:lang w:val="en-US" w:eastAsia="zh-CN"/>
              </w:rPr>
              <w:t>T</w:t>
            </w:r>
            <w:r>
              <w:rPr>
                <w:rFonts w:ascii="宋体" w:hAnsi="宋体" w:eastAsia="宋体" w:cs="宋体"/>
                <w:b w:val="0"/>
                <w:bCs/>
                <w:color w:val="00B050"/>
                <w:sz w:val="21"/>
                <w:szCs w:val="21"/>
              </w:rPr>
              <w:t>0015-</w:t>
            </w:r>
            <w:r>
              <w:rPr>
                <w:rFonts w:hint="eastAsia" w:ascii="宋体" w:hAnsi="宋体" w:cs="宋体"/>
                <w:b w:val="0"/>
                <w:bCs/>
                <w:color w:val="00B050"/>
                <w:sz w:val="21"/>
                <w:szCs w:val="21"/>
                <w:lang w:val="en-US" w:eastAsia="zh-CN"/>
              </w:rPr>
              <w:t>2021</w:t>
            </w:r>
            <w:r>
              <w:rPr>
                <w:rFonts w:ascii="宋体" w:hAnsi="宋体" w:eastAsia="宋体" w:cs="宋体"/>
                <w:b w:val="0"/>
                <w:bCs/>
                <w:color w:val="00B050"/>
                <w:sz w:val="21"/>
                <w:szCs w:val="21"/>
              </w:rPr>
              <w:t>）的规定</w:t>
            </w:r>
            <w:r>
              <w:rPr>
                <w:rFonts w:ascii="宋体" w:hAnsi="宋体" w:eastAsia="宋体" w:cs="宋体"/>
                <w:b w:val="0"/>
                <w:bCs/>
                <w:color w:val="000000" w:themeColor="text1"/>
                <w:sz w:val="21"/>
                <w:szCs w:val="21"/>
              </w:rPr>
              <w:t>，每个批次都要进行力学拉伸试验，定期送云南省轻工产品检测研究院检验。</w:t>
            </w:r>
          </w:p>
          <w:p w14:paraId="636583AB">
            <w:pPr>
              <w:pStyle w:val="3"/>
              <w:keepNext w:val="0"/>
              <w:keepLines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firstLine="0" w:firstLineChars="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4、主要生产设备</w:t>
            </w:r>
            <w:bookmarkEnd w:id="8"/>
          </w:p>
          <w:p w14:paraId="4F1ECB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对照</w:t>
            </w:r>
            <w:r>
              <w:rPr>
                <w:rFonts w:hint="default" w:ascii="Times New Roman" w:hAnsi="Times New Roman" w:cs="Times New Roman"/>
                <w:color w:val="000000" w:themeColor="text1"/>
                <w:spacing w:val="-4"/>
                <w:sz w:val="21"/>
                <w:szCs w:val="21"/>
              </w:rPr>
              <w:t>《产业结构调整指导目录(2024年本)》</w:t>
            </w:r>
            <w:r>
              <w:rPr>
                <w:rFonts w:hint="eastAsia" w:ascii="Times New Roman" w:hAnsi="Times New Roman" w:cs="Times New Roman"/>
                <w:color w:val="000000" w:themeColor="text1"/>
                <w:spacing w:val="-4"/>
                <w:sz w:val="21"/>
                <w:szCs w:val="21"/>
                <w:lang w:eastAsia="zh-CN"/>
              </w:rPr>
              <w:t>、</w:t>
            </w:r>
            <w:r>
              <w:rPr>
                <w:rFonts w:hint="eastAsia" w:ascii="Times New Roman" w:hAnsi="Times New Roman" w:cs="Times New Roman"/>
                <w:color w:val="000000" w:themeColor="text1"/>
                <w:spacing w:val="-4"/>
                <w:sz w:val="21"/>
                <w:szCs w:val="21"/>
              </w:rPr>
              <w:t>《部分工业行业淘汰落后生产工艺装备和产品指导目录（2010年本》</w:t>
            </w:r>
            <w:r>
              <w:rPr>
                <w:rFonts w:hint="default" w:ascii="Times New Roman" w:hAnsi="Times New Roman" w:cs="Times New Roman"/>
                <w:color w:val="000000" w:themeColor="text1"/>
                <w:sz w:val="21"/>
                <w:szCs w:val="21"/>
              </w:rPr>
              <w:t>及《高耗能落后机电设备(产品)淘汰目录(第二批)》本项目生产设备不属于其中的淘汰类。本项目设备均为外购。</w:t>
            </w:r>
          </w:p>
          <w:p w14:paraId="5B3FAA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本项目主要生产设备见表2-</w:t>
            </w:r>
            <w:r>
              <w:rPr>
                <w:rFonts w:hint="eastAsia" w:ascii="Times New Roman" w:hAnsi="Times New Roman" w:cs="Times New Roman"/>
                <w:color w:val="000000" w:themeColor="text1"/>
                <w:sz w:val="21"/>
                <w:szCs w:val="21"/>
                <w:lang w:val="en-US" w:eastAsia="zh-CN"/>
              </w:rPr>
              <w:t>3</w:t>
            </w:r>
            <w:r>
              <w:rPr>
                <w:rFonts w:hint="default" w:ascii="Times New Roman" w:hAnsi="Times New Roman" w:cs="Times New Roman"/>
                <w:color w:val="000000" w:themeColor="text1"/>
                <w:sz w:val="21"/>
                <w:szCs w:val="21"/>
              </w:rPr>
              <w:t>。</w:t>
            </w:r>
          </w:p>
          <w:p w14:paraId="021380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p>
          <w:p w14:paraId="3FFB7171">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cs="Times New Roman"/>
                <w:color w:val="000000" w:themeColor="text1"/>
              </w:rPr>
            </w:pPr>
            <w:r>
              <w:rPr>
                <w:rFonts w:hint="default" w:cs="Times New Roman"/>
                <w:color w:val="000000" w:themeColor="text1"/>
              </w:rPr>
              <w:t>表2-</w:t>
            </w:r>
            <w:r>
              <w:rPr>
                <w:rFonts w:hint="eastAsia" w:cs="Times New Roman"/>
                <w:color w:val="000000" w:themeColor="text1"/>
                <w:lang w:val="en-US" w:eastAsia="zh-CN"/>
              </w:rPr>
              <w:t xml:space="preserve">3 </w:t>
            </w:r>
            <w:r>
              <w:rPr>
                <w:rFonts w:hint="default" w:cs="Times New Roman"/>
                <w:color w:val="000000" w:themeColor="text1"/>
              </w:rPr>
              <w:t xml:space="preserve"> 本项目主要设备清单</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6"/>
              <w:gridCol w:w="1516"/>
              <w:gridCol w:w="2372"/>
              <w:gridCol w:w="1631"/>
              <w:gridCol w:w="1779"/>
            </w:tblGrid>
            <w:tr w14:paraId="025BC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pct"/>
                  <w:noWrap w:val="0"/>
                  <w:vAlign w:val="center"/>
                </w:tcPr>
                <w:p w14:paraId="7CAA97D0">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b/>
                      <w:bCs/>
                      <w:color w:val="000000" w:themeColor="text1"/>
                      <w:sz w:val="21"/>
                      <w:szCs w:val="21"/>
                    </w:rPr>
                  </w:pPr>
                  <w:r>
                    <w:rPr>
                      <w:rFonts w:hint="default" w:cs="Times New Roman"/>
                      <w:b/>
                      <w:bCs/>
                      <w:color w:val="000000" w:themeColor="text1"/>
                      <w:sz w:val="21"/>
                      <w:szCs w:val="21"/>
                    </w:rPr>
                    <w:t>序号</w:t>
                  </w:r>
                </w:p>
              </w:tc>
              <w:tc>
                <w:tcPr>
                  <w:tcW w:w="947" w:type="pct"/>
                  <w:noWrap w:val="0"/>
                  <w:vAlign w:val="center"/>
                </w:tcPr>
                <w:p w14:paraId="795D362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b/>
                      <w:bCs/>
                      <w:color w:val="000000" w:themeColor="text1"/>
                      <w:sz w:val="21"/>
                      <w:szCs w:val="21"/>
                    </w:rPr>
                  </w:pPr>
                  <w:r>
                    <w:rPr>
                      <w:rFonts w:hint="default" w:cs="Times New Roman"/>
                      <w:b/>
                      <w:bCs/>
                      <w:color w:val="000000" w:themeColor="text1"/>
                      <w:sz w:val="21"/>
                      <w:szCs w:val="21"/>
                    </w:rPr>
                    <w:t>生产线</w:t>
                  </w:r>
                </w:p>
              </w:tc>
              <w:tc>
                <w:tcPr>
                  <w:tcW w:w="1481" w:type="pct"/>
                  <w:noWrap w:val="0"/>
                  <w:vAlign w:val="center"/>
                </w:tcPr>
                <w:p w14:paraId="5DD4593B">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b/>
                      <w:bCs/>
                      <w:color w:val="000000" w:themeColor="text1"/>
                      <w:sz w:val="21"/>
                      <w:szCs w:val="21"/>
                    </w:rPr>
                  </w:pPr>
                  <w:r>
                    <w:rPr>
                      <w:rFonts w:hint="default" w:cs="Times New Roman"/>
                      <w:b/>
                      <w:bCs/>
                      <w:color w:val="000000" w:themeColor="text1"/>
                      <w:sz w:val="21"/>
                      <w:szCs w:val="21"/>
                    </w:rPr>
                    <w:t>设备名称</w:t>
                  </w:r>
                </w:p>
              </w:tc>
              <w:tc>
                <w:tcPr>
                  <w:tcW w:w="1018" w:type="pct"/>
                  <w:noWrap w:val="0"/>
                  <w:vAlign w:val="center"/>
                </w:tcPr>
                <w:p w14:paraId="1164E849">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b/>
                      <w:bCs/>
                      <w:color w:val="000000" w:themeColor="text1"/>
                      <w:sz w:val="21"/>
                      <w:szCs w:val="21"/>
                    </w:rPr>
                  </w:pPr>
                  <w:r>
                    <w:rPr>
                      <w:rFonts w:hint="default" w:cs="Times New Roman"/>
                      <w:b/>
                      <w:bCs/>
                      <w:color w:val="000000" w:themeColor="text1"/>
                      <w:sz w:val="21"/>
                      <w:szCs w:val="21"/>
                    </w:rPr>
                    <w:t>型号</w:t>
                  </w:r>
                </w:p>
              </w:tc>
              <w:tc>
                <w:tcPr>
                  <w:tcW w:w="1111" w:type="pct"/>
                  <w:noWrap w:val="0"/>
                  <w:vAlign w:val="center"/>
                </w:tcPr>
                <w:p w14:paraId="232EB59D">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b/>
                      <w:bCs/>
                      <w:color w:val="000000" w:themeColor="text1"/>
                      <w:sz w:val="21"/>
                      <w:szCs w:val="21"/>
                    </w:rPr>
                  </w:pPr>
                  <w:r>
                    <w:rPr>
                      <w:rFonts w:hint="default" w:cs="Times New Roman"/>
                      <w:b/>
                      <w:bCs/>
                      <w:color w:val="000000" w:themeColor="text1"/>
                      <w:sz w:val="21"/>
                      <w:szCs w:val="21"/>
                    </w:rPr>
                    <w:t>数量（台）</w:t>
                  </w:r>
                </w:p>
              </w:tc>
            </w:tr>
            <w:tr w14:paraId="5330D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pct"/>
                  <w:noWrap w:val="0"/>
                  <w:vAlign w:val="center"/>
                </w:tcPr>
                <w:p w14:paraId="76AA2551">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947" w:type="pct"/>
                  <w:vMerge w:val="restart"/>
                  <w:noWrap w:val="0"/>
                  <w:vAlign w:val="center"/>
                </w:tcPr>
                <w:p w14:paraId="62F2F5CB">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sz w:val="21"/>
                      <w:szCs w:val="21"/>
                      <w:lang w:val="en-US" w:eastAsia="zh-CN"/>
                    </w:rPr>
                  </w:pPr>
                  <w:r>
                    <w:rPr>
                      <w:rFonts w:hint="eastAsia" w:cs="Times New Roman"/>
                      <w:color w:val="000000" w:themeColor="text1"/>
                      <w:sz w:val="21"/>
                      <w:szCs w:val="21"/>
                      <w:lang w:val="en-US" w:eastAsia="zh-CN"/>
                    </w:rPr>
                    <w:t>蛋托生产线</w:t>
                  </w:r>
                </w:p>
              </w:tc>
              <w:tc>
                <w:tcPr>
                  <w:tcW w:w="1481" w:type="pct"/>
                  <w:noWrap w:val="0"/>
                  <w:vAlign w:val="center"/>
                </w:tcPr>
                <w:p w14:paraId="28632AD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水力制料机</w:t>
                  </w:r>
                </w:p>
              </w:tc>
              <w:tc>
                <w:tcPr>
                  <w:tcW w:w="1018" w:type="pct"/>
                  <w:noWrap w:val="0"/>
                  <w:vAlign w:val="center"/>
                </w:tcPr>
                <w:p w14:paraId="76C6786D">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w:t>
                  </w:r>
                </w:p>
              </w:tc>
              <w:tc>
                <w:tcPr>
                  <w:tcW w:w="1111" w:type="pct"/>
                  <w:noWrap w:val="0"/>
                  <w:vAlign w:val="center"/>
                </w:tcPr>
                <w:p w14:paraId="675E2D1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Cs w:val="0"/>
                      <w:color w:val="000000" w:themeColor="text1"/>
                      <w:spacing w:val="0"/>
                      <w:kern w:val="2"/>
                      <w:sz w:val="21"/>
                      <w:szCs w:val="21"/>
                      <w:lang w:val="en-US" w:eastAsia="zh-CN" w:bidi="ar-SA"/>
                    </w:rPr>
                  </w:pPr>
                  <w:r>
                    <w:rPr>
                      <w:rFonts w:hint="eastAsia" w:eastAsia="宋体" w:cs="Times New Roman"/>
                      <w:bCs w:val="0"/>
                      <w:color w:val="000000" w:themeColor="text1"/>
                      <w:spacing w:val="0"/>
                      <w:kern w:val="2"/>
                      <w:sz w:val="21"/>
                      <w:szCs w:val="21"/>
                      <w:lang w:val="en-US" w:eastAsia="zh-CN" w:bidi="ar-SA"/>
                    </w:rPr>
                    <w:t>2</w:t>
                  </w:r>
                </w:p>
              </w:tc>
            </w:tr>
            <w:tr w14:paraId="0E60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pct"/>
                  <w:noWrap w:val="0"/>
                  <w:vAlign w:val="center"/>
                </w:tcPr>
                <w:p w14:paraId="5A04CAC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sz w:val="21"/>
                      <w:szCs w:val="21"/>
                      <w:lang w:val="en-US" w:eastAsia="zh-CN"/>
                    </w:rPr>
                  </w:pPr>
                  <w:r>
                    <w:rPr>
                      <w:rFonts w:hint="eastAsia" w:cs="Times New Roman"/>
                      <w:color w:val="000000" w:themeColor="text1"/>
                      <w:sz w:val="21"/>
                      <w:szCs w:val="21"/>
                      <w:lang w:val="en-US" w:eastAsia="zh-CN"/>
                    </w:rPr>
                    <w:t>2</w:t>
                  </w:r>
                </w:p>
              </w:tc>
              <w:tc>
                <w:tcPr>
                  <w:tcW w:w="947" w:type="pct"/>
                  <w:vMerge w:val="continue"/>
                  <w:noWrap w:val="0"/>
                  <w:vAlign w:val="center"/>
                </w:tcPr>
                <w:p w14:paraId="347AB71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sz w:val="21"/>
                      <w:szCs w:val="21"/>
                    </w:rPr>
                  </w:pPr>
                </w:p>
              </w:tc>
              <w:tc>
                <w:tcPr>
                  <w:tcW w:w="1481" w:type="pct"/>
                  <w:noWrap w:val="0"/>
                  <w:vAlign w:val="center"/>
                </w:tcPr>
                <w:p w14:paraId="4DC96820">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贮料池</w:t>
                  </w:r>
                </w:p>
              </w:tc>
              <w:tc>
                <w:tcPr>
                  <w:tcW w:w="1018" w:type="pct"/>
                  <w:noWrap w:val="0"/>
                  <w:vAlign w:val="center"/>
                </w:tcPr>
                <w:p w14:paraId="06BAC14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80m</w:t>
                  </w:r>
                  <w:r>
                    <w:rPr>
                      <w:rFonts w:hint="eastAsia" w:cs="Times New Roman"/>
                      <w:color w:val="000000" w:themeColor="text1"/>
                      <w:sz w:val="21"/>
                      <w:szCs w:val="21"/>
                      <w:vertAlign w:val="superscript"/>
                      <w:lang w:val="en-US" w:eastAsia="zh-CN"/>
                    </w:rPr>
                    <w:t>3</w:t>
                  </w:r>
                </w:p>
              </w:tc>
              <w:tc>
                <w:tcPr>
                  <w:tcW w:w="1111" w:type="pct"/>
                  <w:noWrap w:val="0"/>
                  <w:vAlign w:val="center"/>
                </w:tcPr>
                <w:p w14:paraId="27CE9C66">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Cs w:val="0"/>
                      <w:color w:val="000000" w:themeColor="text1"/>
                      <w:spacing w:val="0"/>
                      <w:kern w:val="2"/>
                      <w:sz w:val="21"/>
                      <w:szCs w:val="21"/>
                      <w:lang w:val="en-US" w:eastAsia="zh-CN" w:bidi="ar-SA"/>
                    </w:rPr>
                  </w:pPr>
                  <w:r>
                    <w:rPr>
                      <w:rFonts w:hint="eastAsia" w:eastAsia="宋体" w:cs="Times New Roman"/>
                      <w:bCs w:val="0"/>
                      <w:color w:val="000000" w:themeColor="text1"/>
                      <w:spacing w:val="0"/>
                      <w:kern w:val="2"/>
                      <w:sz w:val="21"/>
                      <w:szCs w:val="21"/>
                      <w:lang w:val="en-US" w:eastAsia="zh-CN" w:bidi="ar-SA"/>
                    </w:rPr>
                    <w:t>1</w:t>
                  </w:r>
                </w:p>
              </w:tc>
            </w:tr>
            <w:tr w14:paraId="2D5D8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pct"/>
                  <w:noWrap w:val="0"/>
                  <w:vAlign w:val="center"/>
                </w:tcPr>
                <w:p w14:paraId="3D10EE0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sz w:val="21"/>
                      <w:szCs w:val="21"/>
                      <w:lang w:val="en-US" w:eastAsia="zh-CN"/>
                    </w:rPr>
                  </w:pPr>
                  <w:r>
                    <w:rPr>
                      <w:rFonts w:hint="eastAsia" w:cs="Times New Roman"/>
                      <w:color w:val="000000" w:themeColor="text1"/>
                      <w:sz w:val="21"/>
                      <w:szCs w:val="21"/>
                      <w:lang w:val="en-US" w:eastAsia="zh-CN"/>
                    </w:rPr>
                    <w:t>3</w:t>
                  </w:r>
                </w:p>
              </w:tc>
              <w:tc>
                <w:tcPr>
                  <w:tcW w:w="947" w:type="pct"/>
                  <w:vMerge w:val="continue"/>
                  <w:noWrap w:val="0"/>
                  <w:vAlign w:val="center"/>
                </w:tcPr>
                <w:p w14:paraId="0C1888E8">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sz w:val="21"/>
                      <w:szCs w:val="21"/>
                    </w:rPr>
                  </w:pPr>
                </w:p>
              </w:tc>
              <w:tc>
                <w:tcPr>
                  <w:tcW w:w="1481" w:type="pct"/>
                  <w:noWrap w:val="0"/>
                  <w:vAlign w:val="center"/>
                </w:tcPr>
                <w:p w14:paraId="2460A1D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贮料池</w:t>
                  </w:r>
                </w:p>
              </w:tc>
              <w:tc>
                <w:tcPr>
                  <w:tcW w:w="1018" w:type="pct"/>
                  <w:noWrap w:val="0"/>
                  <w:vAlign w:val="center"/>
                </w:tcPr>
                <w:p w14:paraId="5D97EFB7">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160m</w:t>
                  </w:r>
                  <w:r>
                    <w:rPr>
                      <w:rFonts w:hint="eastAsia" w:cs="Times New Roman"/>
                      <w:color w:val="000000" w:themeColor="text1"/>
                      <w:sz w:val="21"/>
                      <w:szCs w:val="21"/>
                      <w:vertAlign w:val="superscript"/>
                      <w:lang w:val="en-US" w:eastAsia="zh-CN"/>
                    </w:rPr>
                    <w:t>3</w:t>
                  </w:r>
                </w:p>
              </w:tc>
              <w:tc>
                <w:tcPr>
                  <w:tcW w:w="1111" w:type="pct"/>
                  <w:noWrap w:val="0"/>
                  <w:vAlign w:val="center"/>
                </w:tcPr>
                <w:p w14:paraId="554BBDAD">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cs="Times New Roman"/>
                      <w:bCs w:val="0"/>
                      <w:color w:val="000000" w:themeColor="text1"/>
                      <w:spacing w:val="0"/>
                      <w:kern w:val="2"/>
                      <w:sz w:val="21"/>
                      <w:szCs w:val="21"/>
                      <w:lang w:val="en-US" w:eastAsia="zh-CN" w:bidi="ar-SA"/>
                    </w:rPr>
                  </w:pPr>
                  <w:r>
                    <w:rPr>
                      <w:rFonts w:hint="eastAsia" w:cs="Times New Roman"/>
                      <w:bCs w:val="0"/>
                      <w:color w:val="000000" w:themeColor="text1"/>
                      <w:spacing w:val="0"/>
                      <w:kern w:val="2"/>
                      <w:sz w:val="21"/>
                      <w:szCs w:val="21"/>
                      <w:lang w:val="en-US" w:eastAsia="zh-CN" w:bidi="ar-SA"/>
                    </w:rPr>
                    <w:t>1</w:t>
                  </w:r>
                </w:p>
              </w:tc>
            </w:tr>
            <w:tr w14:paraId="610DF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pct"/>
                  <w:noWrap w:val="0"/>
                  <w:vAlign w:val="center"/>
                </w:tcPr>
                <w:p w14:paraId="60D8D33D">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sz w:val="21"/>
                      <w:szCs w:val="21"/>
                      <w:lang w:val="en-US" w:eastAsia="zh-CN"/>
                    </w:rPr>
                  </w:pPr>
                  <w:r>
                    <w:rPr>
                      <w:rFonts w:hint="eastAsia" w:cs="Times New Roman"/>
                      <w:color w:val="000000" w:themeColor="text1"/>
                      <w:sz w:val="21"/>
                      <w:szCs w:val="21"/>
                      <w:lang w:val="en-US" w:eastAsia="zh-CN"/>
                    </w:rPr>
                    <w:t>4</w:t>
                  </w:r>
                </w:p>
              </w:tc>
              <w:tc>
                <w:tcPr>
                  <w:tcW w:w="947" w:type="pct"/>
                  <w:vMerge w:val="continue"/>
                  <w:noWrap w:val="0"/>
                  <w:vAlign w:val="center"/>
                </w:tcPr>
                <w:p w14:paraId="30C42EA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sz w:val="21"/>
                      <w:szCs w:val="21"/>
                    </w:rPr>
                  </w:pPr>
                </w:p>
              </w:tc>
              <w:tc>
                <w:tcPr>
                  <w:tcW w:w="1481" w:type="pct"/>
                  <w:noWrap w:val="0"/>
                  <w:vAlign w:val="center"/>
                </w:tcPr>
                <w:p w14:paraId="3356F26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cs="Times New Roman"/>
                      <w:bCs w:val="0"/>
                      <w:color w:val="000000" w:themeColor="text1"/>
                      <w:spacing w:val="0"/>
                      <w:kern w:val="2"/>
                      <w:sz w:val="21"/>
                      <w:szCs w:val="21"/>
                      <w:lang w:val="en-US" w:eastAsia="zh-CN" w:bidi="ar-SA"/>
                    </w:rPr>
                  </w:pPr>
                  <w:r>
                    <w:rPr>
                      <w:rFonts w:hint="eastAsia" w:cs="Times New Roman"/>
                      <w:color w:val="00B050"/>
                      <w:sz w:val="21"/>
                      <w:szCs w:val="21"/>
                      <w:lang w:val="en-US" w:eastAsia="zh-CN"/>
                    </w:rPr>
                    <w:t>循环水池</w:t>
                  </w:r>
                </w:p>
              </w:tc>
              <w:tc>
                <w:tcPr>
                  <w:tcW w:w="1018" w:type="pct"/>
                  <w:noWrap w:val="0"/>
                  <w:vAlign w:val="center"/>
                </w:tcPr>
                <w:p w14:paraId="20D0DA77">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160m</w:t>
                  </w:r>
                  <w:r>
                    <w:rPr>
                      <w:rFonts w:hint="eastAsia" w:cs="Times New Roman"/>
                      <w:color w:val="000000" w:themeColor="text1"/>
                      <w:sz w:val="21"/>
                      <w:szCs w:val="21"/>
                      <w:vertAlign w:val="superscript"/>
                      <w:lang w:val="en-US" w:eastAsia="zh-CN"/>
                    </w:rPr>
                    <w:t>3</w:t>
                  </w:r>
                </w:p>
              </w:tc>
              <w:tc>
                <w:tcPr>
                  <w:tcW w:w="1111" w:type="pct"/>
                  <w:noWrap w:val="0"/>
                  <w:vAlign w:val="center"/>
                </w:tcPr>
                <w:p w14:paraId="767C2399">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cs="Times New Roman"/>
                      <w:bCs w:val="0"/>
                      <w:color w:val="000000" w:themeColor="text1"/>
                      <w:spacing w:val="0"/>
                      <w:kern w:val="2"/>
                      <w:sz w:val="21"/>
                      <w:szCs w:val="21"/>
                      <w:lang w:val="en-US" w:eastAsia="zh-CN" w:bidi="ar-SA"/>
                    </w:rPr>
                  </w:pPr>
                  <w:r>
                    <w:rPr>
                      <w:rFonts w:hint="eastAsia" w:cs="Times New Roman"/>
                      <w:bCs w:val="0"/>
                      <w:color w:val="000000" w:themeColor="text1"/>
                      <w:spacing w:val="0"/>
                      <w:kern w:val="2"/>
                      <w:sz w:val="21"/>
                      <w:szCs w:val="21"/>
                      <w:lang w:val="en-US" w:eastAsia="zh-CN" w:bidi="ar-SA"/>
                    </w:rPr>
                    <w:t>1</w:t>
                  </w:r>
                </w:p>
              </w:tc>
            </w:tr>
            <w:tr w14:paraId="5EED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pct"/>
                  <w:noWrap w:val="0"/>
                  <w:vAlign w:val="center"/>
                </w:tcPr>
                <w:p w14:paraId="3BB3EA07">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sz w:val="21"/>
                      <w:szCs w:val="21"/>
                      <w:lang w:val="en-US" w:eastAsia="zh-CN"/>
                    </w:rPr>
                  </w:pPr>
                  <w:r>
                    <w:rPr>
                      <w:rFonts w:hint="eastAsia" w:cs="Times New Roman"/>
                      <w:color w:val="000000" w:themeColor="text1"/>
                      <w:sz w:val="21"/>
                      <w:szCs w:val="21"/>
                      <w:lang w:val="en-US" w:eastAsia="zh-CN"/>
                    </w:rPr>
                    <w:t>5</w:t>
                  </w:r>
                </w:p>
              </w:tc>
              <w:tc>
                <w:tcPr>
                  <w:tcW w:w="947" w:type="pct"/>
                  <w:vMerge w:val="continue"/>
                  <w:noWrap w:val="0"/>
                  <w:vAlign w:val="center"/>
                </w:tcPr>
                <w:p w14:paraId="3D5DD790">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sz w:val="21"/>
                      <w:szCs w:val="21"/>
                    </w:rPr>
                  </w:pPr>
                </w:p>
              </w:tc>
              <w:tc>
                <w:tcPr>
                  <w:tcW w:w="1481" w:type="pct"/>
                  <w:noWrap w:val="0"/>
                  <w:vAlign w:val="center"/>
                </w:tcPr>
                <w:p w14:paraId="24134392">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搅拌机</w:t>
                  </w:r>
                </w:p>
              </w:tc>
              <w:tc>
                <w:tcPr>
                  <w:tcW w:w="1018" w:type="pct"/>
                  <w:noWrap w:val="0"/>
                  <w:vAlign w:val="center"/>
                </w:tcPr>
                <w:p w14:paraId="15E723D1">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3KW</w:t>
                  </w:r>
                </w:p>
              </w:tc>
              <w:tc>
                <w:tcPr>
                  <w:tcW w:w="1111" w:type="pct"/>
                  <w:noWrap w:val="0"/>
                  <w:vAlign w:val="center"/>
                </w:tcPr>
                <w:p w14:paraId="578DAD5A">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Cs w:val="0"/>
                      <w:color w:val="000000" w:themeColor="text1"/>
                      <w:spacing w:val="0"/>
                      <w:kern w:val="2"/>
                      <w:sz w:val="21"/>
                      <w:szCs w:val="21"/>
                      <w:lang w:val="en-US" w:eastAsia="zh-CN" w:bidi="ar-SA"/>
                    </w:rPr>
                  </w:pPr>
                  <w:r>
                    <w:rPr>
                      <w:rFonts w:hint="eastAsia" w:eastAsia="宋体" w:cs="Times New Roman"/>
                      <w:bCs w:val="0"/>
                      <w:color w:val="000000" w:themeColor="text1"/>
                      <w:spacing w:val="0"/>
                      <w:kern w:val="2"/>
                      <w:sz w:val="21"/>
                      <w:szCs w:val="21"/>
                      <w:lang w:val="en-US" w:eastAsia="zh-CN" w:bidi="ar-SA"/>
                    </w:rPr>
                    <w:t>2</w:t>
                  </w:r>
                </w:p>
              </w:tc>
            </w:tr>
            <w:tr w14:paraId="3ED2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pct"/>
                  <w:noWrap w:val="0"/>
                  <w:vAlign w:val="center"/>
                </w:tcPr>
                <w:p w14:paraId="589644F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sz w:val="21"/>
                      <w:szCs w:val="21"/>
                      <w:lang w:val="en-US" w:eastAsia="zh-CN"/>
                    </w:rPr>
                  </w:pPr>
                  <w:r>
                    <w:rPr>
                      <w:rFonts w:hint="eastAsia" w:cs="Times New Roman"/>
                      <w:color w:val="000000" w:themeColor="text1"/>
                      <w:sz w:val="21"/>
                      <w:szCs w:val="21"/>
                      <w:lang w:val="en-US" w:eastAsia="zh-CN"/>
                    </w:rPr>
                    <w:t>6</w:t>
                  </w:r>
                </w:p>
              </w:tc>
              <w:tc>
                <w:tcPr>
                  <w:tcW w:w="947" w:type="pct"/>
                  <w:vMerge w:val="continue"/>
                  <w:noWrap w:val="0"/>
                  <w:vAlign w:val="center"/>
                </w:tcPr>
                <w:p w14:paraId="35F2A340">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sz w:val="21"/>
                      <w:szCs w:val="21"/>
                    </w:rPr>
                  </w:pPr>
                </w:p>
              </w:tc>
              <w:tc>
                <w:tcPr>
                  <w:tcW w:w="1481" w:type="pct"/>
                  <w:noWrap w:val="0"/>
                  <w:vAlign w:val="center"/>
                </w:tcPr>
                <w:p w14:paraId="5E3B4E59">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配料池</w:t>
                  </w:r>
                </w:p>
              </w:tc>
              <w:tc>
                <w:tcPr>
                  <w:tcW w:w="1018" w:type="pct"/>
                  <w:noWrap w:val="0"/>
                  <w:vAlign w:val="center"/>
                </w:tcPr>
                <w:p w14:paraId="0458230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20m</w:t>
                  </w:r>
                  <w:r>
                    <w:rPr>
                      <w:rFonts w:hint="eastAsia" w:cs="Times New Roman"/>
                      <w:color w:val="000000" w:themeColor="text1"/>
                      <w:sz w:val="21"/>
                      <w:szCs w:val="21"/>
                      <w:vertAlign w:val="superscript"/>
                      <w:lang w:val="en-US" w:eastAsia="zh-CN"/>
                    </w:rPr>
                    <w:t>3</w:t>
                  </w:r>
                </w:p>
              </w:tc>
              <w:tc>
                <w:tcPr>
                  <w:tcW w:w="1111" w:type="pct"/>
                  <w:noWrap w:val="0"/>
                  <w:vAlign w:val="center"/>
                </w:tcPr>
                <w:p w14:paraId="12A91000">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Cs w:val="0"/>
                      <w:color w:val="000000" w:themeColor="text1"/>
                      <w:spacing w:val="0"/>
                      <w:kern w:val="2"/>
                      <w:sz w:val="21"/>
                      <w:szCs w:val="21"/>
                      <w:lang w:val="en-US" w:eastAsia="zh-CN" w:bidi="ar-SA"/>
                    </w:rPr>
                  </w:pPr>
                  <w:r>
                    <w:rPr>
                      <w:rFonts w:hint="eastAsia" w:eastAsia="宋体" w:cs="Times New Roman"/>
                      <w:bCs w:val="0"/>
                      <w:color w:val="000000" w:themeColor="text1"/>
                      <w:spacing w:val="0"/>
                      <w:kern w:val="2"/>
                      <w:sz w:val="21"/>
                      <w:szCs w:val="21"/>
                      <w:lang w:val="en-US" w:eastAsia="zh-CN" w:bidi="ar-SA"/>
                    </w:rPr>
                    <w:t>2</w:t>
                  </w:r>
                </w:p>
              </w:tc>
            </w:tr>
            <w:tr w14:paraId="385E0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pct"/>
                  <w:noWrap w:val="0"/>
                  <w:vAlign w:val="center"/>
                </w:tcPr>
                <w:p w14:paraId="7D22A956">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7</w:t>
                  </w:r>
                </w:p>
              </w:tc>
              <w:tc>
                <w:tcPr>
                  <w:tcW w:w="947" w:type="pct"/>
                  <w:vMerge w:val="continue"/>
                  <w:noWrap w:val="0"/>
                  <w:vAlign w:val="center"/>
                </w:tcPr>
                <w:p w14:paraId="4FD9C1FC">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sz w:val="21"/>
                      <w:szCs w:val="21"/>
                    </w:rPr>
                  </w:pPr>
                </w:p>
              </w:tc>
              <w:tc>
                <w:tcPr>
                  <w:tcW w:w="1481" w:type="pct"/>
                  <w:noWrap w:val="0"/>
                  <w:vAlign w:val="center"/>
                </w:tcPr>
                <w:p w14:paraId="2DA2776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cs="Times New Roman"/>
                      <w:bCs w:val="0"/>
                      <w:color w:val="000000" w:themeColor="text1"/>
                      <w:spacing w:val="0"/>
                      <w:kern w:val="2"/>
                      <w:sz w:val="21"/>
                      <w:szCs w:val="21"/>
                      <w:lang w:val="en-US" w:eastAsia="zh-CN" w:bidi="ar-SA"/>
                    </w:rPr>
                  </w:pPr>
                  <w:r>
                    <w:rPr>
                      <w:rFonts w:hint="eastAsia" w:cs="Times New Roman"/>
                      <w:color w:val="000000" w:themeColor="text1"/>
                      <w:sz w:val="21"/>
                      <w:szCs w:val="21"/>
                    </w:rPr>
                    <w:t>模塑转鼓成型机</w:t>
                  </w:r>
                </w:p>
              </w:tc>
              <w:tc>
                <w:tcPr>
                  <w:tcW w:w="1018" w:type="pct"/>
                  <w:noWrap w:val="0"/>
                  <w:vAlign w:val="center"/>
                </w:tcPr>
                <w:p w14:paraId="6CB6F9FD">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w:t>
                  </w:r>
                </w:p>
              </w:tc>
              <w:tc>
                <w:tcPr>
                  <w:tcW w:w="1111" w:type="pct"/>
                  <w:noWrap w:val="0"/>
                  <w:vAlign w:val="center"/>
                </w:tcPr>
                <w:p w14:paraId="6AE51B4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1</w:t>
                  </w:r>
                </w:p>
              </w:tc>
            </w:tr>
            <w:tr w14:paraId="2C32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pct"/>
                  <w:shd w:val="clear" w:color="auto" w:fill="auto"/>
                  <w:noWrap w:val="0"/>
                  <w:vAlign w:val="center"/>
                </w:tcPr>
                <w:p w14:paraId="35FBF28C">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textAlignment w:val="auto"/>
                    <w:rPr>
                      <w:rFonts w:hint="eastAsia"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8</w:t>
                  </w:r>
                </w:p>
              </w:tc>
              <w:tc>
                <w:tcPr>
                  <w:tcW w:w="947" w:type="pct"/>
                  <w:vMerge w:val="continue"/>
                  <w:noWrap w:val="0"/>
                  <w:vAlign w:val="center"/>
                </w:tcPr>
                <w:p w14:paraId="12ECD05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sz w:val="21"/>
                      <w:szCs w:val="21"/>
                    </w:rPr>
                  </w:pPr>
                </w:p>
              </w:tc>
              <w:tc>
                <w:tcPr>
                  <w:tcW w:w="1481" w:type="pct"/>
                  <w:noWrap w:val="0"/>
                  <w:vAlign w:val="center"/>
                </w:tcPr>
                <w:p w14:paraId="7CCBAC52">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eastAsia="宋体" w:cs="Times New Roman"/>
                      <w:color w:val="00B050"/>
                      <w:sz w:val="21"/>
                      <w:szCs w:val="21"/>
                      <w:lang w:val="en-US" w:eastAsia="zh-CN"/>
                    </w:rPr>
                  </w:pPr>
                  <w:r>
                    <w:rPr>
                      <w:rFonts w:hint="eastAsia" w:cs="Times New Roman"/>
                      <w:color w:val="00B050"/>
                      <w:sz w:val="21"/>
                      <w:szCs w:val="21"/>
                      <w:lang w:val="en-US" w:eastAsia="zh-CN"/>
                    </w:rPr>
                    <w:t>热风炉</w:t>
                  </w:r>
                </w:p>
              </w:tc>
              <w:tc>
                <w:tcPr>
                  <w:tcW w:w="1018" w:type="pct"/>
                  <w:noWrap w:val="0"/>
                  <w:vAlign w:val="center"/>
                </w:tcPr>
                <w:p w14:paraId="720B1152">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textAlignment w:val="auto"/>
                    <w:rPr>
                      <w:rFonts w:hint="eastAsia" w:cs="Times New Roman"/>
                      <w:color w:val="00B050"/>
                      <w:sz w:val="21"/>
                      <w:szCs w:val="21"/>
                      <w:lang w:val="en-US" w:eastAsia="zh-CN"/>
                    </w:rPr>
                  </w:pPr>
                  <w:r>
                    <w:rPr>
                      <w:rFonts w:hint="eastAsia" w:cs="Times New Roman"/>
                      <w:color w:val="00B050"/>
                      <w:sz w:val="21"/>
                      <w:szCs w:val="21"/>
                      <w:lang w:val="en-US" w:eastAsia="zh-CN"/>
                    </w:rPr>
                    <w:t>/</w:t>
                  </w:r>
                </w:p>
              </w:tc>
              <w:tc>
                <w:tcPr>
                  <w:tcW w:w="1111" w:type="pct"/>
                  <w:noWrap w:val="0"/>
                  <w:vAlign w:val="center"/>
                </w:tcPr>
                <w:p w14:paraId="76CE511B">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textAlignment w:val="auto"/>
                    <w:rPr>
                      <w:rFonts w:hint="eastAsia" w:cs="Times New Roman"/>
                      <w:color w:val="00B050"/>
                      <w:sz w:val="21"/>
                      <w:szCs w:val="21"/>
                      <w:lang w:val="en-US" w:eastAsia="zh-CN"/>
                    </w:rPr>
                  </w:pPr>
                  <w:r>
                    <w:rPr>
                      <w:rFonts w:hint="eastAsia" w:cs="Times New Roman"/>
                      <w:color w:val="00B050"/>
                      <w:sz w:val="21"/>
                      <w:szCs w:val="21"/>
                      <w:lang w:val="en-US" w:eastAsia="zh-CN"/>
                    </w:rPr>
                    <w:t>1</w:t>
                  </w:r>
                </w:p>
              </w:tc>
            </w:tr>
            <w:tr w14:paraId="3747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pct"/>
                  <w:shd w:val="clear" w:color="auto" w:fill="auto"/>
                  <w:noWrap w:val="0"/>
                  <w:vAlign w:val="center"/>
                </w:tcPr>
                <w:p w14:paraId="62D68D81">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10</w:t>
                  </w:r>
                </w:p>
              </w:tc>
              <w:tc>
                <w:tcPr>
                  <w:tcW w:w="947" w:type="pct"/>
                  <w:vMerge w:val="continue"/>
                  <w:noWrap w:val="0"/>
                  <w:vAlign w:val="center"/>
                </w:tcPr>
                <w:p w14:paraId="74987957">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sz w:val="21"/>
                      <w:szCs w:val="21"/>
                    </w:rPr>
                  </w:pPr>
                </w:p>
              </w:tc>
              <w:tc>
                <w:tcPr>
                  <w:tcW w:w="1481" w:type="pct"/>
                  <w:noWrap w:val="0"/>
                  <w:vAlign w:val="center"/>
                </w:tcPr>
                <w:p w14:paraId="715929F0">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烘干炉</w:t>
                  </w:r>
                </w:p>
              </w:tc>
              <w:tc>
                <w:tcPr>
                  <w:tcW w:w="1018" w:type="pct"/>
                  <w:noWrap w:val="0"/>
                  <w:vAlign w:val="center"/>
                </w:tcPr>
                <w:p w14:paraId="66ADF7C1">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cs="Times New Roman"/>
                      <w:bCs w:val="0"/>
                      <w:color w:val="000000" w:themeColor="text1"/>
                      <w:spacing w:val="0"/>
                      <w:kern w:val="2"/>
                      <w:sz w:val="21"/>
                      <w:szCs w:val="21"/>
                      <w:lang w:val="en-US" w:eastAsia="zh-CN" w:bidi="ar-SA"/>
                    </w:rPr>
                  </w:pPr>
                  <w:r>
                    <w:rPr>
                      <w:rFonts w:hint="eastAsia" w:cs="Times New Roman"/>
                      <w:color w:val="000000" w:themeColor="text1"/>
                      <w:sz w:val="21"/>
                      <w:szCs w:val="21"/>
                    </w:rPr>
                    <w:t>金属多</w:t>
                  </w:r>
                  <w:r>
                    <w:rPr>
                      <w:rFonts w:hint="eastAsia" w:cs="Times New Roman"/>
                      <w:color w:val="000000" w:themeColor="text1"/>
                      <w:sz w:val="21"/>
                      <w:szCs w:val="21"/>
                      <w:lang w:val="en-US" w:eastAsia="zh-CN"/>
                    </w:rPr>
                    <w:t>层</w:t>
                  </w:r>
                  <w:r>
                    <w:rPr>
                      <w:rFonts w:hint="eastAsia" w:cs="Times New Roman"/>
                      <w:color w:val="000000" w:themeColor="text1"/>
                      <w:sz w:val="21"/>
                      <w:szCs w:val="21"/>
                    </w:rPr>
                    <w:t>烘干炉</w:t>
                  </w:r>
                </w:p>
              </w:tc>
              <w:tc>
                <w:tcPr>
                  <w:tcW w:w="1111" w:type="pct"/>
                  <w:noWrap w:val="0"/>
                  <w:vAlign w:val="center"/>
                </w:tcPr>
                <w:p w14:paraId="08D6230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1</w:t>
                  </w:r>
                </w:p>
              </w:tc>
            </w:tr>
            <w:tr w14:paraId="730D4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pct"/>
                  <w:noWrap w:val="0"/>
                  <w:vAlign w:val="center"/>
                </w:tcPr>
                <w:p w14:paraId="5F0A0897">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11</w:t>
                  </w:r>
                </w:p>
              </w:tc>
              <w:tc>
                <w:tcPr>
                  <w:tcW w:w="947" w:type="pct"/>
                  <w:vMerge w:val="continue"/>
                  <w:noWrap w:val="0"/>
                  <w:vAlign w:val="center"/>
                </w:tcPr>
                <w:p w14:paraId="601A32A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sz w:val="21"/>
                      <w:szCs w:val="21"/>
                    </w:rPr>
                  </w:pPr>
                </w:p>
              </w:tc>
              <w:tc>
                <w:tcPr>
                  <w:tcW w:w="1481" w:type="pct"/>
                  <w:noWrap w:val="0"/>
                  <w:vAlign w:val="center"/>
                </w:tcPr>
                <w:p w14:paraId="2C9526D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打包机</w:t>
                  </w:r>
                </w:p>
              </w:tc>
              <w:tc>
                <w:tcPr>
                  <w:tcW w:w="1018" w:type="pct"/>
                  <w:noWrap w:val="0"/>
                  <w:vAlign w:val="center"/>
                </w:tcPr>
                <w:p w14:paraId="33655D39">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w:t>
                  </w:r>
                </w:p>
              </w:tc>
              <w:tc>
                <w:tcPr>
                  <w:tcW w:w="1111" w:type="pct"/>
                  <w:noWrap w:val="0"/>
                  <w:vAlign w:val="center"/>
                </w:tcPr>
                <w:p w14:paraId="6EB2890D">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1</w:t>
                  </w:r>
                </w:p>
              </w:tc>
            </w:tr>
            <w:tr w14:paraId="2BE2B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pct"/>
                  <w:noWrap w:val="0"/>
                  <w:vAlign w:val="center"/>
                </w:tcPr>
                <w:p w14:paraId="1E231FC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sz w:val="21"/>
                      <w:szCs w:val="21"/>
                    </w:rPr>
                  </w:pPr>
                  <w:r>
                    <w:rPr>
                      <w:rFonts w:hint="default" w:cs="Times New Roman"/>
                      <w:color w:val="000000" w:themeColor="text1"/>
                      <w:sz w:val="21"/>
                      <w:szCs w:val="21"/>
                    </w:rPr>
                    <w:t>1</w:t>
                  </w:r>
                </w:p>
              </w:tc>
              <w:tc>
                <w:tcPr>
                  <w:tcW w:w="947" w:type="pct"/>
                  <w:vMerge w:val="restart"/>
                  <w:noWrap w:val="0"/>
                  <w:vAlign w:val="center"/>
                </w:tcPr>
                <w:p w14:paraId="24D599E2">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sz w:val="21"/>
                      <w:szCs w:val="21"/>
                      <w:lang w:val="en-US" w:eastAsia="zh-CN"/>
                    </w:rPr>
                  </w:pPr>
                  <w:r>
                    <w:rPr>
                      <w:rFonts w:hint="eastAsia" w:cs="Times New Roman"/>
                      <w:color w:val="000000" w:themeColor="text1"/>
                      <w:sz w:val="21"/>
                      <w:szCs w:val="21"/>
                    </w:rPr>
                    <w:t>果托生产线</w:t>
                  </w:r>
                </w:p>
              </w:tc>
              <w:tc>
                <w:tcPr>
                  <w:tcW w:w="1481" w:type="pct"/>
                  <w:noWrap w:val="0"/>
                  <w:vAlign w:val="center"/>
                </w:tcPr>
                <w:p w14:paraId="12D67AE6">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sz w:val="21"/>
                      <w:szCs w:val="21"/>
                      <w:lang w:val="en-US" w:eastAsia="zh-CN"/>
                    </w:rPr>
                  </w:pPr>
                  <w:r>
                    <w:rPr>
                      <w:rFonts w:hint="eastAsia" w:cs="Times New Roman"/>
                      <w:color w:val="000000" w:themeColor="text1"/>
                      <w:sz w:val="21"/>
                      <w:szCs w:val="21"/>
                      <w:lang w:val="en-US" w:eastAsia="zh-CN"/>
                    </w:rPr>
                    <w:t>水力制料机</w:t>
                  </w:r>
                </w:p>
              </w:tc>
              <w:tc>
                <w:tcPr>
                  <w:tcW w:w="1018" w:type="pct"/>
                  <w:noWrap w:val="0"/>
                  <w:vAlign w:val="center"/>
                </w:tcPr>
                <w:p w14:paraId="52DBCCD2">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sz w:val="21"/>
                      <w:szCs w:val="21"/>
                      <w:lang w:val="en-US" w:eastAsia="zh-CN"/>
                    </w:rPr>
                  </w:pPr>
                  <w:r>
                    <w:rPr>
                      <w:rFonts w:hint="eastAsia" w:cs="Times New Roman"/>
                      <w:color w:val="000000" w:themeColor="text1"/>
                      <w:sz w:val="21"/>
                      <w:szCs w:val="21"/>
                      <w:lang w:val="en-US" w:eastAsia="zh-CN"/>
                    </w:rPr>
                    <w:t>/</w:t>
                  </w:r>
                </w:p>
              </w:tc>
              <w:tc>
                <w:tcPr>
                  <w:tcW w:w="1111" w:type="pct"/>
                  <w:noWrap w:val="0"/>
                  <w:vAlign w:val="center"/>
                </w:tcPr>
                <w:p w14:paraId="06F00CF6">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sz w:val="21"/>
                      <w:szCs w:val="21"/>
                      <w:lang w:val="en-US" w:eastAsia="zh-CN"/>
                    </w:rPr>
                  </w:pPr>
                  <w:r>
                    <w:rPr>
                      <w:rFonts w:hint="eastAsia" w:cs="Times New Roman"/>
                      <w:color w:val="000000" w:themeColor="text1"/>
                      <w:sz w:val="21"/>
                      <w:szCs w:val="21"/>
                      <w:lang w:val="en-US" w:eastAsia="zh-CN"/>
                    </w:rPr>
                    <w:t>2</w:t>
                  </w:r>
                </w:p>
              </w:tc>
            </w:tr>
            <w:tr w14:paraId="70F24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pct"/>
                  <w:noWrap w:val="0"/>
                  <w:vAlign w:val="center"/>
                </w:tcPr>
                <w:p w14:paraId="76600F8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sz w:val="21"/>
                      <w:szCs w:val="21"/>
                    </w:rPr>
                  </w:pPr>
                  <w:r>
                    <w:rPr>
                      <w:rFonts w:hint="default" w:cs="Times New Roman"/>
                      <w:color w:val="000000" w:themeColor="text1"/>
                      <w:sz w:val="21"/>
                      <w:szCs w:val="21"/>
                    </w:rPr>
                    <w:t>2</w:t>
                  </w:r>
                </w:p>
              </w:tc>
              <w:tc>
                <w:tcPr>
                  <w:tcW w:w="947" w:type="pct"/>
                  <w:vMerge w:val="continue"/>
                  <w:noWrap w:val="0"/>
                  <w:vAlign w:val="center"/>
                </w:tcPr>
                <w:p w14:paraId="2B8355B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sz w:val="21"/>
                      <w:szCs w:val="21"/>
                    </w:rPr>
                  </w:pPr>
                </w:p>
              </w:tc>
              <w:tc>
                <w:tcPr>
                  <w:tcW w:w="1481" w:type="pct"/>
                  <w:noWrap w:val="0"/>
                  <w:vAlign w:val="center"/>
                </w:tcPr>
                <w:p w14:paraId="28C7180B">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sz w:val="21"/>
                      <w:szCs w:val="21"/>
                      <w:lang w:val="en-US" w:eastAsia="zh-CN"/>
                    </w:rPr>
                  </w:pPr>
                  <w:r>
                    <w:rPr>
                      <w:rFonts w:hint="eastAsia" w:cs="Times New Roman"/>
                      <w:color w:val="000000" w:themeColor="text1"/>
                      <w:sz w:val="21"/>
                      <w:szCs w:val="21"/>
                      <w:lang w:val="en-US" w:eastAsia="zh-CN"/>
                    </w:rPr>
                    <w:t>贮料池</w:t>
                  </w:r>
                </w:p>
              </w:tc>
              <w:tc>
                <w:tcPr>
                  <w:tcW w:w="1018" w:type="pct"/>
                  <w:noWrap w:val="0"/>
                  <w:vAlign w:val="center"/>
                </w:tcPr>
                <w:p w14:paraId="2699C0B3">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sz w:val="21"/>
                      <w:szCs w:val="21"/>
                      <w:lang w:val="en-US" w:eastAsia="zh-CN"/>
                    </w:rPr>
                  </w:pPr>
                  <w:r>
                    <w:rPr>
                      <w:rFonts w:hint="eastAsia" w:cs="Times New Roman"/>
                      <w:color w:val="000000" w:themeColor="text1"/>
                      <w:sz w:val="21"/>
                      <w:szCs w:val="21"/>
                      <w:lang w:val="en-US" w:eastAsia="zh-CN"/>
                    </w:rPr>
                    <w:t>80m</w:t>
                  </w:r>
                  <w:r>
                    <w:rPr>
                      <w:rFonts w:hint="eastAsia" w:cs="Times New Roman"/>
                      <w:color w:val="000000" w:themeColor="text1"/>
                      <w:sz w:val="21"/>
                      <w:szCs w:val="21"/>
                      <w:vertAlign w:val="superscript"/>
                      <w:lang w:val="en-US" w:eastAsia="zh-CN"/>
                    </w:rPr>
                    <w:t>3</w:t>
                  </w:r>
                </w:p>
              </w:tc>
              <w:tc>
                <w:tcPr>
                  <w:tcW w:w="1111" w:type="pct"/>
                  <w:noWrap w:val="0"/>
                  <w:vAlign w:val="center"/>
                </w:tcPr>
                <w:p w14:paraId="797875A9">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sz w:val="21"/>
                      <w:szCs w:val="21"/>
                      <w:lang w:val="en-US" w:eastAsia="zh-CN"/>
                    </w:rPr>
                  </w:pPr>
                  <w:r>
                    <w:rPr>
                      <w:rFonts w:hint="eastAsia" w:eastAsia="宋体" w:cs="Times New Roman"/>
                      <w:color w:val="000000" w:themeColor="text1"/>
                      <w:sz w:val="21"/>
                      <w:szCs w:val="21"/>
                      <w:lang w:val="en-US" w:eastAsia="zh-CN"/>
                    </w:rPr>
                    <w:t>1</w:t>
                  </w:r>
                </w:p>
              </w:tc>
            </w:tr>
            <w:tr w14:paraId="36073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pct"/>
                  <w:noWrap w:val="0"/>
                  <w:vAlign w:val="center"/>
                </w:tcPr>
                <w:p w14:paraId="70371FC9">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sz w:val="21"/>
                      <w:szCs w:val="21"/>
                      <w:lang w:val="en-US" w:eastAsia="zh-CN"/>
                    </w:rPr>
                  </w:pPr>
                  <w:r>
                    <w:rPr>
                      <w:rFonts w:hint="eastAsia" w:cs="Times New Roman"/>
                      <w:color w:val="000000" w:themeColor="text1"/>
                      <w:sz w:val="21"/>
                      <w:szCs w:val="21"/>
                      <w:lang w:val="en-US" w:eastAsia="zh-CN"/>
                    </w:rPr>
                    <w:t>3</w:t>
                  </w:r>
                </w:p>
              </w:tc>
              <w:tc>
                <w:tcPr>
                  <w:tcW w:w="947" w:type="pct"/>
                  <w:vMerge w:val="continue"/>
                  <w:noWrap w:val="0"/>
                  <w:vAlign w:val="center"/>
                </w:tcPr>
                <w:p w14:paraId="7260279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sz w:val="21"/>
                      <w:szCs w:val="21"/>
                    </w:rPr>
                  </w:pPr>
                </w:p>
              </w:tc>
              <w:tc>
                <w:tcPr>
                  <w:tcW w:w="1481" w:type="pct"/>
                  <w:noWrap w:val="0"/>
                  <w:vAlign w:val="center"/>
                </w:tcPr>
                <w:p w14:paraId="7B928A39">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cs="Times New Roman"/>
                      <w:color w:val="000000" w:themeColor="text1"/>
                      <w:sz w:val="21"/>
                      <w:szCs w:val="21"/>
                      <w:lang w:val="en-US" w:eastAsia="zh-CN"/>
                    </w:rPr>
                  </w:pPr>
                  <w:r>
                    <w:rPr>
                      <w:rFonts w:hint="eastAsia" w:cs="Times New Roman"/>
                      <w:color w:val="000000" w:themeColor="text1"/>
                      <w:sz w:val="21"/>
                      <w:szCs w:val="21"/>
                      <w:lang w:val="en-US" w:eastAsia="zh-CN"/>
                    </w:rPr>
                    <w:t>贮料池</w:t>
                  </w:r>
                </w:p>
              </w:tc>
              <w:tc>
                <w:tcPr>
                  <w:tcW w:w="1018" w:type="pct"/>
                  <w:noWrap w:val="0"/>
                  <w:vAlign w:val="center"/>
                </w:tcPr>
                <w:p w14:paraId="55DB7EAA">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160m</w:t>
                  </w:r>
                  <w:r>
                    <w:rPr>
                      <w:rFonts w:hint="eastAsia" w:cs="Times New Roman"/>
                      <w:color w:val="000000" w:themeColor="text1"/>
                      <w:sz w:val="21"/>
                      <w:szCs w:val="21"/>
                      <w:vertAlign w:val="superscript"/>
                      <w:lang w:val="en-US" w:eastAsia="zh-CN"/>
                    </w:rPr>
                    <w:t>3</w:t>
                  </w:r>
                </w:p>
              </w:tc>
              <w:tc>
                <w:tcPr>
                  <w:tcW w:w="1111" w:type="pct"/>
                  <w:noWrap w:val="0"/>
                  <w:vAlign w:val="center"/>
                </w:tcPr>
                <w:p w14:paraId="27248C4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w:t>
                  </w:r>
                </w:p>
              </w:tc>
            </w:tr>
            <w:tr w14:paraId="43740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pct"/>
                  <w:noWrap w:val="0"/>
                  <w:vAlign w:val="center"/>
                </w:tcPr>
                <w:p w14:paraId="02F778A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sz w:val="21"/>
                      <w:szCs w:val="21"/>
                      <w:lang w:val="en-US" w:eastAsia="zh-CN"/>
                    </w:rPr>
                  </w:pPr>
                  <w:r>
                    <w:rPr>
                      <w:rFonts w:hint="eastAsia" w:cs="Times New Roman"/>
                      <w:color w:val="000000" w:themeColor="text1"/>
                      <w:sz w:val="21"/>
                      <w:szCs w:val="21"/>
                      <w:lang w:val="en-US" w:eastAsia="zh-CN"/>
                    </w:rPr>
                    <w:t>4</w:t>
                  </w:r>
                </w:p>
              </w:tc>
              <w:tc>
                <w:tcPr>
                  <w:tcW w:w="947" w:type="pct"/>
                  <w:vMerge w:val="continue"/>
                  <w:noWrap w:val="0"/>
                  <w:vAlign w:val="center"/>
                </w:tcPr>
                <w:p w14:paraId="6A5AFD06">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sz w:val="21"/>
                      <w:szCs w:val="21"/>
                    </w:rPr>
                  </w:pPr>
                </w:p>
              </w:tc>
              <w:tc>
                <w:tcPr>
                  <w:tcW w:w="1481" w:type="pct"/>
                  <w:noWrap w:val="0"/>
                  <w:vAlign w:val="center"/>
                </w:tcPr>
                <w:p w14:paraId="0967E79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cs="Times New Roman"/>
                      <w:bCs w:val="0"/>
                      <w:color w:val="000000" w:themeColor="text1"/>
                      <w:spacing w:val="0"/>
                      <w:kern w:val="2"/>
                      <w:sz w:val="21"/>
                      <w:szCs w:val="21"/>
                      <w:lang w:val="en-US" w:eastAsia="zh-CN" w:bidi="ar-SA"/>
                    </w:rPr>
                  </w:pPr>
                  <w:r>
                    <w:rPr>
                      <w:rFonts w:hint="eastAsia" w:cs="Times New Roman"/>
                      <w:color w:val="00B050"/>
                      <w:sz w:val="21"/>
                      <w:szCs w:val="21"/>
                      <w:lang w:val="en-US" w:eastAsia="zh-CN"/>
                    </w:rPr>
                    <w:t>循环水池</w:t>
                  </w:r>
                </w:p>
              </w:tc>
              <w:tc>
                <w:tcPr>
                  <w:tcW w:w="1018" w:type="pct"/>
                  <w:noWrap w:val="0"/>
                  <w:vAlign w:val="center"/>
                </w:tcPr>
                <w:p w14:paraId="6A1E0E88">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160m</w:t>
                  </w:r>
                  <w:r>
                    <w:rPr>
                      <w:rFonts w:hint="eastAsia" w:cs="Times New Roman"/>
                      <w:color w:val="000000" w:themeColor="text1"/>
                      <w:sz w:val="21"/>
                      <w:szCs w:val="21"/>
                      <w:vertAlign w:val="superscript"/>
                      <w:lang w:val="en-US" w:eastAsia="zh-CN"/>
                    </w:rPr>
                    <w:t>3</w:t>
                  </w:r>
                </w:p>
              </w:tc>
              <w:tc>
                <w:tcPr>
                  <w:tcW w:w="1111" w:type="pct"/>
                  <w:noWrap w:val="0"/>
                  <w:vAlign w:val="center"/>
                </w:tcPr>
                <w:p w14:paraId="227E0268">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cs="Times New Roman"/>
                      <w:bCs w:val="0"/>
                      <w:color w:val="000000" w:themeColor="text1"/>
                      <w:spacing w:val="0"/>
                      <w:kern w:val="2"/>
                      <w:sz w:val="21"/>
                      <w:szCs w:val="21"/>
                      <w:lang w:val="en-US" w:eastAsia="zh-CN" w:bidi="ar-SA"/>
                    </w:rPr>
                  </w:pPr>
                  <w:r>
                    <w:rPr>
                      <w:rFonts w:hint="eastAsia" w:cs="Times New Roman"/>
                      <w:bCs w:val="0"/>
                      <w:color w:val="000000" w:themeColor="text1"/>
                      <w:spacing w:val="0"/>
                      <w:kern w:val="2"/>
                      <w:sz w:val="21"/>
                      <w:szCs w:val="21"/>
                      <w:lang w:val="en-US" w:eastAsia="zh-CN" w:bidi="ar-SA"/>
                    </w:rPr>
                    <w:t>1</w:t>
                  </w:r>
                </w:p>
              </w:tc>
            </w:tr>
            <w:tr w14:paraId="185D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pct"/>
                  <w:noWrap w:val="0"/>
                  <w:vAlign w:val="center"/>
                </w:tcPr>
                <w:p w14:paraId="2AE8BB28">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sz w:val="21"/>
                      <w:szCs w:val="21"/>
                      <w:lang w:val="en-US" w:eastAsia="zh-CN"/>
                    </w:rPr>
                  </w:pPr>
                  <w:r>
                    <w:rPr>
                      <w:rFonts w:hint="eastAsia" w:cs="Times New Roman"/>
                      <w:color w:val="000000" w:themeColor="text1"/>
                      <w:sz w:val="21"/>
                      <w:szCs w:val="21"/>
                      <w:lang w:val="en-US" w:eastAsia="zh-CN"/>
                    </w:rPr>
                    <w:t>5</w:t>
                  </w:r>
                </w:p>
              </w:tc>
              <w:tc>
                <w:tcPr>
                  <w:tcW w:w="947" w:type="pct"/>
                  <w:vMerge w:val="continue"/>
                  <w:noWrap w:val="0"/>
                  <w:vAlign w:val="center"/>
                </w:tcPr>
                <w:p w14:paraId="3A5C6C4C">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sz w:val="21"/>
                      <w:szCs w:val="21"/>
                    </w:rPr>
                  </w:pPr>
                </w:p>
              </w:tc>
              <w:tc>
                <w:tcPr>
                  <w:tcW w:w="1481" w:type="pct"/>
                  <w:noWrap w:val="0"/>
                  <w:vAlign w:val="center"/>
                </w:tcPr>
                <w:p w14:paraId="457370F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sz w:val="21"/>
                      <w:szCs w:val="21"/>
                      <w:lang w:val="en-US" w:eastAsia="zh-CN"/>
                    </w:rPr>
                  </w:pPr>
                  <w:r>
                    <w:rPr>
                      <w:rFonts w:hint="eastAsia" w:cs="Times New Roman"/>
                      <w:color w:val="000000" w:themeColor="text1"/>
                      <w:sz w:val="21"/>
                      <w:szCs w:val="21"/>
                      <w:lang w:val="en-US" w:eastAsia="zh-CN"/>
                    </w:rPr>
                    <w:t>搅拌机</w:t>
                  </w:r>
                </w:p>
              </w:tc>
              <w:tc>
                <w:tcPr>
                  <w:tcW w:w="1018" w:type="pct"/>
                  <w:noWrap w:val="0"/>
                  <w:vAlign w:val="center"/>
                </w:tcPr>
                <w:p w14:paraId="477AEA9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sz w:val="21"/>
                      <w:szCs w:val="21"/>
                      <w:lang w:val="en-US" w:eastAsia="zh-CN"/>
                    </w:rPr>
                  </w:pPr>
                  <w:r>
                    <w:rPr>
                      <w:rFonts w:hint="eastAsia" w:cs="Times New Roman"/>
                      <w:color w:val="000000" w:themeColor="text1"/>
                      <w:sz w:val="21"/>
                      <w:szCs w:val="21"/>
                      <w:lang w:val="en-US" w:eastAsia="zh-CN"/>
                    </w:rPr>
                    <w:t>3KW</w:t>
                  </w:r>
                </w:p>
              </w:tc>
              <w:tc>
                <w:tcPr>
                  <w:tcW w:w="1111" w:type="pct"/>
                  <w:noWrap w:val="0"/>
                  <w:vAlign w:val="center"/>
                </w:tcPr>
                <w:p w14:paraId="1367D80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sz w:val="21"/>
                      <w:szCs w:val="21"/>
                      <w:lang w:val="en-US" w:eastAsia="zh-CN"/>
                    </w:rPr>
                  </w:pPr>
                  <w:r>
                    <w:rPr>
                      <w:rFonts w:hint="eastAsia" w:eastAsia="宋体" w:cs="Times New Roman"/>
                      <w:color w:val="000000" w:themeColor="text1"/>
                      <w:sz w:val="21"/>
                      <w:szCs w:val="21"/>
                      <w:lang w:val="en-US" w:eastAsia="zh-CN"/>
                    </w:rPr>
                    <w:t>2</w:t>
                  </w:r>
                </w:p>
              </w:tc>
            </w:tr>
            <w:tr w14:paraId="40404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pct"/>
                  <w:noWrap w:val="0"/>
                  <w:vAlign w:val="center"/>
                </w:tcPr>
                <w:p w14:paraId="15E835EA">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sz w:val="21"/>
                      <w:szCs w:val="21"/>
                      <w:lang w:val="en-US" w:eastAsia="zh-CN"/>
                    </w:rPr>
                  </w:pPr>
                  <w:r>
                    <w:rPr>
                      <w:rFonts w:hint="eastAsia" w:cs="Times New Roman"/>
                      <w:color w:val="000000" w:themeColor="text1"/>
                      <w:sz w:val="21"/>
                      <w:szCs w:val="21"/>
                      <w:lang w:val="en-US" w:eastAsia="zh-CN"/>
                    </w:rPr>
                    <w:t>6</w:t>
                  </w:r>
                </w:p>
              </w:tc>
              <w:tc>
                <w:tcPr>
                  <w:tcW w:w="947" w:type="pct"/>
                  <w:vMerge w:val="continue"/>
                  <w:noWrap w:val="0"/>
                  <w:vAlign w:val="center"/>
                </w:tcPr>
                <w:p w14:paraId="07FF5E6A">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sz w:val="21"/>
                      <w:szCs w:val="21"/>
                    </w:rPr>
                  </w:pPr>
                </w:p>
              </w:tc>
              <w:tc>
                <w:tcPr>
                  <w:tcW w:w="1481" w:type="pct"/>
                  <w:noWrap w:val="0"/>
                  <w:vAlign w:val="center"/>
                </w:tcPr>
                <w:p w14:paraId="4B7D81A7">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配料池</w:t>
                  </w:r>
                </w:p>
              </w:tc>
              <w:tc>
                <w:tcPr>
                  <w:tcW w:w="1018" w:type="pct"/>
                  <w:noWrap w:val="0"/>
                  <w:vAlign w:val="center"/>
                </w:tcPr>
                <w:p w14:paraId="5A68714C">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20m</w:t>
                  </w:r>
                  <w:r>
                    <w:rPr>
                      <w:rFonts w:hint="eastAsia" w:cs="Times New Roman"/>
                      <w:color w:val="000000" w:themeColor="text1"/>
                      <w:sz w:val="21"/>
                      <w:szCs w:val="21"/>
                      <w:vertAlign w:val="superscript"/>
                      <w:lang w:val="en-US" w:eastAsia="zh-CN"/>
                    </w:rPr>
                    <w:t>3</w:t>
                  </w:r>
                </w:p>
              </w:tc>
              <w:tc>
                <w:tcPr>
                  <w:tcW w:w="1111" w:type="pct"/>
                  <w:noWrap w:val="0"/>
                  <w:vAlign w:val="center"/>
                </w:tcPr>
                <w:p w14:paraId="7C2D2D1D">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Cs w:val="0"/>
                      <w:color w:val="000000" w:themeColor="text1"/>
                      <w:spacing w:val="0"/>
                      <w:kern w:val="2"/>
                      <w:sz w:val="21"/>
                      <w:szCs w:val="21"/>
                      <w:lang w:val="en-US" w:eastAsia="zh-CN" w:bidi="ar-SA"/>
                    </w:rPr>
                  </w:pPr>
                  <w:r>
                    <w:rPr>
                      <w:rFonts w:hint="eastAsia" w:eastAsia="宋体" w:cs="Times New Roman"/>
                      <w:bCs w:val="0"/>
                      <w:color w:val="000000" w:themeColor="text1"/>
                      <w:spacing w:val="0"/>
                      <w:kern w:val="2"/>
                      <w:sz w:val="21"/>
                      <w:szCs w:val="21"/>
                      <w:lang w:val="en-US" w:eastAsia="zh-CN" w:bidi="ar-SA"/>
                    </w:rPr>
                    <w:t>2</w:t>
                  </w:r>
                </w:p>
              </w:tc>
            </w:tr>
            <w:tr w14:paraId="3F6AC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pct"/>
                  <w:noWrap w:val="0"/>
                  <w:vAlign w:val="center"/>
                </w:tcPr>
                <w:p w14:paraId="4C4B2B21">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sz w:val="21"/>
                      <w:szCs w:val="21"/>
                      <w:lang w:val="en-US" w:eastAsia="zh-CN"/>
                    </w:rPr>
                  </w:pPr>
                  <w:r>
                    <w:rPr>
                      <w:rFonts w:hint="eastAsia" w:eastAsia="宋体" w:cs="Times New Roman"/>
                      <w:color w:val="000000" w:themeColor="text1"/>
                      <w:sz w:val="21"/>
                      <w:szCs w:val="21"/>
                      <w:lang w:val="en-US" w:eastAsia="zh-CN"/>
                    </w:rPr>
                    <w:t>7</w:t>
                  </w:r>
                </w:p>
              </w:tc>
              <w:tc>
                <w:tcPr>
                  <w:tcW w:w="947" w:type="pct"/>
                  <w:vMerge w:val="continue"/>
                  <w:noWrap w:val="0"/>
                  <w:vAlign w:val="center"/>
                </w:tcPr>
                <w:p w14:paraId="5C94979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cs="Times New Roman"/>
                      <w:color w:val="000000" w:themeColor="text1"/>
                      <w:sz w:val="21"/>
                      <w:szCs w:val="21"/>
                    </w:rPr>
                  </w:pPr>
                </w:p>
              </w:tc>
              <w:tc>
                <w:tcPr>
                  <w:tcW w:w="1481" w:type="pct"/>
                  <w:noWrap w:val="0"/>
                  <w:vAlign w:val="center"/>
                </w:tcPr>
                <w:p w14:paraId="1669737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cs="Times New Roman"/>
                      <w:bCs w:val="0"/>
                      <w:color w:val="000000" w:themeColor="text1"/>
                      <w:spacing w:val="0"/>
                      <w:kern w:val="2"/>
                      <w:sz w:val="21"/>
                      <w:szCs w:val="21"/>
                      <w:lang w:val="en-US" w:eastAsia="zh-CN" w:bidi="ar-SA"/>
                    </w:rPr>
                  </w:pPr>
                  <w:r>
                    <w:rPr>
                      <w:rFonts w:hint="eastAsia" w:cs="Times New Roman"/>
                      <w:color w:val="000000" w:themeColor="text1"/>
                      <w:sz w:val="21"/>
                      <w:szCs w:val="21"/>
                    </w:rPr>
                    <w:t>模塑转鼓成型机</w:t>
                  </w:r>
                </w:p>
              </w:tc>
              <w:tc>
                <w:tcPr>
                  <w:tcW w:w="1018" w:type="pct"/>
                  <w:noWrap w:val="0"/>
                  <w:vAlign w:val="center"/>
                </w:tcPr>
                <w:p w14:paraId="3994204A">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w:t>
                  </w:r>
                </w:p>
              </w:tc>
              <w:tc>
                <w:tcPr>
                  <w:tcW w:w="1111" w:type="pct"/>
                  <w:noWrap w:val="0"/>
                  <w:vAlign w:val="center"/>
                </w:tcPr>
                <w:p w14:paraId="6236ED80">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1</w:t>
                  </w:r>
                </w:p>
              </w:tc>
            </w:tr>
            <w:tr w14:paraId="346F5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pct"/>
                  <w:noWrap w:val="0"/>
                  <w:vAlign w:val="center"/>
                </w:tcPr>
                <w:p w14:paraId="6E7667B7">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sz w:val="21"/>
                      <w:szCs w:val="21"/>
                      <w:lang w:val="en-US" w:eastAsia="zh-CN"/>
                    </w:rPr>
                  </w:pPr>
                  <w:r>
                    <w:rPr>
                      <w:rFonts w:hint="eastAsia" w:eastAsia="宋体" w:cs="Times New Roman"/>
                      <w:color w:val="000000" w:themeColor="text1"/>
                      <w:sz w:val="21"/>
                      <w:szCs w:val="21"/>
                      <w:lang w:val="en-US" w:eastAsia="zh-CN"/>
                    </w:rPr>
                    <w:t>8</w:t>
                  </w:r>
                </w:p>
              </w:tc>
              <w:tc>
                <w:tcPr>
                  <w:tcW w:w="947" w:type="pct"/>
                  <w:vMerge w:val="continue"/>
                  <w:noWrap w:val="0"/>
                  <w:vAlign w:val="center"/>
                </w:tcPr>
                <w:p w14:paraId="3D438D31">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sz w:val="21"/>
                      <w:szCs w:val="21"/>
                    </w:rPr>
                  </w:pPr>
                </w:p>
              </w:tc>
              <w:tc>
                <w:tcPr>
                  <w:tcW w:w="1481" w:type="pct"/>
                  <w:noWrap w:val="0"/>
                  <w:vAlign w:val="center"/>
                </w:tcPr>
                <w:p w14:paraId="349B65D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烘干炉</w:t>
                  </w:r>
                  <w:r>
                    <w:rPr>
                      <w:rFonts w:hint="eastAsia" w:cs="Times New Roman"/>
                      <w:color w:val="00B050"/>
                      <w:sz w:val="21"/>
                      <w:szCs w:val="21"/>
                      <w:lang w:val="en-US" w:eastAsia="zh-CN"/>
                    </w:rPr>
                    <w:t>（热源来自蛋托生产线热风炉）</w:t>
                  </w:r>
                </w:p>
              </w:tc>
              <w:tc>
                <w:tcPr>
                  <w:tcW w:w="1018" w:type="pct"/>
                  <w:noWrap w:val="0"/>
                  <w:vAlign w:val="center"/>
                </w:tcPr>
                <w:p w14:paraId="1195D54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cs="Times New Roman"/>
                      <w:bCs w:val="0"/>
                      <w:color w:val="000000" w:themeColor="text1"/>
                      <w:spacing w:val="0"/>
                      <w:kern w:val="2"/>
                      <w:sz w:val="21"/>
                      <w:szCs w:val="21"/>
                      <w:lang w:val="en-US" w:eastAsia="zh-CN" w:bidi="ar-SA"/>
                    </w:rPr>
                  </w:pPr>
                  <w:r>
                    <w:rPr>
                      <w:rFonts w:hint="eastAsia" w:cs="Times New Roman"/>
                      <w:color w:val="000000" w:themeColor="text1"/>
                      <w:sz w:val="21"/>
                      <w:szCs w:val="21"/>
                    </w:rPr>
                    <w:t>金属多</w:t>
                  </w:r>
                  <w:r>
                    <w:rPr>
                      <w:rFonts w:hint="eastAsia" w:cs="Times New Roman"/>
                      <w:color w:val="000000" w:themeColor="text1"/>
                      <w:sz w:val="21"/>
                      <w:szCs w:val="21"/>
                      <w:lang w:val="en-US" w:eastAsia="zh-CN"/>
                    </w:rPr>
                    <w:t>层</w:t>
                  </w:r>
                  <w:r>
                    <w:rPr>
                      <w:rFonts w:hint="eastAsia" w:cs="Times New Roman"/>
                      <w:color w:val="000000" w:themeColor="text1"/>
                      <w:sz w:val="21"/>
                      <w:szCs w:val="21"/>
                    </w:rPr>
                    <w:t>烘干炉</w:t>
                  </w:r>
                </w:p>
              </w:tc>
              <w:tc>
                <w:tcPr>
                  <w:tcW w:w="1111" w:type="pct"/>
                  <w:noWrap w:val="0"/>
                  <w:vAlign w:val="center"/>
                </w:tcPr>
                <w:p w14:paraId="290AA91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1</w:t>
                  </w:r>
                </w:p>
              </w:tc>
            </w:tr>
            <w:tr w14:paraId="2684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pct"/>
                  <w:noWrap w:val="0"/>
                  <w:vAlign w:val="center"/>
                </w:tcPr>
                <w:p w14:paraId="1E8E8E82">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sz w:val="21"/>
                      <w:szCs w:val="21"/>
                      <w:lang w:val="en-US" w:eastAsia="zh-CN"/>
                    </w:rPr>
                  </w:pPr>
                  <w:r>
                    <w:rPr>
                      <w:rFonts w:hint="eastAsia" w:eastAsia="宋体" w:cs="Times New Roman"/>
                      <w:color w:val="000000" w:themeColor="text1"/>
                      <w:sz w:val="21"/>
                      <w:szCs w:val="21"/>
                      <w:lang w:val="en-US" w:eastAsia="zh-CN"/>
                    </w:rPr>
                    <w:t>10</w:t>
                  </w:r>
                </w:p>
              </w:tc>
              <w:tc>
                <w:tcPr>
                  <w:tcW w:w="947" w:type="pct"/>
                  <w:vMerge w:val="continue"/>
                  <w:noWrap w:val="0"/>
                  <w:vAlign w:val="center"/>
                </w:tcPr>
                <w:p w14:paraId="551D4713">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sz w:val="21"/>
                      <w:szCs w:val="21"/>
                    </w:rPr>
                  </w:pPr>
                </w:p>
              </w:tc>
              <w:tc>
                <w:tcPr>
                  <w:tcW w:w="1481" w:type="pct"/>
                  <w:noWrap w:val="0"/>
                  <w:vAlign w:val="center"/>
                </w:tcPr>
                <w:p w14:paraId="2C957029">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打包机</w:t>
                  </w:r>
                </w:p>
              </w:tc>
              <w:tc>
                <w:tcPr>
                  <w:tcW w:w="1018" w:type="pct"/>
                  <w:noWrap w:val="0"/>
                  <w:vAlign w:val="center"/>
                </w:tcPr>
                <w:p w14:paraId="7435EC0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w:t>
                  </w:r>
                </w:p>
              </w:tc>
              <w:tc>
                <w:tcPr>
                  <w:tcW w:w="1111" w:type="pct"/>
                  <w:noWrap w:val="0"/>
                  <w:vAlign w:val="center"/>
                </w:tcPr>
                <w:p w14:paraId="2951A97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Cs w:val="0"/>
                      <w:color w:val="000000" w:themeColor="text1"/>
                      <w:spacing w:val="0"/>
                      <w:kern w:val="2"/>
                      <w:sz w:val="21"/>
                      <w:szCs w:val="21"/>
                      <w:lang w:val="en-US" w:eastAsia="zh-CN" w:bidi="ar-SA"/>
                    </w:rPr>
                  </w:pPr>
                  <w:r>
                    <w:rPr>
                      <w:rFonts w:hint="eastAsia" w:eastAsia="宋体" w:cs="Times New Roman"/>
                      <w:bCs w:val="0"/>
                      <w:color w:val="000000" w:themeColor="text1"/>
                      <w:spacing w:val="0"/>
                      <w:kern w:val="2"/>
                      <w:sz w:val="21"/>
                      <w:szCs w:val="21"/>
                      <w:lang w:val="en-US" w:eastAsia="zh-CN" w:bidi="ar-SA"/>
                    </w:rPr>
                    <w:t>1</w:t>
                  </w:r>
                </w:p>
              </w:tc>
            </w:tr>
            <w:tr w14:paraId="5C3DF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pct"/>
                  <w:noWrap w:val="0"/>
                  <w:vAlign w:val="center"/>
                </w:tcPr>
                <w:p w14:paraId="5EBF0771">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sz w:val="21"/>
                      <w:szCs w:val="21"/>
                      <w:lang w:val="en-US" w:eastAsia="zh-CN"/>
                    </w:rPr>
                  </w:pPr>
                  <w:r>
                    <w:rPr>
                      <w:rFonts w:hint="eastAsia" w:eastAsia="宋体" w:cs="Times New Roman"/>
                      <w:color w:val="000000" w:themeColor="text1"/>
                      <w:sz w:val="21"/>
                      <w:szCs w:val="21"/>
                      <w:lang w:val="en-US" w:eastAsia="zh-CN"/>
                    </w:rPr>
                    <w:t>1</w:t>
                  </w:r>
                </w:p>
              </w:tc>
              <w:tc>
                <w:tcPr>
                  <w:tcW w:w="947" w:type="pct"/>
                  <w:vMerge w:val="restart"/>
                  <w:noWrap w:val="0"/>
                  <w:vAlign w:val="center"/>
                </w:tcPr>
                <w:p w14:paraId="1FB0B057">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sz w:val="21"/>
                      <w:szCs w:val="21"/>
                    </w:rPr>
                  </w:pPr>
                  <w:r>
                    <w:rPr>
                      <w:rFonts w:hint="eastAsia" w:cs="Times New Roman"/>
                      <w:color w:val="000000" w:themeColor="text1"/>
                      <w:sz w:val="21"/>
                      <w:szCs w:val="21"/>
                    </w:rPr>
                    <w:t>蛋盒和瓶托生产线</w:t>
                  </w:r>
                </w:p>
              </w:tc>
              <w:tc>
                <w:tcPr>
                  <w:tcW w:w="1481" w:type="pct"/>
                  <w:noWrap w:val="0"/>
                  <w:vAlign w:val="center"/>
                </w:tcPr>
                <w:p w14:paraId="47F5D6A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配料池</w:t>
                  </w:r>
                </w:p>
              </w:tc>
              <w:tc>
                <w:tcPr>
                  <w:tcW w:w="1018" w:type="pct"/>
                  <w:noWrap w:val="0"/>
                  <w:vAlign w:val="center"/>
                </w:tcPr>
                <w:p w14:paraId="3EA83C38">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20m</w:t>
                  </w:r>
                  <w:r>
                    <w:rPr>
                      <w:rFonts w:hint="eastAsia" w:cs="Times New Roman"/>
                      <w:color w:val="000000" w:themeColor="text1"/>
                      <w:sz w:val="21"/>
                      <w:szCs w:val="21"/>
                      <w:vertAlign w:val="superscript"/>
                      <w:lang w:val="en-US" w:eastAsia="zh-CN"/>
                    </w:rPr>
                    <w:t>3</w:t>
                  </w:r>
                </w:p>
              </w:tc>
              <w:tc>
                <w:tcPr>
                  <w:tcW w:w="1111" w:type="pct"/>
                  <w:noWrap w:val="0"/>
                  <w:vAlign w:val="center"/>
                </w:tcPr>
                <w:p w14:paraId="308558B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Cs w:val="0"/>
                      <w:color w:val="000000" w:themeColor="text1"/>
                      <w:spacing w:val="0"/>
                      <w:kern w:val="2"/>
                      <w:sz w:val="21"/>
                      <w:szCs w:val="21"/>
                      <w:lang w:val="en-US" w:eastAsia="zh-CN" w:bidi="ar-SA"/>
                    </w:rPr>
                  </w:pPr>
                  <w:r>
                    <w:rPr>
                      <w:rFonts w:hint="eastAsia" w:eastAsia="宋体" w:cs="Times New Roman"/>
                      <w:bCs w:val="0"/>
                      <w:color w:val="000000" w:themeColor="text1"/>
                      <w:spacing w:val="0"/>
                      <w:kern w:val="2"/>
                      <w:sz w:val="21"/>
                      <w:szCs w:val="21"/>
                      <w:lang w:val="en-US" w:eastAsia="zh-CN" w:bidi="ar-SA"/>
                    </w:rPr>
                    <w:t>2</w:t>
                  </w:r>
                </w:p>
              </w:tc>
            </w:tr>
            <w:tr w14:paraId="29E95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pct"/>
                  <w:noWrap w:val="0"/>
                  <w:vAlign w:val="center"/>
                </w:tcPr>
                <w:p w14:paraId="2C9DBAAC">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2</w:t>
                  </w:r>
                </w:p>
              </w:tc>
              <w:tc>
                <w:tcPr>
                  <w:tcW w:w="947" w:type="pct"/>
                  <w:vMerge w:val="continue"/>
                  <w:noWrap w:val="0"/>
                  <w:vAlign w:val="center"/>
                </w:tcPr>
                <w:p w14:paraId="4EED0011">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cs="Times New Roman"/>
                      <w:color w:val="000000" w:themeColor="text1"/>
                      <w:sz w:val="21"/>
                      <w:szCs w:val="21"/>
                    </w:rPr>
                  </w:pPr>
                </w:p>
              </w:tc>
              <w:tc>
                <w:tcPr>
                  <w:tcW w:w="1481" w:type="pct"/>
                  <w:noWrap w:val="0"/>
                  <w:vAlign w:val="center"/>
                </w:tcPr>
                <w:p w14:paraId="514EA203">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cs="Times New Roman"/>
                      <w:bCs w:val="0"/>
                      <w:color w:val="000000" w:themeColor="text1"/>
                      <w:spacing w:val="0"/>
                      <w:kern w:val="2"/>
                      <w:sz w:val="21"/>
                      <w:szCs w:val="21"/>
                      <w:lang w:val="en-US" w:eastAsia="zh-CN" w:bidi="ar-SA"/>
                    </w:rPr>
                  </w:pPr>
                  <w:r>
                    <w:rPr>
                      <w:rFonts w:hint="eastAsia" w:ascii="Times New Roman" w:hAnsi="Times New Roman" w:cs="Times New Roman"/>
                      <w:bCs w:val="0"/>
                      <w:color w:val="000000" w:themeColor="text1"/>
                      <w:spacing w:val="0"/>
                      <w:kern w:val="2"/>
                      <w:sz w:val="21"/>
                      <w:szCs w:val="21"/>
                      <w:lang w:val="en-US" w:eastAsia="zh-CN" w:bidi="ar-SA"/>
                    </w:rPr>
                    <w:t>翻板成型机</w:t>
                  </w:r>
                </w:p>
              </w:tc>
              <w:tc>
                <w:tcPr>
                  <w:tcW w:w="1018" w:type="pct"/>
                  <w:noWrap w:val="0"/>
                  <w:vAlign w:val="center"/>
                </w:tcPr>
                <w:p w14:paraId="73EB4269">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rPr>
                    <w:t>550×650</w:t>
                  </w:r>
                </w:p>
              </w:tc>
              <w:tc>
                <w:tcPr>
                  <w:tcW w:w="1111" w:type="pct"/>
                  <w:noWrap w:val="0"/>
                  <w:vAlign w:val="center"/>
                </w:tcPr>
                <w:p w14:paraId="368F8EE2">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1</w:t>
                  </w:r>
                </w:p>
              </w:tc>
            </w:tr>
            <w:tr w14:paraId="25C70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pct"/>
                  <w:noWrap w:val="0"/>
                  <w:vAlign w:val="center"/>
                </w:tcPr>
                <w:p w14:paraId="60FB382C">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3</w:t>
                  </w:r>
                </w:p>
              </w:tc>
              <w:tc>
                <w:tcPr>
                  <w:tcW w:w="947" w:type="pct"/>
                  <w:vMerge w:val="continue"/>
                  <w:noWrap w:val="0"/>
                  <w:vAlign w:val="center"/>
                </w:tcPr>
                <w:p w14:paraId="42560940">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cs="Times New Roman"/>
                      <w:color w:val="000000" w:themeColor="text1"/>
                      <w:sz w:val="21"/>
                      <w:szCs w:val="21"/>
                    </w:rPr>
                  </w:pPr>
                </w:p>
              </w:tc>
              <w:tc>
                <w:tcPr>
                  <w:tcW w:w="1481" w:type="pct"/>
                  <w:noWrap w:val="0"/>
                  <w:vAlign w:val="center"/>
                </w:tcPr>
                <w:p w14:paraId="73BAAC51">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cs="Times New Roman"/>
                      <w:bCs w:val="0"/>
                      <w:color w:val="000000" w:themeColor="text1"/>
                      <w:spacing w:val="0"/>
                      <w:kern w:val="2"/>
                      <w:sz w:val="21"/>
                      <w:szCs w:val="21"/>
                      <w:lang w:val="en-US" w:eastAsia="zh-CN" w:bidi="ar-SA"/>
                    </w:rPr>
                  </w:pPr>
                  <w:r>
                    <w:rPr>
                      <w:rFonts w:hint="default" w:ascii="宋体" w:hAnsi="宋体" w:eastAsia="宋体" w:cs="宋体"/>
                      <w:color w:val="000000" w:themeColor="text1"/>
                      <w:sz w:val="21"/>
                      <w:szCs w:val="21"/>
                    </w:rPr>
                    <w:t>热压定型机</w:t>
                  </w:r>
                </w:p>
              </w:tc>
              <w:tc>
                <w:tcPr>
                  <w:tcW w:w="1018" w:type="pct"/>
                  <w:noWrap w:val="0"/>
                  <w:vAlign w:val="center"/>
                </w:tcPr>
                <w:p w14:paraId="6CD35586">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5t</w:t>
                  </w:r>
                </w:p>
              </w:tc>
              <w:tc>
                <w:tcPr>
                  <w:tcW w:w="1111" w:type="pct"/>
                  <w:noWrap w:val="0"/>
                  <w:vAlign w:val="center"/>
                </w:tcPr>
                <w:p w14:paraId="0028F7A8">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12</w:t>
                  </w:r>
                </w:p>
              </w:tc>
            </w:tr>
            <w:tr w14:paraId="77CD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pct"/>
                  <w:noWrap w:val="0"/>
                  <w:vAlign w:val="center"/>
                </w:tcPr>
                <w:p w14:paraId="58698D88">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sz w:val="21"/>
                      <w:szCs w:val="21"/>
                      <w:lang w:val="en-US" w:eastAsia="zh-CN"/>
                    </w:rPr>
                  </w:pPr>
                  <w:r>
                    <w:rPr>
                      <w:rFonts w:hint="eastAsia" w:eastAsia="宋体" w:cs="Times New Roman"/>
                      <w:color w:val="000000" w:themeColor="text1"/>
                      <w:sz w:val="21"/>
                      <w:szCs w:val="21"/>
                      <w:lang w:val="en-US" w:eastAsia="zh-CN"/>
                    </w:rPr>
                    <w:t>4</w:t>
                  </w:r>
                </w:p>
              </w:tc>
              <w:tc>
                <w:tcPr>
                  <w:tcW w:w="947" w:type="pct"/>
                  <w:vMerge w:val="continue"/>
                  <w:noWrap w:val="0"/>
                  <w:vAlign w:val="center"/>
                </w:tcPr>
                <w:p w14:paraId="28164F63">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sz w:val="21"/>
                      <w:szCs w:val="21"/>
                    </w:rPr>
                  </w:pPr>
                </w:p>
              </w:tc>
              <w:tc>
                <w:tcPr>
                  <w:tcW w:w="1481" w:type="pct"/>
                  <w:noWrap w:val="0"/>
                  <w:vAlign w:val="center"/>
                </w:tcPr>
                <w:p w14:paraId="48AC36B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cs="Times New Roman"/>
                      <w:bCs w:val="0"/>
                      <w:color w:val="000000" w:themeColor="text1"/>
                      <w:spacing w:val="0"/>
                      <w:kern w:val="2"/>
                      <w:sz w:val="21"/>
                      <w:szCs w:val="21"/>
                      <w:lang w:val="en-US" w:eastAsia="zh-CN" w:bidi="ar-SA"/>
                    </w:rPr>
                  </w:pPr>
                  <w:r>
                    <w:rPr>
                      <w:rFonts w:hint="default" w:ascii="宋体" w:hAnsi="宋体" w:eastAsia="宋体" w:cs="宋体"/>
                      <w:color w:val="000000" w:themeColor="text1"/>
                      <w:sz w:val="21"/>
                      <w:szCs w:val="21"/>
                    </w:rPr>
                    <w:t>热压定型机</w:t>
                  </w:r>
                </w:p>
              </w:tc>
              <w:tc>
                <w:tcPr>
                  <w:tcW w:w="1018" w:type="pct"/>
                  <w:noWrap w:val="0"/>
                  <w:vAlign w:val="center"/>
                </w:tcPr>
                <w:p w14:paraId="2AA2169D">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20t</w:t>
                  </w:r>
                </w:p>
              </w:tc>
              <w:tc>
                <w:tcPr>
                  <w:tcW w:w="1111" w:type="pct"/>
                  <w:noWrap w:val="0"/>
                  <w:vAlign w:val="center"/>
                </w:tcPr>
                <w:p w14:paraId="7806EA10">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Cs w:val="0"/>
                      <w:color w:val="000000" w:themeColor="text1"/>
                      <w:spacing w:val="0"/>
                      <w:kern w:val="2"/>
                      <w:sz w:val="21"/>
                      <w:szCs w:val="21"/>
                      <w:lang w:val="en-US" w:eastAsia="zh-CN" w:bidi="ar-SA"/>
                    </w:rPr>
                  </w:pPr>
                  <w:r>
                    <w:rPr>
                      <w:rFonts w:hint="eastAsia" w:eastAsia="宋体" w:cs="Times New Roman"/>
                      <w:bCs w:val="0"/>
                      <w:color w:val="000000" w:themeColor="text1"/>
                      <w:spacing w:val="0"/>
                      <w:kern w:val="2"/>
                      <w:sz w:val="21"/>
                      <w:szCs w:val="21"/>
                      <w:lang w:val="en-US" w:eastAsia="zh-CN" w:bidi="ar-SA"/>
                    </w:rPr>
                    <w:t>1</w:t>
                  </w:r>
                </w:p>
              </w:tc>
            </w:tr>
            <w:tr w14:paraId="0D742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pct"/>
                  <w:noWrap w:val="0"/>
                  <w:vAlign w:val="center"/>
                </w:tcPr>
                <w:p w14:paraId="722BF912">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sz w:val="21"/>
                      <w:szCs w:val="21"/>
                      <w:lang w:val="en-US" w:eastAsia="zh-CN"/>
                    </w:rPr>
                  </w:pPr>
                  <w:r>
                    <w:rPr>
                      <w:rFonts w:hint="eastAsia" w:eastAsia="宋体" w:cs="Times New Roman"/>
                      <w:color w:val="000000" w:themeColor="text1"/>
                      <w:sz w:val="21"/>
                      <w:szCs w:val="21"/>
                      <w:lang w:val="en-US" w:eastAsia="zh-CN"/>
                    </w:rPr>
                    <w:t>1</w:t>
                  </w:r>
                </w:p>
              </w:tc>
              <w:tc>
                <w:tcPr>
                  <w:tcW w:w="947" w:type="pct"/>
                  <w:vMerge w:val="restart"/>
                  <w:noWrap w:val="0"/>
                  <w:vAlign w:val="center"/>
                </w:tcPr>
                <w:p w14:paraId="689A2B70">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sz w:val="21"/>
                      <w:szCs w:val="21"/>
                      <w:lang w:val="en-US" w:eastAsia="zh-CN"/>
                    </w:rPr>
                  </w:pPr>
                  <w:r>
                    <w:rPr>
                      <w:rFonts w:hint="eastAsia" w:cs="Times New Roman"/>
                      <w:color w:val="000000" w:themeColor="text1"/>
                      <w:sz w:val="21"/>
                      <w:szCs w:val="21"/>
                      <w:lang w:val="en-US" w:eastAsia="zh-CN"/>
                    </w:rPr>
                    <w:t>公用设备</w:t>
                  </w:r>
                </w:p>
              </w:tc>
              <w:tc>
                <w:tcPr>
                  <w:tcW w:w="1481" w:type="pct"/>
                  <w:noWrap w:val="0"/>
                  <w:vAlign w:val="center"/>
                </w:tcPr>
                <w:p w14:paraId="154CB3E0">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叉车</w:t>
                  </w:r>
                </w:p>
              </w:tc>
              <w:tc>
                <w:tcPr>
                  <w:tcW w:w="1018" w:type="pct"/>
                  <w:noWrap w:val="0"/>
                  <w:vAlign w:val="center"/>
                </w:tcPr>
                <w:p w14:paraId="39FE231D">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3t</w:t>
                  </w:r>
                </w:p>
              </w:tc>
              <w:tc>
                <w:tcPr>
                  <w:tcW w:w="1111" w:type="pct"/>
                  <w:noWrap w:val="0"/>
                  <w:vAlign w:val="center"/>
                </w:tcPr>
                <w:p w14:paraId="3B884DE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1</w:t>
                  </w:r>
                </w:p>
              </w:tc>
            </w:tr>
            <w:tr w14:paraId="0D5F4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pct"/>
                  <w:noWrap w:val="0"/>
                  <w:vAlign w:val="center"/>
                </w:tcPr>
                <w:p w14:paraId="19A2FB0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sz w:val="21"/>
                      <w:szCs w:val="21"/>
                      <w:lang w:val="en-US" w:eastAsia="zh-CN"/>
                    </w:rPr>
                  </w:pPr>
                  <w:r>
                    <w:rPr>
                      <w:rFonts w:hint="eastAsia" w:eastAsia="宋体" w:cs="Times New Roman"/>
                      <w:color w:val="000000" w:themeColor="text1"/>
                      <w:sz w:val="21"/>
                      <w:szCs w:val="21"/>
                      <w:lang w:val="en-US" w:eastAsia="zh-CN"/>
                    </w:rPr>
                    <w:t>2</w:t>
                  </w:r>
                </w:p>
              </w:tc>
              <w:tc>
                <w:tcPr>
                  <w:tcW w:w="947" w:type="pct"/>
                  <w:vMerge w:val="continue"/>
                  <w:noWrap w:val="0"/>
                  <w:vAlign w:val="center"/>
                </w:tcPr>
                <w:p w14:paraId="5CF96230">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sz w:val="21"/>
                      <w:szCs w:val="21"/>
                    </w:rPr>
                  </w:pPr>
                </w:p>
              </w:tc>
              <w:tc>
                <w:tcPr>
                  <w:tcW w:w="1481" w:type="pct"/>
                  <w:noWrap w:val="0"/>
                  <w:vAlign w:val="center"/>
                </w:tcPr>
                <w:p w14:paraId="068660A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装载机</w:t>
                  </w:r>
                </w:p>
              </w:tc>
              <w:tc>
                <w:tcPr>
                  <w:tcW w:w="1018" w:type="pct"/>
                  <w:noWrap w:val="0"/>
                  <w:vAlign w:val="center"/>
                </w:tcPr>
                <w:p w14:paraId="0FFF63FA">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w:t>
                  </w:r>
                </w:p>
              </w:tc>
              <w:tc>
                <w:tcPr>
                  <w:tcW w:w="1111" w:type="pct"/>
                  <w:noWrap w:val="0"/>
                  <w:vAlign w:val="center"/>
                </w:tcPr>
                <w:p w14:paraId="65235FF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2</w:t>
                  </w:r>
                </w:p>
              </w:tc>
            </w:tr>
            <w:tr w14:paraId="4BC2E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pct"/>
                  <w:noWrap w:val="0"/>
                  <w:vAlign w:val="center"/>
                </w:tcPr>
                <w:p w14:paraId="2079127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sz w:val="21"/>
                      <w:szCs w:val="21"/>
                      <w:lang w:val="en-US" w:eastAsia="zh-CN"/>
                    </w:rPr>
                  </w:pPr>
                  <w:r>
                    <w:rPr>
                      <w:rFonts w:hint="eastAsia" w:eastAsia="宋体" w:cs="Times New Roman"/>
                      <w:color w:val="000000" w:themeColor="text1"/>
                      <w:sz w:val="21"/>
                      <w:szCs w:val="21"/>
                      <w:lang w:val="en-US" w:eastAsia="zh-CN"/>
                    </w:rPr>
                    <w:t>3</w:t>
                  </w:r>
                </w:p>
              </w:tc>
              <w:tc>
                <w:tcPr>
                  <w:tcW w:w="947" w:type="pct"/>
                  <w:vMerge w:val="continue"/>
                  <w:noWrap w:val="0"/>
                  <w:vAlign w:val="center"/>
                </w:tcPr>
                <w:p w14:paraId="72ABECF0">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sz w:val="21"/>
                      <w:szCs w:val="21"/>
                    </w:rPr>
                  </w:pPr>
                </w:p>
              </w:tc>
              <w:tc>
                <w:tcPr>
                  <w:tcW w:w="1481" w:type="pct"/>
                  <w:noWrap w:val="0"/>
                  <w:vAlign w:val="center"/>
                </w:tcPr>
                <w:p w14:paraId="7938D4D0">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真空泵</w:t>
                  </w:r>
                </w:p>
              </w:tc>
              <w:tc>
                <w:tcPr>
                  <w:tcW w:w="1018" w:type="pct"/>
                  <w:noWrap w:val="0"/>
                  <w:vAlign w:val="center"/>
                </w:tcPr>
                <w:p w14:paraId="174786C0">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w:t>
                  </w:r>
                </w:p>
              </w:tc>
              <w:tc>
                <w:tcPr>
                  <w:tcW w:w="1111" w:type="pct"/>
                  <w:noWrap w:val="0"/>
                  <w:vAlign w:val="center"/>
                </w:tcPr>
                <w:p w14:paraId="4A35C9C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3</w:t>
                  </w:r>
                </w:p>
              </w:tc>
            </w:tr>
            <w:tr w14:paraId="40DED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pct"/>
                  <w:noWrap w:val="0"/>
                  <w:vAlign w:val="center"/>
                </w:tcPr>
                <w:p w14:paraId="201DD86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sz w:val="21"/>
                      <w:szCs w:val="21"/>
                      <w:lang w:val="en-US" w:eastAsia="zh-CN"/>
                    </w:rPr>
                  </w:pPr>
                  <w:r>
                    <w:rPr>
                      <w:rFonts w:hint="eastAsia" w:eastAsia="宋体" w:cs="Times New Roman"/>
                      <w:color w:val="000000" w:themeColor="text1"/>
                      <w:sz w:val="21"/>
                      <w:szCs w:val="21"/>
                      <w:lang w:val="en-US" w:eastAsia="zh-CN"/>
                    </w:rPr>
                    <w:t>4</w:t>
                  </w:r>
                </w:p>
              </w:tc>
              <w:tc>
                <w:tcPr>
                  <w:tcW w:w="947" w:type="pct"/>
                  <w:vMerge w:val="continue"/>
                  <w:noWrap w:val="0"/>
                  <w:vAlign w:val="center"/>
                </w:tcPr>
                <w:p w14:paraId="20461BC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sz w:val="21"/>
                      <w:szCs w:val="21"/>
                    </w:rPr>
                  </w:pPr>
                </w:p>
              </w:tc>
              <w:tc>
                <w:tcPr>
                  <w:tcW w:w="1481" w:type="pct"/>
                  <w:noWrap w:val="0"/>
                  <w:vAlign w:val="center"/>
                </w:tcPr>
                <w:p w14:paraId="1B291E6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cs="Times New Roman"/>
                      <w:bCs w:val="0"/>
                      <w:color w:val="000000" w:themeColor="text1"/>
                      <w:spacing w:val="0"/>
                      <w:kern w:val="2"/>
                      <w:sz w:val="21"/>
                      <w:szCs w:val="21"/>
                      <w:lang w:val="en-US" w:eastAsia="zh-CN" w:bidi="ar-SA"/>
                    </w:rPr>
                  </w:pPr>
                  <w:r>
                    <w:rPr>
                      <w:rFonts w:hint="default" w:ascii="宋体" w:hAnsi="宋体" w:eastAsia="宋体" w:cs="宋体"/>
                      <w:color w:val="000000" w:themeColor="text1"/>
                      <w:sz w:val="21"/>
                      <w:szCs w:val="21"/>
                    </w:rPr>
                    <w:t>螺杆空压机</w:t>
                  </w:r>
                </w:p>
              </w:tc>
              <w:tc>
                <w:tcPr>
                  <w:tcW w:w="1018" w:type="pct"/>
                  <w:noWrap w:val="0"/>
                  <w:vAlign w:val="center"/>
                </w:tcPr>
                <w:p w14:paraId="53E0852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30KW</w:t>
                  </w:r>
                </w:p>
              </w:tc>
              <w:tc>
                <w:tcPr>
                  <w:tcW w:w="1111" w:type="pct"/>
                  <w:noWrap w:val="0"/>
                  <w:vAlign w:val="center"/>
                </w:tcPr>
                <w:p w14:paraId="0D6BD876">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Cs w:val="0"/>
                      <w:color w:val="000000" w:themeColor="text1"/>
                      <w:spacing w:val="0"/>
                      <w:kern w:val="2"/>
                      <w:sz w:val="21"/>
                      <w:szCs w:val="21"/>
                      <w:lang w:val="en-US" w:eastAsia="zh-CN" w:bidi="ar-SA"/>
                    </w:rPr>
                  </w:pPr>
                  <w:r>
                    <w:rPr>
                      <w:rFonts w:hint="eastAsia" w:cs="Times New Roman"/>
                      <w:color w:val="000000" w:themeColor="text1"/>
                      <w:sz w:val="21"/>
                      <w:szCs w:val="21"/>
                      <w:lang w:val="en-US" w:eastAsia="zh-CN"/>
                    </w:rPr>
                    <w:t>2</w:t>
                  </w:r>
                </w:p>
              </w:tc>
            </w:tr>
            <w:tr w14:paraId="0AC2F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pct"/>
                  <w:noWrap w:val="0"/>
                  <w:vAlign w:val="center"/>
                </w:tcPr>
                <w:p w14:paraId="13FB751C">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sz w:val="21"/>
                      <w:szCs w:val="21"/>
                      <w:lang w:val="en-US" w:eastAsia="zh-CN"/>
                    </w:rPr>
                  </w:pPr>
                  <w:r>
                    <w:rPr>
                      <w:rFonts w:hint="eastAsia" w:eastAsia="宋体" w:cs="Times New Roman"/>
                      <w:color w:val="000000" w:themeColor="text1"/>
                      <w:sz w:val="21"/>
                      <w:szCs w:val="21"/>
                      <w:lang w:val="en-US" w:eastAsia="zh-CN"/>
                    </w:rPr>
                    <w:t>5</w:t>
                  </w:r>
                </w:p>
              </w:tc>
              <w:tc>
                <w:tcPr>
                  <w:tcW w:w="947" w:type="pct"/>
                  <w:vMerge w:val="continue"/>
                  <w:noWrap w:val="0"/>
                  <w:vAlign w:val="center"/>
                </w:tcPr>
                <w:p w14:paraId="3C94051A">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sz w:val="21"/>
                      <w:szCs w:val="21"/>
                    </w:rPr>
                  </w:pPr>
                </w:p>
              </w:tc>
              <w:tc>
                <w:tcPr>
                  <w:tcW w:w="1481" w:type="pct"/>
                  <w:noWrap w:val="0"/>
                  <w:vAlign w:val="center"/>
                </w:tcPr>
                <w:p w14:paraId="2D8141E2">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宋体" w:hAnsi="宋体" w:eastAsia="宋体" w:cs="宋体"/>
                      <w:color w:val="000000" w:themeColor="text1"/>
                      <w:sz w:val="21"/>
                      <w:szCs w:val="21"/>
                      <w:lang w:val="en-US" w:eastAsia="zh-CN"/>
                    </w:rPr>
                  </w:pPr>
                  <w:r>
                    <w:rPr>
                      <w:rFonts w:hint="eastAsia" w:ascii="宋体" w:hAnsi="宋体" w:eastAsia="宋体" w:cs="宋体"/>
                      <w:color w:val="000000" w:themeColor="text1"/>
                      <w:sz w:val="21"/>
                      <w:szCs w:val="21"/>
                      <w:lang w:val="en-US" w:eastAsia="zh-CN"/>
                    </w:rPr>
                    <w:t>除尘风机</w:t>
                  </w:r>
                </w:p>
              </w:tc>
              <w:tc>
                <w:tcPr>
                  <w:tcW w:w="1018" w:type="pct"/>
                  <w:noWrap w:val="0"/>
                  <w:vAlign w:val="center"/>
                </w:tcPr>
                <w:p w14:paraId="29A7229C">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w:t>
                  </w:r>
                </w:p>
              </w:tc>
              <w:tc>
                <w:tcPr>
                  <w:tcW w:w="1111" w:type="pct"/>
                  <w:noWrap w:val="0"/>
                  <w:vAlign w:val="center"/>
                </w:tcPr>
                <w:p w14:paraId="2932A14D">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2</w:t>
                  </w:r>
                </w:p>
              </w:tc>
            </w:tr>
          </w:tbl>
          <w:p w14:paraId="39E94BB3">
            <w:pPr>
              <w:keepNext w:val="0"/>
              <w:keepLines w:val="0"/>
              <w:suppressLineNumbers w:val="0"/>
              <w:adjustRightInd w:val="0"/>
              <w:snapToGrid w:val="0"/>
              <w:spacing w:before="156" w:beforeLines="50" w:beforeAutospacing="0" w:after="0" w:afterAutospacing="0"/>
              <w:ind w:left="0" w:right="0" w:firstLine="0" w:firstLineChars="0"/>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5、主要辅材料名称及年消耗量</w:t>
            </w:r>
          </w:p>
          <w:p w14:paraId="05BFAE86">
            <w:pPr>
              <w:keepNext w:val="0"/>
              <w:keepLines w:val="0"/>
              <w:suppressLineNumbers w:val="0"/>
              <w:adjustRightInd w:val="0"/>
              <w:snapToGrid w:val="0"/>
              <w:spacing w:before="0" w:beforeAutospacing="0" w:after="0" w:afterAutospacing="0"/>
              <w:ind w:left="0" w:right="0" w:firstLine="420"/>
              <w:jc w:val="left"/>
              <w:rPr>
                <w:rFonts w:hint="eastAsia" w:ascii="宋体" w:hAnsi="宋体" w:eastAsia="宋体" w:cs="宋体"/>
                <w:color w:val="000000" w:themeColor="text1"/>
                <w:sz w:val="21"/>
                <w:szCs w:val="21"/>
                <w:lang w:eastAsia="zh-CN"/>
              </w:rPr>
            </w:pPr>
            <w:r>
              <w:rPr>
                <w:rFonts w:hint="default" w:ascii="Times New Roman" w:hAnsi="Times New Roman" w:cs="Times New Roman"/>
                <w:color w:val="000000" w:themeColor="text1"/>
                <w:sz w:val="21"/>
                <w:szCs w:val="21"/>
              </w:rPr>
              <w:t>本项目采用的原辅材料均为外购，</w:t>
            </w:r>
            <w:r>
              <w:rPr>
                <w:rFonts w:hint="eastAsia" w:ascii="Times New Roman" w:hAnsi="Times New Roman" w:cs="Times New Roman"/>
                <w:color w:val="000000" w:themeColor="text1"/>
                <w:sz w:val="21"/>
                <w:szCs w:val="21"/>
                <w:lang w:val="en-US" w:eastAsia="zh-CN"/>
              </w:rPr>
              <w:t>原料为废纸，主要</w:t>
            </w:r>
            <w:r>
              <w:rPr>
                <w:rFonts w:hint="default" w:ascii="宋体" w:hAnsi="宋体" w:eastAsia="宋体" w:cs="宋体"/>
                <w:color w:val="000000" w:themeColor="text1"/>
                <w:sz w:val="21"/>
                <w:szCs w:val="21"/>
              </w:rPr>
              <w:t>包括废旧报纸、废旧纸箱纸、造纸厂或印刷厂的边角料等</w:t>
            </w:r>
            <w:r>
              <w:rPr>
                <w:rFonts w:hint="eastAsia" w:ascii="宋体" w:hAnsi="宋体" w:eastAsia="宋体" w:cs="宋体"/>
                <w:color w:val="000000" w:themeColor="text1"/>
                <w:sz w:val="21"/>
                <w:szCs w:val="21"/>
                <w:lang w:eastAsia="zh-CN"/>
              </w:rPr>
              <w:t>。</w:t>
            </w:r>
          </w:p>
          <w:p w14:paraId="2DB10A75">
            <w:pPr>
              <w:keepNext w:val="0"/>
              <w:keepLines w:val="0"/>
              <w:suppressLineNumbers w:val="0"/>
              <w:adjustRightInd w:val="0"/>
              <w:snapToGrid w:val="0"/>
              <w:spacing w:before="0" w:beforeAutospacing="0" w:after="0" w:afterAutospacing="0"/>
              <w:ind w:left="0" w:right="0" w:firstLine="420"/>
              <w:jc w:val="left"/>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原辅材料消耗量见表2-</w:t>
            </w:r>
            <w:r>
              <w:rPr>
                <w:rFonts w:hint="eastAsia" w:ascii="Times New Roman" w:hAnsi="Times New Roman" w:cs="Times New Roman"/>
                <w:color w:val="000000" w:themeColor="text1"/>
                <w:sz w:val="21"/>
                <w:szCs w:val="21"/>
                <w:lang w:val="en-US" w:eastAsia="zh-CN"/>
              </w:rPr>
              <w:t>4</w:t>
            </w:r>
            <w:r>
              <w:rPr>
                <w:rFonts w:hint="default" w:ascii="Times New Roman" w:hAnsi="Times New Roman" w:cs="Times New Roman"/>
                <w:color w:val="000000" w:themeColor="text1"/>
                <w:sz w:val="21"/>
                <w:szCs w:val="21"/>
              </w:rPr>
              <w:t>。</w:t>
            </w:r>
          </w:p>
          <w:p w14:paraId="302C482D">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cs="Times New Roman"/>
                <w:color w:val="000000" w:themeColor="text1"/>
              </w:rPr>
            </w:pPr>
          </w:p>
          <w:p w14:paraId="6779A1A6">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cs="Times New Roman"/>
                <w:color w:val="000000" w:themeColor="text1"/>
              </w:rPr>
            </w:pPr>
            <w:r>
              <w:rPr>
                <w:rFonts w:hint="default" w:cs="Times New Roman"/>
                <w:color w:val="000000" w:themeColor="text1"/>
              </w:rPr>
              <w:t>表2-</w:t>
            </w:r>
            <w:r>
              <w:rPr>
                <w:rFonts w:hint="eastAsia" w:cs="Times New Roman"/>
                <w:color w:val="000000" w:themeColor="text1"/>
                <w:lang w:val="en-US" w:eastAsia="zh-CN"/>
              </w:rPr>
              <w:t>4</w:t>
            </w:r>
            <w:r>
              <w:rPr>
                <w:rFonts w:hint="default" w:cs="Times New Roman"/>
                <w:color w:val="000000" w:themeColor="text1"/>
              </w:rPr>
              <w:t xml:space="preserve">  本项目主要原辅材料及能源消耗</w:t>
            </w:r>
          </w:p>
          <w:tbl>
            <w:tblPr>
              <w:tblStyle w:val="43"/>
              <w:tblW w:w="7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965"/>
              <w:gridCol w:w="972"/>
              <w:gridCol w:w="1188"/>
              <w:gridCol w:w="780"/>
              <w:gridCol w:w="2257"/>
            </w:tblGrid>
            <w:tr w14:paraId="04942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pct"/>
                  <w:noWrap w:val="0"/>
                  <w:vAlign w:val="center"/>
                </w:tcPr>
                <w:p w14:paraId="76DF02A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b/>
                      <w:bCs/>
                      <w:color w:val="000000" w:themeColor="text1"/>
                    </w:rPr>
                  </w:pPr>
                  <w:r>
                    <w:rPr>
                      <w:rFonts w:hint="default" w:cs="Times New Roman"/>
                      <w:b/>
                      <w:bCs/>
                      <w:color w:val="000000" w:themeColor="text1"/>
                    </w:rPr>
                    <w:t>序号</w:t>
                  </w:r>
                </w:p>
              </w:tc>
              <w:tc>
                <w:tcPr>
                  <w:tcW w:w="1234" w:type="pct"/>
                  <w:noWrap w:val="0"/>
                  <w:vAlign w:val="center"/>
                </w:tcPr>
                <w:p w14:paraId="4D4A8E9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b/>
                      <w:bCs/>
                      <w:color w:val="000000" w:themeColor="text1"/>
                    </w:rPr>
                  </w:pPr>
                  <w:r>
                    <w:rPr>
                      <w:rFonts w:hint="default" w:cs="Times New Roman"/>
                      <w:b/>
                      <w:bCs/>
                      <w:color w:val="000000" w:themeColor="text1"/>
                    </w:rPr>
                    <w:t>主要原辅材料名称</w:t>
                  </w:r>
                </w:p>
              </w:tc>
              <w:tc>
                <w:tcPr>
                  <w:tcW w:w="610" w:type="pct"/>
                  <w:noWrap w:val="0"/>
                  <w:vAlign w:val="center"/>
                </w:tcPr>
                <w:p w14:paraId="0CFC5FFB">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b/>
                      <w:bCs/>
                      <w:color w:val="000000" w:themeColor="text1"/>
                    </w:rPr>
                  </w:pPr>
                  <w:r>
                    <w:rPr>
                      <w:rFonts w:hint="default" w:cs="Times New Roman"/>
                      <w:b/>
                      <w:bCs/>
                      <w:color w:val="000000" w:themeColor="text1"/>
                    </w:rPr>
                    <w:t>年用量（t/a）</w:t>
                  </w:r>
                </w:p>
              </w:tc>
              <w:tc>
                <w:tcPr>
                  <w:tcW w:w="746" w:type="pct"/>
                  <w:noWrap w:val="0"/>
                  <w:vAlign w:val="center"/>
                </w:tcPr>
                <w:p w14:paraId="37AA5C4C">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b/>
                      <w:bCs/>
                      <w:color w:val="000000" w:themeColor="text1"/>
                    </w:rPr>
                  </w:pPr>
                  <w:r>
                    <w:rPr>
                      <w:rFonts w:hint="default" w:cs="Times New Roman"/>
                      <w:b/>
                      <w:bCs/>
                      <w:color w:val="000000" w:themeColor="text1"/>
                    </w:rPr>
                    <w:t>最大储存量（</w:t>
                  </w:r>
                  <w:r>
                    <w:rPr>
                      <w:rFonts w:hint="eastAsia" w:cs="Times New Roman"/>
                      <w:b/>
                      <w:bCs/>
                      <w:color w:val="000000" w:themeColor="text1"/>
                      <w:lang w:val="en-US" w:eastAsia="zh-CN"/>
                    </w:rPr>
                    <w:t>t</w:t>
                  </w:r>
                  <w:r>
                    <w:rPr>
                      <w:rFonts w:hint="default" w:cs="Times New Roman"/>
                      <w:b/>
                      <w:bCs/>
                      <w:color w:val="000000" w:themeColor="text1"/>
                    </w:rPr>
                    <w:t>）</w:t>
                  </w:r>
                </w:p>
              </w:tc>
              <w:tc>
                <w:tcPr>
                  <w:tcW w:w="490" w:type="pct"/>
                  <w:noWrap w:val="0"/>
                  <w:vAlign w:val="center"/>
                </w:tcPr>
                <w:p w14:paraId="3EC24257">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b/>
                      <w:bCs/>
                      <w:color w:val="000000" w:themeColor="text1"/>
                    </w:rPr>
                  </w:pPr>
                  <w:r>
                    <w:rPr>
                      <w:rFonts w:hint="default" w:cs="Times New Roman"/>
                      <w:b/>
                      <w:bCs/>
                      <w:color w:val="000000" w:themeColor="text1"/>
                    </w:rPr>
                    <w:t>储存方式</w:t>
                  </w:r>
                </w:p>
              </w:tc>
              <w:tc>
                <w:tcPr>
                  <w:tcW w:w="1418" w:type="pct"/>
                  <w:noWrap w:val="0"/>
                  <w:vAlign w:val="center"/>
                </w:tcPr>
                <w:p w14:paraId="629B43C9">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b/>
                      <w:bCs/>
                      <w:color w:val="000000" w:themeColor="text1"/>
                    </w:rPr>
                  </w:pPr>
                  <w:r>
                    <w:rPr>
                      <w:rFonts w:hint="default" w:cs="Times New Roman"/>
                      <w:b/>
                      <w:bCs/>
                      <w:color w:val="000000" w:themeColor="text1"/>
                    </w:rPr>
                    <w:t>性状以及规格</w:t>
                  </w:r>
                </w:p>
              </w:tc>
            </w:tr>
            <w:tr w14:paraId="09221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pct"/>
                  <w:noWrap w:val="0"/>
                  <w:vAlign w:val="center"/>
                </w:tcPr>
                <w:p w14:paraId="4C82557C">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1</w:t>
                  </w:r>
                </w:p>
              </w:tc>
              <w:tc>
                <w:tcPr>
                  <w:tcW w:w="1234" w:type="pct"/>
                  <w:noWrap w:val="0"/>
                  <w:vAlign w:val="center"/>
                </w:tcPr>
                <w:p w14:paraId="77BFDE0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lang w:val="en-US" w:eastAsia="zh-CN"/>
                    </w:rPr>
                  </w:pPr>
                  <w:r>
                    <w:rPr>
                      <w:rFonts w:hint="eastAsia" w:cs="Times New Roman"/>
                      <w:color w:val="000000" w:themeColor="text1"/>
                      <w:lang w:val="en-US" w:eastAsia="zh-CN"/>
                    </w:rPr>
                    <w:t>废纸</w:t>
                  </w:r>
                </w:p>
              </w:tc>
              <w:tc>
                <w:tcPr>
                  <w:tcW w:w="610" w:type="pct"/>
                  <w:noWrap w:val="0"/>
                  <w:vAlign w:val="center"/>
                </w:tcPr>
                <w:p w14:paraId="1A5871DB">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sz w:val="21"/>
                      <w:szCs w:val="21"/>
                      <w:lang w:val="en-US" w:eastAsia="zh-CN"/>
                    </w:rPr>
                  </w:pPr>
                  <w:r>
                    <w:rPr>
                      <w:rFonts w:hint="eastAsia" w:cs="Times New Roman"/>
                      <w:color w:val="000000" w:themeColor="text1"/>
                      <w:sz w:val="21"/>
                      <w:szCs w:val="21"/>
                      <w:lang w:val="en-US" w:eastAsia="zh-CN"/>
                    </w:rPr>
                    <w:t>24000</w:t>
                  </w:r>
                </w:p>
              </w:tc>
              <w:tc>
                <w:tcPr>
                  <w:tcW w:w="746" w:type="pct"/>
                  <w:noWrap w:val="0"/>
                  <w:vAlign w:val="center"/>
                </w:tcPr>
                <w:p w14:paraId="5189A3D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sz w:val="21"/>
                      <w:szCs w:val="21"/>
                      <w:lang w:val="en-US" w:eastAsia="zh-CN"/>
                    </w:rPr>
                  </w:pPr>
                  <w:r>
                    <w:rPr>
                      <w:rFonts w:hint="eastAsia" w:cs="Times New Roman"/>
                      <w:color w:val="000000" w:themeColor="text1"/>
                      <w:sz w:val="21"/>
                      <w:szCs w:val="21"/>
                      <w:lang w:val="en-US" w:eastAsia="zh-CN"/>
                    </w:rPr>
                    <w:t>2400</w:t>
                  </w:r>
                </w:p>
              </w:tc>
              <w:tc>
                <w:tcPr>
                  <w:tcW w:w="490" w:type="pct"/>
                  <w:noWrap w:val="0"/>
                  <w:vAlign w:val="center"/>
                </w:tcPr>
                <w:p w14:paraId="6C64451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sz w:val="21"/>
                      <w:szCs w:val="21"/>
                      <w:lang w:val="en-US" w:eastAsia="zh-CN"/>
                    </w:rPr>
                  </w:pPr>
                  <w:r>
                    <w:rPr>
                      <w:rFonts w:hint="eastAsia" w:cs="Times New Roman"/>
                      <w:color w:val="000000" w:themeColor="text1"/>
                      <w:sz w:val="21"/>
                      <w:szCs w:val="21"/>
                      <w:lang w:val="en-US" w:eastAsia="zh-CN"/>
                    </w:rPr>
                    <w:t>仓储</w:t>
                  </w:r>
                </w:p>
              </w:tc>
              <w:tc>
                <w:tcPr>
                  <w:tcW w:w="1418" w:type="pct"/>
                  <w:noWrap w:val="0"/>
                  <w:vAlign w:val="center"/>
                </w:tcPr>
                <w:p w14:paraId="464F4332">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sz w:val="21"/>
                      <w:szCs w:val="21"/>
                      <w:lang w:eastAsia="zh-CN"/>
                    </w:rPr>
                  </w:pPr>
                  <w:r>
                    <w:rPr>
                      <w:rFonts w:hint="eastAsia" w:ascii="Times New Roman" w:hAnsi="Times New Roman" w:eastAsia="宋体" w:cs="Times New Roman"/>
                      <w:color w:val="000000" w:themeColor="text1"/>
                      <w:kern w:val="2"/>
                      <w:sz w:val="21"/>
                      <w:szCs w:val="21"/>
                      <w:lang w:val="en-US" w:eastAsia="zh-CN" w:bidi="ar"/>
                    </w:rPr>
                    <w:t>外购，汽运，</w:t>
                  </w:r>
                  <w:r>
                    <w:rPr>
                      <w:rFonts w:hint="default" w:ascii="Times New Roman" w:hAnsi="Times New Roman" w:eastAsia="宋体" w:cs="Times New Roman"/>
                      <w:color w:val="000000" w:themeColor="text1"/>
                      <w:kern w:val="2"/>
                      <w:sz w:val="21"/>
                      <w:szCs w:val="21"/>
                      <w:lang w:val="en-US" w:eastAsia="zh-CN" w:bidi="ar"/>
                    </w:rPr>
                    <w:t>50kg</w:t>
                  </w:r>
                  <w:r>
                    <w:rPr>
                      <w:rFonts w:hint="eastAsia" w:eastAsia="宋体" w:cs="Times New Roman"/>
                      <w:color w:val="000000" w:themeColor="text1"/>
                      <w:kern w:val="2"/>
                      <w:sz w:val="21"/>
                      <w:szCs w:val="21"/>
                      <w:lang w:val="en-US" w:eastAsia="zh-CN" w:bidi="ar"/>
                    </w:rPr>
                    <w:t>-100kg</w:t>
                  </w:r>
                  <w:r>
                    <w:rPr>
                      <w:rFonts w:hint="default" w:ascii="Times New Roman" w:hAnsi="Times New Roman" w:eastAsia="宋体" w:cs="Times New Roman"/>
                      <w:color w:val="000000" w:themeColor="text1"/>
                      <w:kern w:val="2"/>
                      <w:sz w:val="21"/>
                      <w:szCs w:val="21"/>
                      <w:lang w:val="en-US" w:eastAsia="zh-CN" w:bidi="ar"/>
                    </w:rPr>
                    <w:t>/</w:t>
                  </w:r>
                  <w:r>
                    <w:rPr>
                      <w:rFonts w:hint="eastAsia" w:ascii="Times New Roman" w:hAnsi="Times New Roman" w:eastAsia="宋体" w:cs="Times New Roman"/>
                      <w:color w:val="000000" w:themeColor="text1"/>
                      <w:kern w:val="2"/>
                      <w:sz w:val="21"/>
                      <w:szCs w:val="21"/>
                      <w:lang w:val="en-US" w:eastAsia="zh-CN" w:bidi="ar"/>
                    </w:rPr>
                    <w:t>捆</w:t>
                  </w:r>
                  <w:r>
                    <w:rPr>
                      <w:rFonts w:hint="eastAsia" w:ascii="宋体" w:hAnsi="宋体" w:eastAsia="宋体" w:cs="宋体"/>
                      <w:color w:val="000000" w:themeColor="text1"/>
                      <w:sz w:val="21"/>
                      <w:szCs w:val="21"/>
                      <w:lang w:eastAsia="zh-CN"/>
                    </w:rPr>
                    <w:t>。</w:t>
                  </w:r>
                </w:p>
              </w:tc>
            </w:tr>
            <w:tr w14:paraId="553ED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pct"/>
                  <w:noWrap w:val="0"/>
                  <w:vAlign w:val="center"/>
                </w:tcPr>
                <w:p w14:paraId="0BCCB570">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2</w:t>
                  </w:r>
                </w:p>
              </w:tc>
              <w:tc>
                <w:tcPr>
                  <w:tcW w:w="1234" w:type="pct"/>
                  <w:noWrap w:val="0"/>
                  <w:vAlign w:val="center"/>
                </w:tcPr>
                <w:p w14:paraId="4421A5AB">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ascii="宋体" w:hAnsi="宋体" w:eastAsia="宋体" w:cs="宋体"/>
                      <w:color w:val="000000" w:themeColor="text1"/>
                      <w:sz w:val="21"/>
                      <w:szCs w:val="21"/>
                    </w:rPr>
                    <w:t>碱性嫩黄（染料）</w:t>
                  </w:r>
                </w:p>
              </w:tc>
              <w:tc>
                <w:tcPr>
                  <w:tcW w:w="610" w:type="pct"/>
                  <w:noWrap w:val="0"/>
                  <w:vAlign w:val="center"/>
                </w:tcPr>
                <w:p w14:paraId="5923F49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lang w:val="en-US" w:eastAsia="zh-CN"/>
                    </w:rPr>
                  </w:pPr>
                  <w:r>
                    <w:rPr>
                      <w:rFonts w:hint="eastAsia" w:cs="Times New Roman"/>
                      <w:color w:val="000000" w:themeColor="text1"/>
                      <w:lang w:val="en-US" w:eastAsia="zh-CN"/>
                    </w:rPr>
                    <w:t>6</w:t>
                  </w:r>
                </w:p>
              </w:tc>
              <w:tc>
                <w:tcPr>
                  <w:tcW w:w="746" w:type="pct"/>
                  <w:noWrap w:val="0"/>
                  <w:vAlign w:val="center"/>
                </w:tcPr>
                <w:p w14:paraId="642057E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lang w:val="en-US" w:eastAsia="zh-CN"/>
                    </w:rPr>
                  </w:pPr>
                  <w:r>
                    <w:rPr>
                      <w:rFonts w:hint="eastAsia" w:cs="Times New Roman"/>
                      <w:color w:val="000000" w:themeColor="text1"/>
                      <w:lang w:val="en-US" w:eastAsia="zh-CN"/>
                    </w:rPr>
                    <w:t>1</w:t>
                  </w:r>
                </w:p>
              </w:tc>
              <w:tc>
                <w:tcPr>
                  <w:tcW w:w="490" w:type="pct"/>
                  <w:noWrap w:val="0"/>
                  <w:vAlign w:val="center"/>
                </w:tcPr>
                <w:p w14:paraId="08A6107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eastAsia" w:cs="Times New Roman"/>
                      <w:color w:val="000000" w:themeColor="text1"/>
                      <w:sz w:val="21"/>
                      <w:szCs w:val="21"/>
                      <w:lang w:val="en-US" w:eastAsia="zh-CN"/>
                    </w:rPr>
                    <w:t>仓储</w:t>
                  </w:r>
                </w:p>
              </w:tc>
              <w:tc>
                <w:tcPr>
                  <w:tcW w:w="1418" w:type="pct"/>
                  <w:noWrap w:val="0"/>
                  <w:vAlign w:val="center"/>
                </w:tcPr>
                <w:p w14:paraId="048301F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eastAsia" w:ascii="Times New Roman" w:hAnsi="Times New Roman" w:eastAsia="宋体" w:cs="Times New Roman"/>
                      <w:color w:val="000000" w:themeColor="text1"/>
                      <w:kern w:val="2"/>
                      <w:sz w:val="21"/>
                      <w:szCs w:val="21"/>
                      <w:lang w:val="en-US" w:eastAsia="zh-CN" w:bidi="ar"/>
                    </w:rPr>
                    <w:t>外购，汽运，</w:t>
                  </w:r>
                  <w:r>
                    <w:rPr>
                      <w:rFonts w:hint="eastAsia" w:eastAsia="宋体" w:cs="Times New Roman"/>
                      <w:color w:val="000000" w:themeColor="text1"/>
                      <w:kern w:val="2"/>
                      <w:sz w:val="21"/>
                      <w:szCs w:val="21"/>
                      <w:lang w:val="en-US" w:eastAsia="zh-CN" w:bidi="ar"/>
                    </w:rPr>
                    <w:t>25</w:t>
                  </w:r>
                  <w:r>
                    <w:rPr>
                      <w:rFonts w:hint="default" w:ascii="Times New Roman" w:hAnsi="Times New Roman" w:eastAsia="宋体" w:cs="Times New Roman"/>
                      <w:color w:val="000000" w:themeColor="text1"/>
                      <w:kern w:val="2"/>
                      <w:sz w:val="21"/>
                      <w:szCs w:val="21"/>
                      <w:lang w:val="en-US" w:eastAsia="zh-CN" w:bidi="ar"/>
                    </w:rPr>
                    <w:t>kg/</w:t>
                  </w:r>
                  <w:r>
                    <w:rPr>
                      <w:rFonts w:hint="eastAsia" w:eastAsia="宋体" w:cs="Times New Roman"/>
                      <w:color w:val="000000" w:themeColor="text1"/>
                      <w:kern w:val="2"/>
                      <w:sz w:val="21"/>
                      <w:szCs w:val="21"/>
                      <w:lang w:val="en-US" w:eastAsia="zh-CN" w:bidi="ar"/>
                    </w:rPr>
                    <w:t>袋</w:t>
                  </w:r>
                  <w:r>
                    <w:rPr>
                      <w:rFonts w:hint="eastAsia" w:ascii="宋体" w:hAnsi="宋体" w:eastAsia="宋体" w:cs="宋体"/>
                      <w:color w:val="000000" w:themeColor="text1"/>
                      <w:sz w:val="21"/>
                      <w:szCs w:val="21"/>
                      <w:lang w:eastAsia="zh-CN"/>
                    </w:rPr>
                    <w:t>。</w:t>
                  </w:r>
                </w:p>
              </w:tc>
            </w:tr>
            <w:tr w14:paraId="710BD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pct"/>
                  <w:noWrap w:val="0"/>
                  <w:vAlign w:val="center"/>
                </w:tcPr>
                <w:p w14:paraId="6E6194D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eastAsia" w:cs="Times New Roman"/>
                      <w:color w:val="000000" w:themeColor="text1"/>
                    </w:rPr>
                    <w:t>3</w:t>
                  </w:r>
                </w:p>
              </w:tc>
              <w:tc>
                <w:tcPr>
                  <w:tcW w:w="1234" w:type="pct"/>
                  <w:noWrap w:val="0"/>
                  <w:vAlign w:val="center"/>
                </w:tcPr>
                <w:p w14:paraId="738F4ED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ascii="宋体" w:hAnsi="宋体" w:eastAsia="宋体" w:cs="宋体"/>
                      <w:color w:val="000000" w:themeColor="text1"/>
                      <w:sz w:val="21"/>
                      <w:szCs w:val="21"/>
                      <w:lang w:val="en-US" w:eastAsia="zh-CN"/>
                    </w:rPr>
                  </w:pPr>
                  <w:r>
                    <w:rPr>
                      <w:rFonts w:hint="eastAsia" w:ascii="宋体" w:hAnsi="宋体" w:eastAsia="宋体" w:cs="宋体"/>
                      <w:color w:val="000000" w:themeColor="text1"/>
                      <w:sz w:val="21"/>
                      <w:szCs w:val="21"/>
                      <w:lang w:val="en-US" w:eastAsia="zh-CN"/>
                    </w:rPr>
                    <w:t>硫酸铝</w:t>
                  </w:r>
                </w:p>
              </w:tc>
              <w:tc>
                <w:tcPr>
                  <w:tcW w:w="610" w:type="pct"/>
                  <w:noWrap w:val="0"/>
                  <w:vAlign w:val="center"/>
                </w:tcPr>
                <w:p w14:paraId="649F596B">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lang w:val="en-US" w:eastAsia="zh-CN"/>
                    </w:rPr>
                  </w:pPr>
                  <w:r>
                    <w:rPr>
                      <w:rFonts w:hint="eastAsia" w:cs="Times New Roman"/>
                      <w:color w:val="000000" w:themeColor="text1"/>
                      <w:lang w:val="en-US" w:eastAsia="zh-CN"/>
                    </w:rPr>
                    <w:t>15</w:t>
                  </w:r>
                </w:p>
              </w:tc>
              <w:tc>
                <w:tcPr>
                  <w:tcW w:w="746" w:type="pct"/>
                  <w:noWrap w:val="0"/>
                  <w:vAlign w:val="center"/>
                </w:tcPr>
                <w:p w14:paraId="02F1CC2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lang w:val="en-US" w:eastAsia="zh-CN"/>
                    </w:rPr>
                  </w:pPr>
                  <w:r>
                    <w:rPr>
                      <w:rFonts w:hint="eastAsia" w:cs="Times New Roman"/>
                      <w:color w:val="000000" w:themeColor="text1"/>
                      <w:lang w:val="en-US" w:eastAsia="zh-CN"/>
                    </w:rPr>
                    <w:t>15</w:t>
                  </w:r>
                </w:p>
              </w:tc>
              <w:tc>
                <w:tcPr>
                  <w:tcW w:w="490" w:type="pct"/>
                  <w:noWrap w:val="0"/>
                  <w:vAlign w:val="center"/>
                </w:tcPr>
                <w:p w14:paraId="183948A0">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cs="Times New Roman"/>
                      <w:color w:val="000000" w:themeColor="text1"/>
                      <w:sz w:val="21"/>
                      <w:szCs w:val="21"/>
                      <w:lang w:val="en-US" w:eastAsia="zh-CN"/>
                    </w:rPr>
                  </w:pPr>
                  <w:r>
                    <w:rPr>
                      <w:rFonts w:hint="eastAsia" w:cs="Times New Roman"/>
                      <w:color w:val="000000" w:themeColor="text1"/>
                      <w:sz w:val="21"/>
                      <w:szCs w:val="21"/>
                      <w:lang w:val="en-US" w:eastAsia="zh-CN"/>
                    </w:rPr>
                    <w:t>仓储</w:t>
                  </w:r>
                </w:p>
              </w:tc>
              <w:tc>
                <w:tcPr>
                  <w:tcW w:w="1418" w:type="pct"/>
                  <w:noWrap w:val="0"/>
                  <w:vAlign w:val="center"/>
                </w:tcPr>
                <w:p w14:paraId="688DDFD1">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color w:val="000000" w:themeColor="text1"/>
                      <w:kern w:val="2"/>
                      <w:sz w:val="21"/>
                      <w:szCs w:val="21"/>
                      <w:lang w:val="en-US" w:eastAsia="zh-CN" w:bidi="ar"/>
                    </w:rPr>
                  </w:pPr>
                  <w:r>
                    <w:rPr>
                      <w:rFonts w:hint="eastAsia" w:ascii="Times New Roman" w:hAnsi="Times New Roman" w:eastAsia="宋体" w:cs="Times New Roman"/>
                      <w:color w:val="000000" w:themeColor="text1"/>
                      <w:kern w:val="2"/>
                      <w:sz w:val="21"/>
                      <w:szCs w:val="21"/>
                      <w:lang w:val="en-US" w:eastAsia="zh-CN" w:bidi="ar"/>
                    </w:rPr>
                    <w:t>外购，汽运，</w:t>
                  </w:r>
                  <w:r>
                    <w:rPr>
                      <w:rFonts w:hint="eastAsia" w:eastAsia="宋体" w:cs="Times New Roman"/>
                      <w:color w:val="000000" w:themeColor="text1"/>
                      <w:kern w:val="2"/>
                      <w:sz w:val="21"/>
                      <w:szCs w:val="21"/>
                      <w:lang w:val="en-US" w:eastAsia="zh-CN" w:bidi="ar"/>
                    </w:rPr>
                    <w:t>25</w:t>
                  </w:r>
                  <w:r>
                    <w:rPr>
                      <w:rFonts w:hint="default" w:ascii="Times New Roman" w:hAnsi="Times New Roman" w:eastAsia="宋体" w:cs="Times New Roman"/>
                      <w:color w:val="000000" w:themeColor="text1"/>
                      <w:kern w:val="2"/>
                      <w:sz w:val="21"/>
                      <w:szCs w:val="21"/>
                      <w:lang w:val="en-US" w:eastAsia="zh-CN" w:bidi="ar"/>
                    </w:rPr>
                    <w:t>kg/</w:t>
                  </w:r>
                  <w:r>
                    <w:rPr>
                      <w:rFonts w:hint="eastAsia" w:eastAsia="宋体" w:cs="Times New Roman"/>
                      <w:color w:val="000000" w:themeColor="text1"/>
                      <w:kern w:val="2"/>
                      <w:sz w:val="21"/>
                      <w:szCs w:val="21"/>
                      <w:lang w:val="en-US" w:eastAsia="zh-CN" w:bidi="ar"/>
                    </w:rPr>
                    <w:t>袋</w:t>
                  </w:r>
                  <w:r>
                    <w:rPr>
                      <w:rFonts w:hint="eastAsia" w:ascii="宋体" w:hAnsi="宋体" w:eastAsia="宋体" w:cs="宋体"/>
                      <w:color w:val="000000" w:themeColor="text1"/>
                      <w:sz w:val="21"/>
                      <w:szCs w:val="21"/>
                      <w:lang w:eastAsia="zh-CN"/>
                    </w:rPr>
                    <w:t>。</w:t>
                  </w:r>
                  <w:r>
                    <w:rPr>
                      <w:rFonts w:hint="eastAsia" w:ascii="宋体" w:hAnsi="宋体" w:eastAsia="宋体" w:cs="宋体"/>
                      <w:color w:val="000000" w:themeColor="text1"/>
                      <w:sz w:val="21"/>
                      <w:szCs w:val="21"/>
                      <w:lang w:val="en-US" w:eastAsia="zh-CN"/>
                    </w:rPr>
                    <w:t>根据客户需求添加。</w:t>
                  </w:r>
                </w:p>
              </w:tc>
            </w:tr>
            <w:tr w14:paraId="41DA9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pct"/>
                  <w:noWrap w:val="0"/>
                  <w:vAlign w:val="center"/>
                </w:tcPr>
                <w:p w14:paraId="6FAFA34B">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lang w:val="en-US" w:eastAsia="zh-CN"/>
                    </w:rPr>
                  </w:pPr>
                  <w:r>
                    <w:rPr>
                      <w:rFonts w:hint="eastAsia" w:cs="Times New Roman"/>
                      <w:color w:val="000000" w:themeColor="text1"/>
                      <w:lang w:val="en-US" w:eastAsia="zh-CN"/>
                    </w:rPr>
                    <w:t>4</w:t>
                  </w:r>
                </w:p>
              </w:tc>
              <w:tc>
                <w:tcPr>
                  <w:tcW w:w="1234" w:type="pct"/>
                  <w:noWrap w:val="0"/>
                  <w:vAlign w:val="center"/>
                </w:tcPr>
                <w:p w14:paraId="725524A3">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ascii="宋体" w:hAnsi="宋体" w:eastAsia="宋体" w:cs="宋体"/>
                      <w:color w:val="000000" w:themeColor="text1"/>
                      <w:sz w:val="21"/>
                      <w:szCs w:val="21"/>
                      <w:lang w:val="en-US" w:eastAsia="zh-CN"/>
                    </w:rPr>
                  </w:pPr>
                  <w:r>
                    <w:rPr>
                      <w:rFonts w:hint="eastAsia" w:ascii="宋体" w:hAnsi="宋体" w:eastAsia="宋体" w:cs="宋体"/>
                      <w:color w:val="000000" w:themeColor="text1"/>
                      <w:sz w:val="21"/>
                      <w:szCs w:val="21"/>
                      <w:lang w:val="en-US" w:eastAsia="zh-CN"/>
                    </w:rPr>
                    <w:t>石粉</w:t>
                  </w:r>
                </w:p>
              </w:tc>
              <w:tc>
                <w:tcPr>
                  <w:tcW w:w="610" w:type="pct"/>
                  <w:noWrap w:val="0"/>
                  <w:vAlign w:val="center"/>
                </w:tcPr>
                <w:p w14:paraId="018DD4C7">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lang w:val="en-US" w:eastAsia="zh-CN"/>
                    </w:rPr>
                  </w:pPr>
                  <w:r>
                    <w:rPr>
                      <w:rFonts w:hint="eastAsia" w:cs="Times New Roman"/>
                      <w:color w:val="000000" w:themeColor="text1"/>
                      <w:lang w:val="en-US" w:eastAsia="zh-CN"/>
                    </w:rPr>
                    <w:t>280</w:t>
                  </w:r>
                </w:p>
              </w:tc>
              <w:tc>
                <w:tcPr>
                  <w:tcW w:w="746" w:type="pct"/>
                  <w:noWrap w:val="0"/>
                  <w:vAlign w:val="center"/>
                </w:tcPr>
                <w:p w14:paraId="102BC890">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lang w:val="en-US" w:eastAsia="zh-CN"/>
                    </w:rPr>
                  </w:pPr>
                  <w:r>
                    <w:rPr>
                      <w:rFonts w:hint="eastAsia" w:cs="Times New Roman"/>
                      <w:color w:val="000000" w:themeColor="text1"/>
                      <w:lang w:val="en-US" w:eastAsia="zh-CN"/>
                    </w:rPr>
                    <w:t>30</w:t>
                  </w:r>
                </w:p>
              </w:tc>
              <w:tc>
                <w:tcPr>
                  <w:tcW w:w="780" w:type="dxa"/>
                  <w:noWrap w:val="0"/>
                  <w:vAlign w:val="center"/>
                </w:tcPr>
                <w:p w14:paraId="613F653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cs="Times New Roman"/>
                      <w:color w:val="000000" w:themeColor="text1"/>
                      <w:sz w:val="21"/>
                      <w:szCs w:val="21"/>
                      <w:lang w:val="en-US" w:eastAsia="zh-CN"/>
                    </w:rPr>
                  </w:pPr>
                  <w:r>
                    <w:rPr>
                      <w:rFonts w:hint="eastAsia" w:cs="Times New Roman"/>
                      <w:color w:val="000000" w:themeColor="text1"/>
                      <w:sz w:val="21"/>
                      <w:szCs w:val="21"/>
                      <w:lang w:val="en-US" w:eastAsia="zh-CN"/>
                    </w:rPr>
                    <w:t>仓储</w:t>
                  </w:r>
                </w:p>
              </w:tc>
              <w:tc>
                <w:tcPr>
                  <w:tcW w:w="2257" w:type="dxa"/>
                  <w:noWrap w:val="0"/>
                  <w:vAlign w:val="center"/>
                </w:tcPr>
                <w:p w14:paraId="5D28B17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eastAsia="宋体" w:cs="Times New Roman"/>
                      <w:color w:val="000000" w:themeColor="text1"/>
                      <w:kern w:val="2"/>
                      <w:sz w:val="21"/>
                      <w:szCs w:val="21"/>
                      <w:lang w:val="en-US" w:eastAsia="zh-CN" w:bidi="ar"/>
                    </w:rPr>
                  </w:pPr>
                  <w:r>
                    <w:rPr>
                      <w:rFonts w:hint="eastAsia" w:ascii="Times New Roman" w:hAnsi="Times New Roman" w:eastAsia="宋体" w:cs="Times New Roman"/>
                      <w:color w:val="000000" w:themeColor="text1"/>
                      <w:kern w:val="2"/>
                      <w:sz w:val="21"/>
                      <w:szCs w:val="21"/>
                      <w:lang w:val="en-US" w:eastAsia="zh-CN" w:bidi="ar"/>
                    </w:rPr>
                    <w:t>外购，汽运，</w:t>
                  </w:r>
                  <w:r>
                    <w:rPr>
                      <w:rFonts w:hint="eastAsia" w:eastAsia="宋体" w:cs="Times New Roman"/>
                      <w:color w:val="000000" w:themeColor="text1"/>
                      <w:kern w:val="2"/>
                      <w:sz w:val="21"/>
                      <w:szCs w:val="21"/>
                      <w:lang w:val="en-US" w:eastAsia="zh-CN" w:bidi="ar"/>
                    </w:rPr>
                    <w:t>25</w:t>
                  </w:r>
                  <w:r>
                    <w:rPr>
                      <w:rFonts w:hint="default" w:ascii="Times New Roman" w:hAnsi="Times New Roman" w:eastAsia="宋体" w:cs="Times New Roman"/>
                      <w:color w:val="000000" w:themeColor="text1"/>
                      <w:kern w:val="2"/>
                      <w:sz w:val="21"/>
                      <w:szCs w:val="21"/>
                      <w:lang w:val="en-US" w:eastAsia="zh-CN" w:bidi="ar"/>
                    </w:rPr>
                    <w:t>kg/</w:t>
                  </w:r>
                  <w:r>
                    <w:rPr>
                      <w:rFonts w:hint="eastAsia" w:eastAsia="宋体" w:cs="Times New Roman"/>
                      <w:color w:val="000000" w:themeColor="text1"/>
                      <w:kern w:val="2"/>
                      <w:sz w:val="21"/>
                      <w:szCs w:val="21"/>
                      <w:lang w:val="en-US" w:eastAsia="zh-CN" w:bidi="ar"/>
                    </w:rPr>
                    <w:t>袋</w:t>
                  </w:r>
                  <w:r>
                    <w:rPr>
                      <w:rFonts w:hint="eastAsia" w:ascii="宋体" w:hAnsi="宋体" w:eastAsia="宋体" w:cs="宋体"/>
                      <w:color w:val="000000" w:themeColor="text1"/>
                      <w:sz w:val="21"/>
                      <w:szCs w:val="21"/>
                      <w:lang w:eastAsia="zh-CN"/>
                    </w:rPr>
                    <w:t>。</w:t>
                  </w:r>
                  <w:r>
                    <w:rPr>
                      <w:rFonts w:hint="eastAsia" w:ascii="宋体" w:hAnsi="宋体" w:eastAsia="宋体" w:cs="宋体"/>
                      <w:color w:val="000000" w:themeColor="text1"/>
                      <w:sz w:val="21"/>
                      <w:szCs w:val="21"/>
                      <w:lang w:val="en-US" w:eastAsia="zh-CN"/>
                    </w:rPr>
                    <w:t>根据客户需求添加。</w:t>
                  </w:r>
                </w:p>
              </w:tc>
            </w:tr>
            <w:tr w14:paraId="154A0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pct"/>
                  <w:noWrap w:val="0"/>
                  <w:vAlign w:val="center"/>
                </w:tcPr>
                <w:p w14:paraId="5F1250D9">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lang w:val="en-US" w:eastAsia="zh-CN"/>
                    </w:rPr>
                  </w:pPr>
                  <w:r>
                    <w:rPr>
                      <w:rFonts w:hint="eastAsia" w:cs="Times New Roman"/>
                      <w:color w:val="000000" w:themeColor="text1"/>
                      <w:lang w:val="en-US" w:eastAsia="zh-CN"/>
                    </w:rPr>
                    <w:t>5</w:t>
                  </w:r>
                </w:p>
              </w:tc>
              <w:tc>
                <w:tcPr>
                  <w:tcW w:w="1234" w:type="pct"/>
                  <w:noWrap w:val="0"/>
                  <w:vAlign w:val="center"/>
                </w:tcPr>
                <w:p w14:paraId="03D06DDA">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lang w:val="en-US" w:eastAsia="zh-CN"/>
                    </w:rPr>
                  </w:pPr>
                  <w:r>
                    <w:rPr>
                      <w:rFonts w:hint="eastAsia" w:cs="Times New Roman"/>
                      <w:color w:val="000000" w:themeColor="text1"/>
                      <w:lang w:val="en-US" w:eastAsia="zh-CN"/>
                    </w:rPr>
                    <w:t>生物质燃料</w:t>
                  </w:r>
                </w:p>
              </w:tc>
              <w:tc>
                <w:tcPr>
                  <w:tcW w:w="610" w:type="pct"/>
                  <w:noWrap w:val="0"/>
                  <w:vAlign w:val="center"/>
                </w:tcPr>
                <w:p w14:paraId="0755BE19">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lang w:val="en-US" w:eastAsia="zh-CN"/>
                    </w:rPr>
                  </w:pPr>
                  <w:r>
                    <w:rPr>
                      <w:rFonts w:hint="eastAsia" w:cs="Times New Roman"/>
                      <w:color w:val="FF00FF"/>
                      <w:lang w:val="en-US" w:eastAsia="zh-CN"/>
                    </w:rPr>
                    <w:t>7200</w:t>
                  </w:r>
                </w:p>
              </w:tc>
              <w:tc>
                <w:tcPr>
                  <w:tcW w:w="746" w:type="pct"/>
                  <w:noWrap w:val="0"/>
                  <w:vAlign w:val="center"/>
                </w:tcPr>
                <w:p w14:paraId="4E56BFD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lang w:val="en-US" w:eastAsia="zh-CN"/>
                    </w:rPr>
                  </w:pPr>
                  <w:r>
                    <w:rPr>
                      <w:rFonts w:hint="eastAsia" w:cs="Times New Roman"/>
                      <w:color w:val="000000" w:themeColor="text1"/>
                      <w:lang w:val="en-US" w:eastAsia="zh-CN"/>
                    </w:rPr>
                    <w:t>50</w:t>
                  </w:r>
                </w:p>
              </w:tc>
              <w:tc>
                <w:tcPr>
                  <w:tcW w:w="490" w:type="pct"/>
                  <w:noWrap w:val="0"/>
                  <w:vAlign w:val="center"/>
                </w:tcPr>
                <w:p w14:paraId="44ADC1BD">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cs="Times New Roman"/>
                      <w:color w:val="000000" w:themeColor="text1"/>
                    </w:rPr>
                  </w:pPr>
                  <w:r>
                    <w:rPr>
                      <w:rFonts w:hint="eastAsia" w:cs="Times New Roman"/>
                      <w:color w:val="000000" w:themeColor="text1"/>
                      <w:sz w:val="21"/>
                      <w:szCs w:val="21"/>
                      <w:lang w:val="en-US" w:eastAsia="zh-CN"/>
                    </w:rPr>
                    <w:t>仓储</w:t>
                  </w:r>
                </w:p>
              </w:tc>
              <w:tc>
                <w:tcPr>
                  <w:tcW w:w="1418" w:type="pct"/>
                  <w:noWrap w:val="0"/>
                  <w:vAlign w:val="center"/>
                </w:tcPr>
                <w:p w14:paraId="36D003C3">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cs="Times New Roman"/>
                      <w:color w:val="000000" w:themeColor="text1"/>
                    </w:rPr>
                  </w:pPr>
                  <w:r>
                    <w:rPr>
                      <w:rFonts w:hint="eastAsia" w:ascii="Times New Roman" w:hAnsi="Times New Roman" w:eastAsia="宋体" w:cs="Times New Roman"/>
                      <w:color w:val="000000" w:themeColor="text1"/>
                      <w:kern w:val="2"/>
                      <w:sz w:val="21"/>
                      <w:szCs w:val="21"/>
                      <w:lang w:val="en-US" w:eastAsia="zh-CN" w:bidi="ar"/>
                    </w:rPr>
                    <w:t>外购，汽运，</w:t>
                  </w:r>
                  <w:r>
                    <w:rPr>
                      <w:rFonts w:hint="eastAsia" w:eastAsia="宋体" w:cs="Times New Roman"/>
                      <w:color w:val="000000" w:themeColor="text1"/>
                      <w:kern w:val="2"/>
                      <w:sz w:val="21"/>
                      <w:szCs w:val="21"/>
                      <w:lang w:val="en-US" w:eastAsia="zh-CN" w:bidi="ar"/>
                    </w:rPr>
                    <w:t>100</w:t>
                  </w:r>
                  <w:r>
                    <w:rPr>
                      <w:rFonts w:hint="default" w:ascii="Times New Roman" w:hAnsi="Times New Roman" w:eastAsia="宋体" w:cs="Times New Roman"/>
                      <w:color w:val="000000" w:themeColor="text1"/>
                      <w:kern w:val="2"/>
                      <w:sz w:val="21"/>
                      <w:szCs w:val="21"/>
                      <w:lang w:val="en-US" w:eastAsia="zh-CN" w:bidi="ar"/>
                    </w:rPr>
                    <w:t>kg/</w:t>
                  </w:r>
                  <w:r>
                    <w:rPr>
                      <w:rFonts w:hint="eastAsia" w:eastAsia="宋体" w:cs="Times New Roman"/>
                      <w:color w:val="000000" w:themeColor="text1"/>
                      <w:kern w:val="2"/>
                      <w:sz w:val="21"/>
                      <w:szCs w:val="21"/>
                      <w:lang w:val="en-US" w:eastAsia="zh-CN" w:bidi="ar"/>
                    </w:rPr>
                    <w:t>袋</w:t>
                  </w:r>
                  <w:r>
                    <w:rPr>
                      <w:rFonts w:hint="eastAsia" w:ascii="宋体" w:hAnsi="宋体" w:eastAsia="宋体" w:cs="宋体"/>
                      <w:color w:val="000000" w:themeColor="text1"/>
                      <w:sz w:val="21"/>
                      <w:szCs w:val="21"/>
                      <w:lang w:eastAsia="zh-CN"/>
                    </w:rPr>
                    <w:t>。</w:t>
                  </w:r>
                </w:p>
              </w:tc>
            </w:tr>
            <w:tr w14:paraId="5520A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pct"/>
                  <w:noWrap w:val="0"/>
                  <w:vAlign w:val="center"/>
                </w:tcPr>
                <w:p w14:paraId="2D19EDD2">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lang w:val="en-US" w:eastAsia="zh-CN"/>
                    </w:rPr>
                  </w:pPr>
                  <w:r>
                    <w:rPr>
                      <w:rFonts w:hint="eastAsia" w:cs="Times New Roman"/>
                      <w:color w:val="000000" w:themeColor="text1"/>
                      <w:lang w:val="en-US" w:eastAsia="zh-CN"/>
                    </w:rPr>
                    <w:t>6</w:t>
                  </w:r>
                </w:p>
              </w:tc>
              <w:tc>
                <w:tcPr>
                  <w:tcW w:w="1234" w:type="pct"/>
                  <w:noWrap w:val="0"/>
                  <w:vAlign w:val="center"/>
                </w:tcPr>
                <w:p w14:paraId="4CA70D27">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lang w:val="en-US" w:eastAsia="zh-CN"/>
                    </w:rPr>
                  </w:pPr>
                  <w:r>
                    <w:rPr>
                      <w:rFonts w:hint="eastAsia" w:cs="Times New Roman"/>
                      <w:color w:val="000000" w:themeColor="text1"/>
                      <w:lang w:val="en-US" w:eastAsia="zh-CN"/>
                    </w:rPr>
                    <w:t>机油</w:t>
                  </w:r>
                </w:p>
              </w:tc>
              <w:tc>
                <w:tcPr>
                  <w:tcW w:w="610" w:type="pct"/>
                  <w:noWrap w:val="0"/>
                  <w:vAlign w:val="center"/>
                </w:tcPr>
                <w:p w14:paraId="56E2BC9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lang w:val="en-US" w:eastAsia="zh-CN"/>
                    </w:rPr>
                  </w:pPr>
                  <w:r>
                    <w:rPr>
                      <w:rFonts w:hint="eastAsia" w:cs="Times New Roman"/>
                      <w:color w:val="000000" w:themeColor="text1"/>
                      <w:lang w:val="en-US" w:eastAsia="zh-CN"/>
                    </w:rPr>
                    <w:t>0.2</w:t>
                  </w:r>
                </w:p>
              </w:tc>
              <w:tc>
                <w:tcPr>
                  <w:tcW w:w="746" w:type="pct"/>
                  <w:noWrap w:val="0"/>
                  <w:vAlign w:val="center"/>
                </w:tcPr>
                <w:p w14:paraId="37E79416">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lang w:val="en-US" w:eastAsia="zh-CN"/>
                    </w:rPr>
                  </w:pPr>
                  <w:r>
                    <w:rPr>
                      <w:rFonts w:hint="eastAsia" w:cs="Times New Roman"/>
                      <w:color w:val="000000" w:themeColor="text1"/>
                      <w:lang w:val="en-US" w:eastAsia="zh-CN"/>
                    </w:rPr>
                    <w:t>0.2</w:t>
                  </w:r>
                </w:p>
              </w:tc>
              <w:tc>
                <w:tcPr>
                  <w:tcW w:w="490" w:type="pct"/>
                  <w:noWrap w:val="0"/>
                  <w:vAlign w:val="center"/>
                </w:tcPr>
                <w:p w14:paraId="7842B20C">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eastAsia" w:cs="Times New Roman"/>
                      <w:color w:val="000000" w:themeColor="text1"/>
                      <w:sz w:val="21"/>
                      <w:szCs w:val="21"/>
                      <w:lang w:val="en-US" w:eastAsia="zh-CN"/>
                    </w:rPr>
                    <w:t>仓储</w:t>
                  </w:r>
                </w:p>
              </w:tc>
              <w:tc>
                <w:tcPr>
                  <w:tcW w:w="1418" w:type="pct"/>
                  <w:noWrap w:val="0"/>
                  <w:vAlign w:val="center"/>
                </w:tcPr>
                <w:p w14:paraId="61CB8AF1">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eastAsia" w:ascii="Times New Roman" w:hAnsi="Times New Roman" w:eastAsia="宋体" w:cs="Times New Roman"/>
                      <w:color w:val="000000" w:themeColor="text1"/>
                      <w:kern w:val="2"/>
                      <w:sz w:val="21"/>
                      <w:szCs w:val="21"/>
                      <w:lang w:val="en-US" w:eastAsia="zh-CN" w:bidi="ar"/>
                    </w:rPr>
                    <w:t>外购，汽运，</w:t>
                  </w:r>
                  <w:r>
                    <w:rPr>
                      <w:rFonts w:hint="eastAsia" w:eastAsia="宋体" w:cs="Times New Roman"/>
                      <w:color w:val="000000" w:themeColor="text1"/>
                      <w:kern w:val="2"/>
                      <w:sz w:val="21"/>
                      <w:szCs w:val="21"/>
                      <w:lang w:val="en-US" w:eastAsia="zh-CN" w:bidi="ar"/>
                    </w:rPr>
                    <w:t>15</w:t>
                  </w:r>
                  <w:r>
                    <w:rPr>
                      <w:rFonts w:hint="default" w:ascii="Times New Roman" w:hAnsi="Times New Roman" w:eastAsia="宋体" w:cs="Times New Roman"/>
                      <w:color w:val="000000" w:themeColor="text1"/>
                      <w:kern w:val="2"/>
                      <w:sz w:val="21"/>
                      <w:szCs w:val="21"/>
                      <w:lang w:val="en-US" w:eastAsia="zh-CN" w:bidi="ar"/>
                    </w:rPr>
                    <w:t>kg/</w:t>
                  </w:r>
                  <w:r>
                    <w:rPr>
                      <w:rFonts w:hint="eastAsia" w:eastAsia="宋体" w:cs="Times New Roman"/>
                      <w:color w:val="000000" w:themeColor="text1"/>
                      <w:kern w:val="2"/>
                      <w:sz w:val="21"/>
                      <w:szCs w:val="21"/>
                      <w:lang w:val="en-US" w:eastAsia="zh-CN" w:bidi="ar"/>
                    </w:rPr>
                    <w:t>袋</w:t>
                  </w:r>
                  <w:r>
                    <w:rPr>
                      <w:rFonts w:hint="eastAsia" w:ascii="宋体" w:hAnsi="宋体" w:eastAsia="宋体" w:cs="宋体"/>
                      <w:color w:val="000000" w:themeColor="text1"/>
                      <w:sz w:val="21"/>
                      <w:szCs w:val="21"/>
                      <w:lang w:eastAsia="zh-CN"/>
                    </w:rPr>
                    <w:t>。</w:t>
                  </w:r>
                </w:p>
              </w:tc>
            </w:tr>
            <w:tr w14:paraId="51C5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pct"/>
                  <w:noWrap w:val="0"/>
                  <w:vAlign w:val="center"/>
                </w:tcPr>
                <w:p w14:paraId="05C1BA50">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eastAsia="宋体" w:cs="Times New Roman"/>
                      <w:color w:val="000000" w:themeColor="text1"/>
                      <w:lang w:val="en-US" w:eastAsia="zh-CN"/>
                    </w:rPr>
                  </w:pPr>
                  <w:r>
                    <w:rPr>
                      <w:rFonts w:hint="eastAsia" w:cs="Times New Roman"/>
                      <w:color w:val="000000" w:themeColor="text1"/>
                      <w:lang w:val="en-US" w:eastAsia="zh-CN"/>
                    </w:rPr>
                    <w:t>7</w:t>
                  </w:r>
                </w:p>
              </w:tc>
              <w:tc>
                <w:tcPr>
                  <w:tcW w:w="1234" w:type="pct"/>
                  <w:noWrap w:val="0"/>
                  <w:vAlign w:val="center"/>
                </w:tcPr>
                <w:p w14:paraId="77006623">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lang w:val="en-US" w:eastAsia="zh-CN"/>
                    </w:rPr>
                  </w:pPr>
                  <w:r>
                    <w:rPr>
                      <w:rFonts w:hint="eastAsia" w:cs="Times New Roman"/>
                      <w:color w:val="000000" w:themeColor="text1"/>
                      <w:lang w:val="en-US" w:eastAsia="zh-CN"/>
                    </w:rPr>
                    <w:t>水</w:t>
                  </w:r>
                </w:p>
              </w:tc>
              <w:tc>
                <w:tcPr>
                  <w:tcW w:w="610" w:type="pct"/>
                  <w:noWrap w:val="0"/>
                  <w:vAlign w:val="center"/>
                </w:tcPr>
                <w:p w14:paraId="14CCDEA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lang w:val="en-US" w:eastAsia="zh-CN"/>
                    </w:rPr>
                  </w:pPr>
                  <w:r>
                    <w:rPr>
                      <w:rFonts w:hint="eastAsia" w:cs="Times New Roman"/>
                      <w:color w:val="000000" w:themeColor="text1"/>
                      <w:lang w:val="en-US" w:eastAsia="zh-CN"/>
                    </w:rPr>
                    <w:t>50220</w:t>
                  </w:r>
                </w:p>
              </w:tc>
              <w:tc>
                <w:tcPr>
                  <w:tcW w:w="746" w:type="pct"/>
                  <w:noWrap w:val="0"/>
                  <w:vAlign w:val="center"/>
                </w:tcPr>
                <w:p w14:paraId="570D9C5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lang w:val="en-US" w:eastAsia="zh-CN"/>
                    </w:rPr>
                  </w:pPr>
                  <w:r>
                    <w:rPr>
                      <w:rFonts w:hint="eastAsia" w:cs="Times New Roman"/>
                      <w:color w:val="000000" w:themeColor="text1"/>
                      <w:lang w:val="en-US" w:eastAsia="zh-CN"/>
                    </w:rPr>
                    <w:t>300</w:t>
                  </w:r>
                </w:p>
              </w:tc>
              <w:tc>
                <w:tcPr>
                  <w:tcW w:w="490" w:type="pct"/>
                  <w:noWrap w:val="0"/>
                  <w:vAlign w:val="center"/>
                </w:tcPr>
                <w:p w14:paraId="30D0118A">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lang w:val="en-US" w:eastAsia="zh-CN"/>
                    </w:rPr>
                  </w:pPr>
                  <w:r>
                    <w:rPr>
                      <w:rFonts w:hint="eastAsia" w:cs="Times New Roman"/>
                      <w:color w:val="000000" w:themeColor="text1"/>
                      <w:lang w:val="en-US" w:eastAsia="zh-CN"/>
                    </w:rPr>
                    <w:t>/</w:t>
                  </w:r>
                </w:p>
              </w:tc>
              <w:tc>
                <w:tcPr>
                  <w:tcW w:w="1418" w:type="pct"/>
                  <w:noWrap w:val="0"/>
                  <w:vAlign w:val="center"/>
                </w:tcPr>
                <w:p w14:paraId="328FD6F3">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lang w:val="en-US" w:eastAsia="zh-CN"/>
                    </w:rPr>
                  </w:pPr>
                  <w:r>
                    <w:rPr>
                      <w:rFonts w:hint="eastAsia" w:cs="Times New Roman"/>
                      <w:color w:val="000000" w:themeColor="text1"/>
                      <w:lang w:val="en-US" w:eastAsia="zh-CN"/>
                    </w:rPr>
                    <w:t>/</w:t>
                  </w:r>
                </w:p>
              </w:tc>
            </w:tr>
            <w:tr w14:paraId="4B4BF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pct"/>
                  <w:noWrap w:val="0"/>
                  <w:vAlign w:val="center"/>
                </w:tcPr>
                <w:p w14:paraId="500B20BB">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lang w:val="en-US" w:eastAsia="zh-CN"/>
                    </w:rPr>
                  </w:pPr>
                  <w:r>
                    <w:rPr>
                      <w:rFonts w:hint="eastAsia" w:cs="Times New Roman"/>
                      <w:color w:val="000000" w:themeColor="text1"/>
                      <w:lang w:val="en-US" w:eastAsia="zh-CN"/>
                    </w:rPr>
                    <w:t>8</w:t>
                  </w:r>
                </w:p>
              </w:tc>
              <w:tc>
                <w:tcPr>
                  <w:tcW w:w="1234" w:type="pct"/>
                  <w:noWrap w:val="0"/>
                  <w:vAlign w:val="center"/>
                </w:tcPr>
                <w:p w14:paraId="51FD7C9B">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lang w:val="en-US" w:eastAsia="zh-CN"/>
                    </w:rPr>
                  </w:pPr>
                  <w:r>
                    <w:rPr>
                      <w:rFonts w:hint="eastAsia" w:cs="Times New Roman"/>
                      <w:color w:val="000000" w:themeColor="text1"/>
                      <w:lang w:val="en-US" w:eastAsia="zh-CN"/>
                    </w:rPr>
                    <w:t>电</w:t>
                  </w:r>
                </w:p>
              </w:tc>
              <w:tc>
                <w:tcPr>
                  <w:tcW w:w="610" w:type="pct"/>
                  <w:noWrap w:val="0"/>
                  <w:vAlign w:val="center"/>
                </w:tcPr>
                <w:p w14:paraId="41695E27">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eastAsia" w:cs="Times New Roman"/>
                      <w:color w:val="000000" w:themeColor="text1"/>
                      <w:lang w:val="en-US" w:eastAsia="zh-CN"/>
                    </w:rPr>
                    <w:t>123.84万kw.h</w:t>
                  </w:r>
                </w:p>
              </w:tc>
              <w:tc>
                <w:tcPr>
                  <w:tcW w:w="746" w:type="pct"/>
                  <w:noWrap w:val="0"/>
                  <w:vAlign w:val="center"/>
                </w:tcPr>
                <w:p w14:paraId="793F31A6">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lang w:val="en-US" w:eastAsia="zh-CN"/>
                    </w:rPr>
                  </w:pPr>
                  <w:r>
                    <w:rPr>
                      <w:rFonts w:hint="eastAsia" w:cs="Times New Roman"/>
                      <w:color w:val="000000" w:themeColor="text1"/>
                      <w:lang w:val="en-US" w:eastAsia="zh-CN"/>
                    </w:rPr>
                    <w:t>/</w:t>
                  </w:r>
                </w:p>
              </w:tc>
              <w:tc>
                <w:tcPr>
                  <w:tcW w:w="490" w:type="pct"/>
                  <w:noWrap w:val="0"/>
                  <w:vAlign w:val="center"/>
                </w:tcPr>
                <w:p w14:paraId="72A0D63C">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lang w:val="en-US" w:eastAsia="zh-CN"/>
                    </w:rPr>
                  </w:pPr>
                  <w:r>
                    <w:rPr>
                      <w:rFonts w:hint="eastAsia" w:cs="Times New Roman"/>
                      <w:color w:val="000000" w:themeColor="text1"/>
                      <w:lang w:val="en-US" w:eastAsia="zh-CN"/>
                    </w:rPr>
                    <w:t>/</w:t>
                  </w:r>
                </w:p>
              </w:tc>
              <w:tc>
                <w:tcPr>
                  <w:tcW w:w="1418" w:type="pct"/>
                  <w:noWrap w:val="0"/>
                  <w:vAlign w:val="center"/>
                </w:tcPr>
                <w:p w14:paraId="7D0C406C">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lang w:val="en-US" w:eastAsia="zh-CN"/>
                    </w:rPr>
                  </w:pPr>
                  <w:r>
                    <w:rPr>
                      <w:rFonts w:hint="eastAsia" w:cs="Times New Roman"/>
                      <w:color w:val="000000" w:themeColor="text1"/>
                      <w:lang w:val="en-US" w:eastAsia="zh-CN"/>
                    </w:rPr>
                    <w:t>/</w:t>
                  </w:r>
                </w:p>
              </w:tc>
            </w:tr>
          </w:tbl>
          <w:p w14:paraId="0B9FD2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right="0" w:firstLine="422"/>
              <w:textAlignment w:val="auto"/>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主要原辅材料理化性质：</w:t>
            </w:r>
          </w:p>
          <w:p w14:paraId="0F94E72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20" w:lineRule="exact"/>
              <w:ind w:left="0" w:right="0" w:firstLine="422" w:firstLineChars="200"/>
              <w:textAlignment w:val="auto"/>
              <w:rPr>
                <w:rFonts w:hint="default" w:ascii="Times New Roman" w:hAnsi="Times New Roman" w:cs="Times New Roman"/>
                <w:color w:val="000000" w:themeColor="text1"/>
                <w:sz w:val="21"/>
                <w:szCs w:val="21"/>
              </w:rPr>
            </w:pPr>
            <w:r>
              <w:rPr>
                <w:rFonts w:hint="eastAsia" w:ascii="Times New Roman" w:hAnsi="Times New Roman" w:cs="Times New Roman"/>
                <w:b/>
                <w:bCs/>
                <w:color w:val="000000" w:themeColor="text1"/>
                <w:sz w:val="21"/>
                <w:szCs w:val="21"/>
                <w:lang w:val="en-US" w:eastAsia="zh-CN"/>
              </w:rPr>
              <w:t>（1）废纸：</w:t>
            </w:r>
            <w:r>
              <w:rPr>
                <w:rFonts w:hint="eastAsia" w:ascii="Times New Roman" w:hAnsi="Times New Roman" w:cs="Times New Roman"/>
                <w:b w:val="0"/>
                <w:bCs w:val="0"/>
                <w:color w:val="000000" w:themeColor="text1"/>
                <w:sz w:val="21"/>
                <w:szCs w:val="21"/>
                <w:lang w:val="en-US" w:eastAsia="zh-CN"/>
              </w:rPr>
              <w:t>废纸作为回收再利用的重要资源，在制造新的纸张产品时具有很大的价值。其</w:t>
            </w:r>
            <w:r>
              <w:rPr>
                <w:rFonts w:hint="default" w:ascii="宋体" w:hAnsi="宋体" w:eastAsia="宋体" w:cs="宋体"/>
                <w:color w:val="000000" w:themeColor="text1"/>
                <w:sz w:val="21"/>
                <w:szCs w:val="21"/>
              </w:rPr>
              <w:t>主要来自于</w:t>
            </w:r>
            <w:r>
              <w:rPr>
                <w:rFonts w:hint="eastAsia" w:ascii="宋体" w:hAnsi="宋体" w:eastAsia="宋体" w:cs="宋体"/>
                <w:color w:val="000000" w:themeColor="text1"/>
                <w:sz w:val="21"/>
                <w:szCs w:val="21"/>
                <w:lang w:val="en-US" w:eastAsia="zh-CN"/>
              </w:rPr>
              <w:t>通海县及其周边区县</w:t>
            </w:r>
            <w:r>
              <w:rPr>
                <w:rFonts w:hint="default" w:ascii="宋体" w:hAnsi="宋体" w:eastAsia="宋体" w:cs="宋体"/>
                <w:color w:val="000000" w:themeColor="text1"/>
                <w:sz w:val="21"/>
                <w:szCs w:val="21"/>
              </w:rPr>
              <w:t>印刷厂</w:t>
            </w:r>
            <w:r>
              <w:rPr>
                <w:rFonts w:hint="eastAsia" w:ascii="宋体" w:hAnsi="宋体" w:eastAsia="宋体" w:cs="宋体"/>
                <w:color w:val="000000" w:themeColor="text1"/>
                <w:sz w:val="21"/>
                <w:szCs w:val="21"/>
                <w:lang w:eastAsia="zh-CN"/>
              </w:rPr>
              <w:t>、</w:t>
            </w:r>
            <w:r>
              <w:rPr>
                <w:rFonts w:hint="eastAsia" w:ascii="宋体" w:hAnsi="宋体" w:eastAsia="宋体" w:cs="宋体"/>
                <w:color w:val="000000" w:themeColor="text1"/>
                <w:sz w:val="21"/>
                <w:szCs w:val="21"/>
                <w:lang w:val="en-US" w:eastAsia="zh-CN"/>
              </w:rPr>
              <w:t>纸箱厂等企业产生的废</w:t>
            </w:r>
            <w:r>
              <w:rPr>
                <w:rFonts w:hint="default" w:ascii="宋体" w:hAnsi="宋体" w:eastAsia="宋体" w:cs="宋体"/>
                <w:color w:val="000000" w:themeColor="text1"/>
                <w:sz w:val="21"/>
                <w:szCs w:val="21"/>
              </w:rPr>
              <w:t>边角料及废书本等。</w:t>
            </w:r>
            <w:r>
              <w:rPr>
                <w:rFonts w:hint="eastAsia" w:ascii="Times New Roman" w:hAnsi="Times New Roman" w:cs="Times New Roman"/>
                <w:b w:val="0"/>
                <w:bCs w:val="0"/>
                <w:color w:val="000000" w:themeColor="text1"/>
                <w:sz w:val="21"/>
                <w:szCs w:val="21"/>
                <w:lang w:val="en-US" w:eastAsia="zh-CN"/>
              </w:rPr>
              <w:t>其成分主要包含纤维素、半纤维素和木质素：其中纤维素是废纸的主要成分之一，其含量在50%以上。它是一种天然聚合物，具有良好的可再生性和可降解性。在纸张制造过程中，纤维素可以被分解成纤维，用于制造新的纸张产品。半纤维素含量约为10%-20%。半纤维素是一种含有羟基的多糖物质，可以被化学处理分离成纤维和其他化学品，从而用于制造新的纸张产品。木质素含量约为2%-5%。木质素是一种不含有羟基的高聚物，其本身并不能用于制造纸张产品，但可以被分离和转化为有用的化学品。</w:t>
            </w:r>
          </w:p>
          <w:p w14:paraId="6426C1D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20" w:lineRule="exact"/>
              <w:ind w:left="0" w:right="0" w:firstLine="422" w:firstLineChars="200"/>
              <w:textAlignment w:val="auto"/>
              <w:rPr>
                <w:rFonts w:hint="eastAsia" w:ascii="Times New Roman" w:hAnsi="Times New Roman" w:cs="Times New Roman"/>
                <w:b w:val="0"/>
                <w:bCs w:val="0"/>
                <w:color w:val="000000" w:themeColor="text1"/>
                <w:sz w:val="21"/>
                <w:szCs w:val="21"/>
                <w:lang w:val="en-US" w:eastAsia="zh-CN"/>
              </w:rPr>
            </w:pPr>
            <w:r>
              <w:rPr>
                <w:rFonts w:hint="eastAsia" w:ascii="Times New Roman" w:hAnsi="Times New Roman" w:cs="Times New Roman"/>
                <w:b/>
                <w:bCs/>
                <w:color w:val="000000" w:themeColor="text1"/>
                <w:sz w:val="21"/>
                <w:szCs w:val="21"/>
                <w:lang w:val="en-US" w:eastAsia="zh-CN"/>
              </w:rPr>
              <w:t>（2）硫酸铝：</w:t>
            </w:r>
            <w:r>
              <w:rPr>
                <w:rFonts w:hint="eastAsia" w:ascii="Times New Roman" w:hAnsi="Times New Roman" w:cs="Times New Roman"/>
                <w:b w:val="0"/>
                <w:bCs w:val="0"/>
                <w:color w:val="000000" w:themeColor="text1"/>
                <w:sz w:val="21"/>
                <w:szCs w:val="21"/>
                <w:lang w:val="en-US" w:eastAsia="zh-CN"/>
              </w:rPr>
              <w:t>是一种无机化合物，化学式为Al</w:t>
            </w:r>
            <w:r>
              <w:rPr>
                <w:rFonts w:hint="eastAsia" w:ascii="Times New Roman" w:hAnsi="Times New Roman" w:cs="Times New Roman"/>
                <w:b w:val="0"/>
                <w:bCs w:val="0"/>
                <w:color w:val="000000" w:themeColor="text1"/>
                <w:sz w:val="21"/>
                <w:szCs w:val="21"/>
                <w:vertAlign w:val="subscript"/>
                <w:lang w:val="en-US" w:eastAsia="zh-CN"/>
              </w:rPr>
              <w:t>2</w:t>
            </w:r>
            <w:r>
              <w:rPr>
                <w:rFonts w:hint="eastAsia" w:ascii="Times New Roman" w:hAnsi="Times New Roman" w:cs="Times New Roman"/>
                <w:b w:val="0"/>
                <w:bCs w:val="0"/>
                <w:color w:val="000000" w:themeColor="text1"/>
                <w:sz w:val="21"/>
                <w:szCs w:val="21"/>
                <w:lang w:val="en-US" w:eastAsia="zh-CN"/>
              </w:rPr>
              <w:t>(SO</w:t>
            </w:r>
            <w:r>
              <w:rPr>
                <w:rFonts w:hint="eastAsia" w:ascii="Times New Roman" w:hAnsi="Times New Roman" w:cs="Times New Roman"/>
                <w:b w:val="0"/>
                <w:bCs w:val="0"/>
                <w:color w:val="000000" w:themeColor="text1"/>
                <w:sz w:val="21"/>
                <w:szCs w:val="21"/>
                <w:vertAlign w:val="subscript"/>
                <w:lang w:val="en-US" w:eastAsia="zh-CN"/>
              </w:rPr>
              <w:t>4</w:t>
            </w:r>
            <w:r>
              <w:rPr>
                <w:rFonts w:hint="eastAsia" w:ascii="Times New Roman" w:hAnsi="Times New Roman" w:cs="Times New Roman"/>
                <w:b w:val="0"/>
                <w:bCs w:val="0"/>
                <w:color w:val="000000" w:themeColor="text1"/>
                <w:sz w:val="21"/>
                <w:szCs w:val="21"/>
                <w:lang w:val="en-US" w:eastAsia="zh-CN"/>
              </w:rPr>
              <w:t>)</w:t>
            </w:r>
            <w:r>
              <w:rPr>
                <w:rFonts w:hint="eastAsia" w:ascii="Times New Roman" w:hAnsi="Times New Roman" w:cs="Times New Roman"/>
                <w:b w:val="0"/>
                <w:bCs w:val="0"/>
                <w:color w:val="000000" w:themeColor="text1"/>
                <w:sz w:val="21"/>
                <w:szCs w:val="21"/>
                <w:vertAlign w:val="subscript"/>
                <w:lang w:val="en-US" w:eastAsia="zh-CN"/>
              </w:rPr>
              <w:t>3</w:t>
            </w:r>
            <w:r>
              <w:rPr>
                <w:rFonts w:hint="eastAsia" w:ascii="Times New Roman" w:hAnsi="Times New Roman" w:cs="Times New Roman"/>
                <w:b w:val="0"/>
                <w:bCs w:val="0"/>
                <w:color w:val="000000" w:themeColor="text1"/>
                <w:sz w:val="21"/>
                <w:szCs w:val="21"/>
                <w:lang w:val="en-US" w:eastAsia="zh-CN"/>
              </w:rPr>
              <w:t>，分子量为342.15，为白色结晶性粉末。溶于水、不溶于乙醇。</w:t>
            </w:r>
          </w:p>
          <w:p w14:paraId="73283F42">
            <w:pPr>
              <w:pStyle w:val="23"/>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firstLine="422" w:firstLineChars="200"/>
              <w:textAlignment w:val="auto"/>
              <w:rPr>
                <w:rFonts w:hint="default" w:ascii="宋体" w:hAnsi="宋体" w:eastAsia="宋体" w:cs="宋体"/>
                <w:color w:val="000000" w:themeColor="text1"/>
                <w:sz w:val="21"/>
                <w:szCs w:val="21"/>
              </w:rPr>
            </w:pPr>
            <w:r>
              <w:rPr>
                <w:rFonts w:hint="eastAsia" w:hAnsi="宋体" w:eastAsia="宋体" w:cs="宋体"/>
                <w:b/>
                <w:bCs/>
                <w:color w:val="000000" w:themeColor="text1"/>
                <w:sz w:val="21"/>
                <w:szCs w:val="21"/>
                <w:lang w:eastAsia="zh-CN"/>
              </w:rPr>
              <w:t>（</w:t>
            </w:r>
            <w:r>
              <w:rPr>
                <w:rFonts w:hint="eastAsia" w:hAnsi="宋体" w:eastAsia="宋体" w:cs="宋体"/>
                <w:b/>
                <w:bCs/>
                <w:color w:val="000000" w:themeColor="text1"/>
                <w:sz w:val="21"/>
                <w:szCs w:val="21"/>
                <w:lang w:val="en-US" w:eastAsia="zh-CN"/>
              </w:rPr>
              <w:t>3</w:t>
            </w:r>
            <w:r>
              <w:rPr>
                <w:rFonts w:hint="eastAsia" w:hAnsi="宋体" w:eastAsia="宋体" w:cs="宋体"/>
                <w:b/>
                <w:bCs/>
                <w:color w:val="000000" w:themeColor="text1"/>
                <w:sz w:val="21"/>
                <w:szCs w:val="21"/>
                <w:lang w:eastAsia="zh-CN"/>
              </w:rPr>
              <w:t>）</w:t>
            </w:r>
            <w:r>
              <w:rPr>
                <w:rFonts w:hint="default" w:ascii="宋体" w:hAnsi="宋体" w:eastAsia="宋体" w:cs="宋体"/>
                <w:b/>
                <w:bCs/>
                <w:color w:val="000000" w:themeColor="text1"/>
                <w:sz w:val="21"/>
                <w:szCs w:val="21"/>
              </w:rPr>
              <w:t>石粉：</w:t>
            </w:r>
            <w:r>
              <w:rPr>
                <w:rFonts w:hint="default" w:ascii="宋体" w:hAnsi="宋体" w:eastAsia="宋体" w:cs="宋体"/>
                <w:color w:val="000000" w:themeColor="text1"/>
                <w:sz w:val="21"/>
                <w:szCs w:val="21"/>
              </w:rPr>
              <w:t>项目使用石粉为人工砂，主要成分碳酸钙，对蛋托的稳定性由很大作用，还能提升蛋托的硬度。</w:t>
            </w:r>
          </w:p>
          <w:p w14:paraId="67D41A7A">
            <w:pPr>
              <w:pStyle w:val="23"/>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firstLine="422" w:firstLineChars="200"/>
              <w:textAlignment w:val="auto"/>
              <w:rPr>
                <w:rFonts w:hint="eastAsia" w:hAnsi="宋体" w:eastAsia="宋体" w:cs="宋体"/>
                <w:color w:val="000000" w:themeColor="text1"/>
                <w:sz w:val="21"/>
                <w:szCs w:val="21"/>
                <w:lang w:eastAsia="zh-CN"/>
              </w:rPr>
            </w:pPr>
            <w:r>
              <w:rPr>
                <w:rFonts w:hint="eastAsia" w:hAnsi="宋体" w:eastAsia="宋体" w:cs="宋体"/>
                <w:b/>
                <w:bCs/>
                <w:color w:val="000000" w:themeColor="text1"/>
                <w:sz w:val="21"/>
                <w:szCs w:val="21"/>
                <w:lang w:eastAsia="zh-CN"/>
              </w:rPr>
              <w:t>（</w:t>
            </w:r>
            <w:r>
              <w:rPr>
                <w:rFonts w:hint="eastAsia" w:hAnsi="宋体" w:eastAsia="宋体" w:cs="宋体"/>
                <w:b/>
                <w:bCs/>
                <w:color w:val="000000" w:themeColor="text1"/>
                <w:sz w:val="21"/>
                <w:szCs w:val="21"/>
                <w:lang w:val="en-US" w:eastAsia="zh-CN"/>
              </w:rPr>
              <w:t>4</w:t>
            </w:r>
            <w:r>
              <w:rPr>
                <w:rFonts w:hint="eastAsia" w:hAnsi="宋体" w:eastAsia="宋体" w:cs="宋体"/>
                <w:b/>
                <w:bCs/>
                <w:color w:val="000000" w:themeColor="text1"/>
                <w:sz w:val="21"/>
                <w:szCs w:val="21"/>
                <w:lang w:eastAsia="zh-CN"/>
              </w:rPr>
              <w:t>）碱性嫩黄（染料）：</w:t>
            </w:r>
            <w:r>
              <w:rPr>
                <w:rFonts w:hint="eastAsia" w:hAnsi="宋体" w:eastAsia="宋体" w:cs="宋体"/>
                <w:color w:val="000000" w:themeColor="text1"/>
                <w:sz w:val="21"/>
                <w:szCs w:val="21"/>
                <w:lang w:eastAsia="zh-CN"/>
              </w:rPr>
              <w:t>根据客户要求进行添加，用于蛋托增色，主要为菜花黄，外观为淡黄色固体粉</w:t>
            </w:r>
            <w:r>
              <w:rPr>
                <w:rFonts w:hint="default" w:ascii="Times New Roman" w:hAnsi="Times New Roman" w:eastAsia="宋体" w:cs="Times New Roman"/>
                <w:color w:val="000000" w:themeColor="text1"/>
                <w:sz w:val="21"/>
                <w:szCs w:val="21"/>
                <w:lang w:eastAsia="zh-CN"/>
              </w:rPr>
              <w:t>末，密度：1.383g/cm</w:t>
            </w:r>
            <w:r>
              <w:rPr>
                <w:rFonts w:hint="default" w:ascii="Times New Roman" w:hAnsi="Times New Roman" w:eastAsia="宋体" w:cs="Times New Roman"/>
                <w:color w:val="000000" w:themeColor="text1"/>
                <w:sz w:val="21"/>
                <w:szCs w:val="21"/>
                <w:vertAlign w:val="superscript"/>
                <w:lang w:eastAsia="zh-CN"/>
              </w:rPr>
              <w:t>3</w:t>
            </w:r>
            <w:r>
              <w:rPr>
                <w:rFonts w:hint="default" w:ascii="Times New Roman" w:hAnsi="Times New Roman" w:eastAsia="宋体" w:cs="Times New Roman"/>
                <w:color w:val="000000" w:themeColor="text1"/>
                <w:sz w:val="21"/>
                <w:szCs w:val="21"/>
                <w:lang w:eastAsia="zh-CN"/>
              </w:rPr>
              <w:t>，折射率：1.44，</w:t>
            </w:r>
            <w:r>
              <w:rPr>
                <w:rFonts w:hint="eastAsia" w:hAnsi="宋体" w:eastAsia="宋体" w:cs="宋体"/>
                <w:color w:val="000000" w:themeColor="text1"/>
                <w:sz w:val="21"/>
                <w:szCs w:val="21"/>
                <w:lang w:eastAsia="zh-CN"/>
              </w:rPr>
              <w:t>溶于乙醇，微溶于冷水，难溶于乙醚可用于纸张、蛋托、佛香、草编制品等染色。</w:t>
            </w:r>
          </w:p>
          <w:p w14:paraId="4C1F2A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right="0" w:rightChars="0" w:firstLine="422" w:firstLineChars="200"/>
              <w:jc w:val="both"/>
              <w:textAlignment w:val="auto"/>
              <w:rPr>
                <w:rFonts w:hint="default" w:ascii="Times New Roman" w:hAnsi="Times New Roman" w:cs="Times New Roman"/>
                <w:color w:val="000000" w:themeColor="text1"/>
                <w:szCs w:val="21"/>
                <w:lang w:val="en-US"/>
              </w:rPr>
            </w:pPr>
            <w:r>
              <w:rPr>
                <w:rFonts w:hint="eastAsia" w:ascii="Times New Roman" w:hAnsi="宋体" w:eastAsia="宋体" w:cs="宋体"/>
                <w:b/>
                <w:bCs/>
                <w:color w:val="000000" w:themeColor="text1"/>
                <w:sz w:val="21"/>
                <w:szCs w:val="21"/>
                <w:lang w:eastAsia="zh-CN"/>
              </w:rPr>
              <w:t>（</w:t>
            </w:r>
            <w:r>
              <w:rPr>
                <w:rFonts w:hint="eastAsia" w:ascii="Times New Roman" w:hAnsi="宋体" w:eastAsia="宋体" w:cs="宋体"/>
                <w:b/>
                <w:bCs/>
                <w:color w:val="000000" w:themeColor="text1"/>
                <w:sz w:val="21"/>
                <w:szCs w:val="21"/>
                <w:lang w:val="en-US" w:eastAsia="zh-CN"/>
              </w:rPr>
              <w:t>5</w:t>
            </w:r>
            <w:r>
              <w:rPr>
                <w:rFonts w:hint="eastAsia" w:ascii="Times New Roman" w:hAnsi="宋体" w:eastAsia="宋体" w:cs="宋体"/>
                <w:b/>
                <w:bCs/>
                <w:color w:val="000000" w:themeColor="text1"/>
                <w:sz w:val="21"/>
                <w:szCs w:val="21"/>
                <w:lang w:eastAsia="zh-CN"/>
              </w:rPr>
              <w:t>）</w:t>
            </w:r>
            <w:r>
              <w:rPr>
                <w:rFonts w:hint="eastAsia" w:ascii="Times New Roman" w:hAnsi="宋体" w:eastAsia="宋体" w:cs="宋体"/>
                <w:b/>
                <w:bCs/>
                <w:color w:val="000000" w:themeColor="text1"/>
                <w:sz w:val="21"/>
                <w:szCs w:val="21"/>
                <w:lang w:val="en-US" w:eastAsia="zh-CN"/>
              </w:rPr>
              <w:t>生物质燃料：</w:t>
            </w:r>
            <w:r>
              <w:rPr>
                <w:rFonts w:hint="eastAsia" w:ascii="Times New Roman" w:hAnsi="Times New Roman" w:eastAsia="宋体" w:cs="宋体"/>
                <w:color w:val="000000" w:themeColor="text1"/>
                <w:kern w:val="2"/>
                <w:sz w:val="21"/>
                <w:szCs w:val="21"/>
                <w:lang w:val="en-US" w:eastAsia="zh-CN" w:bidi="ar"/>
              </w:rPr>
              <w:t>项目拟选用</w:t>
            </w:r>
            <w:r>
              <w:rPr>
                <w:rFonts w:hint="eastAsia" w:cs="宋体"/>
                <w:color w:val="00B050"/>
                <w:kern w:val="2"/>
                <w:sz w:val="21"/>
                <w:szCs w:val="21"/>
                <w:lang w:val="en-US" w:eastAsia="zh-CN" w:bidi="ar"/>
              </w:rPr>
              <w:t>建水县千原木业</w:t>
            </w:r>
            <w:r>
              <w:rPr>
                <w:rFonts w:hint="eastAsia" w:ascii="Times New Roman" w:hAnsi="Times New Roman" w:eastAsia="宋体" w:cs="宋体"/>
                <w:color w:val="00B050"/>
                <w:kern w:val="2"/>
                <w:sz w:val="21"/>
                <w:szCs w:val="21"/>
                <w:lang w:val="en-US" w:eastAsia="zh-CN" w:bidi="ar"/>
              </w:rPr>
              <w:t>有限公司</w:t>
            </w:r>
            <w:r>
              <w:rPr>
                <w:rFonts w:hint="eastAsia" w:ascii="Times New Roman" w:hAnsi="Times New Roman" w:eastAsia="宋体" w:cs="宋体"/>
                <w:color w:val="000000" w:themeColor="text1"/>
                <w:kern w:val="2"/>
                <w:sz w:val="21"/>
                <w:szCs w:val="21"/>
                <w:lang w:val="en-US" w:eastAsia="zh-CN" w:bidi="ar"/>
              </w:rPr>
              <w:t>生产的生物质燃料，该项目燃料为固体生物质燃料，采用编织袋包装，由运输车辆运至项目区生物质颗粒储存区，根据检验报告，燃料主要的参数指标如下表</w:t>
            </w:r>
            <w:r>
              <w:rPr>
                <w:rFonts w:hint="default" w:ascii="Times New Roman" w:hAnsi="Times New Roman" w:eastAsia="宋体" w:cs="Times New Roman"/>
                <w:color w:val="000000" w:themeColor="text1"/>
                <w:kern w:val="2"/>
                <w:sz w:val="21"/>
                <w:szCs w:val="21"/>
                <w:lang w:val="en-US" w:eastAsia="zh-CN" w:bidi="ar"/>
              </w:rPr>
              <w:t>:</w:t>
            </w:r>
          </w:p>
          <w:p w14:paraId="6675BC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宋体"/>
                <w:b/>
                <w:bCs/>
                <w:color w:val="000000" w:themeColor="text1"/>
                <w:kern w:val="2"/>
                <w:sz w:val="21"/>
                <w:szCs w:val="21"/>
                <w:lang w:val="en-US" w:eastAsia="zh-CN" w:bidi="ar"/>
              </w:rPr>
            </w:pPr>
          </w:p>
          <w:p w14:paraId="4AB7D0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szCs w:val="21"/>
                <w:lang w:val="en-US"/>
              </w:rPr>
            </w:pPr>
            <w:r>
              <w:rPr>
                <w:rFonts w:hint="eastAsia" w:ascii="Times New Roman" w:hAnsi="Times New Roman" w:eastAsia="宋体" w:cs="宋体"/>
                <w:b/>
                <w:bCs/>
                <w:color w:val="000000" w:themeColor="text1"/>
                <w:kern w:val="2"/>
                <w:sz w:val="21"/>
                <w:szCs w:val="21"/>
                <w:lang w:val="en-US" w:eastAsia="zh-CN" w:bidi="ar"/>
              </w:rPr>
              <w:t>表</w:t>
            </w:r>
            <w:r>
              <w:rPr>
                <w:rFonts w:hint="default" w:ascii="Times New Roman" w:hAnsi="Times New Roman" w:eastAsia="宋体" w:cs="Times New Roman"/>
                <w:b/>
                <w:bCs/>
                <w:color w:val="000000" w:themeColor="text1"/>
                <w:kern w:val="2"/>
                <w:sz w:val="21"/>
                <w:szCs w:val="21"/>
                <w:lang w:val="en-US" w:eastAsia="zh-CN" w:bidi="ar"/>
              </w:rPr>
              <w:t>2-</w:t>
            </w:r>
            <w:r>
              <w:rPr>
                <w:rFonts w:hint="eastAsia" w:ascii="Times New Roman" w:hAnsi="Times New Roman" w:eastAsia="宋体" w:cs="Times New Roman"/>
                <w:b/>
                <w:bCs/>
                <w:color w:val="000000" w:themeColor="text1"/>
                <w:kern w:val="2"/>
                <w:sz w:val="21"/>
                <w:szCs w:val="21"/>
                <w:lang w:val="en-US" w:eastAsia="zh-CN" w:bidi="ar"/>
              </w:rPr>
              <w:t>5</w:t>
            </w:r>
            <w:r>
              <w:rPr>
                <w:rFonts w:hint="default" w:ascii="Times New Roman" w:hAnsi="Times New Roman" w:eastAsia="宋体" w:cs="Times New Roman"/>
                <w:b/>
                <w:bCs/>
                <w:color w:val="000000" w:themeColor="text1"/>
                <w:kern w:val="2"/>
                <w:sz w:val="21"/>
                <w:szCs w:val="21"/>
                <w:lang w:val="en-US" w:eastAsia="zh-CN" w:bidi="ar"/>
              </w:rPr>
              <w:t xml:space="preserve">  </w:t>
            </w:r>
            <w:r>
              <w:rPr>
                <w:rFonts w:hint="eastAsia" w:ascii="Times New Roman" w:hAnsi="Times New Roman" w:eastAsia="宋体" w:cs="宋体"/>
                <w:b/>
                <w:bCs/>
                <w:color w:val="000000" w:themeColor="text1"/>
                <w:kern w:val="2"/>
                <w:sz w:val="21"/>
                <w:szCs w:val="21"/>
                <w:lang w:val="en-US" w:eastAsia="zh-CN" w:bidi="ar"/>
              </w:rPr>
              <w:t>生物质燃料参数指标</w:t>
            </w:r>
          </w:p>
          <w:tbl>
            <w:tblPr>
              <w:tblStyle w:val="44"/>
              <w:tblW w:w="80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887"/>
              <w:gridCol w:w="1175"/>
              <w:gridCol w:w="1063"/>
              <w:gridCol w:w="1800"/>
              <w:gridCol w:w="1012"/>
              <w:gridCol w:w="1007"/>
            </w:tblGrid>
            <w:tr w14:paraId="4BD15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711" w:type="pct"/>
                  <w:noWrap w:val="0"/>
                  <w:vAlign w:val="center"/>
                </w:tcPr>
                <w:p w14:paraId="27648D6A">
                  <w:pPr>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00B050"/>
                      <w:kern w:val="0"/>
                      <w:sz w:val="21"/>
                      <w:szCs w:val="21"/>
                      <w:lang w:val="en-US" w:eastAsia="zh-CN" w:bidi="ar"/>
                    </w:rPr>
                  </w:pPr>
                  <w:r>
                    <w:rPr>
                      <w:rFonts w:hint="default" w:ascii="Times New Roman" w:hAnsi="Times New Roman" w:eastAsia="宋体" w:cs="宋体"/>
                      <w:color w:val="00B050"/>
                      <w:kern w:val="0"/>
                      <w:sz w:val="21"/>
                      <w:szCs w:val="21"/>
                      <w:lang w:val="en-US" w:eastAsia="zh-CN" w:bidi="ar"/>
                    </w:rPr>
                    <w:t>检测项目</w:t>
                  </w:r>
                </w:p>
              </w:tc>
              <w:tc>
                <w:tcPr>
                  <w:tcW w:w="547" w:type="pct"/>
                  <w:noWrap w:val="0"/>
                  <w:vAlign w:val="center"/>
                </w:tcPr>
                <w:p w14:paraId="680E5608">
                  <w:pPr>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00B050"/>
                      <w:kern w:val="0"/>
                      <w:sz w:val="21"/>
                      <w:szCs w:val="21"/>
                      <w:lang w:val="en-US" w:eastAsia="zh-CN" w:bidi="ar"/>
                    </w:rPr>
                  </w:pPr>
                  <w:r>
                    <w:rPr>
                      <w:rFonts w:hint="default" w:ascii="Times New Roman" w:hAnsi="Times New Roman" w:eastAsia="宋体" w:cs="宋体"/>
                      <w:color w:val="00B050"/>
                      <w:kern w:val="0"/>
                      <w:sz w:val="21"/>
                      <w:szCs w:val="21"/>
                      <w:lang w:val="en-US" w:eastAsia="zh-CN" w:bidi="ar"/>
                    </w:rPr>
                    <w:t>全水Mt%</w:t>
                  </w:r>
                </w:p>
              </w:tc>
              <w:tc>
                <w:tcPr>
                  <w:tcW w:w="725" w:type="pct"/>
                  <w:noWrap w:val="0"/>
                  <w:vAlign w:val="center"/>
                </w:tcPr>
                <w:p w14:paraId="22A07739">
                  <w:pPr>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00B050"/>
                      <w:kern w:val="0"/>
                      <w:sz w:val="21"/>
                      <w:szCs w:val="21"/>
                      <w:lang w:val="en-US" w:eastAsia="zh-CN" w:bidi="ar"/>
                    </w:rPr>
                  </w:pPr>
                  <w:r>
                    <w:rPr>
                      <w:rFonts w:hint="default" w:ascii="Times New Roman" w:hAnsi="Times New Roman" w:eastAsia="宋体" w:cs="宋体"/>
                      <w:color w:val="00B050"/>
                      <w:kern w:val="0"/>
                      <w:sz w:val="21"/>
                      <w:szCs w:val="21"/>
                      <w:lang w:val="en-US" w:eastAsia="zh-CN" w:bidi="ar"/>
                    </w:rPr>
                    <w:t>分析水分Mad%</w:t>
                  </w:r>
                </w:p>
              </w:tc>
              <w:tc>
                <w:tcPr>
                  <w:tcW w:w="656" w:type="pct"/>
                  <w:noWrap w:val="0"/>
                  <w:vAlign w:val="center"/>
                </w:tcPr>
                <w:p w14:paraId="3710DDA7">
                  <w:pPr>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00B050"/>
                      <w:kern w:val="0"/>
                      <w:sz w:val="21"/>
                      <w:szCs w:val="21"/>
                      <w:lang w:val="en-US" w:eastAsia="zh-CN" w:bidi="ar"/>
                    </w:rPr>
                  </w:pPr>
                  <w:r>
                    <w:rPr>
                      <w:rFonts w:hint="default" w:ascii="Times New Roman" w:hAnsi="Times New Roman" w:eastAsia="宋体" w:cs="宋体"/>
                      <w:color w:val="00B050"/>
                      <w:kern w:val="0"/>
                      <w:sz w:val="21"/>
                      <w:szCs w:val="21"/>
                      <w:lang w:val="en-US" w:eastAsia="zh-CN" w:bidi="ar"/>
                    </w:rPr>
                    <w:t>空干基灰分Aad%</w:t>
                  </w:r>
                </w:p>
              </w:tc>
              <w:tc>
                <w:tcPr>
                  <w:tcW w:w="1111" w:type="pct"/>
                  <w:noWrap w:val="0"/>
                  <w:vAlign w:val="center"/>
                </w:tcPr>
                <w:p w14:paraId="6A234DD7">
                  <w:pPr>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00B050"/>
                      <w:kern w:val="0"/>
                      <w:sz w:val="21"/>
                      <w:szCs w:val="21"/>
                      <w:lang w:val="en-US" w:eastAsia="zh-CN" w:bidi="ar"/>
                    </w:rPr>
                  </w:pPr>
                  <w:r>
                    <w:rPr>
                      <w:rFonts w:hint="default" w:ascii="Times New Roman" w:hAnsi="Times New Roman" w:eastAsia="宋体" w:cs="宋体"/>
                      <w:color w:val="00B050"/>
                      <w:kern w:val="0"/>
                      <w:sz w:val="21"/>
                      <w:szCs w:val="21"/>
                      <w:lang w:val="en-US" w:eastAsia="zh-CN" w:bidi="ar"/>
                    </w:rPr>
                    <w:t>干基灰分Ad%</w:t>
                  </w:r>
                </w:p>
              </w:tc>
              <w:tc>
                <w:tcPr>
                  <w:tcW w:w="625" w:type="pct"/>
                  <w:noWrap w:val="0"/>
                  <w:vAlign w:val="center"/>
                </w:tcPr>
                <w:p w14:paraId="3146467C">
                  <w:pPr>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00B050"/>
                      <w:kern w:val="0"/>
                      <w:sz w:val="21"/>
                      <w:szCs w:val="21"/>
                      <w:lang w:val="en-US" w:eastAsia="zh-CN" w:bidi="ar"/>
                    </w:rPr>
                  </w:pPr>
                  <w:r>
                    <w:rPr>
                      <w:rFonts w:hint="default" w:ascii="Times New Roman" w:hAnsi="Times New Roman" w:eastAsia="宋体" w:cs="宋体"/>
                      <w:color w:val="00B050"/>
                      <w:kern w:val="0"/>
                      <w:sz w:val="21"/>
                      <w:szCs w:val="21"/>
                      <w:lang w:val="en-US" w:eastAsia="zh-CN" w:bidi="ar"/>
                    </w:rPr>
                    <w:t>空干基挥发分Vad%</w:t>
                  </w:r>
                </w:p>
              </w:tc>
              <w:tc>
                <w:tcPr>
                  <w:tcW w:w="621" w:type="pct"/>
                  <w:noWrap w:val="0"/>
                  <w:vAlign w:val="center"/>
                </w:tcPr>
                <w:p w14:paraId="0A832E70">
                  <w:pPr>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00B050"/>
                      <w:kern w:val="0"/>
                      <w:sz w:val="21"/>
                      <w:szCs w:val="21"/>
                      <w:lang w:val="en-US" w:eastAsia="zh-CN" w:bidi="ar"/>
                    </w:rPr>
                  </w:pPr>
                  <w:r>
                    <w:rPr>
                      <w:rFonts w:hint="default" w:ascii="Times New Roman" w:hAnsi="Times New Roman" w:eastAsia="宋体" w:cs="宋体"/>
                      <w:color w:val="00B050"/>
                      <w:kern w:val="0"/>
                      <w:sz w:val="21"/>
                      <w:szCs w:val="21"/>
                      <w:lang w:val="en-US" w:eastAsia="zh-CN" w:bidi="ar"/>
                    </w:rPr>
                    <w:t>干基挥发分Vd%</w:t>
                  </w:r>
                </w:p>
              </w:tc>
            </w:tr>
            <w:tr w14:paraId="32A1F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11" w:type="pct"/>
                  <w:noWrap w:val="0"/>
                  <w:vAlign w:val="center"/>
                </w:tcPr>
                <w:p w14:paraId="0271BF40">
                  <w:pPr>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00B050"/>
                      <w:kern w:val="0"/>
                      <w:sz w:val="21"/>
                      <w:szCs w:val="21"/>
                      <w:lang w:val="en-US" w:eastAsia="zh-CN" w:bidi="ar"/>
                    </w:rPr>
                  </w:pPr>
                  <w:r>
                    <w:rPr>
                      <w:rFonts w:hint="default" w:ascii="Times New Roman" w:hAnsi="Times New Roman" w:eastAsia="宋体" w:cs="宋体"/>
                      <w:color w:val="00B050"/>
                      <w:kern w:val="0"/>
                      <w:sz w:val="21"/>
                      <w:szCs w:val="21"/>
                      <w:lang w:val="en-US" w:eastAsia="zh-CN" w:bidi="ar"/>
                    </w:rPr>
                    <w:t>检测结果</w:t>
                  </w:r>
                </w:p>
              </w:tc>
              <w:tc>
                <w:tcPr>
                  <w:tcW w:w="547" w:type="pct"/>
                  <w:noWrap w:val="0"/>
                  <w:vAlign w:val="center"/>
                </w:tcPr>
                <w:p w14:paraId="09AB5741">
                  <w:pPr>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00B050"/>
                      <w:kern w:val="0"/>
                      <w:sz w:val="21"/>
                      <w:szCs w:val="21"/>
                      <w:lang w:val="en-US" w:eastAsia="zh-CN" w:bidi="ar"/>
                    </w:rPr>
                  </w:pPr>
                  <w:r>
                    <w:rPr>
                      <w:rFonts w:hint="default" w:ascii="Times New Roman" w:hAnsi="Times New Roman" w:eastAsia="宋体" w:cs="宋体"/>
                      <w:color w:val="00B050"/>
                      <w:kern w:val="0"/>
                      <w:sz w:val="21"/>
                      <w:szCs w:val="21"/>
                      <w:lang w:val="en-US" w:eastAsia="zh-CN" w:bidi="ar"/>
                    </w:rPr>
                    <w:t>6.0</w:t>
                  </w:r>
                </w:p>
              </w:tc>
              <w:tc>
                <w:tcPr>
                  <w:tcW w:w="725" w:type="pct"/>
                  <w:noWrap w:val="0"/>
                  <w:vAlign w:val="center"/>
                </w:tcPr>
                <w:p w14:paraId="4C3CA59D">
                  <w:pPr>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00B050"/>
                      <w:kern w:val="0"/>
                      <w:sz w:val="21"/>
                      <w:szCs w:val="21"/>
                      <w:lang w:val="en-US" w:eastAsia="zh-CN" w:bidi="ar"/>
                    </w:rPr>
                  </w:pPr>
                  <w:r>
                    <w:rPr>
                      <w:rFonts w:hint="default" w:ascii="Times New Roman" w:hAnsi="Times New Roman" w:eastAsia="宋体" w:cs="宋体"/>
                      <w:color w:val="00B050"/>
                      <w:kern w:val="0"/>
                      <w:sz w:val="21"/>
                      <w:szCs w:val="21"/>
                      <w:lang w:val="en-US" w:eastAsia="zh-CN" w:bidi="ar"/>
                    </w:rPr>
                    <w:t>3.34</w:t>
                  </w:r>
                </w:p>
              </w:tc>
              <w:tc>
                <w:tcPr>
                  <w:tcW w:w="656" w:type="pct"/>
                  <w:noWrap w:val="0"/>
                  <w:vAlign w:val="center"/>
                </w:tcPr>
                <w:p w14:paraId="25980210">
                  <w:pPr>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00B050"/>
                      <w:kern w:val="0"/>
                      <w:sz w:val="21"/>
                      <w:szCs w:val="21"/>
                      <w:lang w:val="en-US" w:eastAsia="zh-CN" w:bidi="ar"/>
                    </w:rPr>
                  </w:pPr>
                  <w:r>
                    <w:rPr>
                      <w:rFonts w:hint="default" w:ascii="Times New Roman" w:hAnsi="Times New Roman" w:eastAsia="宋体" w:cs="宋体"/>
                      <w:color w:val="00B050"/>
                      <w:kern w:val="0"/>
                      <w:sz w:val="21"/>
                      <w:szCs w:val="21"/>
                      <w:lang w:val="en-US" w:eastAsia="zh-CN" w:bidi="ar"/>
                    </w:rPr>
                    <w:t>2.98</w:t>
                  </w:r>
                </w:p>
              </w:tc>
              <w:tc>
                <w:tcPr>
                  <w:tcW w:w="1111" w:type="pct"/>
                  <w:noWrap w:val="0"/>
                  <w:vAlign w:val="center"/>
                </w:tcPr>
                <w:p w14:paraId="7EA02A7B">
                  <w:pPr>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00B050"/>
                      <w:kern w:val="0"/>
                      <w:sz w:val="21"/>
                      <w:szCs w:val="21"/>
                      <w:lang w:val="en-US" w:eastAsia="zh-CN" w:bidi="ar"/>
                    </w:rPr>
                  </w:pPr>
                  <w:r>
                    <w:rPr>
                      <w:rFonts w:hint="default" w:ascii="Times New Roman" w:hAnsi="Times New Roman" w:eastAsia="宋体" w:cs="宋体"/>
                      <w:color w:val="00B050"/>
                      <w:kern w:val="0"/>
                      <w:sz w:val="21"/>
                      <w:szCs w:val="21"/>
                      <w:lang w:val="en-US" w:eastAsia="zh-CN" w:bidi="ar"/>
                    </w:rPr>
                    <w:t>3.08</w:t>
                  </w:r>
                </w:p>
              </w:tc>
              <w:tc>
                <w:tcPr>
                  <w:tcW w:w="625" w:type="pct"/>
                  <w:noWrap w:val="0"/>
                  <w:vAlign w:val="center"/>
                </w:tcPr>
                <w:p w14:paraId="5CBBCD51">
                  <w:pPr>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00B050"/>
                      <w:kern w:val="0"/>
                      <w:sz w:val="21"/>
                      <w:szCs w:val="21"/>
                      <w:lang w:val="en-US" w:eastAsia="zh-CN" w:bidi="ar"/>
                    </w:rPr>
                  </w:pPr>
                  <w:r>
                    <w:rPr>
                      <w:rFonts w:hint="default" w:ascii="Times New Roman" w:hAnsi="Times New Roman" w:eastAsia="宋体" w:cs="宋体"/>
                      <w:color w:val="00B050"/>
                      <w:kern w:val="0"/>
                      <w:sz w:val="21"/>
                      <w:szCs w:val="21"/>
                      <w:lang w:val="en-US" w:eastAsia="zh-CN" w:bidi="ar"/>
                    </w:rPr>
                    <w:t>74.47</w:t>
                  </w:r>
                </w:p>
              </w:tc>
              <w:tc>
                <w:tcPr>
                  <w:tcW w:w="621" w:type="pct"/>
                  <w:noWrap w:val="0"/>
                  <w:vAlign w:val="center"/>
                </w:tcPr>
                <w:p w14:paraId="548425B9">
                  <w:pPr>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00B050"/>
                      <w:kern w:val="0"/>
                      <w:sz w:val="21"/>
                      <w:szCs w:val="21"/>
                      <w:lang w:val="en-US" w:eastAsia="zh-CN" w:bidi="ar"/>
                    </w:rPr>
                  </w:pPr>
                  <w:r>
                    <w:rPr>
                      <w:rFonts w:hint="default" w:ascii="Times New Roman" w:hAnsi="Times New Roman" w:eastAsia="宋体" w:cs="宋体"/>
                      <w:color w:val="00B050"/>
                      <w:kern w:val="0"/>
                      <w:sz w:val="21"/>
                      <w:szCs w:val="21"/>
                      <w:lang w:val="en-US" w:eastAsia="zh-CN" w:bidi="ar"/>
                    </w:rPr>
                    <w:t>77.04</w:t>
                  </w:r>
                </w:p>
              </w:tc>
            </w:tr>
            <w:tr w14:paraId="72D4A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711" w:type="pct"/>
                  <w:noWrap w:val="0"/>
                  <w:vAlign w:val="center"/>
                </w:tcPr>
                <w:p w14:paraId="3E69E843">
                  <w:pPr>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00B050"/>
                      <w:kern w:val="0"/>
                      <w:sz w:val="21"/>
                      <w:szCs w:val="21"/>
                      <w:lang w:val="en-US" w:eastAsia="zh-CN" w:bidi="ar"/>
                    </w:rPr>
                  </w:pPr>
                  <w:r>
                    <w:rPr>
                      <w:rFonts w:hint="default" w:ascii="Times New Roman" w:hAnsi="Times New Roman" w:eastAsia="宋体" w:cs="宋体"/>
                      <w:color w:val="00B050"/>
                      <w:kern w:val="0"/>
                      <w:sz w:val="21"/>
                      <w:szCs w:val="21"/>
                      <w:lang w:val="en-US" w:eastAsia="zh-CN" w:bidi="ar"/>
                    </w:rPr>
                    <w:t>检测项目</w:t>
                  </w:r>
                </w:p>
              </w:tc>
              <w:tc>
                <w:tcPr>
                  <w:tcW w:w="547" w:type="pct"/>
                  <w:noWrap w:val="0"/>
                  <w:vAlign w:val="center"/>
                </w:tcPr>
                <w:p w14:paraId="5F011CA2">
                  <w:pPr>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00B050"/>
                      <w:kern w:val="0"/>
                      <w:sz w:val="21"/>
                      <w:szCs w:val="21"/>
                      <w:lang w:val="en-US" w:eastAsia="zh-CN" w:bidi="ar"/>
                    </w:rPr>
                  </w:pPr>
                  <w:r>
                    <w:rPr>
                      <w:rFonts w:hint="default" w:ascii="Times New Roman" w:hAnsi="Times New Roman" w:eastAsia="宋体" w:cs="宋体"/>
                      <w:color w:val="00B050"/>
                      <w:kern w:val="0"/>
                      <w:sz w:val="21"/>
                      <w:szCs w:val="21"/>
                      <w:lang w:val="en-US" w:eastAsia="zh-CN" w:bidi="ar"/>
                    </w:rPr>
                    <w:t>焦渣特征（1~8）</w:t>
                  </w:r>
                </w:p>
              </w:tc>
              <w:tc>
                <w:tcPr>
                  <w:tcW w:w="725" w:type="pct"/>
                  <w:noWrap w:val="0"/>
                  <w:vAlign w:val="center"/>
                </w:tcPr>
                <w:p w14:paraId="72C0172F">
                  <w:pPr>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00B050"/>
                      <w:kern w:val="0"/>
                      <w:sz w:val="21"/>
                      <w:szCs w:val="21"/>
                      <w:lang w:val="en-US" w:eastAsia="zh-CN" w:bidi="ar"/>
                    </w:rPr>
                  </w:pPr>
                  <w:r>
                    <w:rPr>
                      <w:rFonts w:hint="default" w:ascii="Times New Roman" w:hAnsi="Times New Roman" w:eastAsia="宋体" w:cs="宋体"/>
                      <w:color w:val="00B050"/>
                      <w:kern w:val="0"/>
                      <w:sz w:val="21"/>
                      <w:szCs w:val="21"/>
                      <w:lang w:val="en-US" w:eastAsia="zh-CN" w:bidi="ar"/>
                    </w:rPr>
                    <w:t>空干基固定碳FCad%</w:t>
                  </w:r>
                </w:p>
              </w:tc>
              <w:tc>
                <w:tcPr>
                  <w:tcW w:w="656" w:type="pct"/>
                  <w:noWrap w:val="0"/>
                  <w:vAlign w:val="center"/>
                </w:tcPr>
                <w:p w14:paraId="1D042503">
                  <w:pPr>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00B050"/>
                      <w:kern w:val="0"/>
                      <w:sz w:val="21"/>
                      <w:szCs w:val="21"/>
                      <w:lang w:val="en-US" w:eastAsia="zh-CN" w:bidi="ar"/>
                    </w:rPr>
                  </w:pPr>
                  <w:r>
                    <w:rPr>
                      <w:rFonts w:hint="default" w:ascii="Times New Roman" w:hAnsi="Times New Roman" w:eastAsia="宋体" w:cs="宋体"/>
                      <w:color w:val="00B050"/>
                      <w:kern w:val="0"/>
                      <w:sz w:val="21"/>
                      <w:szCs w:val="21"/>
                      <w:lang w:val="en-US" w:eastAsia="zh-CN" w:bidi="ar"/>
                    </w:rPr>
                    <w:t>干基全硫St,d%</w:t>
                  </w:r>
                </w:p>
              </w:tc>
              <w:tc>
                <w:tcPr>
                  <w:tcW w:w="1111" w:type="pct"/>
                  <w:noWrap w:val="0"/>
                  <w:vAlign w:val="center"/>
                </w:tcPr>
                <w:p w14:paraId="682158E8">
                  <w:pPr>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00B050"/>
                      <w:kern w:val="0"/>
                      <w:sz w:val="21"/>
                      <w:szCs w:val="21"/>
                      <w:lang w:val="en-US" w:eastAsia="zh-CN" w:bidi="ar"/>
                    </w:rPr>
                  </w:pPr>
                  <w:r>
                    <w:rPr>
                      <w:rFonts w:hint="default" w:ascii="Times New Roman" w:hAnsi="Times New Roman" w:eastAsia="宋体" w:cs="宋体"/>
                      <w:color w:val="00B050"/>
                      <w:kern w:val="0"/>
                      <w:sz w:val="21"/>
                      <w:szCs w:val="21"/>
                      <w:lang w:val="en-US" w:eastAsia="zh-CN" w:bidi="ar"/>
                    </w:rPr>
                    <w:t>收到基恒荣低位发热量Qnet,v,arMJ/Kg</w:t>
                  </w:r>
                </w:p>
              </w:tc>
              <w:tc>
                <w:tcPr>
                  <w:tcW w:w="625" w:type="pct"/>
                  <w:noWrap w:val="0"/>
                  <w:vAlign w:val="center"/>
                </w:tcPr>
                <w:p w14:paraId="6DE037EF">
                  <w:pPr>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00B050"/>
                      <w:kern w:val="0"/>
                      <w:sz w:val="21"/>
                      <w:szCs w:val="21"/>
                      <w:lang w:val="en-US" w:eastAsia="zh-CN" w:bidi="ar"/>
                    </w:rPr>
                  </w:pPr>
                  <w:r>
                    <w:rPr>
                      <w:rFonts w:hint="default" w:ascii="Times New Roman" w:hAnsi="Times New Roman" w:eastAsia="宋体" w:cs="宋体"/>
                      <w:color w:val="00B050"/>
                      <w:kern w:val="0"/>
                      <w:sz w:val="21"/>
                      <w:szCs w:val="21"/>
                      <w:lang w:val="en-US" w:eastAsia="zh-CN" w:bidi="ar"/>
                    </w:rPr>
                    <w:t>空干基氢Had%</w:t>
                  </w:r>
                </w:p>
              </w:tc>
              <w:tc>
                <w:tcPr>
                  <w:tcW w:w="621" w:type="pct"/>
                  <w:noWrap w:val="0"/>
                  <w:vAlign w:val="center"/>
                </w:tcPr>
                <w:p w14:paraId="7C49E6B1">
                  <w:pPr>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00B050"/>
                      <w:kern w:val="0"/>
                      <w:sz w:val="21"/>
                      <w:szCs w:val="21"/>
                      <w:lang w:val="en-US" w:eastAsia="zh-CN" w:bidi="ar"/>
                    </w:rPr>
                  </w:pPr>
                  <w:r>
                    <w:rPr>
                      <w:rFonts w:hint="eastAsia" w:ascii="Times New Roman" w:hAnsi="Times New Roman" w:eastAsia="宋体" w:cs="宋体"/>
                      <w:color w:val="00B050"/>
                      <w:kern w:val="0"/>
                      <w:sz w:val="21"/>
                      <w:szCs w:val="21"/>
                      <w:lang w:val="en-US" w:eastAsia="zh-CN" w:bidi="ar"/>
                    </w:rPr>
                    <w:t>/</w:t>
                  </w:r>
                </w:p>
              </w:tc>
            </w:tr>
            <w:tr w14:paraId="20EE0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11" w:type="pct"/>
                  <w:noWrap w:val="0"/>
                  <w:vAlign w:val="center"/>
                </w:tcPr>
                <w:p w14:paraId="1A5B78A4">
                  <w:pPr>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00B050"/>
                      <w:kern w:val="0"/>
                      <w:sz w:val="21"/>
                      <w:szCs w:val="21"/>
                      <w:lang w:val="en-US" w:eastAsia="zh-CN" w:bidi="ar"/>
                    </w:rPr>
                  </w:pPr>
                  <w:r>
                    <w:rPr>
                      <w:rFonts w:hint="default" w:ascii="Times New Roman" w:hAnsi="Times New Roman" w:eastAsia="宋体" w:cs="宋体"/>
                      <w:color w:val="00B050"/>
                      <w:kern w:val="0"/>
                      <w:sz w:val="21"/>
                      <w:szCs w:val="21"/>
                      <w:lang w:val="en-US" w:eastAsia="zh-CN" w:bidi="ar"/>
                    </w:rPr>
                    <w:t>检测结果</w:t>
                  </w:r>
                </w:p>
              </w:tc>
              <w:tc>
                <w:tcPr>
                  <w:tcW w:w="547" w:type="pct"/>
                  <w:noWrap w:val="0"/>
                  <w:vAlign w:val="center"/>
                </w:tcPr>
                <w:p w14:paraId="4228626C">
                  <w:pPr>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00B050"/>
                      <w:kern w:val="0"/>
                      <w:sz w:val="21"/>
                      <w:szCs w:val="21"/>
                      <w:lang w:val="en-US" w:eastAsia="zh-CN" w:bidi="ar"/>
                    </w:rPr>
                  </w:pPr>
                  <w:r>
                    <w:rPr>
                      <w:rFonts w:hint="default" w:ascii="Times New Roman" w:hAnsi="Times New Roman" w:eastAsia="宋体" w:cs="宋体"/>
                      <w:color w:val="00B050"/>
                      <w:kern w:val="0"/>
                      <w:sz w:val="21"/>
                      <w:szCs w:val="21"/>
                      <w:lang w:val="en-US" w:eastAsia="zh-CN" w:bidi="ar"/>
                    </w:rPr>
                    <w:t>3</w:t>
                  </w:r>
                </w:p>
              </w:tc>
              <w:tc>
                <w:tcPr>
                  <w:tcW w:w="725" w:type="pct"/>
                  <w:noWrap w:val="0"/>
                  <w:vAlign w:val="center"/>
                </w:tcPr>
                <w:p w14:paraId="6A15A8E0">
                  <w:pPr>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00B050"/>
                      <w:kern w:val="0"/>
                      <w:sz w:val="21"/>
                      <w:szCs w:val="21"/>
                      <w:lang w:val="en-US" w:eastAsia="zh-CN" w:bidi="ar"/>
                    </w:rPr>
                  </w:pPr>
                  <w:r>
                    <w:rPr>
                      <w:rFonts w:hint="default" w:ascii="Times New Roman" w:hAnsi="Times New Roman" w:eastAsia="宋体" w:cs="宋体"/>
                      <w:color w:val="00B050"/>
                      <w:kern w:val="0"/>
                      <w:sz w:val="21"/>
                      <w:szCs w:val="21"/>
                      <w:lang w:val="en-US" w:eastAsia="zh-CN" w:bidi="ar"/>
                    </w:rPr>
                    <w:t>19.21</w:t>
                  </w:r>
                </w:p>
              </w:tc>
              <w:tc>
                <w:tcPr>
                  <w:tcW w:w="656" w:type="pct"/>
                  <w:noWrap w:val="0"/>
                  <w:vAlign w:val="center"/>
                </w:tcPr>
                <w:p w14:paraId="31314C6C">
                  <w:pPr>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00B050"/>
                      <w:kern w:val="0"/>
                      <w:sz w:val="21"/>
                      <w:szCs w:val="21"/>
                      <w:lang w:val="en-US" w:eastAsia="zh-CN" w:bidi="ar"/>
                    </w:rPr>
                  </w:pPr>
                  <w:r>
                    <w:rPr>
                      <w:rFonts w:hint="default" w:ascii="Times New Roman" w:hAnsi="Times New Roman" w:eastAsia="宋体" w:cs="宋体"/>
                      <w:color w:val="00B050"/>
                      <w:kern w:val="0"/>
                      <w:sz w:val="21"/>
                      <w:szCs w:val="21"/>
                      <w:lang w:val="en-US" w:eastAsia="zh-CN" w:bidi="ar"/>
                    </w:rPr>
                    <w:t>0.02</w:t>
                  </w:r>
                </w:p>
              </w:tc>
              <w:tc>
                <w:tcPr>
                  <w:tcW w:w="1111" w:type="pct"/>
                  <w:noWrap w:val="0"/>
                  <w:vAlign w:val="center"/>
                </w:tcPr>
                <w:p w14:paraId="275BEF87">
                  <w:pPr>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00B050"/>
                      <w:kern w:val="0"/>
                      <w:sz w:val="21"/>
                      <w:szCs w:val="21"/>
                      <w:lang w:val="en-US" w:eastAsia="zh-CN" w:bidi="ar"/>
                    </w:rPr>
                  </w:pPr>
                  <w:r>
                    <w:rPr>
                      <w:rFonts w:hint="default" w:ascii="Times New Roman" w:hAnsi="Times New Roman" w:eastAsia="宋体" w:cs="宋体"/>
                      <w:color w:val="00B050"/>
                      <w:kern w:val="0"/>
                      <w:sz w:val="21"/>
                      <w:szCs w:val="21"/>
                      <w:lang w:val="en-US" w:eastAsia="zh-CN" w:bidi="ar"/>
                    </w:rPr>
                    <w:t>17.40</w:t>
                  </w:r>
                </w:p>
              </w:tc>
              <w:tc>
                <w:tcPr>
                  <w:tcW w:w="625" w:type="pct"/>
                  <w:noWrap w:val="0"/>
                  <w:vAlign w:val="center"/>
                </w:tcPr>
                <w:p w14:paraId="40A57D4B">
                  <w:pPr>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00B050"/>
                      <w:kern w:val="0"/>
                      <w:sz w:val="21"/>
                      <w:szCs w:val="21"/>
                      <w:lang w:val="en-US" w:eastAsia="zh-CN" w:bidi="ar"/>
                    </w:rPr>
                  </w:pPr>
                  <w:r>
                    <w:rPr>
                      <w:rFonts w:hint="default" w:ascii="Times New Roman" w:hAnsi="Times New Roman" w:eastAsia="宋体" w:cs="宋体"/>
                      <w:color w:val="00B050"/>
                      <w:kern w:val="0"/>
                      <w:sz w:val="21"/>
                      <w:szCs w:val="21"/>
                      <w:lang w:val="en-US" w:eastAsia="zh-CN" w:bidi="ar"/>
                    </w:rPr>
                    <w:t>5.80</w:t>
                  </w:r>
                </w:p>
              </w:tc>
              <w:tc>
                <w:tcPr>
                  <w:tcW w:w="621" w:type="pct"/>
                  <w:noWrap w:val="0"/>
                  <w:vAlign w:val="center"/>
                </w:tcPr>
                <w:p w14:paraId="3FC10176">
                  <w:pPr>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宋体"/>
                      <w:color w:val="00B050"/>
                      <w:kern w:val="0"/>
                      <w:sz w:val="21"/>
                      <w:szCs w:val="21"/>
                      <w:lang w:val="en-US" w:eastAsia="zh-CN" w:bidi="ar"/>
                    </w:rPr>
                  </w:pPr>
                  <w:r>
                    <w:rPr>
                      <w:rFonts w:hint="eastAsia" w:ascii="Times New Roman" w:hAnsi="Times New Roman" w:eastAsia="宋体" w:cs="宋体"/>
                      <w:color w:val="00B050"/>
                      <w:kern w:val="0"/>
                      <w:sz w:val="21"/>
                      <w:szCs w:val="21"/>
                      <w:lang w:val="en-US" w:eastAsia="zh-CN" w:bidi="ar"/>
                    </w:rPr>
                    <w:t>/</w:t>
                  </w:r>
                </w:p>
              </w:tc>
            </w:tr>
          </w:tbl>
          <w:p w14:paraId="548B19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b/>
                <w:bCs/>
                <w:color w:val="000000"/>
                <w:sz w:val="21"/>
                <w:szCs w:val="21"/>
                <w:lang w:val="en-US" w:eastAsia="zh-CN"/>
              </w:rPr>
              <w:t>物料平衡：</w:t>
            </w:r>
          </w:p>
          <w:p w14:paraId="055F0E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项目物料平衡见下表。</w:t>
            </w:r>
          </w:p>
          <w:p w14:paraId="1D2078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val="0"/>
                <w:color w:val="000000"/>
                <w:sz w:val="21"/>
                <w:szCs w:val="21"/>
                <w:lang w:val="en-US" w:eastAsia="zh-CN"/>
              </w:rPr>
            </w:pPr>
            <w:r>
              <w:rPr>
                <w:rFonts w:hint="eastAsia" w:ascii="Times New Roman" w:hAnsi="Times New Roman" w:eastAsia="宋体" w:cs="Times New Roman"/>
                <w:b/>
                <w:bCs w:val="0"/>
                <w:color w:val="000000"/>
                <w:sz w:val="21"/>
                <w:szCs w:val="21"/>
                <w:lang w:val="en-US" w:eastAsia="zh-CN"/>
              </w:rPr>
              <w:t>表2-</w:t>
            </w:r>
            <w:r>
              <w:rPr>
                <w:rFonts w:hint="eastAsia" w:cs="Times New Roman"/>
                <w:b/>
                <w:bCs w:val="0"/>
                <w:color w:val="000000"/>
                <w:sz w:val="21"/>
                <w:szCs w:val="21"/>
                <w:lang w:val="en-US" w:eastAsia="zh-CN"/>
              </w:rPr>
              <w:t>6</w:t>
            </w:r>
            <w:r>
              <w:rPr>
                <w:rFonts w:hint="eastAsia" w:ascii="Times New Roman" w:hAnsi="Times New Roman" w:eastAsia="宋体" w:cs="Times New Roman"/>
                <w:b/>
                <w:bCs w:val="0"/>
                <w:color w:val="000000"/>
                <w:sz w:val="21"/>
                <w:szCs w:val="21"/>
                <w:lang w:val="en-US" w:eastAsia="zh-CN"/>
              </w:rPr>
              <w:t xml:space="preserve">  本项目物料平衡  单位：t/a</w:t>
            </w:r>
          </w:p>
          <w:tbl>
            <w:tblPr>
              <w:tblStyle w:val="44"/>
              <w:tblW w:w="78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9"/>
              <w:gridCol w:w="1370"/>
              <w:gridCol w:w="2630"/>
              <w:gridCol w:w="1540"/>
            </w:tblGrid>
            <w:tr w14:paraId="6F2A0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3669" w:type="dxa"/>
                  <w:gridSpan w:val="2"/>
                  <w:noWrap w:val="0"/>
                  <w:vAlign w:val="center"/>
                </w:tcPr>
                <w:p w14:paraId="5DBC5F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000000"/>
                      <w:sz w:val="21"/>
                      <w:szCs w:val="21"/>
                      <w:vertAlign w:val="baseline"/>
                      <w:lang w:val="en-US" w:eastAsia="zh-CN"/>
                    </w:rPr>
                  </w:pPr>
                  <w:r>
                    <w:rPr>
                      <w:rFonts w:hint="eastAsia" w:ascii="Times New Roman" w:hAnsi="Times New Roman" w:eastAsia="宋体" w:cs="Times New Roman"/>
                      <w:b/>
                      <w:bCs w:val="0"/>
                      <w:color w:val="000000"/>
                      <w:sz w:val="21"/>
                      <w:szCs w:val="21"/>
                      <w:vertAlign w:val="baseline"/>
                      <w:lang w:val="en-US" w:eastAsia="zh-CN"/>
                    </w:rPr>
                    <w:t>投入</w:t>
                  </w:r>
                </w:p>
              </w:tc>
              <w:tc>
                <w:tcPr>
                  <w:tcW w:w="4170" w:type="dxa"/>
                  <w:gridSpan w:val="2"/>
                  <w:noWrap w:val="0"/>
                  <w:vAlign w:val="center"/>
                </w:tcPr>
                <w:p w14:paraId="54C763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000000"/>
                      <w:sz w:val="21"/>
                      <w:szCs w:val="21"/>
                      <w:vertAlign w:val="baseline"/>
                      <w:lang w:val="en-US" w:eastAsia="zh-CN"/>
                    </w:rPr>
                  </w:pPr>
                  <w:r>
                    <w:rPr>
                      <w:rFonts w:hint="eastAsia" w:ascii="Times New Roman" w:hAnsi="Times New Roman" w:eastAsia="宋体" w:cs="Times New Roman"/>
                      <w:b/>
                      <w:bCs w:val="0"/>
                      <w:color w:val="000000"/>
                      <w:sz w:val="21"/>
                      <w:szCs w:val="21"/>
                      <w:vertAlign w:val="baseline"/>
                      <w:lang w:val="en-US" w:eastAsia="zh-CN"/>
                    </w:rPr>
                    <w:t>产出</w:t>
                  </w:r>
                </w:p>
              </w:tc>
            </w:tr>
            <w:tr w14:paraId="5A1AB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299" w:type="dxa"/>
                  <w:noWrap w:val="0"/>
                  <w:vAlign w:val="center"/>
                </w:tcPr>
                <w:p w14:paraId="10F425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val="0"/>
                      <w:color w:val="000000"/>
                      <w:spacing w:val="0"/>
                      <w:kern w:val="2"/>
                      <w:sz w:val="21"/>
                      <w:szCs w:val="21"/>
                      <w:lang w:val="en-US" w:eastAsia="zh-CN" w:bidi="ar-SA"/>
                    </w:rPr>
                  </w:pPr>
                  <w:r>
                    <w:rPr>
                      <w:rFonts w:hint="eastAsia" w:ascii="Times New Roman" w:hAnsi="Times New Roman" w:eastAsia="宋体" w:cs="Times New Roman"/>
                      <w:bCs w:val="0"/>
                      <w:color w:val="000000"/>
                      <w:spacing w:val="0"/>
                      <w:kern w:val="2"/>
                      <w:sz w:val="21"/>
                      <w:szCs w:val="21"/>
                      <w:lang w:val="en-US" w:eastAsia="zh-CN" w:bidi="ar-SA"/>
                    </w:rPr>
                    <w:t>废纸</w:t>
                  </w:r>
                </w:p>
              </w:tc>
              <w:tc>
                <w:tcPr>
                  <w:tcW w:w="1370" w:type="dxa"/>
                  <w:noWrap w:val="0"/>
                  <w:vAlign w:val="center"/>
                </w:tcPr>
                <w:p w14:paraId="6EBEBD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24000</w:t>
                  </w:r>
                </w:p>
              </w:tc>
              <w:tc>
                <w:tcPr>
                  <w:tcW w:w="2630" w:type="dxa"/>
                  <w:noWrap w:val="0"/>
                  <w:vAlign w:val="center"/>
                </w:tcPr>
                <w:p w14:paraId="4ECD30A2">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eastAsia="宋体" w:cs="Times New Roman"/>
                      <w:b w:val="0"/>
                      <w:bCs/>
                      <w:color w:val="00B050"/>
                      <w:sz w:val="21"/>
                      <w:szCs w:val="21"/>
                      <w:vertAlign w:val="baseline"/>
                      <w:lang w:val="en-US" w:eastAsia="zh-CN"/>
                    </w:rPr>
                  </w:pPr>
                  <w:r>
                    <w:rPr>
                      <w:rFonts w:hint="eastAsia"/>
                      <w:color w:val="00B050"/>
                    </w:rPr>
                    <w:t>蛋托</w:t>
                  </w:r>
                  <w:r>
                    <w:rPr>
                      <w:rFonts w:hint="eastAsia"/>
                      <w:color w:val="00B050"/>
                      <w:lang w:eastAsia="zh-CN"/>
                    </w:rPr>
                    <w:t>、</w:t>
                  </w:r>
                  <w:r>
                    <w:rPr>
                      <w:rFonts w:hint="eastAsia"/>
                      <w:color w:val="00B050"/>
                    </w:rPr>
                    <w:t>果托</w:t>
                  </w:r>
                  <w:r>
                    <w:rPr>
                      <w:rFonts w:hint="eastAsia"/>
                      <w:color w:val="00B050"/>
                      <w:lang w:eastAsia="zh-CN"/>
                    </w:rPr>
                    <w:t>、</w:t>
                  </w:r>
                  <w:r>
                    <w:rPr>
                      <w:rFonts w:hint="eastAsia"/>
                      <w:color w:val="00B050"/>
                    </w:rPr>
                    <w:t>蛋盒</w:t>
                  </w:r>
                  <w:r>
                    <w:rPr>
                      <w:rFonts w:hint="eastAsia"/>
                      <w:color w:val="00B050"/>
                      <w:lang w:eastAsia="zh-CN"/>
                    </w:rPr>
                    <w:t>、</w:t>
                  </w:r>
                  <w:r>
                    <w:rPr>
                      <w:rFonts w:hint="eastAsia"/>
                      <w:color w:val="00B050"/>
                    </w:rPr>
                    <w:t>瓶托</w:t>
                  </w:r>
                </w:p>
              </w:tc>
              <w:tc>
                <w:tcPr>
                  <w:tcW w:w="1540" w:type="dxa"/>
                  <w:noWrap w:val="0"/>
                  <w:vAlign w:val="center"/>
                </w:tcPr>
                <w:p w14:paraId="600AB44B">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color w:val="00B050"/>
                      <w:spacing w:val="0"/>
                      <w:kern w:val="2"/>
                      <w:sz w:val="21"/>
                      <w:szCs w:val="21"/>
                      <w:vertAlign w:val="baseline"/>
                      <w:lang w:val="en-US" w:eastAsia="zh-CN" w:bidi="ar-SA"/>
                    </w:rPr>
                  </w:pPr>
                  <w:r>
                    <w:rPr>
                      <w:rFonts w:hint="eastAsia"/>
                      <w:color w:val="00B050"/>
                      <w:lang w:val="en-US" w:eastAsia="zh-CN"/>
                    </w:rPr>
                    <w:t>24298.45</w:t>
                  </w:r>
                </w:p>
              </w:tc>
            </w:tr>
            <w:tr w14:paraId="47D4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299" w:type="dxa"/>
                  <w:noWrap w:val="0"/>
                  <w:vAlign w:val="center"/>
                </w:tcPr>
                <w:p w14:paraId="268512C9">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Cs w:val="0"/>
                      <w:color w:val="000000"/>
                      <w:spacing w:val="0"/>
                      <w:kern w:val="2"/>
                      <w:sz w:val="21"/>
                      <w:szCs w:val="21"/>
                      <w:lang w:val="en-US" w:eastAsia="zh-CN" w:bidi="ar-SA"/>
                    </w:rPr>
                  </w:pPr>
                  <w:r>
                    <w:rPr>
                      <w:rFonts w:hint="default" w:ascii="宋体" w:hAnsi="宋体" w:eastAsia="宋体" w:cs="宋体"/>
                      <w:color w:val="000000"/>
                      <w:sz w:val="21"/>
                      <w:szCs w:val="21"/>
                    </w:rPr>
                    <w:t>碱性嫩黄（染料）</w:t>
                  </w:r>
                </w:p>
              </w:tc>
              <w:tc>
                <w:tcPr>
                  <w:tcW w:w="1370" w:type="dxa"/>
                  <w:noWrap w:val="0"/>
                  <w:vAlign w:val="center"/>
                </w:tcPr>
                <w:p w14:paraId="338F7C4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color w:val="000000"/>
                      <w:sz w:val="21"/>
                      <w:szCs w:val="21"/>
                      <w:vertAlign w:val="baseline"/>
                      <w:lang w:val="en-US" w:eastAsia="zh-CN"/>
                    </w:rPr>
                  </w:pPr>
                  <w:r>
                    <w:rPr>
                      <w:rFonts w:hint="eastAsia"/>
                      <w:color w:val="000000"/>
                      <w:lang w:val="en-US" w:eastAsia="zh-CN"/>
                    </w:rPr>
                    <w:t>6</w:t>
                  </w:r>
                </w:p>
              </w:tc>
              <w:tc>
                <w:tcPr>
                  <w:tcW w:w="2630" w:type="dxa"/>
                  <w:shd w:val="clear" w:color="auto" w:fill="auto"/>
                  <w:noWrap w:val="0"/>
                  <w:vAlign w:val="center"/>
                </w:tcPr>
                <w:p w14:paraId="11DA00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00B050"/>
                      <w:kern w:val="2"/>
                      <w:sz w:val="21"/>
                      <w:szCs w:val="21"/>
                      <w:vertAlign w:val="baseline"/>
                      <w:lang w:val="en-US" w:eastAsia="zh-CN" w:bidi="ar-SA"/>
                    </w:rPr>
                  </w:pPr>
                  <w:r>
                    <w:rPr>
                      <w:rFonts w:hint="eastAsia" w:ascii="Times New Roman" w:hAnsi="Times New Roman" w:eastAsia="宋体" w:cs="Times New Roman"/>
                      <w:b w:val="0"/>
                      <w:bCs/>
                      <w:color w:val="00B050"/>
                      <w:kern w:val="2"/>
                      <w:sz w:val="21"/>
                      <w:szCs w:val="21"/>
                      <w:vertAlign w:val="baseline"/>
                      <w:lang w:val="en-US" w:eastAsia="zh-CN" w:bidi="ar-SA"/>
                    </w:rPr>
                    <w:t>过滤废渣</w:t>
                  </w:r>
                </w:p>
              </w:tc>
              <w:tc>
                <w:tcPr>
                  <w:tcW w:w="1540" w:type="dxa"/>
                  <w:shd w:val="clear" w:color="auto" w:fill="auto"/>
                  <w:noWrap w:val="0"/>
                  <w:vAlign w:val="center"/>
                </w:tcPr>
                <w:p w14:paraId="348F81AE">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eastAsia" w:ascii="Times New Roman" w:hAnsi="Times New Roman" w:eastAsia="宋体" w:cs="Times New Roman"/>
                      <w:i w:val="0"/>
                      <w:iCs w:val="0"/>
                      <w:color w:val="00B050"/>
                      <w:kern w:val="0"/>
                      <w:sz w:val="21"/>
                      <w:szCs w:val="21"/>
                      <w:u w:val="none"/>
                      <w:lang w:val="en-US" w:eastAsia="zh-CN" w:bidi="ar"/>
                    </w:rPr>
                    <w:t>2.4</w:t>
                  </w:r>
                </w:p>
              </w:tc>
            </w:tr>
            <w:tr w14:paraId="2E171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299" w:type="dxa"/>
                  <w:noWrap w:val="0"/>
                  <w:vAlign w:val="center"/>
                </w:tcPr>
                <w:p w14:paraId="5791289A">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Cs w:val="0"/>
                      <w:color w:val="000000"/>
                      <w:spacing w:val="0"/>
                      <w:kern w:val="2"/>
                      <w:sz w:val="21"/>
                      <w:szCs w:val="21"/>
                      <w:lang w:val="en-US" w:eastAsia="zh-CN" w:bidi="ar-SA"/>
                    </w:rPr>
                  </w:pPr>
                  <w:r>
                    <w:rPr>
                      <w:rFonts w:hint="eastAsia" w:ascii="宋体" w:hAnsi="宋体" w:eastAsia="宋体" w:cs="宋体"/>
                      <w:color w:val="000000"/>
                      <w:sz w:val="21"/>
                      <w:szCs w:val="21"/>
                      <w:lang w:val="en-US" w:eastAsia="zh-CN"/>
                    </w:rPr>
                    <w:t>硫酸铝</w:t>
                  </w:r>
                </w:p>
              </w:tc>
              <w:tc>
                <w:tcPr>
                  <w:tcW w:w="1370" w:type="dxa"/>
                  <w:noWrap w:val="0"/>
                  <w:vAlign w:val="center"/>
                </w:tcPr>
                <w:p w14:paraId="6F54AB0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color w:val="000000"/>
                      <w:sz w:val="21"/>
                      <w:szCs w:val="21"/>
                      <w:vertAlign w:val="baseline"/>
                      <w:lang w:val="en-US" w:eastAsia="zh-CN"/>
                    </w:rPr>
                  </w:pPr>
                  <w:r>
                    <w:rPr>
                      <w:rFonts w:hint="eastAsia"/>
                      <w:color w:val="000000"/>
                      <w:lang w:val="en-US" w:eastAsia="zh-CN"/>
                    </w:rPr>
                    <w:t>15</w:t>
                  </w:r>
                </w:p>
              </w:tc>
              <w:tc>
                <w:tcPr>
                  <w:tcW w:w="2630" w:type="dxa"/>
                  <w:shd w:val="clear" w:color="auto" w:fill="auto"/>
                  <w:noWrap w:val="0"/>
                  <w:vAlign w:val="center"/>
                </w:tcPr>
                <w:p w14:paraId="68C544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00B050"/>
                      <w:kern w:val="2"/>
                      <w:sz w:val="21"/>
                      <w:szCs w:val="21"/>
                      <w:vertAlign w:val="baseline"/>
                      <w:lang w:val="en-US" w:eastAsia="zh-CN" w:bidi="ar-SA"/>
                    </w:rPr>
                  </w:pPr>
                  <w:r>
                    <w:rPr>
                      <w:rFonts w:hint="eastAsia" w:ascii="Times New Roman" w:hAnsi="Times New Roman" w:eastAsia="宋体" w:cs="Times New Roman"/>
                      <w:b w:val="0"/>
                      <w:bCs/>
                      <w:color w:val="00B050"/>
                      <w:sz w:val="21"/>
                      <w:szCs w:val="21"/>
                      <w:vertAlign w:val="baseline"/>
                      <w:lang w:val="en-US" w:eastAsia="zh-CN"/>
                    </w:rPr>
                    <w:t>排放粉尘</w:t>
                  </w:r>
                </w:p>
              </w:tc>
              <w:tc>
                <w:tcPr>
                  <w:tcW w:w="1540" w:type="dxa"/>
                  <w:shd w:val="clear" w:color="auto" w:fill="auto"/>
                  <w:noWrap w:val="0"/>
                  <w:vAlign w:val="center"/>
                </w:tcPr>
                <w:p w14:paraId="7AB6EAC1">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eastAsia" w:cs="Times New Roman"/>
                      <w:i w:val="0"/>
                      <w:iCs w:val="0"/>
                      <w:color w:val="00B050"/>
                      <w:kern w:val="0"/>
                      <w:sz w:val="21"/>
                      <w:szCs w:val="21"/>
                      <w:u w:val="none"/>
                      <w:lang w:val="en-US" w:eastAsia="zh-CN" w:bidi="ar"/>
                    </w:rPr>
                    <w:t>0.15</w:t>
                  </w:r>
                </w:p>
              </w:tc>
            </w:tr>
            <w:tr w14:paraId="7E813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299" w:type="dxa"/>
                  <w:noWrap w:val="0"/>
                  <w:vAlign w:val="center"/>
                </w:tcPr>
                <w:p w14:paraId="10D62193">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eastAsia="宋体" w:cs="Times New Roman"/>
                      <w:bCs w:val="0"/>
                      <w:color w:val="000000"/>
                      <w:spacing w:val="0"/>
                      <w:kern w:val="2"/>
                      <w:sz w:val="21"/>
                      <w:szCs w:val="21"/>
                      <w:lang w:val="en-US" w:eastAsia="zh-CN" w:bidi="ar-SA"/>
                    </w:rPr>
                  </w:pPr>
                  <w:r>
                    <w:rPr>
                      <w:rFonts w:hint="eastAsia" w:ascii="宋体" w:hAnsi="宋体" w:eastAsia="宋体" w:cs="宋体"/>
                      <w:color w:val="000000"/>
                      <w:sz w:val="21"/>
                      <w:szCs w:val="21"/>
                      <w:lang w:val="en-US" w:eastAsia="zh-CN"/>
                    </w:rPr>
                    <w:t>石粉</w:t>
                  </w:r>
                </w:p>
              </w:tc>
              <w:tc>
                <w:tcPr>
                  <w:tcW w:w="1370" w:type="dxa"/>
                  <w:noWrap w:val="0"/>
                  <w:vAlign w:val="center"/>
                </w:tcPr>
                <w:p w14:paraId="48010E8C">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color w:val="000000"/>
                      <w:sz w:val="21"/>
                      <w:szCs w:val="21"/>
                      <w:vertAlign w:val="baseline"/>
                      <w:lang w:val="en-US" w:eastAsia="zh-CN"/>
                    </w:rPr>
                  </w:pPr>
                  <w:r>
                    <w:rPr>
                      <w:rFonts w:hint="eastAsia"/>
                      <w:color w:val="000000"/>
                      <w:lang w:val="en-US" w:eastAsia="zh-CN"/>
                    </w:rPr>
                    <w:t>280</w:t>
                  </w:r>
                </w:p>
              </w:tc>
              <w:tc>
                <w:tcPr>
                  <w:tcW w:w="2630" w:type="dxa"/>
                  <w:shd w:val="clear" w:color="auto" w:fill="auto"/>
                  <w:noWrap w:val="0"/>
                  <w:vAlign w:val="center"/>
                </w:tcPr>
                <w:p w14:paraId="200AE907">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00B050"/>
                      <w:kern w:val="2"/>
                      <w:sz w:val="21"/>
                      <w:szCs w:val="21"/>
                      <w:vertAlign w:val="baseline"/>
                      <w:lang w:val="en-US" w:eastAsia="zh-CN" w:bidi="ar-SA"/>
                    </w:rPr>
                  </w:pPr>
                  <w:r>
                    <w:rPr>
                      <w:rFonts w:hint="eastAsia" w:cs="Times New Roman"/>
                      <w:b w:val="0"/>
                      <w:bCs/>
                      <w:color w:val="00B050"/>
                      <w:kern w:val="2"/>
                      <w:sz w:val="21"/>
                      <w:szCs w:val="21"/>
                      <w:vertAlign w:val="baseline"/>
                      <w:lang w:val="en-US" w:eastAsia="zh-CN" w:bidi="ar-SA"/>
                    </w:rPr>
                    <w:t>烘干过程损耗水</w:t>
                  </w:r>
                </w:p>
              </w:tc>
              <w:tc>
                <w:tcPr>
                  <w:tcW w:w="1540" w:type="dxa"/>
                  <w:shd w:val="clear" w:color="auto" w:fill="auto"/>
                  <w:noWrap w:val="0"/>
                  <w:vAlign w:val="center"/>
                </w:tcPr>
                <w:p w14:paraId="66BE63D2">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eastAsia" w:cs="Times New Roman"/>
                      <w:i w:val="0"/>
                      <w:iCs w:val="0"/>
                      <w:color w:val="00B050"/>
                      <w:kern w:val="0"/>
                      <w:sz w:val="21"/>
                      <w:szCs w:val="21"/>
                      <w:u w:val="none"/>
                      <w:lang w:val="en-US" w:eastAsia="zh-CN" w:bidi="ar"/>
                    </w:rPr>
                    <w:t>2627</w:t>
                  </w:r>
                </w:p>
              </w:tc>
            </w:tr>
            <w:tr w14:paraId="30D54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299" w:type="dxa"/>
                  <w:noWrap w:val="0"/>
                  <w:vAlign w:val="center"/>
                </w:tcPr>
                <w:p w14:paraId="69B10C1D">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eastAsia" w:ascii="宋体" w:hAnsi="宋体" w:eastAsia="宋体" w:cs="宋体"/>
                      <w:color w:val="00B050"/>
                      <w:sz w:val="21"/>
                      <w:szCs w:val="21"/>
                      <w:lang w:val="en-US" w:eastAsia="zh-CN"/>
                    </w:rPr>
                  </w:pPr>
                  <w:r>
                    <w:rPr>
                      <w:rFonts w:hint="eastAsia" w:ascii="Times New Roman" w:hAnsi="Times New Roman" w:eastAsia="宋体" w:cs="Times New Roman"/>
                      <w:b w:val="0"/>
                      <w:bCs/>
                      <w:color w:val="00B050"/>
                      <w:sz w:val="21"/>
                      <w:szCs w:val="21"/>
                      <w:vertAlign w:val="baseline"/>
                      <w:lang w:val="en-US" w:eastAsia="zh-CN"/>
                    </w:rPr>
                    <w:t>进入生产线的新鲜</w:t>
                  </w:r>
                  <w:r>
                    <w:rPr>
                      <w:rFonts w:hint="eastAsia"/>
                      <w:color w:val="00B050"/>
                      <w:lang w:val="en-US" w:eastAsia="zh-CN"/>
                    </w:rPr>
                    <w:t>水</w:t>
                  </w:r>
                </w:p>
              </w:tc>
              <w:tc>
                <w:tcPr>
                  <w:tcW w:w="1370" w:type="dxa"/>
                  <w:noWrap w:val="0"/>
                  <w:vAlign w:val="center"/>
                </w:tcPr>
                <w:p w14:paraId="40F3FB43">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color w:val="00B050"/>
                      <w:lang w:val="en-US" w:eastAsia="zh-CN"/>
                    </w:rPr>
                  </w:pPr>
                  <w:r>
                    <w:rPr>
                      <w:rFonts w:hint="eastAsia"/>
                      <w:color w:val="00B050"/>
                      <w:lang w:val="en-US" w:eastAsia="zh-CN"/>
                    </w:rPr>
                    <w:t>18769</w:t>
                  </w:r>
                </w:p>
              </w:tc>
              <w:tc>
                <w:tcPr>
                  <w:tcW w:w="2630" w:type="dxa"/>
                  <w:shd w:val="clear" w:color="auto" w:fill="auto"/>
                  <w:noWrap w:val="0"/>
                  <w:vAlign w:val="center"/>
                </w:tcPr>
                <w:p w14:paraId="71025537">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cs="Times New Roman"/>
                      <w:b w:val="0"/>
                      <w:bCs/>
                      <w:color w:val="00B050"/>
                      <w:kern w:val="2"/>
                      <w:sz w:val="21"/>
                      <w:szCs w:val="21"/>
                      <w:vertAlign w:val="baseline"/>
                      <w:lang w:val="en-US" w:eastAsia="zh-CN" w:bidi="ar-SA"/>
                    </w:rPr>
                  </w:pPr>
                  <w:r>
                    <w:rPr>
                      <w:rFonts w:hint="eastAsia" w:cs="Times New Roman"/>
                      <w:b w:val="0"/>
                      <w:bCs/>
                      <w:color w:val="00B050"/>
                      <w:kern w:val="2"/>
                      <w:sz w:val="21"/>
                      <w:szCs w:val="21"/>
                      <w:vertAlign w:val="baseline"/>
                      <w:lang w:val="en-US" w:eastAsia="zh-CN" w:bidi="ar-SA"/>
                    </w:rPr>
                    <w:t>产品（蛋托、果托、蛋盒和瓶托）带走的水分</w:t>
                  </w:r>
                </w:p>
              </w:tc>
              <w:tc>
                <w:tcPr>
                  <w:tcW w:w="1540" w:type="dxa"/>
                  <w:shd w:val="clear" w:color="auto" w:fill="auto"/>
                  <w:noWrap w:val="0"/>
                  <w:vAlign w:val="center"/>
                </w:tcPr>
                <w:p w14:paraId="75F39BE0">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eastAsia" w:cs="Times New Roman"/>
                      <w:i w:val="0"/>
                      <w:iCs w:val="0"/>
                      <w:color w:val="00B050"/>
                      <w:kern w:val="0"/>
                      <w:sz w:val="21"/>
                      <w:szCs w:val="21"/>
                      <w:u w:val="none"/>
                      <w:lang w:val="en-US" w:eastAsia="zh-CN" w:bidi="ar"/>
                    </w:rPr>
                    <w:t>2792</w:t>
                  </w:r>
                </w:p>
              </w:tc>
            </w:tr>
            <w:tr w14:paraId="68A23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299" w:type="dxa"/>
                  <w:noWrap w:val="0"/>
                  <w:vAlign w:val="center"/>
                </w:tcPr>
                <w:p w14:paraId="563DBEF6">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Cs w:val="0"/>
                      <w:color w:val="00B050"/>
                      <w:spacing w:val="0"/>
                      <w:kern w:val="2"/>
                      <w:sz w:val="21"/>
                      <w:szCs w:val="21"/>
                      <w:lang w:val="en-US" w:eastAsia="zh-CN" w:bidi="ar-SA"/>
                    </w:rPr>
                  </w:pPr>
                  <w:r>
                    <w:rPr>
                      <w:rFonts w:hint="eastAsia" w:cs="Times New Roman"/>
                      <w:bCs w:val="0"/>
                      <w:color w:val="00B050"/>
                      <w:spacing w:val="0"/>
                      <w:kern w:val="2"/>
                      <w:sz w:val="21"/>
                      <w:szCs w:val="21"/>
                      <w:lang w:val="en-US" w:eastAsia="zh-CN" w:bidi="ar-SA"/>
                    </w:rPr>
                    <w:t>回用的</w:t>
                  </w:r>
                  <w:r>
                    <w:rPr>
                      <w:rFonts w:hint="eastAsia" w:cs="Times New Roman"/>
                      <w:b w:val="0"/>
                      <w:bCs/>
                      <w:color w:val="00B050"/>
                      <w:sz w:val="21"/>
                      <w:szCs w:val="21"/>
                      <w:vertAlign w:val="baseline"/>
                      <w:lang w:val="en-US" w:eastAsia="zh-CN"/>
                    </w:rPr>
                    <w:t>生产</w:t>
                  </w:r>
                  <w:r>
                    <w:rPr>
                      <w:rFonts w:hint="eastAsia" w:ascii="Times New Roman" w:hAnsi="Times New Roman" w:eastAsia="宋体" w:cs="Times New Roman"/>
                      <w:b w:val="0"/>
                      <w:bCs/>
                      <w:color w:val="00B050"/>
                      <w:sz w:val="21"/>
                      <w:szCs w:val="21"/>
                      <w:vertAlign w:val="baseline"/>
                      <w:lang w:val="en-US" w:eastAsia="zh-CN"/>
                    </w:rPr>
                    <w:t>废水</w:t>
                  </w:r>
                </w:p>
              </w:tc>
              <w:tc>
                <w:tcPr>
                  <w:tcW w:w="1370" w:type="dxa"/>
                  <w:noWrap w:val="0"/>
                  <w:vAlign w:val="center"/>
                </w:tcPr>
                <w:p w14:paraId="5C341D81">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color w:val="00B050"/>
                      <w:sz w:val="21"/>
                      <w:szCs w:val="21"/>
                      <w:vertAlign w:val="baseline"/>
                      <w:lang w:val="en-US" w:eastAsia="zh-CN"/>
                    </w:rPr>
                  </w:pPr>
                  <w:r>
                    <w:rPr>
                      <w:rFonts w:hint="eastAsia" w:cs="Times New Roman"/>
                      <w:b w:val="0"/>
                      <w:bCs/>
                      <w:color w:val="00B050"/>
                      <w:sz w:val="21"/>
                      <w:szCs w:val="21"/>
                      <w:vertAlign w:val="baseline"/>
                      <w:lang w:val="en-US" w:eastAsia="zh-CN"/>
                    </w:rPr>
                    <w:t>282761</w:t>
                  </w:r>
                </w:p>
              </w:tc>
              <w:tc>
                <w:tcPr>
                  <w:tcW w:w="2630" w:type="dxa"/>
                  <w:shd w:val="clear" w:color="auto" w:fill="auto"/>
                  <w:noWrap w:val="0"/>
                  <w:vAlign w:val="center"/>
                </w:tcPr>
                <w:p w14:paraId="44567EE3">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00B050"/>
                      <w:kern w:val="2"/>
                      <w:sz w:val="21"/>
                      <w:szCs w:val="21"/>
                      <w:vertAlign w:val="baseline"/>
                      <w:lang w:val="en-US" w:eastAsia="zh-CN" w:bidi="ar-SA"/>
                    </w:rPr>
                  </w:pPr>
                  <w:r>
                    <w:rPr>
                      <w:rFonts w:hint="eastAsia" w:cs="Times New Roman"/>
                      <w:i w:val="0"/>
                      <w:iCs w:val="0"/>
                      <w:color w:val="00B050"/>
                      <w:kern w:val="0"/>
                      <w:sz w:val="21"/>
                      <w:szCs w:val="21"/>
                      <w:u w:val="none"/>
                      <w:lang w:val="en-US" w:eastAsia="zh-CN" w:bidi="ar"/>
                    </w:rPr>
                    <w:t>烘干过程排放废气中的水分</w:t>
                  </w:r>
                </w:p>
              </w:tc>
              <w:tc>
                <w:tcPr>
                  <w:tcW w:w="1540" w:type="dxa"/>
                  <w:shd w:val="clear" w:color="auto" w:fill="auto"/>
                  <w:noWrap w:val="0"/>
                  <w:vAlign w:val="center"/>
                </w:tcPr>
                <w:p w14:paraId="6EFC6136">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eastAsia" w:cs="Times New Roman"/>
                      <w:i w:val="0"/>
                      <w:iCs w:val="0"/>
                      <w:color w:val="00B050"/>
                      <w:kern w:val="0"/>
                      <w:sz w:val="21"/>
                      <w:szCs w:val="21"/>
                      <w:u w:val="none"/>
                      <w:lang w:val="en-US" w:eastAsia="zh-CN" w:bidi="ar"/>
                    </w:rPr>
                    <w:t>9483</w:t>
                  </w:r>
                </w:p>
              </w:tc>
            </w:tr>
            <w:tr w14:paraId="2EE2B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299" w:type="dxa"/>
                  <w:noWrap w:val="0"/>
                  <w:vAlign w:val="center"/>
                </w:tcPr>
                <w:p w14:paraId="71842541">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cs="Times New Roman"/>
                      <w:bCs w:val="0"/>
                      <w:color w:val="00B050"/>
                      <w:spacing w:val="0"/>
                      <w:kern w:val="2"/>
                      <w:sz w:val="21"/>
                      <w:szCs w:val="21"/>
                      <w:lang w:val="en-US" w:eastAsia="zh-CN" w:bidi="ar-SA"/>
                    </w:rPr>
                  </w:pPr>
                  <w:r>
                    <w:rPr>
                      <w:rFonts w:hint="eastAsia" w:cs="Times New Roman"/>
                      <w:bCs w:val="0"/>
                      <w:color w:val="00B050"/>
                      <w:spacing w:val="0"/>
                      <w:kern w:val="2"/>
                      <w:sz w:val="21"/>
                      <w:szCs w:val="21"/>
                      <w:lang w:val="en-US" w:eastAsia="zh-CN" w:bidi="ar-SA"/>
                    </w:rPr>
                    <w:t>/</w:t>
                  </w:r>
                </w:p>
              </w:tc>
              <w:tc>
                <w:tcPr>
                  <w:tcW w:w="1370" w:type="dxa"/>
                  <w:noWrap w:val="0"/>
                  <w:vAlign w:val="center"/>
                </w:tcPr>
                <w:p w14:paraId="50E9DC9D">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color w:val="00B050"/>
                      <w:sz w:val="21"/>
                      <w:szCs w:val="21"/>
                      <w:vertAlign w:val="baseline"/>
                      <w:lang w:val="en-US" w:eastAsia="zh-CN"/>
                    </w:rPr>
                  </w:pPr>
                  <w:r>
                    <w:rPr>
                      <w:rFonts w:hint="eastAsia" w:cs="Times New Roman"/>
                      <w:b w:val="0"/>
                      <w:bCs/>
                      <w:color w:val="00B050"/>
                      <w:sz w:val="21"/>
                      <w:szCs w:val="21"/>
                      <w:vertAlign w:val="baseline"/>
                      <w:lang w:val="en-US" w:eastAsia="zh-CN"/>
                    </w:rPr>
                    <w:t>/</w:t>
                  </w:r>
                </w:p>
              </w:tc>
              <w:tc>
                <w:tcPr>
                  <w:tcW w:w="2630" w:type="dxa"/>
                  <w:shd w:val="clear" w:color="auto" w:fill="auto"/>
                  <w:noWrap w:val="0"/>
                  <w:vAlign w:val="center"/>
                </w:tcPr>
                <w:p w14:paraId="4F95EB89">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B050"/>
                      <w:kern w:val="0"/>
                      <w:sz w:val="21"/>
                      <w:szCs w:val="21"/>
                      <w:u w:val="none"/>
                      <w:lang w:val="en-US" w:eastAsia="zh-CN" w:bidi="ar"/>
                    </w:rPr>
                  </w:pPr>
                  <w:r>
                    <w:rPr>
                      <w:rFonts w:hint="eastAsia" w:cs="Times New Roman"/>
                      <w:i w:val="0"/>
                      <w:iCs w:val="0"/>
                      <w:color w:val="00B050"/>
                      <w:kern w:val="0"/>
                      <w:sz w:val="21"/>
                      <w:szCs w:val="21"/>
                      <w:u w:val="none"/>
                      <w:lang w:val="en-US" w:eastAsia="zh-CN" w:bidi="ar"/>
                    </w:rPr>
                    <w:t>热压过程损耗水</w:t>
                  </w:r>
                </w:p>
              </w:tc>
              <w:tc>
                <w:tcPr>
                  <w:tcW w:w="1540" w:type="dxa"/>
                  <w:shd w:val="clear" w:color="auto" w:fill="auto"/>
                  <w:noWrap w:val="0"/>
                  <w:vAlign w:val="center"/>
                </w:tcPr>
                <w:p w14:paraId="4CBFD012">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B050"/>
                      <w:kern w:val="0"/>
                      <w:sz w:val="21"/>
                      <w:szCs w:val="21"/>
                      <w:u w:val="none"/>
                      <w:lang w:val="en-US" w:eastAsia="zh-CN" w:bidi="ar"/>
                    </w:rPr>
                  </w:pPr>
                  <w:r>
                    <w:rPr>
                      <w:rFonts w:hint="eastAsia" w:cs="Times New Roman"/>
                      <w:i w:val="0"/>
                      <w:iCs w:val="0"/>
                      <w:color w:val="00B050"/>
                      <w:kern w:val="0"/>
                      <w:sz w:val="21"/>
                      <w:szCs w:val="21"/>
                      <w:u w:val="none"/>
                      <w:lang w:val="en-US" w:eastAsia="zh-CN" w:bidi="ar"/>
                    </w:rPr>
                    <w:t>3867</w:t>
                  </w:r>
                </w:p>
              </w:tc>
            </w:tr>
            <w:tr w14:paraId="79D1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299" w:type="dxa"/>
                  <w:noWrap w:val="0"/>
                  <w:vAlign w:val="center"/>
                </w:tcPr>
                <w:p w14:paraId="1F3F20DB">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cs="Times New Roman"/>
                      <w:bCs w:val="0"/>
                      <w:color w:val="00B050"/>
                      <w:spacing w:val="0"/>
                      <w:kern w:val="2"/>
                      <w:sz w:val="21"/>
                      <w:szCs w:val="21"/>
                      <w:lang w:val="en-US" w:eastAsia="zh-CN" w:bidi="ar-SA"/>
                    </w:rPr>
                  </w:pPr>
                  <w:r>
                    <w:rPr>
                      <w:rFonts w:hint="eastAsia" w:cs="Times New Roman"/>
                      <w:bCs w:val="0"/>
                      <w:color w:val="00B050"/>
                      <w:spacing w:val="0"/>
                      <w:kern w:val="2"/>
                      <w:sz w:val="21"/>
                      <w:szCs w:val="21"/>
                      <w:lang w:val="en-US" w:eastAsia="zh-CN" w:bidi="ar-SA"/>
                    </w:rPr>
                    <w:t>/</w:t>
                  </w:r>
                </w:p>
              </w:tc>
              <w:tc>
                <w:tcPr>
                  <w:tcW w:w="1370" w:type="dxa"/>
                  <w:noWrap w:val="0"/>
                  <w:vAlign w:val="center"/>
                </w:tcPr>
                <w:p w14:paraId="06542162">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color w:val="00B050"/>
                      <w:sz w:val="21"/>
                      <w:szCs w:val="21"/>
                      <w:vertAlign w:val="baseline"/>
                      <w:lang w:val="en-US" w:eastAsia="zh-CN"/>
                    </w:rPr>
                  </w:pPr>
                  <w:r>
                    <w:rPr>
                      <w:rFonts w:hint="eastAsia" w:cs="Times New Roman"/>
                      <w:b w:val="0"/>
                      <w:bCs/>
                      <w:color w:val="00B050"/>
                      <w:sz w:val="21"/>
                      <w:szCs w:val="21"/>
                      <w:vertAlign w:val="baseline"/>
                      <w:lang w:val="en-US" w:eastAsia="zh-CN"/>
                    </w:rPr>
                    <w:t>/</w:t>
                  </w:r>
                </w:p>
              </w:tc>
              <w:tc>
                <w:tcPr>
                  <w:tcW w:w="2630" w:type="dxa"/>
                  <w:shd w:val="clear" w:color="auto" w:fill="auto"/>
                  <w:noWrap w:val="0"/>
                  <w:vAlign w:val="center"/>
                </w:tcPr>
                <w:p w14:paraId="59688428">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B050"/>
                      <w:kern w:val="0"/>
                      <w:sz w:val="21"/>
                      <w:szCs w:val="21"/>
                      <w:u w:val="none"/>
                      <w:lang w:val="en-US" w:eastAsia="zh-CN" w:bidi="ar"/>
                    </w:rPr>
                  </w:pPr>
                  <w:r>
                    <w:rPr>
                      <w:rFonts w:hint="eastAsia" w:cs="Times New Roman"/>
                      <w:i w:val="0"/>
                      <w:iCs w:val="0"/>
                      <w:color w:val="00B050"/>
                      <w:kern w:val="0"/>
                      <w:sz w:val="21"/>
                      <w:szCs w:val="21"/>
                      <w:u w:val="none"/>
                      <w:lang w:val="en-US" w:eastAsia="zh-CN" w:bidi="ar"/>
                    </w:rPr>
                    <w:t>回收的生产废水</w:t>
                  </w:r>
                </w:p>
              </w:tc>
              <w:tc>
                <w:tcPr>
                  <w:tcW w:w="1540" w:type="dxa"/>
                  <w:shd w:val="clear" w:color="auto" w:fill="auto"/>
                  <w:noWrap w:val="0"/>
                  <w:vAlign w:val="center"/>
                </w:tcPr>
                <w:p w14:paraId="77E5461C">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B050"/>
                      <w:kern w:val="0"/>
                      <w:sz w:val="21"/>
                      <w:szCs w:val="21"/>
                      <w:u w:val="none"/>
                      <w:lang w:val="en-US" w:eastAsia="zh-CN" w:bidi="ar"/>
                    </w:rPr>
                  </w:pPr>
                  <w:r>
                    <w:rPr>
                      <w:rFonts w:hint="eastAsia" w:cs="Times New Roman"/>
                      <w:i w:val="0"/>
                      <w:iCs w:val="0"/>
                      <w:color w:val="00B050"/>
                      <w:kern w:val="0"/>
                      <w:sz w:val="21"/>
                      <w:szCs w:val="21"/>
                      <w:u w:val="none"/>
                      <w:lang w:val="en-US" w:eastAsia="zh-CN" w:bidi="ar"/>
                    </w:rPr>
                    <w:t>282761</w:t>
                  </w:r>
                </w:p>
              </w:tc>
            </w:tr>
            <w:tr w14:paraId="6B447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299" w:type="dxa"/>
                  <w:noWrap w:val="0"/>
                  <w:vAlign w:val="center"/>
                </w:tcPr>
                <w:p w14:paraId="3D0E86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B050"/>
                      <w:sz w:val="21"/>
                      <w:szCs w:val="21"/>
                      <w:vertAlign w:val="baseline"/>
                      <w:lang w:val="en-US" w:eastAsia="zh-CN"/>
                    </w:rPr>
                  </w:pPr>
                  <w:r>
                    <w:rPr>
                      <w:rFonts w:hint="eastAsia" w:ascii="Times New Roman" w:hAnsi="Times New Roman" w:eastAsia="宋体" w:cs="Times New Roman"/>
                      <w:b w:val="0"/>
                      <w:bCs/>
                      <w:color w:val="00B050"/>
                      <w:sz w:val="21"/>
                      <w:szCs w:val="21"/>
                      <w:vertAlign w:val="baseline"/>
                      <w:lang w:val="en-US" w:eastAsia="zh-CN"/>
                    </w:rPr>
                    <w:t>合计</w:t>
                  </w:r>
                </w:p>
              </w:tc>
              <w:tc>
                <w:tcPr>
                  <w:tcW w:w="1370" w:type="dxa"/>
                  <w:noWrap w:val="0"/>
                  <w:vAlign w:val="center"/>
                </w:tcPr>
                <w:p w14:paraId="724953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B050"/>
                      <w:sz w:val="21"/>
                      <w:szCs w:val="21"/>
                      <w:vertAlign w:val="baseline"/>
                      <w:lang w:val="en-US" w:eastAsia="zh-CN"/>
                    </w:rPr>
                  </w:pPr>
                  <w:r>
                    <w:rPr>
                      <w:rFonts w:hint="eastAsia" w:cs="Times New Roman"/>
                      <w:b w:val="0"/>
                      <w:bCs/>
                      <w:color w:val="00B050"/>
                      <w:sz w:val="21"/>
                      <w:szCs w:val="21"/>
                      <w:vertAlign w:val="baseline"/>
                      <w:lang w:val="en-US" w:eastAsia="zh-CN"/>
                    </w:rPr>
                    <w:t>325831</w:t>
                  </w:r>
                </w:p>
              </w:tc>
              <w:tc>
                <w:tcPr>
                  <w:tcW w:w="2630" w:type="dxa"/>
                  <w:noWrap w:val="0"/>
                  <w:vAlign w:val="center"/>
                </w:tcPr>
                <w:p w14:paraId="57C072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B050"/>
                      <w:sz w:val="21"/>
                      <w:szCs w:val="21"/>
                      <w:vertAlign w:val="baseline"/>
                      <w:lang w:val="en-US" w:eastAsia="zh-CN"/>
                    </w:rPr>
                  </w:pPr>
                  <w:r>
                    <w:rPr>
                      <w:rFonts w:hint="eastAsia" w:ascii="Times New Roman" w:hAnsi="Times New Roman" w:eastAsia="宋体" w:cs="Times New Roman"/>
                      <w:b w:val="0"/>
                      <w:bCs/>
                      <w:color w:val="00B050"/>
                      <w:sz w:val="21"/>
                      <w:szCs w:val="21"/>
                      <w:vertAlign w:val="baseline"/>
                      <w:lang w:val="en-US" w:eastAsia="zh-CN"/>
                    </w:rPr>
                    <w:t>合计</w:t>
                  </w:r>
                </w:p>
              </w:tc>
              <w:tc>
                <w:tcPr>
                  <w:tcW w:w="1540" w:type="dxa"/>
                  <w:noWrap w:val="0"/>
                  <w:vAlign w:val="center"/>
                </w:tcPr>
                <w:p w14:paraId="3787D1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B050"/>
                      <w:sz w:val="21"/>
                      <w:szCs w:val="21"/>
                      <w:vertAlign w:val="baseline"/>
                      <w:lang w:val="en-US" w:eastAsia="zh-CN"/>
                    </w:rPr>
                  </w:pPr>
                  <w:r>
                    <w:rPr>
                      <w:rFonts w:hint="eastAsia" w:ascii="Times New Roman" w:hAnsi="Times New Roman" w:eastAsia="宋体" w:cs="Times New Roman"/>
                      <w:b w:val="0"/>
                      <w:bCs/>
                      <w:color w:val="00B050"/>
                      <w:sz w:val="21"/>
                      <w:szCs w:val="21"/>
                      <w:vertAlign w:val="baseline"/>
                      <w:lang w:val="en-US" w:eastAsia="zh-CN"/>
                    </w:rPr>
                    <w:t>325831</w:t>
                  </w:r>
                </w:p>
              </w:tc>
            </w:tr>
          </w:tbl>
          <w:p w14:paraId="4CDAACF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textAlignment w:val="auto"/>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b/>
                <w:bCs/>
                <w:color w:val="000000" w:themeColor="text1"/>
                <w:sz w:val="21"/>
                <w:szCs w:val="21"/>
                <w:lang w:val="en-US" w:eastAsia="zh-CN"/>
              </w:rPr>
              <w:t>6、劳动定员及工作制度</w:t>
            </w:r>
          </w:p>
          <w:p w14:paraId="7938F427">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textAlignment w:val="auto"/>
              <w:rPr>
                <w:rFonts w:hint="default" w:ascii="Times New Roman" w:hAnsi="Times New Roman" w:eastAsia="宋体" w:cs="Times New Roman"/>
                <w:color w:val="000000" w:themeColor="text1"/>
                <w:kern w:val="2"/>
                <w:sz w:val="21"/>
                <w:szCs w:val="21"/>
                <w:lang w:val="en-US" w:eastAsia="zh-CN" w:bidi="ar"/>
              </w:rPr>
            </w:pPr>
            <w:r>
              <w:rPr>
                <w:rFonts w:hint="eastAsia" w:ascii="Times New Roman" w:hAnsi="Times New Roman" w:eastAsia="宋体" w:cs="Times New Roman"/>
                <w:color w:val="000000" w:themeColor="text1"/>
                <w:kern w:val="2"/>
                <w:sz w:val="21"/>
                <w:szCs w:val="21"/>
                <w:lang w:val="en-US" w:eastAsia="zh-CN" w:bidi="ar"/>
              </w:rPr>
              <w:t>劳动定员：40人；其中管理人员10人在厂内食宿，其他人员由周边招募，不提供食宿。</w:t>
            </w:r>
          </w:p>
          <w:p w14:paraId="3F4688CD">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textAlignment w:val="auto"/>
              <w:rPr>
                <w:rFonts w:hint="default" w:cs="Times New Roman"/>
                <w:color w:val="000000" w:themeColor="text1"/>
                <w:sz w:val="21"/>
                <w:szCs w:val="21"/>
                <w:lang w:val="en-US" w:eastAsia="zh-CN"/>
              </w:rPr>
            </w:pPr>
            <w:r>
              <w:rPr>
                <w:rFonts w:hint="eastAsia" w:ascii="Times New Roman" w:hAnsi="Times New Roman" w:eastAsia="宋体" w:cs="Times New Roman"/>
                <w:color w:val="000000" w:themeColor="text1"/>
                <w:kern w:val="2"/>
                <w:sz w:val="21"/>
                <w:szCs w:val="21"/>
                <w:lang w:val="en-US" w:eastAsia="zh-CN" w:bidi="ar"/>
              </w:rPr>
              <w:t>工作制度：年工作</w:t>
            </w:r>
            <w:r>
              <w:rPr>
                <w:rFonts w:hint="default" w:ascii="Times New Roman" w:hAnsi="Times New Roman" w:eastAsia="宋体" w:cs="Times New Roman"/>
                <w:color w:val="000000" w:themeColor="text1"/>
                <w:kern w:val="2"/>
                <w:sz w:val="21"/>
                <w:szCs w:val="21"/>
                <w:lang w:val="en-US" w:eastAsia="zh-CN" w:bidi="ar"/>
              </w:rPr>
              <w:t>300</w:t>
            </w:r>
            <w:r>
              <w:rPr>
                <w:rFonts w:hint="eastAsia" w:ascii="Times New Roman" w:hAnsi="Times New Roman" w:eastAsia="宋体" w:cs="Times New Roman"/>
                <w:color w:val="000000" w:themeColor="text1"/>
                <w:kern w:val="2"/>
                <w:sz w:val="21"/>
                <w:szCs w:val="21"/>
                <w:lang w:val="en-US" w:eastAsia="zh-CN" w:bidi="ar"/>
              </w:rPr>
              <w:t>天，每天工作24小时，单班</w:t>
            </w:r>
            <w:r>
              <w:rPr>
                <w:rFonts w:hint="default" w:ascii="Times New Roman" w:hAnsi="Times New Roman" w:eastAsia="宋体" w:cs="Times New Roman"/>
                <w:color w:val="000000" w:themeColor="text1"/>
                <w:kern w:val="2"/>
                <w:sz w:val="21"/>
                <w:szCs w:val="21"/>
                <w:lang w:val="en-US" w:eastAsia="zh-CN" w:bidi="ar"/>
              </w:rPr>
              <w:t>8h</w:t>
            </w:r>
            <w:r>
              <w:rPr>
                <w:rFonts w:hint="eastAsia" w:ascii="Times New Roman" w:hAnsi="Times New Roman" w:eastAsia="宋体" w:cs="Times New Roman"/>
                <w:color w:val="000000" w:themeColor="text1"/>
                <w:kern w:val="2"/>
                <w:sz w:val="21"/>
                <w:szCs w:val="21"/>
                <w:lang w:val="en-US" w:eastAsia="zh-CN" w:bidi="ar"/>
              </w:rPr>
              <w:t>，年工作7200h。</w:t>
            </w:r>
          </w:p>
          <w:p w14:paraId="05A7DEC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textAlignment w:val="auto"/>
              <w:rPr>
                <w:rFonts w:hint="default" w:ascii="Times New Roman" w:hAnsi="Times New Roman" w:cs="Times New Roman"/>
                <w:b/>
                <w:bCs/>
                <w:color w:val="000000" w:themeColor="text1"/>
                <w:sz w:val="21"/>
                <w:szCs w:val="21"/>
              </w:rPr>
            </w:pPr>
            <w:r>
              <w:rPr>
                <w:rFonts w:hint="eastAsia" w:ascii="Times New Roman" w:hAnsi="Times New Roman" w:cs="Times New Roman"/>
                <w:b/>
                <w:bCs/>
                <w:color w:val="000000" w:themeColor="text1"/>
                <w:sz w:val="21"/>
                <w:szCs w:val="21"/>
                <w:lang w:val="en-US" w:eastAsia="zh-CN"/>
              </w:rPr>
              <w:t>7、</w:t>
            </w:r>
            <w:r>
              <w:rPr>
                <w:rFonts w:hint="default" w:ascii="Times New Roman" w:hAnsi="Times New Roman" w:cs="Times New Roman"/>
                <w:b/>
                <w:bCs/>
                <w:color w:val="000000" w:themeColor="text1"/>
                <w:sz w:val="21"/>
                <w:szCs w:val="21"/>
              </w:rPr>
              <w:t>项目水量平衡</w:t>
            </w:r>
          </w:p>
          <w:p w14:paraId="3C6B28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firstLineChars="200"/>
              <w:textAlignment w:val="auto"/>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（1）给水</w:t>
            </w:r>
          </w:p>
          <w:p w14:paraId="09A980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运营期项目主要用水分为生产用水和生活用水。</w:t>
            </w:r>
          </w:p>
          <w:p w14:paraId="32B3C8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firstLineChars="200"/>
              <w:textAlignment w:val="auto"/>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1）生产用水</w:t>
            </w:r>
          </w:p>
          <w:p w14:paraId="16F93D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①</w:t>
            </w:r>
            <w:r>
              <w:rPr>
                <w:rFonts w:hint="eastAsia" w:ascii="Times New Roman" w:hAnsi="Times New Roman" w:cs="Times New Roman"/>
                <w:color w:val="000000" w:themeColor="text1"/>
                <w:sz w:val="21"/>
                <w:szCs w:val="21"/>
                <w:lang w:val="en-US" w:eastAsia="zh-CN"/>
              </w:rPr>
              <w:t>制料</w:t>
            </w:r>
            <w:r>
              <w:rPr>
                <w:rFonts w:hint="default" w:ascii="Times New Roman" w:hAnsi="Times New Roman" w:cs="Times New Roman"/>
                <w:color w:val="000000" w:themeColor="text1"/>
                <w:sz w:val="21"/>
                <w:szCs w:val="21"/>
              </w:rPr>
              <w:t>用水</w:t>
            </w:r>
          </w:p>
          <w:p w14:paraId="563978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本项目</w:t>
            </w:r>
            <w:r>
              <w:rPr>
                <w:rFonts w:hint="eastAsia" w:ascii="Times New Roman" w:hAnsi="Times New Roman" w:cs="Times New Roman"/>
                <w:color w:val="000000" w:themeColor="text1"/>
                <w:sz w:val="21"/>
                <w:szCs w:val="21"/>
                <w:lang w:val="en-US" w:eastAsia="zh-CN"/>
              </w:rPr>
              <w:t>制料</w:t>
            </w:r>
            <w:r>
              <w:rPr>
                <w:rFonts w:hint="eastAsia" w:ascii="Times New Roman" w:hAnsi="Times New Roman" w:cs="Times New Roman"/>
                <w:color w:val="000000" w:themeColor="text1"/>
                <w:sz w:val="21"/>
                <w:szCs w:val="21"/>
              </w:rPr>
              <w:t>工序使用水力</w:t>
            </w:r>
            <w:r>
              <w:rPr>
                <w:rFonts w:hint="eastAsia" w:ascii="Times New Roman" w:hAnsi="Times New Roman" w:cs="Times New Roman"/>
                <w:color w:val="000000" w:themeColor="text1"/>
                <w:sz w:val="21"/>
                <w:szCs w:val="21"/>
                <w:lang w:val="en-US" w:eastAsia="zh-CN"/>
              </w:rPr>
              <w:t>制料</w:t>
            </w:r>
            <w:r>
              <w:rPr>
                <w:rFonts w:hint="eastAsia" w:ascii="Times New Roman" w:hAnsi="Times New Roman" w:cs="Times New Roman"/>
                <w:color w:val="000000" w:themeColor="text1"/>
                <w:sz w:val="21"/>
                <w:szCs w:val="21"/>
              </w:rPr>
              <w:t>机，将</w:t>
            </w:r>
            <w:r>
              <w:rPr>
                <w:rFonts w:hint="eastAsia" w:ascii="Times New Roman" w:hAnsi="Times New Roman" w:cs="Times New Roman"/>
                <w:color w:val="000000" w:themeColor="text1"/>
                <w:sz w:val="21"/>
                <w:szCs w:val="21"/>
                <w:lang w:val="en-US" w:eastAsia="zh-CN"/>
              </w:rPr>
              <w:t>原料废纸</w:t>
            </w:r>
            <w:r>
              <w:rPr>
                <w:rFonts w:hint="eastAsia" w:ascii="Times New Roman" w:hAnsi="Times New Roman" w:cs="Times New Roman"/>
                <w:color w:val="000000" w:themeColor="text1"/>
                <w:sz w:val="21"/>
                <w:szCs w:val="21"/>
              </w:rPr>
              <w:t>与水混合打碎</w:t>
            </w:r>
            <w:r>
              <w:rPr>
                <w:rFonts w:hint="eastAsia" w:ascii="Times New Roman" w:hAnsi="Times New Roman" w:cs="Times New Roman"/>
                <w:color w:val="000000" w:themeColor="text1"/>
                <w:sz w:val="21"/>
                <w:szCs w:val="21"/>
                <w:lang w:val="en-US" w:eastAsia="zh-CN"/>
              </w:rPr>
              <w:t>再使用搅拌机将其制</w:t>
            </w:r>
            <w:r>
              <w:rPr>
                <w:rFonts w:hint="eastAsia" w:ascii="Times New Roman" w:hAnsi="Times New Roman" w:cs="Times New Roman"/>
                <w:color w:val="000000" w:themeColor="text1"/>
                <w:sz w:val="21"/>
                <w:szCs w:val="21"/>
              </w:rPr>
              <w:t>成料</w:t>
            </w:r>
            <w:r>
              <w:rPr>
                <w:rFonts w:hint="eastAsia" w:ascii="Times New Roman" w:hAnsi="Times New Roman" w:cs="Times New Roman"/>
                <w:color w:val="000000" w:themeColor="text1"/>
                <w:sz w:val="21"/>
                <w:szCs w:val="21"/>
                <w:lang w:val="en-US" w:eastAsia="zh-CN"/>
              </w:rPr>
              <w:t>液</w:t>
            </w:r>
            <w:r>
              <w:rPr>
                <w:rFonts w:hint="eastAsia" w:ascii="Times New Roman" w:hAnsi="Times New Roman" w:cs="Times New Roman"/>
                <w:color w:val="000000" w:themeColor="text1"/>
                <w:sz w:val="21"/>
                <w:szCs w:val="21"/>
              </w:rPr>
              <w:t>，</w:t>
            </w:r>
            <w:r>
              <w:rPr>
                <w:rFonts w:hint="eastAsia" w:ascii="Times New Roman" w:hAnsi="Times New Roman" w:cs="Times New Roman"/>
                <w:color w:val="000000" w:themeColor="text1"/>
                <w:sz w:val="21"/>
                <w:szCs w:val="21"/>
                <w:lang w:val="en-US" w:eastAsia="zh-CN"/>
              </w:rPr>
              <w:t>在使用</w:t>
            </w:r>
            <w:r>
              <w:rPr>
                <w:rFonts w:hint="eastAsia" w:ascii="Times New Roman" w:hAnsi="Times New Roman" w:cs="Times New Roman"/>
                <w:color w:val="000000" w:themeColor="text1"/>
                <w:sz w:val="21"/>
                <w:szCs w:val="21"/>
              </w:rPr>
              <w:t>根据企业提供的资料，该工序包装箱废纸片和水的用量比例为</w:t>
            </w:r>
            <w:r>
              <w:rPr>
                <w:rFonts w:hint="eastAsia" w:ascii="Times New Roman" w:hAnsi="Times New Roman" w:cs="Times New Roman"/>
                <w:color w:val="000000" w:themeColor="text1"/>
                <w:sz w:val="21"/>
                <w:szCs w:val="21"/>
                <w:lang w:val="en-US" w:eastAsia="zh-CN"/>
              </w:rPr>
              <w:t>8</w:t>
            </w:r>
            <w:r>
              <w:rPr>
                <w:rFonts w:hint="eastAsia" w:ascii="Times New Roman" w:hAnsi="Times New Roman" w:cs="Times New Roman"/>
                <w:color w:val="000000" w:themeColor="text1"/>
                <w:sz w:val="21"/>
                <w:szCs w:val="21"/>
              </w:rPr>
              <w:t>:</w:t>
            </w:r>
            <w:r>
              <w:rPr>
                <w:rFonts w:hint="eastAsia" w:ascii="Times New Roman" w:hAnsi="Times New Roman" w:cs="Times New Roman"/>
                <w:color w:val="000000" w:themeColor="text1"/>
                <w:sz w:val="21"/>
                <w:szCs w:val="21"/>
                <w:lang w:val="en-US" w:eastAsia="zh-CN"/>
              </w:rPr>
              <w:t>100</w:t>
            </w:r>
            <w:r>
              <w:rPr>
                <w:rFonts w:hint="eastAsia" w:ascii="Times New Roman" w:hAnsi="Times New Roman" w:cs="Times New Roman"/>
                <w:color w:val="000000" w:themeColor="text1"/>
                <w:sz w:val="21"/>
                <w:szCs w:val="21"/>
              </w:rPr>
              <w:t>，项目</w:t>
            </w:r>
            <w:r>
              <w:rPr>
                <w:rFonts w:hint="eastAsia" w:ascii="Times New Roman" w:hAnsi="Times New Roman" w:cs="Times New Roman"/>
                <w:color w:val="000000" w:themeColor="text1"/>
                <w:sz w:val="21"/>
                <w:szCs w:val="21"/>
                <w:lang w:val="en-US" w:eastAsia="zh-CN"/>
              </w:rPr>
              <w:t>废</w:t>
            </w:r>
            <w:r>
              <w:rPr>
                <w:rFonts w:hint="eastAsia" w:ascii="Times New Roman" w:hAnsi="Times New Roman" w:cs="Times New Roman"/>
                <w:color w:val="000000" w:themeColor="text1"/>
                <w:sz w:val="21"/>
                <w:szCs w:val="21"/>
              </w:rPr>
              <w:t>纸使用量为</w:t>
            </w:r>
            <w:r>
              <w:rPr>
                <w:rFonts w:hint="eastAsia" w:ascii="Times New Roman" w:hAnsi="Times New Roman" w:cs="Times New Roman"/>
                <w:color w:val="000000" w:themeColor="text1"/>
                <w:sz w:val="21"/>
                <w:szCs w:val="21"/>
                <w:lang w:val="en-US" w:eastAsia="zh-CN"/>
              </w:rPr>
              <w:t>24000t</w:t>
            </w:r>
            <w:r>
              <w:rPr>
                <w:rFonts w:hint="eastAsia" w:ascii="Times New Roman" w:hAnsi="Times New Roman" w:cs="Times New Roman"/>
                <w:color w:val="000000" w:themeColor="text1"/>
                <w:sz w:val="21"/>
                <w:szCs w:val="21"/>
              </w:rPr>
              <w:t>/a，则</w:t>
            </w:r>
            <w:r>
              <w:rPr>
                <w:rFonts w:hint="eastAsia" w:ascii="Times New Roman" w:hAnsi="Times New Roman" w:cs="Times New Roman"/>
                <w:color w:val="000000" w:themeColor="text1"/>
                <w:sz w:val="21"/>
                <w:szCs w:val="21"/>
                <w:lang w:val="en-US" w:eastAsia="zh-CN"/>
              </w:rPr>
              <w:t>制料</w:t>
            </w:r>
            <w:r>
              <w:rPr>
                <w:rFonts w:hint="eastAsia" w:ascii="Times New Roman" w:hAnsi="Times New Roman" w:cs="Times New Roman"/>
                <w:color w:val="000000" w:themeColor="text1"/>
                <w:sz w:val="21"/>
                <w:szCs w:val="21"/>
              </w:rPr>
              <w:t>用水量为</w:t>
            </w:r>
            <w:r>
              <w:rPr>
                <w:rFonts w:hint="eastAsia" w:ascii="Times New Roman" w:hAnsi="Times New Roman" w:cs="Times New Roman"/>
                <w:color w:val="000000" w:themeColor="text1"/>
                <w:sz w:val="21"/>
                <w:szCs w:val="21"/>
                <w:lang w:val="en-US" w:eastAsia="zh-CN"/>
              </w:rPr>
              <w:t>300000</w:t>
            </w:r>
            <w:r>
              <w:rPr>
                <w:rFonts w:hint="eastAsia" w:ascii="Times New Roman" w:hAnsi="Times New Roman" w:cs="Times New Roman"/>
                <w:color w:val="000000" w:themeColor="text1"/>
                <w:sz w:val="21"/>
                <w:szCs w:val="21"/>
              </w:rPr>
              <w:t>m</w:t>
            </w:r>
            <w:r>
              <w:rPr>
                <w:rFonts w:hint="eastAsia" w:ascii="Times New Roman" w:hAnsi="Times New Roman" w:cs="Times New Roman"/>
                <w:color w:val="000000" w:themeColor="text1"/>
                <w:sz w:val="21"/>
                <w:szCs w:val="21"/>
                <w:vertAlign w:val="superscript"/>
              </w:rPr>
              <w:t>3</w:t>
            </w:r>
            <w:r>
              <w:rPr>
                <w:rFonts w:hint="eastAsia" w:ascii="Times New Roman" w:hAnsi="Times New Roman" w:cs="Times New Roman"/>
                <w:color w:val="000000" w:themeColor="text1"/>
                <w:sz w:val="21"/>
                <w:szCs w:val="21"/>
              </w:rPr>
              <w:t>/a（</w:t>
            </w:r>
            <w:r>
              <w:rPr>
                <w:rFonts w:hint="eastAsia" w:ascii="Times New Roman" w:hAnsi="Times New Roman" w:cs="Times New Roman"/>
                <w:color w:val="000000" w:themeColor="text1"/>
                <w:sz w:val="21"/>
                <w:szCs w:val="21"/>
                <w:lang w:val="en-US" w:eastAsia="zh-CN"/>
              </w:rPr>
              <w:t>1000</w:t>
            </w:r>
            <w:r>
              <w:rPr>
                <w:rFonts w:hint="eastAsia" w:ascii="Times New Roman" w:hAnsi="Times New Roman" w:cs="Times New Roman"/>
                <w:color w:val="000000" w:themeColor="text1"/>
                <w:sz w:val="21"/>
                <w:szCs w:val="21"/>
              </w:rPr>
              <w:t>m</w:t>
            </w:r>
            <w:r>
              <w:rPr>
                <w:rFonts w:hint="eastAsia" w:ascii="Times New Roman" w:hAnsi="Times New Roman" w:cs="Times New Roman"/>
                <w:color w:val="000000" w:themeColor="text1"/>
                <w:sz w:val="21"/>
                <w:szCs w:val="21"/>
                <w:vertAlign w:val="superscript"/>
              </w:rPr>
              <w:t>3</w:t>
            </w:r>
            <w:r>
              <w:rPr>
                <w:rFonts w:hint="eastAsia" w:ascii="Times New Roman" w:hAnsi="Times New Roman" w:cs="Times New Roman"/>
                <w:color w:val="000000" w:themeColor="text1"/>
                <w:sz w:val="21"/>
                <w:szCs w:val="21"/>
              </w:rPr>
              <w:t>/d），</w:t>
            </w:r>
            <w:r>
              <w:rPr>
                <w:rFonts w:hint="eastAsia" w:ascii="Times New Roman" w:hAnsi="Times New Roman" w:cs="Times New Roman"/>
                <w:color w:val="000000" w:themeColor="text1"/>
                <w:sz w:val="21"/>
                <w:szCs w:val="21"/>
                <w:lang w:val="en-US" w:eastAsia="zh-CN"/>
              </w:rPr>
              <w:t>制料</w:t>
            </w:r>
            <w:r>
              <w:rPr>
                <w:rFonts w:hint="eastAsia" w:ascii="Times New Roman" w:hAnsi="Times New Roman" w:cs="Times New Roman"/>
                <w:color w:val="000000" w:themeColor="text1"/>
                <w:sz w:val="21"/>
                <w:szCs w:val="21"/>
              </w:rPr>
              <w:t>过程约有5%（</w:t>
            </w:r>
            <w:r>
              <w:rPr>
                <w:rFonts w:hint="eastAsia" w:ascii="Times New Roman" w:hAnsi="Times New Roman" w:cs="Times New Roman"/>
                <w:color w:val="000000" w:themeColor="text1"/>
                <w:sz w:val="21"/>
                <w:szCs w:val="21"/>
                <w:lang w:val="en-US" w:eastAsia="zh-CN"/>
              </w:rPr>
              <w:t>15000</w:t>
            </w:r>
            <w:r>
              <w:rPr>
                <w:rFonts w:hint="eastAsia" w:ascii="Times New Roman" w:hAnsi="Times New Roman" w:cs="Times New Roman"/>
                <w:color w:val="000000" w:themeColor="text1"/>
                <w:sz w:val="21"/>
                <w:szCs w:val="21"/>
              </w:rPr>
              <w:t>m</w:t>
            </w:r>
            <w:r>
              <w:rPr>
                <w:rFonts w:hint="eastAsia" w:ascii="Times New Roman" w:hAnsi="Times New Roman" w:cs="Times New Roman"/>
                <w:color w:val="000000" w:themeColor="text1"/>
                <w:sz w:val="21"/>
                <w:szCs w:val="21"/>
                <w:vertAlign w:val="superscript"/>
              </w:rPr>
              <w:t>3</w:t>
            </w:r>
            <w:r>
              <w:rPr>
                <w:rFonts w:hint="eastAsia" w:ascii="Times New Roman" w:hAnsi="Times New Roman" w:cs="Times New Roman"/>
                <w:color w:val="000000" w:themeColor="text1"/>
                <w:sz w:val="21"/>
                <w:szCs w:val="21"/>
              </w:rPr>
              <w:t>/a，</w:t>
            </w:r>
            <w:r>
              <w:rPr>
                <w:rFonts w:hint="eastAsia" w:ascii="Times New Roman" w:hAnsi="Times New Roman" w:cs="Times New Roman"/>
                <w:color w:val="000000" w:themeColor="text1"/>
                <w:sz w:val="21"/>
                <w:szCs w:val="21"/>
                <w:lang w:val="en-US" w:eastAsia="zh-CN"/>
              </w:rPr>
              <w:t>50</w:t>
            </w:r>
            <w:r>
              <w:rPr>
                <w:rFonts w:hint="eastAsia" w:ascii="Times New Roman" w:hAnsi="Times New Roman" w:cs="Times New Roman"/>
                <w:color w:val="000000" w:themeColor="text1"/>
                <w:sz w:val="21"/>
                <w:szCs w:val="21"/>
              </w:rPr>
              <w:t>m</w:t>
            </w:r>
            <w:r>
              <w:rPr>
                <w:rFonts w:hint="eastAsia" w:ascii="Times New Roman" w:hAnsi="Times New Roman" w:cs="Times New Roman"/>
                <w:color w:val="000000" w:themeColor="text1"/>
                <w:sz w:val="21"/>
                <w:szCs w:val="21"/>
                <w:vertAlign w:val="superscript"/>
              </w:rPr>
              <w:t>3</w:t>
            </w:r>
            <w:r>
              <w:rPr>
                <w:rFonts w:hint="eastAsia" w:ascii="Times New Roman" w:hAnsi="Times New Roman" w:cs="Times New Roman"/>
                <w:color w:val="000000" w:themeColor="text1"/>
                <w:sz w:val="21"/>
                <w:szCs w:val="21"/>
              </w:rPr>
              <w:t>/d）的水在周转过程中蒸发损耗，剩余95%（</w:t>
            </w:r>
            <w:r>
              <w:rPr>
                <w:rFonts w:hint="eastAsia" w:ascii="Times New Roman" w:hAnsi="Times New Roman" w:cs="Times New Roman"/>
                <w:color w:val="000000" w:themeColor="text1"/>
                <w:sz w:val="21"/>
                <w:szCs w:val="21"/>
                <w:lang w:val="en-US" w:eastAsia="zh-CN"/>
              </w:rPr>
              <w:t>285000</w:t>
            </w:r>
            <w:r>
              <w:rPr>
                <w:rFonts w:hint="eastAsia" w:ascii="Times New Roman" w:hAnsi="Times New Roman" w:cs="Times New Roman"/>
                <w:color w:val="000000" w:themeColor="text1"/>
                <w:sz w:val="21"/>
                <w:szCs w:val="21"/>
              </w:rPr>
              <w:t>m</w:t>
            </w:r>
            <w:r>
              <w:rPr>
                <w:rFonts w:hint="eastAsia" w:ascii="Times New Roman" w:hAnsi="Times New Roman" w:cs="Times New Roman"/>
                <w:color w:val="000000" w:themeColor="text1"/>
                <w:sz w:val="21"/>
                <w:szCs w:val="21"/>
                <w:vertAlign w:val="superscript"/>
              </w:rPr>
              <w:t>3</w:t>
            </w:r>
            <w:r>
              <w:rPr>
                <w:rFonts w:hint="eastAsia" w:ascii="Times New Roman" w:hAnsi="Times New Roman" w:cs="Times New Roman"/>
                <w:color w:val="000000" w:themeColor="text1"/>
                <w:sz w:val="21"/>
                <w:szCs w:val="21"/>
              </w:rPr>
              <w:t>/a，</w:t>
            </w:r>
            <w:r>
              <w:rPr>
                <w:rFonts w:hint="eastAsia" w:ascii="Times New Roman" w:hAnsi="Times New Roman" w:cs="Times New Roman"/>
                <w:color w:val="000000" w:themeColor="text1"/>
                <w:sz w:val="21"/>
                <w:szCs w:val="21"/>
                <w:lang w:val="en-US" w:eastAsia="zh-CN"/>
              </w:rPr>
              <w:t>950</w:t>
            </w:r>
            <w:r>
              <w:rPr>
                <w:rFonts w:hint="eastAsia" w:ascii="Times New Roman" w:hAnsi="Times New Roman" w:cs="Times New Roman"/>
                <w:color w:val="000000" w:themeColor="text1"/>
                <w:sz w:val="21"/>
                <w:szCs w:val="21"/>
              </w:rPr>
              <w:t>m</w:t>
            </w:r>
            <w:r>
              <w:rPr>
                <w:rFonts w:hint="eastAsia" w:ascii="Times New Roman" w:hAnsi="Times New Roman" w:cs="Times New Roman"/>
                <w:color w:val="000000" w:themeColor="text1"/>
                <w:sz w:val="21"/>
                <w:szCs w:val="21"/>
                <w:vertAlign w:val="superscript"/>
              </w:rPr>
              <w:t>3</w:t>
            </w:r>
            <w:r>
              <w:rPr>
                <w:rFonts w:hint="eastAsia" w:ascii="Times New Roman" w:hAnsi="Times New Roman" w:cs="Times New Roman"/>
                <w:color w:val="000000" w:themeColor="text1"/>
                <w:sz w:val="21"/>
                <w:szCs w:val="21"/>
              </w:rPr>
              <w:t>/d）的水分进入下一道工序。</w:t>
            </w:r>
          </w:p>
          <w:p w14:paraId="42E7AA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rPr>
              <w:t>②</w:t>
            </w:r>
            <w:r>
              <w:rPr>
                <w:rFonts w:hint="eastAsia" w:cs="Times New Roman"/>
                <w:color w:val="000000" w:themeColor="text1"/>
                <w:sz w:val="21"/>
                <w:szCs w:val="21"/>
                <w:lang w:eastAsia="zh-CN"/>
              </w:rPr>
              <w:t>成型机水环真空泵冷却</w:t>
            </w:r>
            <w:r>
              <w:rPr>
                <w:rFonts w:hint="eastAsia" w:ascii="Times New Roman" w:hAnsi="Times New Roman" w:cs="Times New Roman"/>
                <w:color w:val="000000" w:themeColor="text1"/>
                <w:sz w:val="21"/>
                <w:szCs w:val="21"/>
                <w:lang w:val="en-US" w:eastAsia="zh-CN"/>
              </w:rPr>
              <w:t>用水</w:t>
            </w:r>
          </w:p>
          <w:p w14:paraId="79B957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cs="Times New Roman"/>
                <w:color w:val="000000" w:themeColor="text1"/>
                <w:sz w:val="21"/>
                <w:szCs w:val="21"/>
                <w:highlight w:val="none"/>
                <w:lang w:val="en-US"/>
              </w:rPr>
            </w:pPr>
            <w:r>
              <w:rPr>
                <w:rFonts w:hint="default" w:ascii="宋体" w:hAnsi="宋体" w:eastAsia="宋体" w:cs="宋体"/>
                <w:color w:val="000000" w:themeColor="text1"/>
                <w:sz w:val="21"/>
                <w:szCs w:val="21"/>
              </w:rPr>
              <w:t>项目使用真空泵，在成型机以正负压系统辅助，使</w:t>
            </w:r>
            <w:r>
              <w:rPr>
                <w:rFonts w:hint="eastAsia" w:ascii="宋体" w:hAnsi="宋体" w:eastAsia="宋体" w:cs="宋体"/>
                <w:color w:val="000000" w:themeColor="text1"/>
                <w:sz w:val="21"/>
                <w:szCs w:val="21"/>
                <w:lang w:val="en-US" w:eastAsia="zh-CN"/>
              </w:rPr>
              <w:t>料液中的纤维</w:t>
            </w:r>
            <w:r>
              <w:rPr>
                <w:rFonts w:hint="default" w:ascii="宋体" w:hAnsi="宋体" w:eastAsia="宋体" w:cs="宋体"/>
                <w:color w:val="000000" w:themeColor="text1"/>
                <w:sz w:val="21"/>
                <w:szCs w:val="21"/>
              </w:rPr>
              <w:t>均匀的分布在模具上，真空泵使用过程中需要进行冷却</w:t>
            </w:r>
            <w:r>
              <w:rPr>
                <w:rFonts w:hint="eastAsia" w:ascii="宋体" w:hAnsi="宋体" w:eastAsia="宋体" w:cs="宋体"/>
                <w:color w:val="000000" w:themeColor="text1"/>
                <w:sz w:val="21"/>
                <w:szCs w:val="21"/>
                <w:lang w:eastAsia="zh-CN"/>
              </w:rPr>
              <w:t>，</w:t>
            </w:r>
            <w:r>
              <w:rPr>
                <w:rFonts w:hint="eastAsia" w:ascii="宋体" w:hAnsi="宋体" w:eastAsia="宋体" w:cs="宋体"/>
                <w:color w:val="000000" w:themeColor="text1"/>
                <w:sz w:val="21"/>
                <w:szCs w:val="21"/>
                <w:lang w:val="en-US" w:eastAsia="zh-CN"/>
              </w:rPr>
              <w:t>该冷却水经回流管道回用于制料工序</w:t>
            </w:r>
            <w:r>
              <w:rPr>
                <w:rFonts w:hint="default" w:ascii="宋体" w:hAnsi="宋体" w:eastAsia="宋体" w:cs="宋体"/>
                <w:color w:val="000000" w:themeColor="text1"/>
                <w:sz w:val="21"/>
                <w:szCs w:val="21"/>
              </w:rPr>
              <w:t>。</w:t>
            </w:r>
            <w:r>
              <w:rPr>
                <w:rFonts w:hint="eastAsia" w:ascii="宋体" w:hAnsi="宋体" w:eastAsia="宋体" w:cs="宋体"/>
                <w:color w:val="000000" w:themeColor="text1"/>
                <w:sz w:val="21"/>
                <w:szCs w:val="21"/>
                <w:lang w:val="en-US" w:eastAsia="zh-CN"/>
              </w:rPr>
              <w:t>真空泵</w:t>
            </w:r>
            <w:r>
              <w:rPr>
                <w:rFonts w:hint="default" w:ascii="宋体" w:hAnsi="宋体" w:eastAsia="宋体" w:cs="宋体"/>
                <w:color w:val="000000" w:themeColor="text1"/>
                <w:sz w:val="21"/>
                <w:szCs w:val="21"/>
              </w:rPr>
              <w:t>用</w:t>
            </w:r>
            <w:r>
              <w:rPr>
                <w:rFonts w:hint="default" w:ascii="Times New Roman" w:hAnsi="Times New Roman" w:eastAsia="宋体" w:cs="Times New Roman"/>
                <w:color w:val="000000" w:themeColor="text1"/>
                <w:sz w:val="21"/>
                <w:szCs w:val="21"/>
                <w:lang w:val="en-US" w:eastAsia="zh-CN"/>
              </w:rPr>
              <w:t>水</w:t>
            </w:r>
            <w:r>
              <w:rPr>
                <w:rFonts w:hint="default" w:ascii="Times New Roman" w:hAnsi="Times New Roman" w:eastAsia="宋体" w:cs="Times New Roman"/>
                <w:color w:val="000000" w:themeColor="text1"/>
                <w:sz w:val="21"/>
                <w:szCs w:val="21"/>
              </w:rPr>
              <w:t>量为</w:t>
            </w:r>
            <w:r>
              <w:rPr>
                <w:rFonts w:hint="default" w:ascii="Times New Roman" w:hAnsi="Times New Roman" w:eastAsia="宋体" w:cs="Times New Roman"/>
                <w:color w:val="000000" w:themeColor="text1"/>
                <w:sz w:val="21"/>
                <w:szCs w:val="21"/>
                <w:lang w:val="en-US" w:eastAsia="zh-CN"/>
              </w:rPr>
              <w:t>1.5</w:t>
            </w:r>
            <w:r>
              <w:rPr>
                <w:rFonts w:hint="default" w:ascii="Times New Roman" w:hAnsi="Times New Roman" w:eastAsia="宋体" w:cs="Times New Roman"/>
                <w:color w:val="000000" w:themeColor="text1"/>
                <w:sz w:val="21"/>
                <w:szCs w:val="21"/>
              </w:rPr>
              <w:t>m</w:t>
            </w:r>
            <w:r>
              <w:rPr>
                <w:rFonts w:hint="default" w:ascii="Times New Roman" w:hAnsi="Times New Roman" w:eastAsia="宋体" w:cs="Times New Roman"/>
                <w:color w:val="000000" w:themeColor="text1"/>
                <w:sz w:val="21"/>
                <w:szCs w:val="21"/>
                <w:vertAlign w:val="superscript"/>
              </w:rPr>
              <w:t>3</w:t>
            </w:r>
            <w:r>
              <w:rPr>
                <w:rFonts w:hint="default" w:ascii="Times New Roman" w:hAnsi="Times New Roman" w:eastAsia="宋体" w:cs="Times New Roman"/>
                <w:color w:val="000000" w:themeColor="text1"/>
                <w:sz w:val="21"/>
                <w:szCs w:val="21"/>
              </w:rPr>
              <w:t>/h</w:t>
            </w:r>
            <w:r>
              <w:rPr>
                <w:rFonts w:hint="default"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lang w:val="en-US" w:eastAsia="zh-CN"/>
              </w:rPr>
              <w:t>项目设置成型机三套，每天工作24小时，则冷却用水量为108m</w:t>
            </w:r>
            <w:r>
              <w:rPr>
                <w:rFonts w:hint="default" w:ascii="Times New Roman" w:hAnsi="Times New Roman" w:eastAsia="宋体" w:cs="Times New Roman"/>
                <w:color w:val="000000" w:themeColor="text1"/>
                <w:sz w:val="21"/>
                <w:szCs w:val="21"/>
                <w:vertAlign w:val="superscript"/>
                <w:lang w:val="en-US" w:eastAsia="zh-CN"/>
              </w:rPr>
              <w:t>3</w:t>
            </w:r>
            <w:r>
              <w:rPr>
                <w:rFonts w:hint="default" w:ascii="Times New Roman" w:hAnsi="Times New Roman" w:eastAsia="宋体" w:cs="Times New Roman"/>
                <w:color w:val="000000" w:themeColor="text1"/>
                <w:sz w:val="21"/>
                <w:szCs w:val="21"/>
                <w:lang w:val="en-US" w:eastAsia="zh-CN"/>
              </w:rPr>
              <w:t>/d。</w:t>
            </w:r>
          </w:p>
          <w:p w14:paraId="5D612F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2）生活用水</w:t>
            </w:r>
          </w:p>
          <w:p w14:paraId="79BF19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eastAsia"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根据建设单位提供的资料，本项目劳动定员</w:t>
            </w:r>
            <w:r>
              <w:rPr>
                <w:rFonts w:hint="eastAsia" w:ascii="Times New Roman" w:hAnsi="Times New Roman" w:cs="Times New Roman"/>
                <w:color w:val="000000" w:themeColor="text1"/>
                <w:sz w:val="21"/>
                <w:szCs w:val="21"/>
                <w:lang w:val="en-US" w:eastAsia="zh-CN"/>
              </w:rPr>
              <w:t>40</w:t>
            </w:r>
            <w:r>
              <w:rPr>
                <w:rFonts w:hint="default" w:ascii="Times New Roman" w:hAnsi="Times New Roman" w:cs="Times New Roman"/>
                <w:color w:val="000000" w:themeColor="text1"/>
                <w:sz w:val="21"/>
                <w:szCs w:val="21"/>
              </w:rPr>
              <w:t>人，</w:t>
            </w:r>
            <w:r>
              <w:rPr>
                <w:rFonts w:hint="eastAsia" w:ascii="Times New Roman" w:hAnsi="Times New Roman" w:cs="Times New Roman"/>
                <w:color w:val="000000" w:themeColor="text1"/>
                <w:sz w:val="21"/>
                <w:szCs w:val="21"/>
                <w:lang w:val="en-US" w:eastAsia="zh-CN"/>
              </w:rPr>
              <w:t>10</w:t>
            </w:r>
            <w:r>
              <w:rPr>
                <w:rFonts w:hint="default" w:ascii="Times New Roman" w:hAnsi="Times New Roman" w:cs="Times New Roman"/>
                <w:color w:val="000000" w:themeColor="text1"/>
                <w:sz w:val="21"/>
                <w:szCs w:val="21"/>
              </w:rPr>
              <w:t>人在厂区内食宿，年生产天数按300天计。项目投入运营后每天在厂区内食宿的工作人员的生活用水参考DB53/T 168-2019《云南省地方标准用水定额》标准，职工生活用水量按每人每天100L计，则职工生活用水为1.</w:t>
            </w:r>
            <w:r>
              <w:rPr>
                <w:rFonts w:hint="eastAsia" w:ascii="Times New Roman" w:hAnsi="Times New Roman" w:cs="Times New Roman"/>
                <w:color w:val="000000" w:themeColor="text1"/>
                <w:sz w:val="21"/>
                <w:szCs w:val="21"/>
                <w:lang w:val="en-US" w:eastAsia="zh-CN"/>
              </w:rPr>
              <w:t>0</w:t>
            </w:r>
            <w:r>
              <w:rPr>
                <w:rFonts w:hint="default" w:ascii="Times New Roman" w:hAnsi="Times New Roman" w:cs="Times New Roman"/>
                <w:color w:val="000000" w:themeColor="text1"/>
                <w:sz w:val="21"/>
                <w:szCs w:val="21"/>
              </w:rPr>
              <w:t>m³/d（</w:t>
            </w:r>
            <w:r>
              <w:rPr>
                <w:rFonts w:hint="eastAsia" w:ascii="Times New Roman" w:hAnsi="Times New Roman" w:cs="Times New Roman"/>
                <w:color w:val="000000" w:themeColor="text1"/>
                <w:sz w:val="21"/>
                <w:szCs w:val="21"/>
                <w:lang w:val="en-US" w:eastAsia="zh-CN"/>
              </w:rPr>
              <w:t>300</w:t>
            </w:r>
            <w:r>
              <w:rPr>
                <w:rFonts w:hint="default" w:ascii="Times New Roman" w:hAnsi="Times New Roman" w:cs="Times New Roman"/>
                <w:color w:val="000000" w:themeColor="text1"/>
                <w:sz w:val="21"/>
                <w:szCs w:val="21"/>
              </w:rPr>
              <w:t>m³/a）；不在厂区内食宿的工作人员用水参照DB53/T 168-2019《云南省地方标准用水定额》标准，国家行政机构办公楼（无食堂）用水量按30L/（人.d）计，用水量约为0.</w:t>
            </w:r>
            <w:r>
              <w:rPr>
                <w:rFonts w:hint="eastAsia" w:ascii="Times New Roman" w:hAnsi="Times New Roman" w:cs="Times New Roman"/>
                <w:color w:val="000000" w:themeColor="text1"/>
                <w:sz w:val="21"/>
                <w:szCs w:val="21"/>
                <w:lang w:val="en-US" w:eastAsia="zh-CN"/>
              </w:rPr>
              <w:t>90</w:t>
            </w:r>
            <w:r>
              <w:rPr>
                <w:rFonts w:hint="default" w:ascii="Times New Roman" w:hAnsi="Times New Roman" w:cs="Times New Roman"/>
                <w:color w:val="000000" w:themeColor="text1"/>
                <w:sz w:val="21"/>
                <w:szCs w:val="21"/>
              </w:rPr>
              <w:t>m³/d（</w:t>
            </w:r>
            <w:r>
              <w:rPr>
                <w:rFonts w:hint="eastAsia" w:ascii="Times New Roman" w:hAnsi="Times New Roman" w:cs="Times New Roman"/>
                <w:color w:val="000000" w:themeColor="text1"/>
                <w:sz w:val="21"/>
                <w:szCs w:val="21"/>
                <w:lang w:val="en-US" w:eastAsia="zh-CN"/>
              </w:rPr>
              <w:t>270</w:t>
            </w:r>
            <w:r>
              <w:rPr>
                <w:rFonts w:hint="default" w:ascii="Times New Roman" w:hAnsi="Times New Roman" w:cs="Times New Roman"/>
                <w:color w:val="000000" w:themeColor="text1"/>
                <w:sz w:val="21"/>
                <w:szCs w:val="21"/>
              </w:rPr>
              <w:t>m³/a）。故本项目生活总用水量为</w:t>
            </w:r>
            <w:r>
              <w:rPr>
                <w:rFonts w:hint="eastAsia" w:ascii="Times New Roman" w:hAnsi="Times New Roman" w:cs="Times New Roman"/>
                <w:color w:val="000000" w:themeColor="text1"/>
                <w:sz w:val="21"/>
                <w:szCs w:val="21"/>
                <w:lang w:val="en-US" w:eastAsia="zh-CN"/>
              </w:rPr>
              <w:t>1.9</w:t>
            </w:r>
            <w:r>
              <w:rPr>
                <w:rFonts w:hint="default" w:ascii="Times New Roman" w:hAnsi="Times New Roman" w:cs="Times New Roman"/>
                <w:color w:val="000000" w:themeColor="text1"/>
                <w:sz w:val="21"/>
                <w:szCs w:val="21"/>
              </w:rPr>
              <w:t>m³/d（</w:t>
            </w:r>
            <w:r>
              <w:rPr>
                <w:rFonts w:hint="eastAsia" w:ascii="Times New Roman" w:hAnsi="Times New Roman" w:cs="Times New Roman"/>
                <w:color w:val="000000" w:themeColor="text1"/>
                <w:sz w:val="21"/>
                <w:szCs w:val="21"/>
                <w:lang w:val="en-US" w:eastAsia="zh-CN"/>
              </w:rPr>
              <w:t>570</w:t>
            </w:r>
            <w:r>
              <w:rPr>
                <w:rFonts w:hint="default" w:ascii="Times New Roman" w:hAnsi="Times New Roman" w:cs="Times New Roman"/>
                <w:color w:val="000000" w:themeColor="text1"/>
                <w:sz w:val="21"/>
                <w:szCs w:val="21"/>
              </w:rPr>
              <w:t>m³/a）。</w:t>
            </w:r>
          </w:p>
          <w:p w14:paraId="12B108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firstLineChars="200"/>
              <w:textAlignment w:val="auto"/>
              <w:rPr>
                <w:rFonts w:hint="eastAsia" w:ascii="Times New Roman" w:hAnsi="Times New Roman" w:eastAsia="宋体" w:cs="Times New Roman"/>
                <w:b/>
                <w:bCs/>
                <w:color w:val="000000" w:themeColor="text1"/>
                <w:sz w:val="21"/>
                <w:szCs w:val="21"/>
                <w:lang w:eastAsia="zh-CN"/>
              </w:rPr>
            </w:pPr>
            <w:r>
              <w:rPr>
                <w:rFonts w:hint="default" w:ascii="Times New Roman" w:hAnsi="Times New Roman" w:cs="Times New Roman"/>
                <w:b/>
                <w:bCs/>
                <w:color w:val="000000" w:themeColor="text1"/>
                <w:sz w:val="21"/>
                <w:szCs w:val="21"/>
              </w:rPr>
              <w:t>（2）</w:t>
            </w:r>
            <w:r>
              <w:rPr>
                <w:rFonts w:hint="eastAsia" w:ascii="Times New Roman" w:hAnsi="Times New Roman" w:cs="Times New Roman"/>
                <w:b/>
                <w:bCs/>
                <w:color w:val="000000" w:themeColor="text1"/>
                <w:sz w:val="21"/>
                <w:szCs w:val="21"/>
                <w:lang w:val="en-US" w:eastAsia="zh-CN"/>
              </w:rPr>
              <w:t>废水</w:t>
            </w:r>
          </w:p>
          <w:p w14:paraId="56AC1B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eastAsia"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运营期项目不设实验室，不产生实验类废水</w:t>
            </w:r>
            <w:r>
              <w:rPr>
                <w:rFonts w:hint="eastAsia" w:ascii="Times New Roman" w:hAnsi="Times New Roman" w:cs="Times New Roman"/>
                <w:color w:val="000000" w:themeColor="text1"/>
                <w:sz w:val="21"/>
                <w:szCs w:val="21"/>
                <w:lang w:eastAsia="zh-CN"/>
              </w:rPr>
              <w:t>；</w:t>
            </w:r>
            <w:r>
              <w:rPr>
                <w:rFonts w:hint="eastAsia" w:ascii="Times New Roman" w:hAnsi="Times New Roman" w:cs="Times New Roman"/>
                <w:color w:val="000000" w:themeColor="text1"/>
                <w:sz w:val="21"/>
                <w:szCs w:val="21"/>
              </w:rPr>
              <w:t>项目区</w:t>
            </w:r>
            <w:r>
              <w:rPr>
                <w:rFonts w:hint="eastAsia" w:ascii="Times New Roman" w:hAnsi="Times New Roman" w:cs="Times New Roman"/>
                <w:color w:val="000000" w:themeColor="text1"/>
                <w:sz w:val="21"/>
                <w:szCs w:val="21"/>
                <w:lang w:val="en-US" w:eastAsia="zh-CN"/>
              </w:rPr>
              <w:t>设置生产车间</w:t>
            </w:r>
            <w:r>
              <w:rPr>
                <w:rFonts w:hint="eastAsia" w:ascii="Times New Roman" w:hAnsi="Times New Roman" w:cs="Times New Roman"/>
                <w:color w:val="000000" w:themeColor="text1"/>
                <w:sz w:val="21"/>
                <w:szCs w:val="21"/>
              </w:rPr>
              <w:t>，</w:t>
            </w:r>
            <w:r>
              <w:rPr>
                <w:rFonts w:hint="eastAsia" w:ascii="Times New Roman" w:hAnsi="Times New Roman" w:cs="Times New Roman"/>
                <w:color w:val="000000" w:themeColor="text1"/>
                <w:sz w:val="21"/>
                <w:szCs w:val="21"/>
                <w:lang w:val="en-US" w:eastAsia="zh-CN"/>
              </w:rPr>
              <w:t>生产</w:t>
            </w:r>
            <w:r>
              <w:rPr>
                <w:rFonts w:hint="eastAsia" w:ascii="Times New Roman" w:hAnsi="Times New Roman" w:cs="Times New Roman"/>
                <w:color w:val="000000" w:themeColor="text1"/>
                <w:sz w:val="21"/>
                <w:szCs w:val="21"/>
              </w:rPr>
              <w:t>加工</w:t>
            </w:r>
            <w:r>
              <w:rPr>
                <w:rFonts w:hint="eastAsia" w:cs="Times New Roman"/>
                <w:color w:val="000000" w:themeColor="text1"/>
                <w:sz w:val="21"/>
                <w:szCs w:val="21"/>
                <w:lang w:eastAsia="zh-CN"/>
              </w:rPr>
              <w:t>、</w:t>
            </w:r>
            <w:r>
              <w:rPr>
                <w:rFonts w:hint="eastAsia" w:ascii="Times New Roman" w:hAnsi="Times New Roman" w:cs="Times New Roman"/>
                <w:color w:val="000000" w:themeColor="text1"/>
                <w:sz w:val="21"/>
                <w:szCs w:val="21"/>
                <w:lang w:val="en-US" w:eastAsia="zh-CN"/>
              </w:rPr>
              <w:t>原</w:t>
            </w:r>
            <w:r>
              <w:rPr>
                <w:rFonts w:hint="eastAsia" w:cs="Times New Roman"/>
                <w:color w:val="000000" w:themeColor="text1"/>
                <w:sz w:val="21"/>
                <w:szCs w:val="21"/>
                <w:lang w:val="en-US" w:eastAsia="zh-CN"/>
              </w:rPr>
              <w:t>料、成品贮存均在车间内，</w:t>
            </w:r>
            <w:r>
              <w:rPr>
                <w:rFonts w:hint="eastAsia" w:ascii="Times New Roman" w:hAnsi="Times New Roman" w:cs="Times New Roman"/>
                <w:color w:val="000000" w:themeColor="text1"/>
                <w:sz w:val="21"/>
                <w:szCs w:val="21"/>
              </w:rPr>
              <w:t>不露天</w:t>
            </w:r>
            <w:r>
              <w:rPr>
                <w:rFonts w:hint="eastAsia" w:ascii="Times New Roman" w:hAnsi="Times New Roman" w:cs="Times New Roman"/>
                <w:color w:val="000000" w:themeColor="text1"/>
                <w:sz w:val="21"/>
                <w:szCs w:val="21"/>
                <w:lang w:val="en-US" w:eastAsia="zh-CN"/>
              </w:rPr>
              <w:t>堆存</w:t>
            </w:r>
            <w:r>
              <w:rPr>
                <w:rFonts w:hint="eastAsia" w:ascii="Times New Roman" w:hAnsi="Times New Roman" w:cs="Times New Roman"/>
                <w:color w:val="000000" w:themeColor="text1"/>
                <w:sz w:val="21"/>
                <w:szCs w:val="21"/>
              </w:rPr>
              <w:t>，</w:t>
            </w:r>
            <w:r>
              <w:rPr>
                <w:rFonts w:hint="eastAsia" w:ascii="Times New Roman" w:hAnsi="Times New Roman" w:cs="Times New Roman"/>
                <w:color w:val="000000" w:themeColor="text1"/>
                <w:sz w:val="21"/>
                <w:szCs w:val="21"/>
                <w:lang w:val="en-US" w:eastAsia="zh-CN"/>
              </w:rPr>
              <w:t>且</w:t>
            </w:r>
            <w:r>
              <w:rPr>
                <w:rFonts w:hint="eastAsia" w:ascii="Times New Roman" w:hAnsi="Times New Roman" w:cs="Times New Roman"/>
                <w:color w:val="000000" w:themeColor="text1"/>
                <w:sz w:val="21"/>
                <w:szCs w:val="21"/>
              </w:rPr>
              <w:t>项目区道路地面进行硬化，因此不考虑初期雨水的影响，不设置初期雨水收集池。</w:t>
            </w:r>
          </w:p>
          <w:p w14:paraId="1917BB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lang w:val="en-US" w:eastAsia="zh-CN"/>
              </w:rPr>
              <w:t>综上所述，项目</w:t>
            </w:r>
            <w:r>
              <w:rPr>
                <w:rFonts w:hint="default" w:ascii="Times New Roman" w:hAnsi="Times New Roman" w:cs="Times New Roman"/>
                <w:color w:val="000000" w:themeColor="text1"/>
                <w:sz w:val="21"/>
                <w:szCs w:val="21"/>
              </w:rPr>
              <w:t>废水产生类型包括</w:t>
            </w:r>
            <w:r>
              <w:rPr>
                <w:rFonts w:hint="eastAsia" w:ascii="Times New Roman" w:hAnsi="Times New Roman" w:cs="Times New Roman"/>
                <w:color w:val="000000" w:themeColor="text1"/>
                <w:sz w:val="21"/>
                <w:szCs w:val="21"/>
                <w:lang w:val="en-US" w:eastAsia="zh-CN"/>
              </w:rPr>
              <w:t>生活污水、成型废水、冷却废水、</w:t>
            </w:r>
            <w:r>
              <w:rPr>
                <w:rFonts w:hint="eastAsia" w:cs="Times New Roman"/>
                <w:color w:val="000000" w:themeColor="text1"/>
                <w:sz w:val="21"/>
                <w:szCs w:val="21"/>
                <w:lang w:val="en-US" w:eastAsia="zh-CN"/>
              </w:rPr>
              <w:t>冷凝</w:t>
            </w:r>
            <w:r>
              <w:rPr>
                <w:rFonts w:hint="eastAsia" w:ascii="Times New Roman" w:hAnsi="Times New Roman" w:cs="Times New Roman"/>
                <w:color w:val="000000" w:themeColor="text1"/>
                <w:sz w:val="21"/>
                <w:szCs w:val="21"/>
                <w:lang w:val="en-US" w:eastAsia="zh-CN"/>
              </w:rPr>
              <w:t>废水和初期雨水</w:t>
            </w:r>
            <w:r>
              <w:rPr>
                <w:rFonts w:hint="default" w:ascii="Times New Roman" w:hAnsi="Times New Roman" w:cs="Times New Roman"/>
                <w:color w:val="000000" w:themeColor="text1"/>
                <w:sz w:val="21"/>
                <w:szCs w:val="21"/>
              </w:rPr>
              <w:t>。</w:t>
            </w:r>
          </w:p>
          <w:p w14:paraId="690653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1）生活污水</w:t>
            </w:r>
          </w:p>
          <w:p w14:paraId="190E64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根据以上分析，本项目生活总用水量为</w:t>
            </w:r>
            <w:r>
              <w:rPr>
                <w:rFonts w:hint="eastAsia" w:ascii="Times New Roman" w:hAnsi="Times New Roman" w:cs="Times New Roman"/>
                <w:color w:val="000000" w:themeColor="text1"/>
                <w:sz w:val="21"/>
                <w:szCs w:val="21"/>
                <w:lang w:val="en-US" w:eastAsia="zh-CN"/>
              </w:rPr>
              <w:t>1.9</w:t>
            </w:r>
            <w:r>
              <w:rPr>
                <w:rFonts w:hint="default" w:ascii="Times New Roman" w:hAnsi="Times New Roman" w:cs="Times New Roman"/>
                <w:color w:val="000000" w:themeColor="text1"/>
                <w:sz w:val="21"/>
                <w:szCs w:val="21"/>
              </w:rPr>
              <w:t>m³/d（</w:t>
            </w:r>
            <w:r>
              <w:rPr>
                <w:rFonts w:hint="eastAsia" w:ascii="Times New Roman" w:hAnsi="Times New Roman" w:cs="Times New Roman"/>
                <w:color w:val="000000" w:themeColor="text1"/>
                <w:sz w:val="21"/>
                <w:szCs w:val="21"/>
                <w:lang w:val="en-US" w:eastAsia="zh-CN"/>
              </w:rPr>
              <w:t>570</w:t>
            </w:r>
            <w:r>
              <w:rPr>
                <w:rFonts w:hint="default" w:ascii="Times New Roman" w:hAnsi="Times New Roman" w:cs="Times New Roman"/>
                <w:color w:val="000000" w:themeColor="text1"/>
                <w:sz w:val="21"/>
                <w:szCs w:val="21"/>
              </w:rPr>
              <w:t>m³/a），废水产生系数按照0.8计，则职工生活废水产生量为1.</w:t>
            </w:r>
            <w:r>
              <w:rPr>
                <w:rFonts w:hint="eastAsia" w:ascii="Times New Roman" w:hAnsi="Times New Roman" w:cs="Times New Roman"/>
                <w:color w:val="000000" w:themeColor="text1"/>
                <w:sz w:val="21"/>
                <w:szCs w:val="21"/>
                <w:lang w:val="en-US" w:eastAsia="zh-CN"/>
              </w:rPr>
              <w:t>52</w:t>
            </w:r>
            <w:r>
              <w:rPr>
                <w:rFonts w:hint="default" w:ascii="Times New Roman" w:hAnsi="Times New Roman" w:cs="Times New Roman"/>
                <w:color w:val="000000" w:themeColor="text1"/>
                <w:sz w:val="21"/>
                <w:szCs w:val="21"/>
              </w:rPr>
              <w:t>m³/d（</w:t>
            </w:r>
            <w:r>
              <w:rPr>
                <w:rFonts w:hint="eastAsia" w:ascii="Times New Roman" w:hAnsi="Times New Roman" w:cs="Times New Roman"/>
                <w:color w:val="000000" w:themeColor="text1"/>
                <w:sz w:val="21"/>
                <w:szCs w:val="21"/>
                <w:lang w:val="en-US" w:eastAsia="zh-CN"/>
              </w:rPr>
              <w:t>456</w:t>
            </w:r>
            <w:r>
              <w:rPr>
                <w:rFonts w:hint="default" w:ascii="Times New Roman" w:hAnsi="Times New Roman" w:cs="Times New Roman"/>
                <w:color w:val="000000" w:themeColor="text1"/>
                <w:sz w:val="21"/>
                <w:szCs w:val="21"/>
              </w:rPr>
              <w:t>m³/a）。其中食堂废水以厂内食宿职工生活废水总量的0.2计，则食堂废水产生量为0.</w:t>
            </w:r>
            <w:r>
              <w:rPr>
                <w:rFonts w:hint="eastAsia" w:ascii="Times New Roman" w:hAnsi="Times New Roman" w:cs="Times New Roman"/>
                <w:color w:val="000000" w:themeColor="text1"/>
                <w:sz w:val="21"/>
                <w:szCs w:val="21"/>
                <w:lang w:val="en-US" w:eastAsia="zh-CN"/>
              </w:rPr>
              <w:t>304</w:t>
            </w:r>
            <w:r>
              <w:rPr>
                <w:rFonts w:hint="default" w:ascii="Times New Roman" w:hAnsi="Times New Roman" w:cs="Times New Roman"/>
                <w:color w:val="000000" w:themeColor="text1"/>
                <w:sz w:val="21"/>
                <w:szCs w:val="21"/>
              </w:rPr>
              <w:t>m³/d（</w:t>
            </w:r>
            <w:r>
              <w:rPr>
                <w:rFonts w:hint="eastAsia" w:ascii="Times New Roman" w:hAnsi="Times New Roman" w:cs="Times New Roman"/>
                <w:color w:val="000000" w:themeColor="text1"/>
                <w:sz w:val="21"/>
                <w:szCs w:val="21"/>
                <w:lang w:val="en-US" w:eastAsia="zh-CN"/>
              </w:rPr>
              <w:t>91.2</w:t>
            </w:r>
            <w:r>
              <w:rPr>
                <w:rFonts w:hint="default" w:ascii="Times New Roman" w:hAnsi="Times New Roman" w:cs="Times New Roman"/>
                <w:color w:val="000000" w:themeColor="text1"/>
                <w:sz w:val="21"/>
                <w:szCs w:val="21"/>
              </w:rPr>
              <w:t>m³/a），其他办公生活污水产生量为</w:t>
            </w:r>
            <w:r>
              <w:rPr>
                <w:rFonts w:hint="eastAsia" w:ascii="Times New Roman" w:hAnsi="Times New Roman" w:cs="Times New Roman"/>
                <w:color w:val="000000" w:themeColor="text1"/>
                <w:sz w:val="21"/>
                <w:szCs w:val="21"/>
                <w:lang w:val="en-US" w:eastAsia="zh-CN"/>
              </w:rPr>
              <w:t>1.216</w:t>
            </w:r>
            <w:r>
              <w:rPr>
                <w:rFonts w:hint="default" w:ascii="Times New Roman" w:hAnsi="Times New Roman" w:cs="Times New Roman"/>
                <w:color w:val="000000" w:themeColor="text1"/>
                <w:sz w:val="21"/>
                <w:szCs w:val="21"/>
              </w:rPr>
              <w:t>m</w:t>
            </w:r>
            <w:r>
              <w:rPr>
                <w:rFonts w:hint="default" w:ascii="Times New Roman" w:hAnsi="Times New Roman" w:cs="Times New Roman"/>
                <w:color w:val="000000" w:themeColor="text1"/>
                <w:sz w:val="21"/>
                <w:szCs w:val="21"/>
                <w:vertAlign w:val="superscript"/>
              </w:rPr>
              <w:t>3</w:t>
            </w:r>
            <w:r>
              <w:rPr>
                <w:rFonts w:hint="default" w:ascii="Times New Roman" w:hAnsi="Times New Roman" w:cs="Times New Roman"/>
                <w:color w:val="000000" w:themeColor="text1"/>
                <w:sz w:val="21"/>
                <w:szCs w:val="21"/>
              </w:rPr>
              <w:t>/d</w:t>
            </w:r>
            <w:r>
              <w:rPr>
                <w:rFonts w:hint="eastAsia" w:ascii="Times New Roman" w:hAnsi="Times New Roman" w:cs="Times New Roman"/>
                <w:color w:val="000000" w:themeColor="text1"/>
                <w:sz w:val="21"/>
                <w:szCs w:val="21"/>
              </w:rPr>
              <w:t>（</w:t>
            </w:r>
            <w:r>
              <w:rPr>
                <w:rFonts w:hint="eastAsia" w:ascii="Times New Roman" w:hAnsi="Times New Roman" w:cs="Times New Roman"/>
                <w:color w:val="000000" w:themeColor="text1"/>
                <w:sz w:val="21"/>
                <w:szCs w:val="21"/>
                <w:lang w:val="en-US" w:eastAsia="zh-CN"/>
              </w:rPr>
              <w:t>364.8</w:t>
            </w:r>
            <w:r>
              <w:rPr>
                <w:rFonts w:hint="eastAsia" w:ascii="Times New Roman" w:hAnsi="Times New Roman" w:cs="Times New Roman"/>
                <w:color w:val="000000" w:themeColor="text1"/>
                <w:sz w:val="21"/>
                <w:szCs w:val="21"/>
              </w:rPr>
              <w:t>m</w:t>
            </w:r>
            <w:r>
              <w:rPr>
                <w:rFonts w:hint="eastAsia" w:ascii="Times New Roman" w:hAnsi="Times New Roman" w:cs="Times New Roman"/>
                <w:color w:val="000000" w:themeColor="text1"/>
                <w:sz w:val="21"/>
                <w:szCs w:val="21"/>
                <w:vertAlign w:val="superscript"/>
              </w:rPr>
              <w:t>3</w:t>
            </w:r>
            <w:r>
              <w:rPr>
                <w:rFonts w:hint="eastAsia" w:ascii="Times New Roman" w:hAnsi="Times New Roman" w:cs="Times New Roman"/>
                <w:color w:val="000000" w:themeColor="text1"/>
                <w:sz w:val="21"/>
                <w:szCs w:val="21"/>
              </w:rPr>
              <w:t>/d）</w:t>
            </w:r>
            <w:r>
              <w:rPr>
                <w:rFonts w:hint="default" w:ascii="Times New Roman" w:hAnsi="Times New Roman" w:cs="Times New Roman"/>
                <w:color w:val="000000" w:themeColor="text1"/>
                <w:sz w:val="21"/>
                <w:szCs w:val="21"/>
              </w:rPr>
              <w:t>。</w:t>
            </w:r>
          </w:p>
          <w:p w14:paraId="03A760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rPr>
              <w:t>2）</w:t>
            </w:r>
            <w:r>
              <w:rPr>
                <w:rFonts w:hint="eastAsia" w:ascii="Times New Roman" w:hAnsi="Times New Roman" w:cs="Times New Roman"/>
                <w:color w:val="000000" w:themeColor="text1"/>
                <w:sz w:val="21"/>
                <w:szCs w:val="21"/>
                <w:lang w:val="en-US" w:eastAsia="zh-CN"/>
              </w:rPr>
              <w:t>成型废水</w:t>
            </w:r>
          </w:p>
          <w:p w14:paraId="6F81A1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根据设计，</w:t>
            </w:r>
            <w:r>
              <w:rPr>
                <w:rFonts w:hint="eastAsia" w:ascii="Times New Roman" w:hAnsi="Times New Roman" w:cs="Times New Roman"/>
                <w:color w:val="000000" w:themeColor="text1"/>
                <w:sz w:val="21"/>
                <w:szCs w:val="21"/>
              </w:rPr>
              <w:t>项目成型后湿纸托含水率为70%，则此过程湿纸托含水量为</w:t>
            </w:r>
            <w:r>
              <w:rPr>
                <w:rFonts w:hint="eastAsia" w:ascii="Times New Roman" w:hAnsi="Times New Roman" w:cs="Times New Roman"/>
                <w:color w:val="00B050"/>
                <w:sz w:val="21"/>
                <w:szCs w:val="21"/>
                <w:lang w:val="en-US" w:eastAsia="zh-CN"/>
              </w:rPr>
              <w:t>56</w:t>
            </w:r>
            <w:r>
              <w:rPr>
                <w:rFonts w:hint="eastAsia" w:cs="Times New Roman"/>
                <w:color w:val="00B050"/>
                <w:sz w:val="21"/>
                <w:szCs w:val="21"/>
                <w:lang w:val="en-US" w:eastAsia="zh-CN"/>
              </w:rPr>
              <w:t>700</w:t>
            </w:r>
            <w:r>
              <w:rPr>
                <w:rFonts w:hint="eastAsia" w:ascii="Times New Roman" w:hAnsi="Times New Roman" w:cs="Times New Roman"/>
                <w:color w:val="00B050"/>
                <w:sz w:val="21"/>
                <w:szCs w:val="21"/>
              </w:rPr>
              <w:t>m</w:t>
            </w:r>
            <w:r>
              <w:rPr>
                <w:rFonts w:hint="eastAsia" w:ascii="Times New Roman" w:hAnsi="Times New Roman" w:cs="Times New Roman"/>
                <w:color w:val="00B050"/>
                <w:sz w:val="21"/>
                <w:szCs w:val="21"/>
                <w:vertAlign w:val="superscript"/>
              </w:rPr>
              <w:t>3</w:t>
            </w:r>
            <w:r>
              <w:rPr>
                <w:rFonts w:hint="eastAsia" w:ascii="Times New Roman" w:hAnsi="Times New Roman" w:cs="Times New Roman"/>
                <w:color w:val="00B050"/>
                <w:sz w:val="21"/>
                <w:szCs w:val="21"/>
              </w:rPr>
              <w:t>/a（</w:t>
            </w:r>
            <w:r>
              <w:rPr>
                <w:rFonts w:hint="eastAsia" w:ascii="Times New Roman" w:hAnsi="Times New Roman" w:cs="Times New Roman"/>
                <w:color w:val="00B050"/>
                <w:sz w:val="21"/>
                <w:szCs w:val="21"/>
                <w:lang w:val="en-US" w:eastAsia="zh-CN"/>
              </w:rPr>
              <w:t>18</w:t>
            </w:r>
            <w:r>
              <w:rPr>
                <w:rFonts w:hint="eastAsia" w:cs="Times New Roman"/>
                <w:color w:val="00B050"/>
                <w:sz w:val="21"/>
                <w:szCs w:val="21"/>
                <w:lang w:val="en-US" w:eastAsia="zh-CN"/>
              </w:rPr>
              <w:t>9</w:t>
            </w:r>
            <w:r>
              <w:rPr>
                <w:rFonts w:hint="eastAsia" w:ascii="Times New Roman" w:hAnsi="Times New Roman" w:cs="Times New Roman"/>
                <w:color w:val="00B050"/>
                <w:sz w:val="21"/>
                <w:szCs w:val="21"/>
              </w:rPr>
              <w:t>m</w:t>
            </w:r>
            <w:r>
              <w:rPr>
                <w:rFonts w:hint="eastAsia" w:ascii="Times New Roman" w:hAnsi="Times New Roman" w:cs="Times New Roman"/>
                <w:color w:val="00B050"/>
                <w:sz w:val="21"/>
                <w:szCs w:val="21"/>
                <w:vertAlign w:val="superscript"/>
              </w:rPr>
              <w:t>3</w:t>
            </w:r>
            <w:r>
              <w:rPr>
                <w:rFonts w:hint="eastAsia" w:ascii="Times New Roman" w:hAnsi="Times New Roman" w:cs="Times New Roman"/>
                <w:color w:val="00B050"/>
                <w:sz w:val="21"/>
                <w:szCs w:val="21"/>
              </w:rPr>
              <w:t>/d）。成型工序中约有5%（</w:t>
            </w:r>
            <w:r>
              <w:rPr>
                <w:rFonts w:hint="eastAsia" w:ascii="Times New Roman" w:hAnsi="Times New Roman" w:cs="Times New Roman"/>
                <w:color w:val="00B050"/>
                <w:sz w:val="21"/>
                <w:szCs w:val="21"/>
                <w:lang w:val="en-US" w:eastAsia="zh-CN"/>
              </w:rPr>
              <w:t>14250</w:t>
            </w:r>
            <w:r>
              <w:rPr>
                <w:rFonts w:hint="eastAsia" w:ascii="Times New Roman" w:hAnsi="Times New Roman" w:cs="Times New Roman"/>
                <w:color w:val="00B050"/>
                <w:sz w:val="21"/>
                <w:szCs w:val="21"/>
              </w:rPr>
              <w:t>m</w:t>
            </w:r>
            <w:r>
              <w:rPr>
                <w:rFonts w:hint="eastAsia" w:ascii="Times New Roman" w:hAnsi="Times New Roman" w:cs="Times New Roman"/>
                <w:color w:val="00B050"/>
                <w:sz w:val="21"/>
                <w:szCs w:val="21"/>
                <w:vertAlign w:val="superscript"/>
              </w:rPr>
              <w:t>3</w:t>
            </w:r>
            <w:r>
              <w:rPr>
                <w:rFonts w:hint="eastAsia" w:ascii="Times New Roman" w:hAnsi="Times New Roman" w:cs="Times New Roman"/>
                <w:color w:val="00B050"/>
                <w:sz w:val="21"/>
                <w:szCs w:val="21"/>
              </w:rPr>
              <w:t>/a，</w:t>
            </w:r>
            <w:r>
              <w:rPr>
                <w:rFonts w:hint="eastAsia" w:ascii="Times New Roman" w:hAnsi="Times New Roman" w:cs="Times New Roman"/>
                <w:color w:val="00B050"/>
                <w:sz w:val="21"/>
                <w:szCs w:val="21"/>
                <w:lang w:val="en-US" w:eastAsia="zh-CN"/>
              </w:rPr>
              <w:t>47.5</w:t>
            </w:r>
            <w:r>
              <w:rPr>
                <w:rFonts w:hint="eastAsia" w:ascii="Times New Roman" w:hAnsi="Times New Roman" w:cs="Times New Roman"/>
                <w:color w:val="00B050"/>
                <w:sz w:val="21"/>
                <w:szCs w:val="21"/>
              </w:rPr>
              <w:t>m</w:t>
            </w:r>
            <w:r>
              <w:rPr>
                <w:rFonts w:hint="eastAsia" w:ascii="Times New Roman" w:hAnsi="Times New Roman" w:cs="Times New Roman"/>
                <w:color w:val="00B050"/>
                <w:sz w:val="21"/>
                <w:szCs w:val="21"/>
                <w:vertAlign w:val="superscript"/>
              </w:rPr>
              <w:t>3</w:t>
            </w:r>
            <w:r>
              <w:rPr>
                <w:rFonts w:hint="eastAsia" w:ascii="Times New Roman" w:hAnsi="Times New Roman" w:cs="Times New Roman"/>
                <w:color w:val="00B050"/>
                <w:sz w:val="21"/>
                <w:szCs w:val="21"/>
              </w:rPr>
              <w:t>/d）的水在加工过程中蒸发损耗，剩余水分（</w:t>
            </w:r>
            <w:r>
              <w:rPr>
                <w:rFonts w:hint="eastAsia" w:ascii="Times New Roman" w:hAnsi="Times New Roman" w:cs="Times New Roman"/>
                <w:color w:val="00B050"/>
                <w:sz w:val="21"/>
                <w:szCs w:val="21"/>
                <w:lang w:val="en-US" w:eastAsia="zh-CN"/>
              </w:rPr>
              <w:t>214</w:t>
            </w:r>
            <w:r>
              <w:rPr>
                <w:rFonts w:hint="eastAsia" w:cs="Times New Roman"/>
                <w:color w:val="00B050"/>
                <w:sz w:val="21"/>
                <w:szCs w:val="21"/>
                <w:lang w:val="en-US" w:eastAsia="zh-CN"/>
              </w:rPr>
              <w:t>050</w:t>
            </w:r>
            <w:r>
              <w:rPr>
                <w:rFonts w:hint="eastAsia" w:ascii="Times New Roman" w:hAnsi="Times New Roman" w:cs="Times New Roman"/>
                <w:color w:val="00B050"/>
                <w:sz w:val="21"/>
                <w:szCs w:val="21"/>
              </w:rPr>
              <w:t>m</w:t>
            </w:r>
            <w:r>
              <w:rPr>
                <w:rFonts w:hint="eastAsia" w:ascii="Times New Roman" w:hAnsi="Times New Roman" w:cs="Times New Roman"/>
                <w:color w:val="00B050"/>
                <w:sz w:val="21"/>
                <w:szCs w:val="21"/>
                <w:vertAlign w:val="superscript"/>
              </w:rPr>
              <w:t>3</w:t>
            </w:r>
            <w:r>
              <w:rPr>
                <w:rFonts w:hint="eastAsia" w:ascii="Times New Roman" w:hAnsi="Times New Roman" w:cs="Times New Roman"/>
                <w:color w:val="00B050"/>
                <w:sz w:val="21"/>
                <w:szCs w:val="21"/>
              </w:rPr>
              <w:t>/a，</w:t>
            </w:r>
            <w:r>
              <w:rPr>
                <w:rFonts w:hint="eastAsia" w:ascii="Times New Roman" w:hAnsi="Times New Roman" w:cs="Times New Roman"/>
                <w:color w:val="00B050"/>
                <w:sz w:val="21"/>
                <w:szCs w:val="21"/>
                <w:lang w:val="en-US" w:eastAsia="zh-CN"/>
              </w:rPr>
              <w:t>71</w:t>
            </w:r>
            <w:r>
              <w:rPr>
                <w:rFonts w:hint="eastAsia" w:cs="Times New Roman"/>
                <w:color w:val="00B050"/>
                <w:sz w:val="21"/>
                <w:szCs w:val="21"/>
                <w:lang w:val="en-US" w:eastAsia="zh-CN"/>
              </w:rPr>
              <w:t>3.</w:t>
            </w:r>
            <w:r>
              <w:rPr>
                <w:rFonts w:hint="eastAsia" w:ascii="Times New Roman" w:hAnsi="Times New Roman" w:cs="Times New Roman"/>
                <w:color w:val="00B050"/>
                <w:sz w:val="21"/>
                <w:szCs w:val="21"/>
                <w:lang w:val="en-US" w:eastAsia="zh-CN"/>
              </w:rPr>
              <w:t>5</w:t>
            </w:r>
            <w:r>
              <w:rPr>
                <w:rFonts w:hint="eastAsia" w:ascii="Times New Roman" w:hAnsi="Times New Roman" w:cs="Times New Roman"/>
                <w:color w:val="00B050"/>
                <w:sz w:val="21"/>
                <w:szCs w:val="21"/>
              </w:rPr>
              <w:t>m</w:t>
            </w:r>
            <w:r>
              <w:rPr>
                <w:rFonts w:hint="eastAsia" w:ascii="Times New Roman" w:hAnsi="Times New Roman" w:cs="Times New Roman"/>
                <w:color w:val="00B050"/>
                <w:sz w:val="21"/>
                <w:szCs w:val="21"/>
                <w:vertAlign w:val="superscript"/>
              </w:rPr>
              <w:t>3</w:t>
            </w:r>
            <w:r>
              <w:rPr>
                <w:rFonts w:hint="eastAsia" w:ascii="Times New Roman" w:hAnsi="Times New Roman" w:cs="Times New Roman"/>
                <w:color w:val="00B050"/>
                <w:sz w:val="21"/>
                <w:szCs w:val="21"/>
              </w:rPr>
              <w:t>/d）</w:t>
            </w:r>
            <w:r>
              <w:rPr>
                <w:rFonts w:hint="eastAsia" w:ascii="Times New Roman" w:hAnsi="Times New Roman" w:cs="Times New Roman"/>
                <w:color w:val="000000" w:themeColor="text1"/>
                <w:sz w:val="21"/>
                <w:szCs w:val="21"/>
              </w:rPr>
              <w:t>通过回流管道回用于</w:t>
            </w:r>
            <w:r>
              <w:rPr>
                <w:rFonts w:hint="eastAsia" w:ascii="Times New Roman" w:hAnsi="Times New Roman" w:cs="Times New Roman"/>
                <w:color w:val="000000" w:themeColor="text1"/>
                <w:sz w:val="21"/>
                <w:szCs w:val="21"/>
                <w:lang w:val="en-US" w:eastAsia="zh-CN"/>
              </w:rPr>
              <w:t>制料工序</w:t>
            </w:r>
            <w:r>
              <w:rPr>
                <w:rFonts w:hint="eastAsia" w:ascii="Times New Roman" w:hAnsi="Times New Roman" w:cs="Times New Roman"/>
                <w:color w:val="000000" w:themeColor="text1"/>
                <w:sz w:val="21"/>
                <w:szCs w:val="21"/>
              </w:rPr>
              <w:t>。</w:t>
            </w:r>
          </w:p>
          <w:p w14:paraId="79860C8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eastAsia" w:ascii="Times New Roman" w:hAnsi="Times New Roman" w:cs="Times New Roman"/>
                <w:color w:val="000000" w:themeColor="text1"/>
                <w:lang w:val="en-US" w:eastAsia="zh-CN"/>
              </w:rPr>
            </w:pPr>
            <w:r>
              <w:rPr>
                <w:rFonts w:hint="eastAsia" w:ascii="Times New Roman" w:hAnsi="Times New Roman" w:cs="Times New Roman"/>
                <w:color w:val="000000" w:themeColor="text1"/>
                <w:sz w:val="21"/>
                <w:szCs w:val="21"/>
                <w:lang w:val="en-US" w:eastAsia="zh-CN"/>
              </w:rPr>
              <w:t>3）</w:t>
            </w:r>
            <w:r>
              <w:rPr>
                <w:rFonts w:hint="eastAsia" w:cs="Times New Roman"/>
                <w:color w:val="00B050"/>
                <w:sz w:val="21"/>
                <w:szCs w:val="21"/>
                <w:lang w:val="en-US" w:eastAsia="zh-CN"/>
              </w:rPr>
              <w:t>成型机水环真空泵</w:t>
            </w:r>
            <w:r>
              <w:rPr>
                <w:rFonts w:hint="eastAsia" w:cs="Times New Roman"/>
                <w:color w:val="000000" w:themeColor="text1"/>
                <w:sz w:val="21"/>
                <w:szCs w:val="21"/>
                <w:lang w:val="en-US" w:eastAsia="zh-CN"/>
              </w:rPr>
              <w:t>冷却</w:t>
            </w:r>
            <w:r>
              <w:rPr>
                <w:rFonts w:hint="eastAsia" w:ascii="Times New Roman" w:hAnsi="Times New Roman" w:cs="Times New Roman"/>
                <w:color w:val="000000" w:themeColor="text1"/>
                <w:sz w:val="21"/>
                <w:szCs w:val="21"/>
                <w:lang w:val="en-US" w:eastAsia="zh-CN"/>
              </w:rPr>
              <w:t>废水</w:t>
            </w:r>
          </w:p>
          <w:p w14:paraId="40D81D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cs="Times New Roman"/>
                <w:color w:val="000000" w:themeColor="text1"/>
                <w:sz w:val="21"/>
                <w:szCs w:val="21"/>
              </w:rPr>
            </w:pPr>
            <w:r>
              <w:rPr>
                <w:rFonts w:hint="eastAsia" w:cs="Times New Roman"/>
                <w:color w:val="000000" w:themeColor="text1"/>
                <w:sz w:val="21"/>
                <w:szCs w:val="21"/>
                <w:lang w:val="en-US" w:eastAsia="zh-CN"/>
              </w:rPr>
              <w:t>成型机水环真空泵冷却</w:t>
            </w:r>
            <w:r>
              <w:rPr>
                <w:rFonts w:hint="eastAsia" w:ascii="Times New Roman" w:hAnsi="Times New Roman" w:cs="Times New Roman"/>
                <w:color w:val="000000" w:themeColor="text1"/>
                <w:sz w:val="21"/>
                <w:szCs w:val="21"/>
                <w:lang w:val="en-US" w:eastAsia="zh-CN"/>
              </w:rPr>
              <w:t>系统用水因热损耗损失的部分用水，项目热损耗按5%计算，项目冷却用水量为108m</w:t>
            </w:r>
            <w:r>
              <w:rPr>
                <w:rFonts w:hint="eastAsia" w:ascii="Times New Roman" w:hAnsi="Times New Roman" w:cs="Times New Roman"/>
                <w:color w:val="000000" w:themeColor="text1"/>
                <w:sz w:val="21"/>
                <w:szCs w:val="21"/>
                <w:vertAlign w:val="superscript"/>
                <w:lang w:val="en-US" w:eastAsia="zh-CN"/>
              </w:rPr>
              <w:t>3</w:t>
            </w:r>
            <w:r>
              <w:rPr>
                <w:rFonts w:hint="eastAsia" w:ascii="Times New Roman" w:hAnsi="Times New Roman" w:cs="Times New Roman"/>
                <w:color w:val="000000" w:themeColor="text1"/>
                <w:sz w:val="21"/>
                <w:szCs w:val="21"/>
                <w:lang w:val="en-US" w:eastAsia="zh-CN"/>
              </w:rPr>
              <w:t>/d；则冷却废水产生量为102.6m</w:t>
            </w:r>
            <w:r>
              <w:rPr>
                <w:rFonts w:hint="eastAsia" w:ascii="Times New Roman" w:hAnsi="Times New Roman" w:cs="Times New Roman"/>
                <w:color w:val="000000" w:themeColor="text1"/>
                <w:sz w:val="21"/>
                <w:szCs w:val="21"/>
                <w:vertAlign w:val="superscript"/>
                <w:lang w:val="en-US" w:eastAsia="zh-CN"/>
              </w:rPr>
              <w:t>3</w:t>
            </w:r>
            <w:r>
              <w:rPr>
                <w:rFonts w:hint="eastAsia" w:ascii="Times New Roman" w:hAnsi="Times New Roman" w:cs="Times New Roman"/>
                <w:color w:val="000000" w:themeColor="text1"/>
                <w:sz w:val="21"/>
                <w:szCs w:val="21"/>
                <w:lang w:val="en-US" w:eastAsia="zh-CN"/>
              </w:rPr>
              <w:t>/d；该废水</w:t>
            </w:r>
            <w:r>
              <w:rPr>
                <w:rFonts w:hint="eastAsia" w:ascii="Times New Roman" w:hAnsi="Times New Roman" w:cs="Times New Roman"/>
                <w:color w:val="000000" w:themeColor="text1"/>
                <w:sz w:val="21"/>
                <w:szCs w:val="21"/>
              </w:rPr>
              <w:t>通过回流管道回用于</w:t>
            </w:r>
            <w:r>
              <w:rPr>
                <w:rFonts w:hint="eastAsia" w:ascii="Times New Roman" w:hAnsi="Times New Roman" w:cs="Times New Roman"/>
                <w:color w:val="000000" w:themeColor="text1"/>
                <w:sz w:val="21"/>
                <w:szCs w:val="21"/>
                <w:lang w:val="en-US" w:eastAsia="zh-CN"/>
              </w:rPr>
              <w:t>制料工序</w:t>
            </w:r>
            <w:r>
              <w:rPr>
                <w:rFonts w:hint="eastAsia" w:ascii="Times New Roman" w:hAnsi="Times New Roman" w:cs="Times New Roman"/>
                <w:color w:val="000000" w:themeColor="text1"/>
                <w:sz w:val="21"/>
                <w:szCs w:val="21"/>
              </w:rPr>
              <w:t>。</w:t>
            </w:r>
          </w:p>
          <w:p w14:paraId="7C02B3A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cs="Times New Roman"/>
                <w:color w:val="000000" w:themeColor="text1"/>
                <w:lang w:val="en-US" w:eastAsia="zh-CN"/>
              </w:rPr>
            </w:pPr>
            <w:r>
              <w:rPr>
                <w:rFonts w:hint="eastAsia" w:ascii="Times New Roman" w:hAnsi="Times New Roman" w:cs="Times New Roman"/>
                <w:color w:val="000000" w:themeColor="text1"/>
                <w:sz w:val="21"/>
                <w:szCs w:val="21"/>
                <w:lang w:val="en-US" w:eastAsia="zh-CN"/>
              </w:rPr>
              <w:t>4）</w:t>
            </w:r>
            <w:r>
              <w:rPr>
                <w:rFonts w:hint="eastAsia" w:cs="Times New Roman"/>
                <w:color w:val="00B050"/>
                <w:sz w:val="21"/>
                <w:szCs w:val="21"/>
                <w:lang w:val="en-US" w:eastAsia="zh-CN"/>
              </w:rPr>
              <w:t>烘干废气进入水膜除尘器的冷却水</w:t>
            </w:r>
          </w:p>
          <w:p w14:paraId="79B7F80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20" w:firstLineChars="200"/>
              <w:textAlignment w:val="auto"/>
              <w:rPr>
                <w:rFonts w:hint="eastAsia" w:ascii="Times New Roman" w:hAnsi="Times New Roman" w:cs="Times New Roman"/>
                <w:color w:val="00B050"/>
                <w:sz w:val="21"/>
                <w:szCs w:val="21"/>
                <w:lang w:val="en-US" w:eastAsia="zh-CN"/>
              </w:rPr>
            </w:pPr>
            <w:r>
              <w:rPr>
                <w:rFonts w:hint="eastAsia" w:ascii="Times New Roman" w:hAnsi="Times New Roman" w:cs="Times New Roman"/>
                <w:color w:val="00B050"/>
                <w:sz w:val="21"/>
                <w:szCs w:val="21"/>
                <w:lang w:val="en-US" w:eastAsia="zh-CN"/>
              </w:rPr>
              <w:t>根据建设单位提供的资料及原料比例，蛋盒和瓶托合计原料使用量约为</w:t>
            </w:r>
            <w:r>
              <w:rPr>
                <w:rFonts w:hint="eastAsia" w:cs="Times New Roman"/>
                <w:color w:val="00B050"/>
                <w:sz w:val="21"/>
                <w:szCs w:val="21"/>
                <w:lang w:val="en-US" w:eastAsia="zh-CN"/>
              </w:rPr>
              <w:t>22519</w:t>
            </w:r>
            <w:r>
              <w:rPr>
                <w:rFonts w:hint="eastAsia" w:ascii="Times New Roman" w:hAnsi="Times New Roman" w:cs="Times New Roman"/>
                <w:color w:val="00B050"/>
                <w:sz w:val="21"/>
                <w:szCs w:val="21"/>
                <w:lang w:val="en-US" w:eastAsia="zh-CN"/>
              </w:rPr>
              <w:t>t/a（</w:t>
            </w:r>
            <w:r>
              <w:rPr>
                <w:rFonts w:hint="eastAsia" w:cs="Times New Roman"/>
                <w:color w:val="00B050"/>
                <w:sz w:val="21"/>
                <w:szCs w:val="21"/>
                <w:lang w:val="en-US" w:eastAsia="zh-CN"/>
              </w:rPr>
              <w:t>理论</w:t>
            </w:r>
            <w:r>
              <w:rPr>
                <w:rFonts w:hint="eastAsia" w:ascii="Times New Roman" w:hAnsi="Times New Roman" w:cs="Times New Roman"/>
                <w:color w:val="00B050"/>
                <w:sz w:val="21"/>
                <w:szCs w:val="21"/>
                <w:lang w:val="en-US" w:eastAsia="zh-CN"/>
              </w:rPr>
              <w:t>干物质</w:t>
            </w:r>
            <w:r>
              <w:rPr>
                <w:rFonts w:hint="eastAsia" w:cs="Times New Roman"/>
                <w:color w:val="00B050"/>
                <w:sz w:val="21"/>
                <w:szCs w:val="21"/>
                <w:lang w:val="en-US" w:eastAsia="zh-CN"/>
              </w:rPr>
              <w:t>量</w:t>
            </w:r>
            <w:r>
              <w:rPr>
                <w:rFonts w:hint="eastAsia" w:ascii="Times New Roman" w:hAnsi="Times New Roman" w:cs="Times New Roman"/>
                <w:color w:val="00B050"/>
                <w:sz w:val="21"/>
                <w:szCs w:val="21"/>
                <w:lang w:val="en-US" w:eastAsia="zh-CN"/>
              </w:rPr>
              <w:t>）。项目</w:t>
            </w:r>
            <w:r>
              <w:rPr>
                <w:rFonts w:hint="eastAsia" w:cs="Times New Roman"/>
                <w:color w:val="00B050"/>
                <w:sz w:val="21"/>
                <w:szCs w:val="21"/>
                <w:lang w:val="en-US" w:eastAsia="zh-CN"/>
              </w:rPr>
              <w:t>蛋托和果托</w:t>
            </w:r>
            <w:r>
              <w:rPr>
                <w:rFonts w:hint="eastAsia" w:ascii="Times New Roman" w:hAnsi="Times New Roman" w:cs="Times New Roman"/>
                <w:color w:val="00B050"/>
                <w:sz w:val="21"/>
                <w:szCs w:val="21"/>
                <w:lang w:val="en-US" w:eastAsia="zh-CN"/>
              </w:rPr>
              <w:t>烘干后成品含水率为10%，则</w:t>
            </w:r>
            <w:r>
              <w:rPr>
                <w:rFonts w:hint="eastAsia" w:cs="Times New Roman"/>
                <w:color w:val="00B050"/>
                <w:sz w:val="21"/>
                <w:szCs w:val="21"/>
                <w:lang w:val="en-US" w:eastAsia="zh-CN"/>
              </w:rPr>
              <w:t>成品中</w:t>
            </w:r>
            <w:r>
              <w:rPr>
                <w:rFonts w:hint="eastAsia" w:ascii="Times New Roman" w:hAnsi="Times New Roman" w:cs="Times New Roman"/>
                <w:color w:val="00B050"/>
                <w:sz w:val="21"/>
                <w:szCs w:val="21"/>
                <w:lang w:val="en-US" w:eastAsia="zh-CN"/>
              </w:rPr>
              <w:t>含水量</w:t>
            </w:r>
            <w:r>
              <w:rPr>
                <w:rFonts w:hint="eastAsia" w:cs="Times New Roman"/>
                <w:color w:val="00B050"/>
                <w:sz w:val="21"/>
                <w:szCs w:val="21"/>
                <w:lang w:val="en-US" w:eastAsia="zh-CN"/>
              </w:rPr>
              <w:t>合计约</w:t>
            </w:r>
            <w:r>
              <w:rPr>
                <w:rFonts w:hint="eastAsia" w:ascii="Times New Roman" w:hAnsi="Times New Roman" w:cs="Times New Roman"/>
                <w:color w:val="00B050"/>
                <w:sz w:val="21"/>
                <w:szCs w:val="21"/>
                <w:lang w:val="en-US" w:eastAsia="zh-CN"/>
              </w:rPr>
              <w:t>为2</w:t>
            </w:r>
            <w:r>
              <w:rPr>
                <w:rFonts w:hint="eastAsia" w:cs="Times New Roman"/>
                <w:color w:val="00B050"/>
                <w:sz w:val="21"/>
                <w:szCs w:val="21"/>
                <w:lang w:val="en-US" w:eastAsia="zh-CN"/>
              </w:rPr>
              <w:t>502</w:t>
            </w:r>
            <w:r>
              <w:rPr>
                <w:rFonts w:hint="eastAsia" w:ascii="Times New Roman" w:hAnsi="Times New Roman" w:cs="Times New Roman"/>
                <w:color w:val="00B050"/>
                <w:sz w:val="21"/>
                <w:szCs w:val="21"/>
                <w:lang w:val="en-US" w:eastAsia="zh-CN"/>
              </w:rPr>
              <w:t>m</w:t>
            </w:r>
            <w:r>
              <w:rPr>
                <w:rFonts w:hint="eastAsia" w:ascii="Times New Roman" w:hAnsi="Times New Roman" w:cs="Times New Roman"/>
                <w:color w:val="00B050"/>
                <w:sz w:val="21"/>
                <w:szCs w:val="21"/>
                <w:vertAlign w:val="superscript"/>
                <w:lang w:val="en-US" w:eastAsia="zh-CN"/>
              </w:rPr>
              <w:t>3</w:t>
            </w:r>
            <w:r>
              <w:rPr>
                <w:rFonts w:hint="eastAsia" w:ascii="Times New Roman" w:hAnsi="Times New Roman" w:cs="Times New Roman"/>
                <w:color w:val="00B050"/>
                <w:sz w:val="21"/>
                <w:szCs w:val="21"/>
                <w:lang w:val="en-US" w:eastAsia="zh-CN"/>
              </w:rPr>
              <w:t>/a</w:t>
            </w:r>
            <w:r>
              <w:rPr>
                <w:rFonts w:hint="eastAsia" w:cs="Times New Roman"/>
                <w:color w:val="00B050"/>
                <w:sz w:val="21"/>
                <w:szCs w:val="21"/>
                <w:lang w:val="en-US" w:eastAsia="zh-CN"/>
              </w:rPr>
              <w:t>，8.3m³/d；</w:t>
            </w:r>
            <w:r>
              <w:rPr>
                <w:rFonts w:hint="eastAsia" w:cs="Times New Roman"/>
                <w:color w:val="00B050"/>
                <w:kern w:val="2"/>
                <w:sz w:val="21"/>
                <w:szCs w:val="21"/>
                <w:lang w:val="en-US" w:eastAsia="zh-CN" w:bidi="ar-SA"/>
              </w:rPr>
              <w:t>烘干过程因热损耗会损失部分用水，项目热损耗按湿纸托含水量的5%计算，则烘干过程的水汽损失量约2627m³/a，8.8m³/d；</w:t>
            </w:r>
            <w:r>
              <w:rPr>
                <w:rFonts w:hint="eastAsia" w:ascii="Times New Roman" w:hAnsi="Times New Roman" w:cs="Times New Roman"/>
                <w:color w:val="00B050"/>
                <w:sz w:val="21"/>
                <w:szCs w:val="21"/>
                <w:lang w:val="en-US" w:eastAsia="zh-CN"/>
              </w:rPr>
              <w:t>即</w:t>
            </w:r>
            <w:r>
              <w:rPr>
                <w:rFonts w:hint="eastAsia" w:cs="Times New Roman"/>
                <w:color w:val="00B050"/>
                <w:sz w:val="21"/>
                <w:szCs w:val="21"/>
                <w:lang w:val="en-US" w:eastAsia="zh-CN"/>
              </w:rPr>
              <w:t>剩余</w:t>
            </w:r>
            <w:r>
              <w:rPr>
                <w:rFonts w:hint="eastAsia" w:ascii="Times New Roman" w:hAnsi="Times New Roman" w:cs="Times New Roman"/>
                <w:color w:val="00B050"/>
                <w:sz w:val="21"/>
                <w:szCs w:val="21"/>
                <w:lang w:val="en-US" w:eastAsia="zh-CN"/>
              </w:rPr>
              <w:t>（</w:t>
            </w:r>
            <w:r>
              <w:rPr>
                <w:rFonts w:hint="eastAsia" w:cs="Times New Roman"/>
                <w:color w:val="00B050"/>
                <w:sz w:val="21"/>
                <w:szCs w:val="21"/>
                <w:lang w:val="en-US" w:eastAsia="zh-CN"/>
              </w:rPr>
              <w:t>47414</w:t>
            </w:r>
            <w:r>
              <w:rPr>
                <w:rFonts w:hint="eastAsia" w:ascii="Times New Roman" w:hAnsi="Times New Roman" w:cs="Times New Roman"/>
                <w:color w:val="00B050"/>
                <w:sz w:val="21"/>
                <w:szCs w:val="21"/>
                <w:lang w:val="en-US" w:eastAsia="zh-CN"/>
              </w:rPr>
              <w:t>m</w:t>
            </w:r>
            <w:r>
              <w:rPr>
                <w:rFonts w:hint="eastAsia" w:ascii="Times New Roman" w:hAnsi="Times New Roman" w:cs="Times New Roman"/>
                <w:color w:val="00B050"/>
                <w:sz w:val="21"/>
                <w:szCs w:val="21"/>
                <w:vertAlign w:val="superscript"/>
                <w:lang w:val="en-US" w:eastAsia="zh-CN"/>
              </w:rPr>
              <w:t>3</w:t>
            </w:r>
            <w:r>
              <w:rPr>
                <w:rFonts w:hint="eastAsia" w:ascii="Times New Roman" w:hAnsi="Times New Roman" w:cs="Times New Roman"/>
                <w:color w:val="00B050"/>
                <w:sz w:val="21"/>
                <w:szCs w:val="21"/>
                <w:lang w:val="en-US" w:eastAsia="zh-CN"/>
              </w:rPr>
              <w:t>/a</w:t>
            </w:r>
            <w:r>
              <w:rPr>
                <w:rFonts w:hint="eastAsia" w:cs="Times New Roman"/>
                <w:color w:val="00B050"/>
                <w:sz w:val="21"/>
                <w:szCs w:val="21"/>
                <w:lang w:val="en-US" w:eastAsia="zh-CN"/>
              </w:rPr>
              <w:t>，158m³/d</w:t>
            </w:r>
            <w:r>
              <w:rPr>
                <w:rFonts w:hint="eastAsia" w:ascii="Times New Roman" w:hAnsi="Times New Roman" w:cs="Times New Roman"/>
                <w:color w:val="00B050"/>
                <w:sz w:val="21"/>
                <w:szCs w:val="21"/>
                <w:lang w:val="en-US" w:eastAsia="zh-CN"/>
              </w:rPr>
              <w:t>）的水分呈蒸气随烘干废气进入</w:t>
            </w:r>
            <w:r>
              <w:rPr>
                <w:rFonts w:hint="eastAsia" w:cs="Times New Roman"/>
                <w:color w:val="00B050"/>
                <w:sz w:val="21"/>
                <w:szCs w:val="21"/>
                <w:lang w:val="en-US" w:eastAsia="zh-CN"/>
              </w:rPr>
              <w:t>水膜除尘设施</w:t>
            </w:r>
            <w:r>
              <w:rPr>
                <w:rFonts w:hint="eastAsia" w:ascii="Times New Roman" w:hAnsi="Times New Roman" w:cs="Times New Roman"/>
                <w:color w:val="00B050"/>
                <w:sz w:val="21"/>
                <w:szCs w:val="21"/>
                <w:lang w:val="en-US" w:eastAsia="zh-CN"/>
              </w:rPr>
              <w:t>，</w:t>
            </w:r>
            <w:r>
              <w:rPr>
                <w:rFonts w:hint="eastAsia" w:cs="Times New Roman"/>
                <w:color w:val="00B050"/>
                <w:sz w:val="21"/>
                <w:szCs w:val="21"/>
                <w:lang w:val="en-US" w:eastAsia="zh-CN"/>
              </w:rPr>
              <w:t>类比《炎陵县华丰塑业有限公司炎陵县华丰塑业有限公司蛋托加工项目》及同行企业类似设施，水膜除尘设施能将废气中约80</w:t>
            </w:r>
            <w:r>
              <w:rPr>
                <w:rFonts w:hint="eastAsia" w:ascii="Times New Roman" w:hAnsi="Times New Roman" w:cs="Times New Roman"/>
                <w:color w:val="00B050"/>
                <w:sz w:val="21"/>
                <w:szCs w:val="21"/>
                <w:lang w:val="en-US" w:eastAsia="zh-CN"/>
              </w:rPr>
              <w:t>%的</w:t>
            </w:r>
            <w:r>
              <w:rPr>
                <w:rFonts w:hint="eastAsia" w:cs="Times New Roman"/>
                <w:color w:val="00B050"/>
                <w:sz w:val="21"/>
                <w:szCs w:val="21"/>
                <w:lang w:val="en-US" w:eastAsia="zh-CN"/>
              </w:rPr>
              <w:t>水蒸气</w:t>
            </w:r>
            <w:r>
              <w:rPr>
                <w:rFonts w:hint="eastAsia" w:ascii="Times New Roman" w:hAnsi="Times New Roman" w:cs="Times New Roman"/>
                <w:color w:val="00B050"/>
                <w:sz w:val="21"/>
                <w:szCs w:val="21"/>
                <w:lang w:val="en-US" w:eastAsia="zh-CN"/>
              </w:rPr>
              <w:t>冷</w:t>
            </w:r>
            <w:r>
              <w:rPr>
                <w:rFonts w:hint="eastAsia" w:cs="Times New Roman"/>
                <w:color w:val="00B050"/>
                <w:sz w:val="21"/>
                <w:szCs w:val="21"/>
                <w:lang w:val="en-US" w:eastAsia="zh-CN"/>
              </w:rPr>
              <w:t>却下来</w:t>
            </w:r>
            <w:r>
              <w:rPr>
                <w:rFonts w:hint="eastAsia" w:ascii="Times New Roman" w:hAnsi="Times New Roman" w:cs="Times New Roman"/>
                <w:color w:val="00B050"/>
                <w:sz w:val="21"/>
                <w:szCs w:val="21"/>
                <w:lang w:val="en-US" w:eastAsia="zh-CN"/>
              </w:rPr>
              <w:t>，则有</w:t>
            </w:r>
            <w:r>
              <w:rPr>
                <w:rFonts w:hint="eastAsia" w:cs="Times New Roman"/>
                <w:color w:val="00B050"/>
                <w:sz w:val="21"/>
                <w:szCs w:val="21"/>
                <w:lang w:val="en-US" w:eastAsia="zh-CN"/>
              </w:rPr>
              <w:t>37931</w:t>
            </w:r>
            <w:r>
              <w:rPr>
                <w:rFonts w:hint="eastAsia" w:ascii="Times New Roman" w:hAnsi="Times New Roman" w:cs="Times New Roman"/>
                <w:color w:val="00B050"/>
                <w:sz w:val="21"/>
                <w:szCs w:val="21"/>
                <w:lang w:val="en-US" w:eastAsia="zh-CN"/>
              </w:rPr>
              <w:t>m</w:t>
            </w:r>
            <w:r>
              <w:rPr>
                <w:rFonts w:hint="eastAsia" w:ascii="Times New Roman" w:hAnsi="Times New Roman" w:cs="Times New Roman"/>
                <w:color w:val="00B050"/>
                <w:sz w:val="21"/>
                <w:szCs w:val="21"/>
                <w:vertAlign w:val="superscript"/>
                <w:lang w:val="en-US" w:eastAsia="zh-CN"/>
              </w:rPr>
              <w:t>3</w:t>
            </w:r>
            <w:r>
              <w:rPr>
                <w:rFonts w:hint="eastAsia" w:ascii="Times New Roman" w:hAnsi="Times New Roman" w:cs="Times New Roman"/>
                <w:color w:val="00B050"/>
                <w:sz w:val="21"/>
                <w:szCs w:val="21"/>
                <w:lang w:val="en-US" w:eastAsia="zh-CN"/>
              </w:rPr>
              <w:t>/a（1</w:t>
            </w:r>
            <w:r>
              <w:rPr>
                <w:rFonts w:hint="eastAsia" w:cs="Times New Roman"/>
                <w:color w:val="00B050"/>
                <w:sz w:val="21"/>
                <w:szCs w:val="21"/>
                <w:lang w:val="en-US" w:eastAsia="zh-CN"/>
              </w:rPr>
              <w:t>26.4</w:t>
            </w:r>
            <w:r>
              <w:rPr>
                <w:rFonts w:hint="eastAsia" w:ascii="Times New Roman" w:hAnsi="Times New Roman" w:cs="Times New Roman"/>
                <w:color w:val="00B050"/>
                <w:sz w:val="21"/>
                <w:szCs w:val="21"/>
                <w:lang w:val="en-US" w:eastAsia="zh-CN"/>
              </w:rPr>
              <w:t>m</w:t>
            </w:r>
            <w:r>
              <w:rPr>
                <w:rFonts w:hint="eastAsia" w:ascii="Times New Roman" w:hAnsi="Times New Roman" w:cs="Times New Roman"/>
                <w:color w:val="00B050"/>
                <w:sz w:val="21"/>
                <w:szCs w:val="21"/>
                <w:vertAlign w:val="superscript"/>
                <w:lang w:val="en-US" w:eastAsia="zh-CN"/>
              </w:rPr>
              <w:t>3</w:t>
            </w:r>
            <w:r>
              <w:rPr>
                <w:rFonts w:hint="eastAsia" w:ascii="Times New Roman" w:hAnsi="Times New Roman" w:cs="Times New Roman"/>
                <w:color w:val="00B050"/>
                <w:sz w:val="21"/>
                <w:szCs w:val="21"/>
                <w:lang w:val="en-US" w:eastAsia="zh-CN"/>
              </w:rPr>
              <w:t>/d）的冷却废水通过回流管道回用于制料工序。</w:t>
            </w:r>
          </w:p>
          <w:p w14:paraId="79120DC0">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000000" w:themeColor="text1"/>
                <w:kern w:val="2"/>
                <w:sz w:val="21"/>
                <w:szCs w:val="21"/>
                <w:lang w:val="en-US" w:eastAsia="zh-CN" w:bidi="ar-SA"/>
              </w:rPr>
            </w:pPr>
            <w:r>
              <w:rPr>
                <w:rFonts w:hint="eastAsia" w:cs="Times New Roman"/>
                <w:color w:val="000000" w:themeColor="text1"/>
                <w:kern w:val="2"/>
                <w:sz w:val="21"/>
                <w:szCs w:val="21"/>
                <w:lang w:val="en-US" w:eastAsia="zh-CN" w:bidi="ar-SA"/>
              </w:rPr>
              <w:t>5）热压过程损耗水</w:t>
            </w:r>
          </w:p>
          <w:p w14:paraId="6CF6B7A2">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00B050"/>
                <w:kern w:val="2"/>
                <w:sz w:val="21"/>
                <w:szCs w:val="21"/>
                <w:lang w:val="en-US" w:eastAsia="zh-CN" w:bidi="ar-SA"/>
              </w:rPr>
            </w:pPr>
            <w:r>
              <w:rPr>
                <w:rFonts w:hint="eastAsia" w:cs="Times New Roman"/>
                <w:color w:val="00B050"/>
                <w:kern w:val="2"/>
                <w:sz w:val="21"/>
                <w:szCs w:val="21"/>
                <w:lang w:val="en-US" w:eastAsia="zh-CN" w:bidi="ar-SA"/>
              </w:rPr>
              <w:t>根据建设单位提供的资料及原料比例，蛋盒和瓶托合计原料使用量约为1782t/a（理论干物质量）。生产线使用热压工序，热压后成品含水率为14%，则</w:t>
            </w:r>
            <w:r>
              <w:rPr>
                <w:rFonts w:hint="eastAsia" w:cs="Times New Roman"/>
                <w:color w:val="00B050"/>
                <w:sz w:val="21"/>
                <w:szCs w:val="21"/>
                <w:lang w:val="en-US" w:eastAsia="zh-CN"/>
              </w:rPr>
              <w:t>成品中</w:t>
            </w:r>
            <w:r>
              <w:rPr>
                <w:rFonts w:hint="eastAsia" w:ascii="Times New Roman" w:hAnsi="Times New Roman" w:cs="Times New Roman"/>
                <w:color w:val="00B050"/>
                <w:sz w:val="21"/>
                <w:szCs w:val="21"/>
                <w:lang w:val="en-US" w:eastAsia="zh-CN"/>
              </w:rPr>
              <w:t>含水量</w:t>
            </w:r>
            <w:r>
              <w:rPr>
                <w:rFonts w:hint="eastAsia" w:cs="Times New Roman"/>
                <w:color w:val="00B050"/>
                <w:sz w:val="21"/>
                <w:szCs w:val="21"/>
                <w:lang w:val="en-US" w:eastAsia="zh-CN"/>
              </w:rPr>
              <w:t>合计约</w:t>
            </w:r>
            <w:r>
              <w:rPr>
                <w:rFonts w:hint="eastAsia" w:ascii="Times New Roman" w:hAnsi="Times New Roman" w:cs="Times New Roman"/>
                <w:color w:val="00B050"/>
                <w:sz w:val="21"/>
                <w:szCs w:val="21"/>
                <w:lang w:val="en-US" w:eastAsia="zh-CN"/>
              </w:rPr>
              <w:t>为290m</w:t>
            </w:r>
            <w:r>
              <w:rPr>
                <w:rFonts w:hint="eastAsia" w:ascii="Times New Roman" w:hAnsi="Times New Roman" w:cs="Times New Roman"/>
                <w:color w:val="00B050"/>
                <w:sz w:val="21"/>
                <w:szCs w:val="21"/>
                <w:vertAlign w:val="superscript"/>
                <w:lang w:val="en-US" w:eastAsia="zh-CN"/>
              </w:rPr>
              <w:t>3</w:t>
            </w:r>
            <w:r>
              <w:rPr>
                <w:rFonts w:hint="eastAsia" w:ascii="Times New Roman" w:hAnsi="Times New Roman" w:cs="Times New Roman"/>
                <w:color w:val="00B050"/>
                <w:sz w:val="21"/>
                <w:szCs w:val="21"/>
                <w:lang w:val="en-US" w:eastAsia="zh-CN"/>
              </w:rPr>
              <w:t>/a，1m³/d，剩余（3867m</w:t>
            </w:r>
            <w:r>
              <w:rPr>
                <w:rFonts w:hint="eastAsia" w:ascii="Times New Roman" w:hAnsi="Times New Roman" w:cs="Times New Roman"/>
                <w:color w:val="00B050"/>
                <w:sz w:val="21"/>
                <w:szCs w:val="21"/>
                <w:vertAlign w:val="superscript"/>
                <w:lang w:val="en-US" w:eastAsia="zh-CN"/>
              </w:rPr>
              <w:t>3</w:t>
            </w:r>
            <w:r>
              <w:rPr>
                <w:rFonts w:hint="eastAsia" w:ascii="Times New Roman" w:hAnsi="Times New Roman" w:cs="Times New Roman"/>
                <w:color w:val="00B050"/>
                <w:sz w:val="21"/>
                <w:szCs w:val="21"/>
                <w:lang w:val="en-US" w:eastAsia="zh-CN"/>
              </w:rPr>
              <w:t>/a，12.9m³/d）的水分呈蒸气随烘干废气排入大气环境中。</w:t>
            </w:r>
          </w:p>
          <w:p w14:paraId="0023185E">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2"/>
                <w:sz w:val="21"/>
                <w:szCs w:val="21"/>
                <w:lang w:val="en-US" w:eastAsia="zh-CN" w:bidi="ar-SA"/>
              </w:rPr>
              <w:t>项目水量平衡见图2-1。</w:t>
            </w:r>
          </w:p>
          <w:p w14:paraId="5934A177">
            <w:pPr>
              <w:pStyle w:val="60"/>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eastAsia="zh-CN"/>
              </w:rPr>
              <w:pict>
                <v:shape id="_x0000_i1026" o:spt="75" type="#_x0000_t75" style="height:264.25pt;width:289.2pt;" filled="f" o:preferrelative="t" stroked="f" coordsize="21600,21600">
                  <v:path/>
                  <v:fill on="f" focussize="0,0"/>
                  <v:stroke on="f"/>
                  <v:imagedata r:id="rId19" o:title=""/>
                  <o:lock v:ext="edit" aspectratio="t"/>
                  <w10:wrap type="none"/>
                  <w10:anchorlock/>
                </v:shape>
              </w:pict>
            </w:r>
          </w:p>
          <w:p w14:paraId="24514CAE">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textAlignment w:val="auto"/>
              <w:rPr>
                <w:rFonts w:hint="eastAsia" w:eastAsia="宋体" w:cs="Times New Roman"/>
                <w:color w:val="00B050"/>
                <w:sz w:val="21"/>
                <w:szCs w:val="21"/>
                <w:lang w:val="en-US" w:eastAsia="zh-CN"/>
              </w:rPr>
            </w:pPr>
            <w:r>
              <w:rPr>
                <w:rFonts w:hint="default" w:cs="Times New Roman"/>
                <w:color w:val="00B050"/>
              </w:rPr>
              <w:t>图2-1</w:t>
            </w:r>
            <w:r>
              <w:rPr>
                <w:rFonts w:hint="eastAsia" w:cs="Times New Roman"/>
                <w:color w:val="00B050"/>
              </w:rPr>
              <w:t xml:space="preserve"> </w:t>
            </w:r>
            <w:r>
              <w:rPr>
                <w:rFonts w:hint="eastAsia" w:cs="Times New Roman"/>
                <w:color w:val="00B050"/>
                <w:lang w:val="en-US" w:eastAsia="zh-CN"/>
              </w:rPr>
              <w:t xml:space="preserve"> </w:t>
            </w:r>
            <w:r>
              <w:rPr>
                <w:rFonts w:hint="default" w:cs="Times New Roman"/>
                <w:color w:val="00B050"/>
              </w:rPr>
              <w:t>水量平衡图</w:t>
            </w:r>
            <w:r>
              <w:rPr>
                <w:rFonts w:hint="eastAsia" w:cs="Times New Roman"/>
                <w:color w:val="00B050"/>
              </w:rPr>
              <w:t xml:space="preserve">  </w:t>
            </w:r>
            <w:r>
              <w:rPr>
                <w:rFonts w:hint="eastAsia" w:cs="Times New Roman"/>
                <w:color w:val="00B050"/>
                <w:lang w:val="en-US" w:eastAsia="zh-CN"/>
              </w:rPr>
              <w:t>单位：</w:t>
            </w:r>
            <w:r>
              <w:rPr>
                <w:rFonts w:hint="eastAsia" w:cs="Times New Roman"/>
                <w:color w:val="00B050"/>
              </w:rPr>
              <w:t>m</w:t>
            </w:r>
            <w:r>
              <w:rPr>
                <w:rFonts w:hint="eastAsia" w:cs="Times New Roman"/>
                <w:color w:val="00B050"/>
                <w:vertAlign w:val="superscript"/>
              </w:rPr>
              <w:t>3</w:t>
            </w:r>
            <w:r>
              <w:rPr>
                <w:rFonts w:hint="eastAsia" w:cs="Times New Roman"/>
                <w:color w:val="00B050"/>
              </w:rPr>
              <w:t>/</w:t>
            </w:r>
            <w:r>
              <w:rPr>
                <w:rFonts w:hint="eastAsia" w:cs="Times New Roman"/>
                <w:color w:val="00B050"/>
                <w:lang w:val="en-US" w:eastAsia="zh-CN"/>
              </w:rPr>
              <w:t>d</w:t>
            </w:r>
          </w:p>
          <w:p w14:paraId="12692FB7">
            <w:pPr>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cs="Times New Roman"/>
                <w:b/>
                <w:bCs/>
                <w:color w:val="000000" w:themeColor="text1"/>
                <w:sz w:val="21"/>
                <w:szCs w:val="21"/>
              </w:rPr>
            </w:pPr>
            <w:r>
              <w:rPr>
                <w:rFonts w:hint="eastAsia" w:ascii="Times New Roman" w:hAnsi="Times New Roman" w:cs="Times New Roman"/>
                <w:b/>
                <w:bCs/>
                <w:color w:val="000000" w:themeColor="text1"/>
                <w:sz w:val="21"/>
                <w:szCs w:val="21"/>
              </w:rPr>
              <w:t>8、</w:t>
            </w:r>
            <w:r>
              <w:rPr>
                <w:rFonts w:hint="default" w:ascii="Times New Roman" w:hAnsi="Times New Roman" w:cs="Times New Roman"/>
                <w:b/>
                <w:bCs/>
                <w:color w:val="000000" w:themeColor="text1"/>
                <w:sz w:val="21"/>
                <w:szCs w:val="21"/>
              </w:rPr>
              <w:t>项目平面布置</w:t>
            </w:r>
          </w:p>
          <w:p w14:paraId="5BC981E9">
            <w:pPr>
              <w:keepNext w:val="0"/>
              <w:keepLines w:val="0"/>
              <w:suppressLineNumbers w:val="0"/>
              <w:adjustRightInd w:val="0"/>
              <w:snapToGrid w:val="0"/>
              <w:spacing w:before="0" w:beforeAutospacing="0" w:after="0" w:afterAutospacing="0"/>
              <w:ind w:left="0" w:right="0" w:firstLine="420"/>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项目严格实施雨污分流体系，收集厂区内雨水，</w:t>
            </w:r>
            <w:r>
              <w:rPr>
                <w:rFonts w:hint="eastAsia" w:ascii="Times New Roman" w:hAnsi="Times New Roman" w:cs="Times New Roman"/>
                <w:color w:val="000000" w:themeColor="text1"/>
                <w:sz w:val="21"/>
                <w:szCs w:val="21"/>
                <w:lang w:val="en-US" w:eastAsia="zh-CN"/>
              </w:rPr>
              <w:t>雨水接入园区雨水管网；生产废水全部循环使用，生活污水接入园区污水管网进入污水处理厂处理。</w:t>
            </w:r>
            <w:r>
              <w:rPr>
                <w:rFonts w:hint="default" w:ascii="Times New Roman" w:hAnsi="Times New Roman" w:cs="Times New Roman"/>
                <w:color w:val="000000" w:themeColor="text1"/>
                <w:sz w:val="21"/>
                <w:szCs w:val="21"/>
              </w:rPr>
              <w:t>项目区共设置</w:t>
            </w:r>
            <w:r>
              <w:rPr>
                <w:rFonts w:hint="eastAsia" w:ascii="Times New Roman" w:hAnsi="Times New Roman" w:cs="Times New Roman"/>
                <w:color w:val="000000" w:themeColor="text1"/>
                <w:sz w:val="21"/>
                <w:szCs w:val="21"/>
                <w:lang w:val="en-US" w:eastAsia="zh-CN"/>
              </w:rPr>
              <w:t>1</w:t>
            </w:r>
            <w:r>
              <w:rPr>
                <w:rFonts w:hint="default" w:ascii="Times New Roman" w:hAnsi="Times New Roman" w:cs="Times New Roman"/>
                <w:color w:val="000000" w:themeColor="text1"/>
                <w:sz w:val="21"/>
                <w:szCs w:val="21"/>
              </w:rPr>
              <w:t>个安全出入口，出入口连接</w:t>
            </w:r>
            <w:r>
              <w:rPr>
                <w:rFonts w:hint="eastAsia" w:ascii="Times New Roman" w:hAnsi="Times New Roman" w:cs="Times New Roman"/>
                <w:color w:val="000000" w:themeColor="text1"/>
                <w:sz w:val="21"/>
                <w:szCs w:val="21"/>
                <w:lang w:val="en-US" w:eastAsia="zh-CN"/>
              </w:rPr>
              <w:t>高大线</w:t>
            </w:r>
            <w:r>
              <w:rPr>
                <w:rFonts w:hint="eastAsia" w:ascii="Times New Roman" w:hAnsi="Times New Roman" w:cs="Times New Roman"/>
                <w:color w:val="000000" w:themeColor="text1"/>
                <w:sz w:val="21"/>
                <w:szCs w:val="21"/>
              </w:rPr>
              <w:t>，</w:t>
            </w:r>
            <w:r>
              <w:rPr>
                <w:rFonts w:hint="default" w:ascii="Times New Roman" w:hAnsi="Times New Roman" w:cs="Times New Roman"/>
                <w:color w:val="000000" w:themeColor="text1"/>
                <w:sz w:val="21"/>
                <w:szCs w:val="21"/>
              </w:rPr>
              <w:t>便于生产中原辅材料和成品的运输，根据建设厂址现状、生产管理及工艺要求，项目的平面布置按照建筑规范，结合项目生产特点，原料</w:t>
            </w:r>
            <w:r>
              <w:rPr>
                <w:rFonts w:hint="eastAsia" w:ascii="Times New Roman" w:hAnsi="Times New Roman" w:cs="Times New Roman"/>
                <w:color w:val="000000" w:themeColor="text1"/>
                <w:sz w:val="21"/>
                <w:szCs w:val="21"/>
                <w:lang w:val="en-US" w:eastAsia="zh-CN"/>
              </w:rPr>
              <w:t>贮存区和成品贮存区</w:t>
            </w:r>
            <w:r>
              <w:rPr>
                <w:rFonts w:hint="default" w:ascii="Times New Roman" w:hAnsi="Times New Roman" w:cs="Times New Roman"/>
                <w:color w:val="000000" w:themeColor="text1"/>
                <w:sz w:val="21"/>
                <w:szCs w:val="21"/>
              </w:rPr>
              <w:t>紧挨着生产线布设。</w:t>
            </w:r>
          </w:p>
          <w:p w14:paraId="394EE5FB">
            <w:pPr>
              <w:keepNext w:val="0"/>
              <w:keepLines w:val="0"/>
              <w:suppressLineNumbers w:val="0"/>
              <w:adjustRightInd w:val="0"/>
              <w:snapToGrid w:val="0"/>
              <w:spacing w:before="0" w:beforeAutospacing="0" w:after="0" w:afterAutospacing="0"/>
              <w:ind w:left="0" w:right="0" w:firstLine="420"/>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项目</w:t>
            </w:r>
            <w:r>
              <w:rPr>
                <w:rFonts w:hint="eastAsia" w:ascii="Times New Roman" w:hAnsi="Times New Roman" w:cs="Times New Roman"/>
                <w:color w:val="000000" w:themeColor="text1"/>
                <w:sz w:val="21"/>
                <w:szCs w:val="21"/>
                <w:lang w:val="en-US" w:eastAsia="zh-CN"/>
              </w:rPr>
              <w:t>由</w:t>
            </w:r>
            <w:r>
              <w:rPr>
                <w:rFonts w:hint="eastAsia" w:ascii="Times New Roman" w:hAnsi="Times New Roman" w:cs="Times New Roman"/>
                <w:color w:val="000000" w:themeColor="text1"/>
                <w:sz w:val="21"/>
                <w:szCs w:val="21"/>
              </w:rPr>
              <w:t>生产车间</w:t>
            </w:r>
            <w:r>
              <w:rPr>
                <w:rFonts w:hint="eastAsia" w:ascii="Times New Roman" w:hAnsi="Times New Roman" w:cs="Times New Roman"/>
                <w:color w:val="000000" w:themeColor="text1"/>
                <w:sz w:val="21"/>
                <w:szCs w:val="21"/>
                <w:lang w:val="en-US" w:eastAsia="zh-CN"/>
              </w:rPr>
              <w:t>2栋</w:t>
            </w:r>
            <w:r>
              <w:rPr>
                <w:rFonts w:hint="eastAsia" w:ascii="Times New Roman" w:hAnsi="Times New Roman" w:cs="Times New Roman"/>
                <w:color w:val="000000" w:themeColor="text1"/>
                <w:sz w:val="21"/>
                <w:szCs w:val="21"/>
              </w:rPr>
              <w:t>、办公</w:t>
            </w:r>
            <w:r>
              <w:rPr>
                <w:rFonts w:hint="eastAsia" w:ascii="Times New Roman" w:hAnsi="Times New Roman" w:cs="Times New Roman"/>
                <w:color w:val="000000" w:themeColor="text1"/>
                <w:sz w:val="21"/>
                <w:szCs w:val="21"/>
                <w:lang w:val="en-US" w:eastAsia="zh-CN"/>
              </w:rPr>
              <w:t>生活</w:t>
            </w:r>
            <w:r>
              <w:rPr>
                <w:rFonts w:hint="eastAsia" w:ascii="Times New Roman" w:hAnsi="Times New Roman" w:cs="Times New Roman"/>
                <w:color w:val="000000" w:themeColor="text1"/>
                <w:sz w:val="21"/>
                <w:szCs w:val="21"/>
              </w:rPr>
              <w:t>区</w:t>
            </w:r>
            <w:r>
              <w:rPr>
                <w:rFonts w:hint="eastAsia" w:ascii="Times New Roman" w:hAnsi="Times New Roman" w:cs="Times New Roman"/>
                <w:color w:val="000000" w:themeColor="text1"/>
                <w:sz w:val="21"/>
                <w:szCs w:val="21"/>
                <w:lang w:val="en-US" w:eastAsia="zh-CN"/>
              </w:rPr>
              <w:t>1栋和维修车间1栋及其公辅设施组成等</w:t>
            </w:r>
            <w:r>
              <w:rPr>
                <w:rFonts w:hint="eastAsia" w:ascii="Times New Roman" w:hAnsi="Times New Roman" w:cs="Times New Roman"/>
                <w:color w:val="000000" w:themeColor="text1"/>
                <w:sz w:val="21"/>
                <w:szCs w:val="21"/>
              </w:rPr>
              <w:t>，</w:t>
            </w:r>
            <w:r>
              <w:rPr>
                <w:rFonts w:hint="eastAsia" w:ascii="Times New Roman" w:hAnsi="Times New Roman" w:cs="Times New Roman"/>
                <w:color w:val="000000" w:themeColor="text1"/>
                <w:sz w:val="21"/>
                <w:szCs w:val="21"/>
                <w:lang w:val="en-US" w:eastAsia="zh-CN"/>
              </w:rPr>
              <w:t>其中</w:t>
            </w:r>
            <w:r>
              <w:rPr>
                <w:rFonts w:hint="eastAsia" w:ascii="Times New Roman" w:hAnsi="Times New Roman" w:cs="Times New Roman"/>
                <w:color w:val="000000" w:themeColor="text1"/>
                <w:sz w:val="21"/>
                <w:szCs w:val="21"/>
              </w:rPr>
              <w:t>生产车间</w:t>
            </w:r>
            <w:r>
              <w:rPr>
                <w:rFonts w:hint="eastAsia" w:ascii="Times New Roman" w:hAnsi="Times New Roman" w:cs="Times New Roman"/>
                <w:color w:val="000000" w:themeColor="text1"/>
                <w:sz w:val="21"/>
                <w:szCs w:val="21"/>
                <w:lang w:val="en-US" w:eastAsia="zh-CN"/>
              </w:rPr>
              <w:t>建设于厂址中心，由2栋生产车间组成，从南向北依次为1#生产车间和2#生产车间，其中1#生产车间布置原料贮存区、蛋盒和瓶托生产线、消防泵房；2#生产车间设置制料区、烘干区、打包区和成品贮存区，有蛋托和果托生产线各1条；维修车间建设于东南侧，用于厂区设备检维修和运营车辆的暂存；生活区设置于厂区西南侧临近高大线和出入口布设，布设有员工宿舍、办公室和食堂</w:t>
            </w:r>
            <w:r>
              <w:rPr>
                <w:rFonts w:hint="eastAsia" w:ascii="Times New Roman" w:hAnsi="Times New Roman" w:cs="Times New Roman"/>
                <w:color w:val="000000" w:themeColor="text1"/>
                <w:sz w:val="21"/>
                <w:szCs w:val="21"/>
              </w:rPr>
              <w:t>。</w:t>
            </w:r>
          </w:p>
          <w:p w14:paraId="10B0CF41">
            <w:pPr>
              <w:keepNext w:val="0"/>
              <w:keepLines w:val="0"/>
              <w:suppressLineNumbers w:val="0"/>
              <w:adjustRightInd w:val="0"/>
              <w:snapToGrid w:val="0"/>
              <w:spacing w:before="0" w:beforeAutospacing="0" w:after="0" w:afterAutospacing="0"/>
              <w:ind w:left="0" w:right="0" w:firstLine="420"/>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综上分析，</w:t>
            </w:r>
            <w:r>
              <w:rPr>
                <w:rFonts w:hint="eastAsia" w:ascii="Times New Roman" w:hAnsi="Times New Roman" w:cs="Times New Roman"/>
                <w:color w:val="000000" w:themeColor="text1"/>
                <w:sz w:val="21"/>
                <w:szCs w:val="21"/>
                <w:lang w:val="en-US" w:eastAsia="zh-CN"/>
              </w:rPr>
              <w:t>项目平面布置</w:t>
            </w:r>
            <w:r>
              <w:rPr>
                <w:rFonts w:hint="default" w:ascii="Times New Roman" w:hAnsi="Times New Roman" w:cs="Times New Roman"/>
                <w:color w:val="000000" w:themeColor="text1"/>
                <w:sz w:val="21"/>
                <w:szCs w:val="21"/>
              </w:rPr>
              <w:t>根据</w:t>
            </w:r>
            <w:r>
              <w:rPr>
                <w:rFonts w:hint="eastAsia" w:ascii="Times New Roman" w:hAnsi="Times New Roman" w:cs="Times New Roman"/>
                <w:color w:val="000000" w:themeColor="text1"/>
                <w:sz w:val="21"/>
                <w:szCs w:val="21"/>
                <w:lang w:val="en-US" w:eastAsia="zh-CN"/>
              </w:rPr>
              <w:t>项目</w:t>
            </w:r>
            <w:r>
              <w:rPr>
                <w:rFonts w:hint="default" w:ascii="Times New Roman" w:hAnsi="Times New Roman" w:cs="Times New Roman"/>
                <w:color w:val="000000" w:themeColor="text1"/>
                <w:sz w:val="21"/>
                <w:szCs w:val="21"/>
              </w:rPr>
              <w:t>生产性质及建设规模，并结合场地自然条件及现状进行布置。在满足工业生产用地的前提下，统筹考虑了物料运输、管线敷设、环境保护及消防等方面的用地需要。各单元功能分区明确，</w:t>
            </w:r>
            <w:r>
              <w:rPr>
                <w:rFonts w:hint="default" w:ascii="Times New Roman" w:hAnsi="Times New Roman" w:cs="Times New Roman"/>
                <w:bCs/>
                <w:color w:val="000000" w:themeColor="text1"/>
                <w:sz w:val="21"/>
                <w:szCs w:val="21"/>
              </w:rPr>
              <w:t>各环节紧密联系，利于生产和环境保护措施的推进，从环保的角度来说，项目平面布置基本合理。</w:t>
            </w:r>
          </w:p>
          <w:p w14:paraId="6A9DD901">
            <w:pPr>
              <w:keepNext w:val="0"/>
              <w:keepLines w:val="0"/>
              <w:suppressLineNumbers w:val="0"/>
              <w:adjustRightInd w:val="0"/>
              <w:snapToGrid w:val="0"/>
              <w:spacing w:before="0" w:beforeAutospacing="0" w:after="0" w:afterAutospacing="0"/>
              <w:ind w:left="0" w:right="0" w:firstLine="420"/>
              <w:rPr>
                <w:rFonts w:hint="default" w:ascii="Times New Roman" w:hAnsi="Times New Roman" w:cs="Times New Roman"/>
                <w:color w:val="000000" w:themeColor="text1"/>
              </w:rPr>
            </w:pPr>
            <w:r>
              <w:rPr>
                <w:rFonts w:hint="default" w:ascii="Times New Roman" w:hAnsi="Times New Roman" w:cs="Times New Roman"/>
                <w:color w:val="000000" w:themeColor="text1"/>
                <w:sz w:val="21"/>
                <w:szCs w:val="21"/>
              </w:rPr>
              <w:t>项目平面布置详见附图3</w:t>
            </w:r>
            <w:r>
              <w:rPr>
                <w:rFonts w:hint="eastAsia" w:ascii="Times New Roman" w:hAnsi="Times New Roman" w:cs="Times New Roman"/>
                <w:color w:val="000000" w:themeColor="text1"/>
                <w:sz w:val="21"/>
                <w:szCs w:val="21"/>
                <w:lang w:eastAsia="zh-CN"/>
              </w:rPr>
              <w:t>。</w:t>
            </w:r>
          </w:p>
          <w:p w14:paraId="0CB0B73D">
            <w:pPr>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cs="Times New Roman"/>
                <w:b/>
                <w:bCs/>
                <w:color w:val="000000" w:themeColor="text1"/>
                <w:sz w:val="21"/>
                <w:szCs w:val="21"/>
              </w:rPr>
            </w:pPr>
            <w:r>
              <w:rPr>
                <w:rFonts w:hint="eastAsia" w:ascii="Times New Roman" w:hAnsi="Times New Roman" w:cs="Times New Roman"/>
                <w:b/>
                <w:bCs/>
                <w:color w:val="000000" w:themeColor="text1"/>
                <w:sz w:val="21"/>
                <w:szCs w:val="21"/>
              </w:rPr>
              <w:t>9、</w:t>
            </w:r>
            <w:r>
              <w:rPr>
                <w:rFonts w:hint="default" w:ascii="Times New Roman" w:hAnsi="Times New Roman" w:cs="Times New Roman"/>
                <w:b/>
                <w:bCs/>
                <w:color w:val="000000" w:themeColor="text1"/>
                <w:sz w:val="21"/>
                <w:szCs w:val="21"/>
              </w:rPr>
              <w:t>环保投资</w:t>
            </w:r>
          </w:p>
          <w:p w14:paraId="5EBCE659">
            <w:pPr>
              <w:keepNext w:val="0"/>
              <w:keepLines w:val="0"/>
              <w:suppressLineNumbers w:val="0"/>
              <w:adjustRightInd w:val="0"/>
              <w:snapToGrid w:val="0"/>
              <w:spacing w:before="0" w:beforeAutospacing="0" w:after="0" w:afterAutospacing="0"/>
              <w:ind w:left="0" w:right="0" w:firstLine="420"/>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项目总投资</w:t>
            </w:r>
            <w:r>
              <w:rPr>
                <w:rFonts w:hint="eastAsia" w:ascii="Times New Roman" w:hAnsi="Times New Roman" w:cs="Times New Roman"/>
                <w:color w:val="000000" w:themeColor="text1"/>
                <w:sz w:val="21"/>
                <w:szCs w:val="21"/>
                <w:lang w:val="en-US" w:eastAsia="zh-CN"/>
              </w:rPr>
              <w:t>2400</w:t>
            </w:r>
            <w:r>
              <w:rPr>
                <w:rFonts w:hint="default" w:ascii="Times New Roman" w:hAnsi="Times New Roman" w:cs="Times New Roman"/>
                <w:color w:val="000000" w:themeColor="text1"/>
                <w:sz w:val="21"/>
                <w:szCs w:val="21"/>
              </w:rPr>
              <w:t>万元，其中环保投资</w:t>
            </w:r>
            <w:r>
              <w:rPr>
                <w:rFonts w:hint="eastAsia" w:ascii="Times New Roman" w:hAnsi="Times New Roman" w:cs="Times New Roman"/>
                <w:color w:val="000000" w:themeColor="text1"/>
                <w:sz w:val="21"/>
                <w:szCs w:val="21"/>
                <w:lang w:val="en-US" w:eastAsia="zh-CN"/>
              </w:rPr>
              <w:t>65.55</w:t>
            </w:r>
            <w:r>
              <w:rPr>
                <w:rFonts w:hint="default" w:ascii="Times New Roman" w:hAnsi="Times New Roman" w:cs="Times New Roman"/>
                <w:color w:val="000000" w:themeColor="text1"/>
                <w:sz w:val="21"/>
                <w:szCs w:val="21"/>
              </w:rPr>
              <w:t>万元，占总投资比例的</w:t>
            </w:r>
            <w:r>
              <w:rPr>
                <w:rFonts w:hint="eastAsia" w:ascii="Times New Roman" w:hAnsi="Times New Roman" w:cs="Times New Roman"/>
                <w:color w:val="000000" w:themeColor="text1"/>
                <w:sz w:val="21"/>
                <w:szCs w:val="21"/>
                <w:lang w:val="en-US" w:eastAsia="zh-CN"/>
              </w:rPr>
              <w:t>2.73</w:t>
            </w:r>
            <w:r>
              <w:rPr>
                <w:rFonts w:hint="default" w:ascii="Times New Roman" w:hAnsi="Times New Roman" w:cs="Times New Roman"/>
                <w:color w:val="000000" w:themeColor="text1"/>
                <w:sz w:val="21"/>
                <w:szCs w:val="21"/>
              </w:rPr>
              <w:t>%，其中投资明细表见表2-</w:t>
            </w:r>
            <w:r>
              <w:rPr>
                <w:rFonts w:hint="eastAsia" w:cs="Times New Roman"/>
                <w:color w:val="000000" w:themeColor="text1"/>
                <w:sz w:val="21"/>
                <w:szCs w:val="21"/>
                <w:lang w:val="en-US" w:eastAsia="zh-CN"/>
              </w:rPr>
              <w:t>7</w:t>
            </w:r>
            <w:r>
              <w:rPr>
                <w:rFonts w:hint="default" w:ascii="Times New Roman" w:hAnsi="Times New Roman" w:cs="Times New Roman"/>
                <w:color w:val="000000" w:themeColor="text1"/>
                <w:sz w:val="21"/>
                <w:szCs w:val="21"/>
              </w:rPr>
              <w:t>。</w:t>
            </w:r>
          </w:p>
          <w:p w14:paraId="46791FFE">
            <w:pPr>
              <w:pStyle w:val="8"/>
              <w:keepNext w:val="0"/>
              <w:keepLines w:val="0"/>
              <w:suppressLineNumbers w:val="0"/>
              <w:spacing w:before="0" w:beforeAutospacing="0" w:after="0" w:afterAutospacing="0" w:line="360" w:lineRule="auto"/>
              <w:ind w:left="0" w:right="0" w:firstLine="422" w:firstLineChars="200"/>
              <w:rPr>
                <w:rFonts w:hint="default" w:cs="Times New Roman"/>
                <w:color w:val="000000" w:themeColor="text1"/>
              </w:rPr>
            </w:pPr>
            <w:r>
              <w:rPr>
                <w:rFonts w:hint="default" w:cs="Times New Roman"/>
                <w:color w:val="000000" w:themeColor="text1"/>
              </w:rPr>
              <w:t>表2-</w:t>
            </w:r>
            <w:r>
              <w:rPr>
                <w:rFonts w:hint="eastAsia" w:cs="Times New Roman"/>
                <w:color w:val="000000" w:themeColor="text1"/>
                <w:lang w:val="en-US" w:eastAsia="zh-CN"/>
              </w:rPr>
              <w:t xml:space="preserve">7 </w:t>
            </w:r>
            <w:r>
              <w:rPr>
                <w:rFonts w:hint="default" w:cs="Times New Roman"/>
                <w:color w:val="000000" w:themeColor="text1"/>
              </w:rPr>
              <w:t xml:space="preserve"> 项目环保投资的分项估算表</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998"/>
              <w:gridCol w:w="3244"/>
              <w:gridCol w:w="1035"/>
              <w:gridCol w:w="1131"/>
              <w:gridCol w:w="1148"/>
            </w:tblGrid>
            <w:tr w14:paraId="680EE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1" w:type="pct"/>
                  <w:gridSpan w:val="2"/>
                  <w:noWrap w:val="0"/>
                  <w:vAlign w:val="center"/>
                </w:tcPr>
                <w:p w14:paraId="1D7F3427">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default" w:cs="Times New Roman"/>
                      <w:color w:val="000000" w:themeColor="text1"/>
                    </w:rPr>
                    <w:t>投资时段</w:t>
                  </w:r>
                </w:p>
              </w:tc>
              <w:tc>
                <w:tcPr>
                  <w:tcW w:w="2027" w:type="pct"/>
                  <w:noWrap w:val="0"/>
                  <w:vAlign w:val="center"/>
                </w:tcPr>
                <w:p w14:paraId="610FCBFD">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default" w:cs="Times New Roman"/>
                      <w:color w:val="000000" w:themeColor="text1"/>
                    </w:rPr>
                    <w:t>投资项目</w:t>
                  </w:r>
                </w:p>
              </w:tc>
              <w:tc>
                <w:tcPr>
                  <w:tcW w:w="646" w:type="pct"/>
                  <w:noWrap w:val="0"/>
                  <w:vAlign w:val="center"/>
                </w:tcPr>
                <w:p w14:paraId="1B1ED41D">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default" w:cs="Times New Roman"/>
                      <w:color w:val="000000" w:themeColor="text1"/>
                    </w:rPr>
                    <w:t>数量</w:t>
                  </w:r>
                </w:p>
              </w:tc>
              <w:tc>
                <w:tcPr>
                  <w:tcW w:w="706" w:type="pct"/>
                  <w:noWrap w:val="0"/>
                  <w:vAlign w:val="center"/>
                </w:tcPr>
                <w:p w14:paraId="0450D8C3">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default" w:cs="Times New Roman"/>
                      <w:color w:val="000000" w:themeColor="text1"/>
                    </w:rPr>
                    <w:t>投资金额(万元)</w:t>
                  </w:r>
                </w:p>
              </w:tc>
              <w:tc>
                <w:tcPr>
                  <w:tcW w:w="717" w:type="pct"/>
                  <w:noWrap w:val="0"/>
                  <w:vAlign w:val="center"/>
                </w:tcPr>
                <w:p w14:paraId="009E8189">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default" w:cs="Times New Roman"/>
                      <w:color w:val="000000" w:themeColor="text1"/>
                    </w:rPr>
                    <w:t>备注</w:t>
                  </w:r>
                </w:p>
              </w:tc>
            </w:tr>
            <w:tr w14:paraId="5B746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restart"/>
                  <w:noWrap w:val="0"/>
                  <w:vAlign w:val="center"/>
                </w:tcPr>
                <w:p w14:paraId="52B74FF5">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default" w:cs="Times New Roman"/>
                      <w:color w:val="000000" w:themeColor="text1"/>
                    </w:rPr>
                    <w:t>运营期</w:t>
                  </w:r>
                </w:p>
              </w:tc>
              <w:tc>
                <w:tcPr>
                  <w:tcW w:w="623" w:type="pct"/>
                  <w:vMerge w:val="restart"/>
                  <w:noWrap w:val="0"/>
                  <w:vAlign w:val="center"/>
                </w:tcPr>
                <w:p w14:paraId="571D830A">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default" w:cs="Times New Roman"/>
                      <w:color w:val="000000" w:themeColor="text1"/>
                    </w:rPr>
                    <w:t>废水</w:t>
                  </w:r>
                </w:p>
              </w:tc>
              <w:tc>
                <w:tcPr>
                  <w:tcW w:w="2027" w:type="pct"/>
                  <w:noWrap w:val="0"/>
                  <w:vAlign w:val="center"/>
                </w:tcPr>
                <w:p w14:paraId="34FBF230">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default" w:cs="Times New Roman"/>
                      <w:color w:val="000000" w:themeColor="text1"/>
                    </w:rPr>
                    <w:t>化粪池（</w:t>
                  </w:r>
                  <w:r>
                    <w:rPr>
                      <w:rFonts w:hint="default" w:cs="Times New Roman"/>
                      <w:color w:val="00B050"/>
                      <w:lang w:val="en-US" w:eastAsia="zh-CN"/>
                    </w:rPr>
                    <w:t>TW00</w:t>
                  </w:r>
                  <w:r>
                    <w:rPr>
                      <w:rFonts w:hint="eastAsia" w:cs="Times New Roman"/>
                      <w:color w:val="00B050"/>
                      <w:lang w:val="en-US" w:eastAsia="zh-CN"/>
                    </w:rPr>
                    <w:t>2</w:t>
                  </w:r>
                  <w:r>
                    <w:rPr>
                      <w:rFonts w:hint="eastAsia" w:cs="Times New Roman"/>
                      <w:color w:val="000000" w:themeColor="text1"/>
                      <w:lang w:val="en-US" w:eastAsia="zh-CN"/>
                    </w:rPr>
                    <w:t>，</w:t>
                  </w:r>
                  <w:r>
                    <w:rPr>
                      <w:rFonts w:hint="default" w:cs="Times New Roman"/>
                      <w:color w:val="000000" w:themeColor="text1"/>
                    </w:rPr>
                    <w:t>容积约为</w:t>
                  </w:r>
                  <w:r>
                    <w:rPr>
                      <w:rFonts w:hint="eastAsia" w:cs="Times New Roman"/>
                      <w:color w:val="000000" w:themeColor="text1"/>
                      <w:lang w:val="en-US" w:eastAsia="zh-CN"/>
                    </w:rPr>
                    <w:t>5</w:t>
                  </w:r>
                  <w:r>
                    <w:rPr>
                      <w:rFonts w:hint="default" w:cs="Times New Roman"/>
                      <w:color w:val="000000" w:themeColor="text1"/>
                    </w:rPr>
                    <w:t>m³）</w:t>
                  </w:r>
                </w:p>
              </w:tc>
              <w:tc>
                <w:tcPr>
                  <w:tcW w:w="646" w:type="pct"/>
                  <w:noWrap w:val="0"/>
                  <w:vAlign w:val="center"/>
                </w:tcPr>
                <w:p w14:paraId="3AECE191">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default" w:cs="Times New Roman"/>
                      <w:color w:val="000000" w:themeColor="text1"/>
                    </w:rPr>
                    <w:t>1</w:t>
                  </w:r>
                  <w:r>
                    <w:rPr>
                      <w:rFonts w:hint="eastAsia" w:cs="Times New Roman"/>
                      <w:color w:val="000000" w:themeColor="text1"/>
                    </w:rPr>
                    <w:t>座</w:t>
                  </w:r>
                </w:p>
              </w:tc>
              <w:tc>
                <w:tcPr>
                  <w:tcW w:w="706" w:type="pct"/>
                  <w:noWrap w:val="0"/>
                  <w:vAlign w:val="center"/>
                </w:tcPr>
                <w:p w14:paraId="6F14BCF3">
                  <w:pPr>
                    <w:pStyle w:val="62"/>
                    <w:keepNext w:val="0"/>
                    <w:keepLines w:val="0"/>
                    <w:suppressLineNumbers w:val="0"/>
                    <w:spacing w:before="0" w:beforeAutospacing="0" w:after="0" w:afterAutospacing="0" w:line="240" w:lineRule="auto"/>
                    <w:ind w:left="0" w:right="0"/>
                    <w:rPr>
                      <w:rFonts w:hint="eastAsia" w:eastAsia="宋体" w:cs="Times New Roman"/>
                      <w:color w:val="000000" w:themeColor="text1"/>
                      <w:lang w:val="en-US" w:eastAsia="zh-CN"/>
                    </w:rPr>
                  </w:pPr>
                  <w:r>
                    <w:rPr>
                      <w:rFonts w:hint="eastAsia" w:cs="Times New Roman"/>
                      <w:color w:val="000000" w:themeColor="text1"/>
                      <w:lang w:val="en-US" w:eastAsia="zh-CN"/>
                    </w:rPr>
                    <w:t>1</w:t>
                  </w:r>
                </w:p>
              </w:tc>
              <w:tc>
                <w:tcPr>
                  <w:tcW w:w="717" w:type="pct"/>
                  <w:noWrap w:val="0"/>
                  <w:vAlign w:val="center"/>
                </w:tcPr>
                <w:p w14:paraId="0CFAE252">
                  <w:pPr>
                    <w:pStyle w:val="62"/>
                    <w:keepNext w:val="0"/>
                    <w:keepLines w:val="0"/>
                    <w:suppressLineNumbers w:val="0"/>
                    <w:spacing w:before="0" w:beforeAutospacing="0" w:after="0" w:afterAutospacing="0" w:line="240" w:lineRule="auto"/>
                    <w:ind w:left="0" w:right="0"/>
                    <w:rPr>
                      <w:rFonts w:hint="eastAsia" w:cs="Times New Roman"/>
                      <w:color w:val="000000" w:themeColor="text1"/>
                    </w:rPr>
                  </w:pPr>
                  <w:r>
                    <w:rPr>
                      <w:rFonts w:hint="eastAsia" w:cs="Times New Roman"/>
                      <w:color w:val="000000" w:themeColor="text1"/>
                      <w:lang w:val="en-US" w:eastAsia="zh-CN"/>
                    </w:rPr>
                    <w:t>新建</w:t>
                  </w:r>
                </w:p>
              </w:tc>
            </w:tr>
            <w:tr w14:paraId="67ABC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noWrap w:val="0"/>
                  <w:vAlign w:val="center"/>
                </w:tcPr>
                <w:p w14:paraId="729C5B80">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p>
              </w:tc>
              <w:tc>
                <w:tcPr>
                  <w:tcW w:w="623" w:type="pct"/>
                  <w:vMerge w:val="continue"/>
                  <w:noWrap w:val="0"/>
                  <w:vAlign w:val="center"/>
                </w:tcPr>
                <w:p w14:paraId="3675B2C1">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p>
              </w:tc>
              <w:tc>
                <w:tcPr>
                  <w:tcW w:w="2027" w:type="pct"/>
                  <w:noWrap w:val="0"/>
                  <w:vAlign w:val="center"/>
                </w:tcPr>
                <w:p w14:paraId="6F2500C5">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default" w:cs="Times New Roman"/>
                      <w:color w:val="000000" w:themeColor="text1"/>
                    </w:rPr>
                    <w:t>雨污分流系统</w:t>
                  </w:r>
                </w:p>
              </w:tc>
              <w:tc>
                <w:tcPr>
                  <w:tcW w:w="646" w:type="pct"/>
                  <w:noWrap w:val="0"/>
                  <w:vAlign w:val="center"/>
                </w:tcPr>
                <w:p w14:paraId="75A5FD75">
                  <w:pPr>
                    <w:pStyle w:val="62"/>
                    <w:keepNext w:val="0"/>
                    <w:keepLines w:val="0"/>
                    <w:suppressLineNumbers w:val="0"/>
                    <w:spacing w:before="0" w:beforeAutospacing="0" w:after="0" w:afterAutospacing="0" w:line="240" w:lineRule="auto"/>
                    <w:ind w:left="0" w:right="0"/>
                    <w:rPr>
                      <w:rFonts w:hint="eastAsia" w:cs="Times New Roman"/>
                      <w:color w:val="000000" w:themeColor="text1"/>
                    </w:rPr>
                  </w:pPr>
                  <w:r>
                    <w:rPr>
                      <w:rFonts w:hint="default" w:cs="Times New Roman"/>
                      <w:color w:val="000000" w:themeColor="text1"/>
                    </w:rPr>
                    <w:t>1</w:t>
                  </w:r>
                  <w:r>
                    <w:rPr>
                      <w:rFonts w:hint="eastAsia" w:cs="Times New Roman"/>
                      <w:color w:val="000000" w:themeColor="text1"/>
                    </w:rPr>
                    <w:t>套</w:t>
                  </w:r>
                </w:p>
              </w:tc>
              <w:tc>
                <w:tcPr>
                  <w:tcW w:w="706" w:type="pct"/>
                  <w:noWrap w:val="0"/>
                  <w:vAlign w:val="center"/>
                </w:tcPr>
                <w:p w14:paraId="513EE046">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default" w:cs="Times New Roman"/>
                      <w:color w:val="000000" w:themeColor="text1"/>
                    </w:rPr>
                    <w:t>10</w:t>
                  </w:r>
                </w:p>
              </w:tc>
              <w:tc>
                <w:tcPr>
                  <w:tcW w:w="717" w:type="pct"/>
                  <w:noWrap w:val="0"/>
                  <w:vAlign w:val="center"/>
                </w:tcPr>
                <w:p w14:paraId="5D66C211">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default" w:cs="Times New Roman"/>
                      <w:color w:val="000000" w:themeColor="text1"/>
                      <w:lang w:val="en-US" w:eastAsia="zh-CN"/>
                    </w:rPr>
                    <w:t>新建</w:t>
                  </w:r>
                </w:p>
              </w:tc>
            </w:tr>
            <w:tr w14:paraId="7F45B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noWrap w:val="0"/>
                  <w:vAlign w:val="center"/>
                </w:tcPr>
                <w:p w14:paraId="00CA7C10">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p>
              </w:tc>
              <w:tc>
                <w:tcPr>
                  <w:tcW w:w="623" w:type="pct"/>
                  <w:vMerge w:val="continue"/>
                  <w:noWrap w:val="0"/>
                  <w:vAlign w:val="center"/>
                </w:tcPr>
                <w:p w14:paraId="56D42D6F">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p>
              </w:tc>
              <w:tc>
                <w:tcPr>
                  <w:tcW w:w="2027" w:type="pct"/>
                  <w:noWrap w:val="0"/>
                  <w:vAlign w:val="center"/>
                </w:tcPr>
                <w:p w14:paraId="5D403C36">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default" w:cs="Times New Roman"/>
                      <w:color w:val="000000" w:themeColor="text1"/>
                    </w:rPr>
                    <w:t>隔油池（</w:t>
                  </w:r>
                  <w:r>
                    <w:rPr>
                      <w:rFonts w:hint="default" w:cs="Times New Roman"/>
                      <w:color w:val="00B050"/>
                      <w:lang w:val="en-US" w:eastAsia="zh-CN"/>
                    </w:rPr>
                    <w:t>TW001</w:t>
                  </w:r>
                  <w:r>
                    <w:rPr>
                      <w:rFonts w:hint="default" w:cs="Times New Roman"/>
                      <w:color w:val="000000" w:themeColor="text1"/>
                      <w:lang w:val="en-US" w:eastAsia="zh-CN"/>
                    </w:rPr>
                    <w:t>，</w:t>
                  </w:r>
                  <w:r>
                    <w:rPr>
                      <w:rFonts w:hint="default" w:cs="Times New Roman"/>
                      <w:color w:val="000000" w:themeColor="text1"/>
                    </w:rPr>
                    <w:t>0.</w:t>
                  </w:r>
                  <w:r>
                    <w:rPr>
                      <w:rFonts w:hint="eastAsia" w:cs="Times New Roman"/>
                      <w:color w:val="000000" w:themeColor="text1"/>
                      <w:lang w:val="en-US" w:eastAsia="zh-CN"/>
                    </w:rPr>
                    <w:t>5</w:t>
                  </w:r>
                  <w:r>
                    <w:rPr>
                      <w:rFonts w:hint="default" w:cs="Times New Roman"/>
                      <w:color w:val="000000" w:themeColor="text1"/>
                    </w:rPr>
                    <w:t>m³）</w:t>
                  </w:r>
                </w:p>
              </w:tc>
              <w:tc>
                <w:tcPr>
                  <w:tcW w:w="646" w:type="pct"/>
                  <w:noWrap w:val="0"/>
                  <w:vAlign w:val="center"/>
                </w:tcPr>
                <w:p w14:paraId="1D6BA14E">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default" w:cs="Times New Roman"/>
                      <w:color w:val="000000" w:themeColor="text1"/>
                    </w:rPr>
                    <w:t>1</w:t>
                  </w:r>
                  <w:r>
                    <w:rPr>
                      <w:rFonts w:hint="eastAsia" w:cs="Times New Roman"/>
                      <w:color w:val="000000" w:themeColor="text1"/>
                    </w:rPr>
                    <w:t>座</w:t>
                  </w:r>
                </w:p>
              </w:tc>
              <w:tc>
                <w:tcPr>
                  <w:tcW w:w="706" w:type="pct"/>
                  <w:noWrap w:val="0"/>
                  <w:vAlign w:val="center"/>
                </w:tcPr>
                <w:p w14:paraId="105BA758">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default" w:cs="Times New Roman"/>
                      <w:color w:val="000000" w:themeColor="text1"/>
                    </w:rPr>
                    <w:t>0.3</w:t>
                  </w:r>
                </w:p>
              </w:tc>
              <w:tc>
                <w:tcPr>
                  <w:tcW w:w="1148" w:type="dxa"/>
                  <w:noWrap w:val="0"/>
                  <w:vAlign w:val="center"/>
                </w:tcPr>
                <w:p w14:paraId="7E0D477F">
                  <w:pPr>
                    <w:pStyle w:val="62"/>
                    <w:keepNext w:val="0"/>
                    <w:keepLines w:val="0"/>
                    <w:suppressLineNumbers w:val="0"/>
                    <w:spacing w:before="0" w:beforeAutospacing="0" w:after="0" w:afterAutospacing="0" w:line="240" w:lineRule="auto"/>
                    <w:ind w:left="0" w:leftChars="0" w:right="0" w:rightChars="0" w:firstLine="0" w:firstLineChars="0"/>
                    <w:rPr>
                      <w:rFonts w:hint="default" w:cs="Times New Roman"/>
                      <w:color w:val="000000" w:themeColor="text1"/>
                    </w:rPr>
                  </w:pPr>
                  <w:r>
                    <w:rPr>
                      <w:rFonts w:hint="eastAsia" w:cs="Times New Roman"/>
                      <w:color w:val="000000" w:themeColor="text1"/>
                      <w:lang w:val="en-US" w:eastAsia="zh-CN"/>
                    </w:rPr>
                    <w:t>新建</w:t>
                  </w:r>
                </w:p>
              </w:tc>
            </w:tr>
            <w:tr w14:paraId="4354A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noWrap w:val="0"/>
                  <w:vAlign w:val="center"/>
                </w:tcPr>
                <w:p w14:paraId="61527025">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p>
              </w:tc>
              <w:tc>
                <w:tcPr>
                  <w:tcW w:w="623" w:type="pct"/>
                  <w:vMerge w:val="continue"/>
                  <w:noWrap w:val="0"/>
                  <w:vAlign w:val="center"/>
                </w:tcPr>
                <w:p w14:paraId="5D2DA89B">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p>
              </w:tc>
              <w:tc>
                <w:tcPr>
                  <w:tcW w:w="2027" w:type="pct"/>
                  <w:noWrap w:val="0"/>
                  <w:vAlign w:val="center"/>
                </w:tcPr>
                <w:p w14:paraId="2DBCEE49">
                  <w:pPr>
                    <w:pStyle w:val="62"/>
                    <w:keepNext w:val="0"/>
                    <w:keepLines w:val="0"/>
                    <w:suppressLineNumbers w:val="0"/>
                    <w:spacing w:before="0" w:beforeAutospacing="0" w:after="0" w:afterAutospacing="0" w:line="240" w:lineRule="auto"/>
                    <w:ind w:left="0" w:right="0"/>
                    <w:jc w:val="left"/>
                    <w:rPr>
                      <w:rFonts w:hint="default" w:eastAsia="宋体" w:cs="Times New Roman"/>
                      <w:color w:val="000000" w:themeColor="text1"/>
                      <w:lang w:val="en-US" w:eastAsia="zh-CN"/>
                    </w:rPr>
                  </w:pPr>
                  <w:r>
                    <w:rPr>
                      <w:rFonts w:hint="eastAsia" w:cs="Times New Roman"/>
                      <w:color w:val="000000" w:themeColor="text1"/>
                      <w:lang w:val="en-US" w:eastAsia="zh-CN"/>
                    </w:rPr>
                    <w:t>废水循环系统（1套，包含3套</w:t>
                  </w:r>
                  <w:r>
                    <w:rPr>
                      <w:rFonts w:hint="eastAsia" w:ascii="宋体" w:hAnsi="宋体" w:eastAsia="宋体" w:cs="宋体"/>
                      <w:color w:val="000000" w:themeColor="text1"/>
                      <w:sz w:val="21"/>
                      <w:szCs w:val="21"/>
                      <w:lang w:val="en-US" w:eastAsia="zh-CN"/>
                    </w:rPr>
                    <w:t>真空泵</w:t>
                  </w:r>
                  <w:r>
                    <w:rPr>
                      <w:rFonts w:hint="default" w:ascii="Times New Roman" w:hAnsi="Times New Roman" w:eastAsia="宋体" w:cs="Times New Roman"/>
                      <w:color w:val="000000" w:themeColor="text1"/>
                      <w:sz w:val="21"/>
                      <w:szCs w:val="21"/>
                      <w:lang w:val="en-US" w:eastAsia="zh-CN"/>
                    </w:rPr>
                    <w:t>、1套回流管道、</w:t>
                  </w:r>
                  <w:r>
                    <w:rPr>
                      <w:rFonts w:hint="eastAsia" w:cs="Times New Roman"/>
                      <w:color w:val="00B050"/>
                      <w:sz w:val="21"/>
                      <w:szCs w:val="21"/>
                      <w:lang w:val="en-US" w:eastAsia="zh-CN"/>
                    </w:rPr>
                    <w:t>2</w:t>
                  </w:r>
                  <w:r>
                    <w:rPr>
                      <w:rFonts w:hint="default" w:ascii="Times New Roman" w:hAnsi="Times New Roman" w:eastAsia="宋体" w:cs="Times New Roman"/>
                      <w:color w:val="00B050"/>
                      <w:sz w:val="21"/>
                      <w:szCs w:val="21"/>
                      <w:lang w:val="en-US" w:eastAsia="zh-CN"/>
                    </w:rPr>
                    <w:t>个</w:t>
                  </w:r>
                  <w:r>
                    <w:rPr>
                      <w:rFonts w:hint="eastAsia" w:cs="Times New Roman"/>
                      <w:color w:val="00B050"/>
                      <w:sz w:val="21"/>
                      <w:szCs w:val="21"/>
                      <w:lang w:val="en-US" w:eastAsia="zh-CN"/>
                    </w:rPr>
                    <w:t>循环水池</w:t>
                  </w:r>
                  <w:r>
                    <w:rPr>
                      <w:rFonts w:hint="default" w:ascii="Times New Roman" w:hAnsi="Times New Roman" w:eastAsia="宋体" w:cs="Times New Roman"/>
                      <w:color w:val="00B050"/>
                      <w:sz w:val="21"/>
                      <w:szCs w:val="21"/>
                      <w:lang w:val="en-US" w:eastAsia="zh-CN"/>
                    </w:rPr>
                    <w:t>（TW003，</w:t>
                  </w:r>
                  <w:r>
                    <w:rPr>
                      <w:rFonts w:hint="eastAsia" w:cs="Times New Roman"/>
                      <w:color w:val="00B050"/>
                      <w:sz w:val="21"/>
                      <w:szCs w:val="21"/>
                      <w:lang w:val="en-US" w:eastAsia="zh-CN"/>
                    </w:rPr>
                    <w:t>各</w:t>
                  </w:r>
                  <w:r>
                    <w:rPr>
                      <w:rFonts w:hint="default" w:ascii="Times New Roman" w:hAnsi="Times New Roman" w:eastAsia="宋体" w:cs="Times New Roman"/>
                      <w:color w:val="00B050"/>
                      <w:sz w:val="21"/>
                      <w:szCs w:val="21"/>
                      <w:lang w:val="en-US" w:eastAsia="zh-CN"/>
                    </w:rPr>
                    <w:t>160m</w:t>
                  </w:r>
                  <w:r>
                    <w:rPr>
                      <w:rFonts w:hint="default" w:ascii="Times New Roman" w:hAnsi="Times New Roman" w:eastAsia="宋体" w:cs="Times New Roman"/>
                      <w:color w:val="00B050"/>
                      <w:sz w:val="21"/>
                      <w:szCs w:val="21"/>
                      <w:vertAlign w:val="superscript"/>
                      <w:lang w:val="en-US" w:eastAsia="zh-CN"/>
                    </w:rPr>
                    <w:t>3</w:t>
                  </w:r>
                  <w:r>
                    <w:rPr>
                      <w:rFonts w:hint="default" w:ascii="Times New Roman" w:hAnsi="Times New Roman" w:eastAsia="宋体" w:cs="Times New Roman"/>
                      <w:color w:val="00B050"/>
                      <w:sz w:val="21"/>
                      <w:szCs w:val="21"/>
                      <w:lang w:val="en-US" w:eastAsia="zh-CN"/>
                    </w:rPr>
                    <w:t>）</w:t>
                  </w:r>
                  <w:r>
                    <w:rPr>
                      <w:rFonts w:hint="default" w:ascii="Times New Roman" w:hAnsi="Times New Roman" w:eastAsia="宋体" w:cs="Times New Roman"/>
                      <w:color w:val="000000" w:themeColor="text1"/>
                      <w:sz w:val="21"/>
                      <w:szCs w:val="21"/>
                      <w:lang w:val="en-US" w:eastAsia="zh-CN"/>
                    </w:rPr>
                    <w:t>、3个20m</w:t>
                  </w:r>
                  <w:r>
                    <w:rPr>
                      <w:rFonts w:hint="default" w:ascii="Times New Roman" w:hAnsi="Times New Roman" w:eastAsia="宋体" w:cs="Times New Roman"/>
                      <w:color w:val="000000" w:themeColor="text1"/>
                      <w:sz w:val="21"/>
                      <w:szCs w:val="21"/>
                      <w:vertAlign w:val="superscript"/>
                      <w:lang w:val="en-US" w:eastAsia="zh-CN"/>
                    </w:rPr>
                    <w:t>3</w:t>
                  </w:r>
                  <w:r>
                    <w:rPr>
                      <w:rFonts w:hint="default" w:ascii="Times New Roman" w:hAnsi="Times New Roman" w:eastAsia="宋体" w:cs="Times New Roman"/>
                      <w:color w:val="000000" w:themeColor="text1"/>
                      <w:sz w:val="21"/>
                      <w:szCs w:val="21"/>
                      <w:lang w:val="en-US" w:eastAsia="zh-CN"/>
                    </w:rPr>
                    <w:t>配料池</w:t>
                  </w:r>
                  <w:r>
                    <w:rPr>
                      <w:rFonts w:hint="eastAsia" w:ascii="宋体" w:hAnsi="宋体" w:eastAsia="宋体" w:cs="宋体"/>
                      <w:color w:val="000000" w:themeColor="text1"/>
                      <w:sz w:val="21"/>
                      <w:szCs w:val="21"/>
                      <w:lang w:val="en-US" w:eastAsia="zh-CN"/>
                    </w:rPr>
                    <w:t>）</w:t>
                  </w:r>
                </w:p>
              </w:tc>
              <w:tc>
                <w:tcPr>
                  <w:tcW w:w="646" w:type="pct"/>
                  <w:noWrap w:val="0"/>
                  <w:vAlign w:val="center"/>
                </w:tcPr>
                <w:p w14:paraId="2D008810">
                  <w:pPr>
                    <w:pStyle w:val="62"/>
                    <w:keepNext w:val="0"/>
                    <w:keepLines w:val="0"/>
                    <w:suppressLineNumbers w:val="0"/>
                    <w:spacing w:before="0" w:beforeAutospacing="0" w:after="0" w:afterAutospacing="0" w:line="240" w:lineRule="auto"/>
                    <w:ind w:left="0" w:right="0"/>
                    <w:rPr>
                      <w:rFonts w:hint="default" w:eastAsia="宋体" w:cs="Times New Roman"/>
                      <w:color w:val="000000" w:themeColor="text1"/>
                      <w:lang w:val="en-US" w:eastAsia="zh-CN"/>
                    </w:rPr>
                  </w:pPr>
                  <w:r>
                    <w:rPr>
                      <w:rFonts w:hint="eastAsia" w:cs="Times New Roman"/>
                      <w:color w:val="000000" w:themeColor="text1"/>
                      <w:lang w:val="en-US" w:eastAsia="zh-CN"/>
                    </w:rPr>
                    <w:t>1套</w:t>
                  </w:r>
                </w:p>
              </w:tc>
              <w:tc>
                <w:tcPr>
                  <w:tcW w:w="706" w:type="pct"/>
                  <w:noWrap w:val="0"/>
                  <w:vAlign w:val="center"/>
                </w:tcPr>
                <w:p w14:paraId="25D378A2">
                  <w:pPr>
                    <w:pStyle w:val="62"/>
                    <w:keepNext w:val="0"/>
                    <w:keepLines w:val="0"/>
                    <w:suppressLineNumbers w:val="0"/>
                    <w:spacing w:before="0" w:beforeAutospacing="0" w:after="0" w:afterAutospacing="0" w:line="240" w:lineRule="auto"/>
                    <w:ind w:left="0" w:right="0"/>
                    <w:rPr>
                      <w:rFonts w:hint="default" w:eastAsia="宋体" w:cs="Times New Roman"/>
                      <w:color w:val="000000" w:themeColor="text1"/>
                      <w:lang w:val="en-US" w:eastAsia="zh-CN"/>
                    </w:rPr>
                  </w:pPr>
                  <w:r>
                    <w:rPr>
                      <w:rFonts w:hint="eastAsia" w:cs="Times New Roman"/>
                      <w:color w:val="000000" w:themeColor="text1"/>
                      <w:lang w:val="en-US" w:eastAsia="zh-CN"/>
                    </w:rPr>
                    <w:t>8</w:t>
                  </w:r>
                </w:p>
              </w:tc>
              <w:tc>
                <w:tcPr>
                  <w:tcW w:w="1148" w:type="dxa"/>
                  <w:noWrap w:val="0"/>
                  <w:vAlign w:val="center"/>
                </w:tcPr>
                <w:p w14:paraId="6B2CEAA2">
                  <w:pPr>
                    <w:pStyle w:val="62"/>
                    <w:keepNext w:val="0"/>
                    <w:keepLines w:val="0"/>
                    <w:suppressLineNumbers w:val="0"/>
                    <w:spacing w:before="0" w:beforeAutospacing="0" w:after="0" w:afterAutospacing="0" w:line="240" w:lineRule="auto"/>
                    <w:ind w:left="0" w:leftChars="0" w:right="0" w:rightChars="0" w:firstLine="0" w:firstLineChars="0"/>
                    <w:rPr>
                      <w:rFonts w:hint="default" w:cs="Times New Roman"/>
                      <w:color w:val="000000" w:themeColor="text1"/>
                    </w:rPr>
                  </w:pPr>
                  <w:r>
                    <w:rPr>
                      <w:rFonts w:hint="default" w:cs="Times New Roman"/>
                      <w:color w:val="000000" w:themeColor="text1"/>
                      <w:lang w:val="en-US" w:eastAsia="zh-CN"/>
                    </w:rPr>
                    <w:t>新建</w:t>
                  </w:r>
                </w:p>
              </w:tc>
            </w:tr>
            <w:tr w14:paraId="0E54F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noWrap w:val="0"/>
                  <w:vAlign w:val="center"/>
                </w:tcPr>
                <w:p w14:paraId="0EA41017">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p>
              </w:tc>
              <w:tc>
                <w:tcPr>
                  <w:tcW w:w="623" w:type="pct"/>
                  <w:vMerge w:val="restart"/>
                  <w:noWrap w:val="0"/>
                  <w:vAlign w:val="center"/>
                </w:tcPr>
                <w:p w14:paraId="7F507D10">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default" w:cs="Times New Roman"/>
                      <w:color w:val="000000" w:themeColor="text1"/>
                    </w:rPr>
                    <w:t>废气</w:t>
                  </w:r>
                </w:p>
              </w:tc>
              <w:tc>
                <w:tcPr>
                  <w:tcW w:w="2027" w:type="pct"/>
                  <w:noWrap w:val="0"/>
                  <w:vAlign w:val="center"/>
                </w:tcPr>
                <w:p w14:paraId="72EA067F">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eastAsia" w:cs="Times New Roman"/>
                      <w:color w:val="000000" w:themeColor="text1"/>
                    </w:rPr>
                    <w:t>抽油烟机</w:t>
                  </w:r>
                  <w:r>
                    <w:rPr>
                      <w:rFonts w:hint="eastAsia" w:cs="Times New Roman"/>
                      <w:color w:val="00B050"/>
                      <w:lang w:val="en-US" w:eastAsia="zh-CN"/>
                    </w:rPr>
                    <w:t>（TA002）</w:t>
                  </w:r>
                </w:p>
              </w:tc>
              <w:tc>
                <w:tcPr>
                  <w:tcW w:w="646" w:type="pct"/>
                  <w:noWrap w:val="0"/>
                  <w:vAlign w:val="center"/>
                </w:tcPr>
                <w:p w14:paraId="1945F8EC">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default" w:cs="Times New Roman"/>
                      <w:color w:val="000000" w:themeColor="text1"/>
                    </w:rPr>
                    <w:t>1</w:t>
                  </w:r>
                  <w:r>
                    <w:rPr>
                      <w:rFonts w:hint="eastAsia" w:cs="Times New Roman"/>
                      <w:color w:val="000000" w:themeColor="text1"/>
                    </w:rPr>
                    <w:t>套</w:t>
                  </w:r>
                </w:p>
              </w:tc>
              <w:tc>
                <w:tcPr>
                  <w:tcW w:w="706" w:type="pct"/>
                  <w:noWrap w:val="0"/>
                  <w:vAlign w:val="center"/>
                </w:tcPr>
                <w:p w14:paraId="14D06178">
                  <w:pPr>
                    <w:pStyle w:val="62"/>
                    <w:keepNext w:val="0"/>
                    <w:keepLines w:val="0"/>
                    <w:suppressLineNumbers w:val="0"/>
                    <w:spacing w:before="0" w:beforeAutospacing="0" w:after="0" w:afterAutospacing="0" w:line="240" w:lineRule="auto"/>
                    <w:ind w:left="0" w:right="0"/>
                    <w:rPr>
                      <w:rFonts w:hint="eastAsia" w:eastAsia="宋体" w:cs="Times New Roman"/>
                      <w:color w:val="000000" w:themeColor="text1"/>
                      <w:lang w:val="en-US" w:eastAsia="zh-CN"/>
                    </w:rPr>
                  </w:pPr>
                  <w:r>
                    <w:rPr>
                      <w:rFonts w:hint="eastAsia" w:cs="Times New Roman"/>
                      <w:color w:val="000000" w:themeColor="text1"/>
                    </w:rPr>
                    <w:t>0.</w:t>
                  </w:r>
                  <w:r>
                    <w:rPr>
                      <w:rFonts w:hint="eastAsia" w:cs="Times New Roman"/>
                      <w:color w:val="000000" w:themeColor="text1"/>
                      <w:lang w:val="en-US" w:eastAsia="zh-CN"/>
                    </w:rPr>
                    <w:t>2</w:t>
                  </w:r>
                </w:p>
              </w:tc>
              <w:tc>
                <w:tcPr>
                  <w:tcW w:w="1148" w:type="dxa"/>
                  <w:noWrap w:val="0"/>
                  <w:vAlign w:val="center"/>
                </w:tcPr>
                <w:p w14:paraId="1F212FDE">
                  <w:pPr>
                    <w:pStyle w:val="62"/>
                    <w:keepNext w:val="0"/>
                    <w:keepLines w:val="0"/>
                    <w:suppressLineNumbers w:val="0"/>
                    <w:spacing w:before="0" w:beforeAutospacing="0" w:after="0" w:afterAutospacing="0" w:line="240" w:lineRule="auto"/>
                    <w:ind w:left="0" w:leftChars="0" w:right="0" w:rightChars="0" w:firstLine="0" w:firstLineChars="0"/>
                    <w:rPr>
                      <w:rFonts w:hint="default" w:cs="Times New Roman"/>
                      <w:color w:val="000000" w:themeColor="text1"/>
                    </w:rPr>
                  </w:pPr>
                  <w:r>
                    <w:rPr>
                      <w:rFonts w:hint="eastAsia" w:cs="Times New Roman"/>
                      <w:color w:val="000000" w:themeColor="text1"/>
                      <w:lang w:val="en-US" w:eastAsia="zh-CN"/>
                    </w:rPr>
                    <w:t>新建</w:t>
                  </w:r>
                </w:p>
              </w:tc>
            </w:tr>
            <w:tr w14:paraId="04CE5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noWrap w:val="0"/>
                  <w:vAlign w:val="center"/>
                </w:tcPr>
                <w:p w14:paraId="2E231A50">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p>
              </w:tc>
              <w:tc>
                <w:tcPr>
                  <w:tcW w:w="623" w:type="pct"/>
                  <w:vMerge w:val="continue"/>
                  <w:noWrap w:val="0"/>
                  <w:vAlign w:val="center"/>
                </w:tcPr>
                <w:p w14:paraId="024B99D3">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p>
              </w:tc>
              <w:tc>
                <w:tcPr>
                  <w:tcW w:w="2027" w:type="pct"/>
                  <w:noWrap w:val="0"/>
                  <w:vAlign w:val="center"/>
                </w:tcPr>
                <w:p w14:paraId="14D0D91C">
                  <w:pPr>
                    <w:pStyle w:val="62"/>
                    <w:keepNext w:val="0"/>
                    <w:keepLines w:val="0"/>
                    <w:suppressLineNumbers w:val="0"/>
                    <w:spacing w:before="0" w:beforeAutospacing="0" w:after="0" w:afterAutospacing="0" w:line="240" w:lineRule="auto"/>
                    <w:ind w:left="0" w:right="0"/>
                    <w:rPr>
                      <w:rFonts w:hint="default" w:eastAsia="宋体" w:cs="Times New Roman"/>
                      <w:color w:val="000000" w:themeColor="text1"/>
                      <w:lang w:val="en-US" w:eastAsia="zh-CN"/>
                    </w:rPr>
                  </w:pPr>
                  <w:r>
                    <w:rPr>
                      <w:rFonts w:hint="eastAsia" w:cs="Times New Roman"/>
                      <w:color w:val="00B050"/>
                      <w:lang w:val="en-US" w:eastAsia="zh-CN"/>
                    </w:rPr>
                    <w:t>热风炉产生的废气先经“重力沉降+布袋除尘”（TA001）处理后进入烘干机，烘干后的废气经2套</w:t>
                  </w:r>
                  <w:r>
                    <w:rPr>
                      <w:rFonts w:hint="eastAsia" w:cs="Times New Roman"/>
                      <w:color w:val="00B050"/>
                    </w:rPr>
                    <w:t>集气</w:t>
                  </w:r>
                  <w:r>
                    <w:rPr>
                      <w:rFonts w:hint="eastAsia" w:cs="Times New Roman"/>
                      <w:color w:val="00B050"/>
                      <w:lang w:val="en-US" w:eastAsia="zh-CN"/>
                    </w:rPr>
                    <w:t>设施合并后经水膜除尘设施（TA001）处理后通过20m排气筒排放（DA001）</w:t>
                  </w:r>
                </w:p>
              </w:tc>
              <w:tc>
                <w:tcPr>
                  <w:tcW w:w="646" w:type="pct"/>
                  <w:noWrap w:val="0"/>
                  <w:vAlign w:val="center"/>
                </w:tcPr>
                <w:p w14:paraId="6D3BA12B">
                  <w:pPr>
                    <w:pStyle w:val="62"/>
                    <w:keepNext w:val="0"/>
                    <w:keepLines w:val="0"/>
                    <w:suppressLineNumbers w:val="0"/>
                    <w:spacing w:before="0" w:beforeAutospacing="0" w:after="0" w:afterAutospacing="0" w:line="240" w:lineRule="auto"/>
                    <w:ind w:left="0" w:right="0"/>
                    <w:rPr>
                      <w:rFonts w:hint="eastAsia" w:cs="Times New Roman"/>
                      <w:color w:val="000000" w:themeColor="text1"/>
                    </w:rPr>
                  </w:pPr>
                  <w:r>
                    <w:rPr>
                      <w:rFonts w:hint="eastAsia" w:cs="Times New Roman"/>
                      <w:color w:val="000000" w:themeColor="text1"/>
                      <w:lang w:val="en-US" w:eastAsia="zh-CN"/>
                    </w:rPr>
                    <w:t>1</w:t>
                  </w:r>
                  <w:r>
                    <w:rPr>
                      <w:rFonts w:hint="eastAsia" w:cs="Times New Roman"/>
                      <w:color w:val="000000" w:themeColor="text1"/>
                    </w:rPr>
                    <w:t>套</w:t>
                  </w:r>
                </w:p>
              </w:tc>
              <w:tc>
                <w:tcPr>
                  <w:tcW w:w="706" w:type="pct"/>
                  <w:noWrap w:val="0"/>
                  <w:vAlign w:val="center"/>
                </w:tcPr>
                <w:p w14:paraId="574116E5">
                  <w:pPr>
                    <w:pStyle w:val="62"/>
                    <w:keepNext w:val="0"/>
                    <w:keepLines w:val="0"/>
                    <w:suppressLineNumbers w:val="0"/>
                    <w:spacing w:before="0" w:beforeAutospacing="0" w:after="0" w:afterAutospacing="0" w:line="240" w:lineRule="auto"/>
                    <w:ind w:left="0" w:right="0"/>
                    <w:rPr>
                      <w:rFonts w:hint="default" w:eastAsia="宋体" w:cs="Times New Roman"/>
                      <w:color w:val="000000" w:themeColor="text1"/>
                      <w:lang w:val="en-US" w:eastAsia="zh-CN"/>
                    </w:rPr>
                  </w:pPr>
                  <w:r>
                    <w:rPr>
                      <w:rFonts w:hint="eastAsia" w:cs="Times New Roman"/>
                      <w:color w:val="000000" w:themeColor="text1"/>
                      <w:lang w:val="en-US" w:eastAsia="zh-CN"/>
                    </w:rPr>
                    <w:t>35</w:t>
                  </w:r>
                </w:p>
              </w:tc>
              <w:tc>
                <w:tcPr>
                  <w:tcW w:w="1148" w:type="dxa"/>
                  <w:noWrap w:val="0"/>
                  <w:vAlign w:val="center"/>
                </w:tcPr>
                <w:p w14:paraId="38FC166D">
                  <w:pPr>
                    <w:pStyle w:val="62"/>
                    <w:keepNext w:val="0"/>
                    <w:keepLines w:val="0"/>
                    <w:suppressLineNumbers w:val="0"/>
                    <w:spacing w:before="0" w:beforeAutospacing="0" w:after="0" w:afterAutospacing="0" w:line="240" w:lineRule="auto"/>
                    <w:ind w:left="0" w:leftChars="0" w:right="0" w:rightChars="0" w:firstLine="0" w:firstLineChars="0"/>
                    <w:rPr>
                      <w:rFonts w:hint="default" w:cs="Times New Roman"/>
                      <w:color w:val="000000" w:themeColor="text1"/>
                    </w:rPr>
                  </w:pPr>
                  <w:r>
                    <w:rPr>
                      <w:rFonts w:hint="default" w:cs="Times New Roman"/>
                      <w:color w:val="000000" w:themeColor="text1"/>
                      <w:lang w:val="en-US" w:eastAsia="zh-CN"/>
                    </w:rPr>
                    <w:t>新建</w:t>
                  </w:r>
                </w:p>
              </w:tc>
            </w:tr>
            <w:tr w14:paraId="54193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noWrap w:val="0"/>
                  <w:vAlign w:val="center"/>
                </w:tcPr>
                <w:p w14:paraId="1C17E16D">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p>
              </w:tc>
              <w:tc>
                <w:tcPr>
                  <w:tcW w:w="623" w:type="pct"/>
                  <w:noWrap w:val="0"/>
                  <w:vAlign w:val="center"/>
                </w:tcPr>
                <w:p w14:paraId="358F3B98">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default" w:cs="Times New Roman"/>
                      <w:color w:val="000000" w:themeColor="text1"/>
                    </w:rPr>
                    <w:t>噪声</w:t>
                  </w:r>
                </w:p>
              </w:tc>
              <w:tc>
                <w:tcPr>
                  <w:tcW w:w="2027" w:type="pct"/>
                  <w:noWrap w:val="0"/>
                  <w:vAlign w:val="center"/>
                </w:tcPr>
                <w:p w14:paraId="786237C7">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default" w:cs="Times New Roman"/>
                      <w:color w:val="000000" w:themeColor="text1"/>
                    </w:rPr>
                    <w:t>防噪、减震设施</w:t>
                  </w:r>
                </w:p>
              </w:tc>
              <w:tc>
                <w:tcPr>
                  <w:tcW w:w="646" w:type="pct"/>
                  <w:noWrap w:val="0"/>
                  <w:vAlign w:val="center"/>
                </w:tcPr>
                <w:p w14:paraId="052B1707">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default" w:cs="Times New Roman"/>
                      <w:color w:val="000000" w:themeColor="text1"/>
                    </w:rPr>
                    <w:t>/</w:t>
                  </w:r>
                </w:p>
              </w:tc>
              <w:tc>
                <w:tcPr>
                  <w:tcW w:w="706" w:type="pct"/>
                  <w:noWrap w:val="0"/>
                  <w:vAlign w:val="center"/>
                </w:tcPr>
                <w:p w14:paraId="172326DC">
                  <w:pPr>
                    <w:pStyle w:val="62"/>
                    <w:keepNext w:val="0"/>
                    <w:keepLines w:val="0"/>
                    <w:suppressLineNumbers w:val="0"/>
                    <w:spacing w:before="0" w:beforeAutospacing="0" w:after="0" w:afterAutospacing="0" w:line="240" w:lineRule="auto"/>
                    <w:ind w:left="0" w:right="0"/>
                    <w:rPr>
                      <w:rFonts w:hint="eastAsia" w:eastAsia="宋体" w:cs="Times New Roman"/>
                      <w:color w:val="000000" w:themeColor="text1"/>
                      <w:lang w:eastAsia="zh-CN"/>
                    </w:rPr>
                  </w:pPr>
                  <w:r>
                    <w:rPr>
                      <w:rFonts w:hint="eastAsia" w:cs="Times New Roman"/>
                      <w:color w:val="000000" w:themeColor="text1"/>
                      <w:lang w:val="en-US" w:eastAsia="zh-CN"/>
                    </w:rPr>
                    <w:t>2</w:t>
                  </w:r>
                </w:p>
              </w:tc>
              <w:tc>
                <w:tcPr>
                  <w:tcW w:w="1148" w:type="dxa"/>
                  <w:noWrap w:val="0"/>
                  <w:vAlign w:val="center"/>
                </w:tcPr>
                <w:p w14:paraId="55F8394B">
                  <w:pPr>
                    <w:pStyle w:val="62"/>
                    <w:keepNext w:val="0"/>
                    <w:keepLines w:val="0"/>
                    <w:suppressLineNumbers w:val="0"/>
                    <w:spacing w:before="0" w:beforeAutospacing="0" w:after="0" w:afterAutospacing="0" w:line="240" w:lineRule="auto"/>
                    <w:ind w:left="0" w:leftChars="0" w:right="0" w:rightChars="0" w:firstLine="0" w:firstLineChars="0"/>
                    <w:rPr>
                      <w:rFonts w:hint="default" w:cs="Times New Roman"/>
                      <w:color w:val="000000" w:themeColor="text1"/>
                    </w:rPr>
                  </w:pPr>
                  <w:r>
                    <w:rPr>
                      <w:rFonts w:hint="eastAsia" w:cs="Times New Roman"/>
                      <w:color w:val="000000" w:themeColor="text1"/>
                      <w:lang w:val="en-US" w:eastAsia="zh-CN"/>
                    </w:rPr>
                    <w:t>新建</w:t>
                  </w:r>
                </w:p>
              </w:tc>
            </w:tr>
            <w:tr w14:paraId="04A94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noWrap w:val="0"/>
                  <w:vAlign w:val="center"/>
                </w:tcPr>
                <w:p w14:paraId="5A6255AC">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p>
              </w:tc>
              <w:tc>
                <w:tcPr>
                  <w:tcW w:w="623" w:type="pct"/>
                  <w:vMerge w:val="restart"/>
                  <w:noWrap w:val="0"/>
                  <w:vAlign w:val="center"/>
                </w:tcPr>
                <w:p w14:paraId="25ED50F4">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default" w:cs="Times New Roman"/>
                      <w:color w:val="000000" w:themeColor="text1"/>
                    </w:rPr>
                    <w:t>固体废弃物</w:t>
                  </w:r>
                </w:p>
              </w:tc>
              <w:tc>
                <w:tcPr>
                  <w:tcW w:w="2027" w:type="pct"/>
                  <w:noWrap w:val="0"/>
                  <w:vAlign w:val="center"/>
                </w:tcPr>
                <w:p w14:paraId="318D3B0B">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default" w:cs="Times New Roman"/>
                      <w:color w:val="000000" w:themeColor="text1"/>
                    </w:rPr>
                    <w:t>带盖垃圾桶</w:t>
                  </w:r>
                </w:p>
              </w:tc>
              <w:tc>
                <w:tcPr>
                  <w:tcW w:w="646" w:type="pct"/>
                  <w:noWrap w:val="0"/>
                  <w:vAlign w:val="center"/>
                </w:tcPr>
                <w:p w14:paraId="2686849A">
                  <w:pPr>
                    <w:pStyle w:val="62"/>
                    <w:keepNext w:val="0"/>
                    <w:keepLines w:val="0"/>
                    <w:suppressLineNumbers w:val="0"/>
                    <w:spacing w:before="0" w:beforeAutospacing="0" w:after="0" w:afterAutospacing="0" w:line="240" w:lineRule="auto"/>
                    <w:ind w:left="0" w:right="0"/>
                    <w:rPr>
                      <w:rFonts w:hint="eastAsia" w:eastAsia="宋体" w:cs="Times New Roman"/>
                      <w:color w:val="000000" w:themeColor="text1"/>
                      <w:lang w:val="en-US" w:eastAsia="zh-CN"/>
                    </w:rPr>
                  </w:pPr>
                  <w:r>
                    <w:rPr>
                      <w:rFonts w:hint="default" w:cs="Times New Roman"/>
                      <w:color w:val="000000" w:themeColor="text1"/>
                    </w:rPr>
                    <w:t>10</w:t>
                  </w:r>
                  <w:r>
                    <w:rPr>
                      <w:rFonts w:hint="eastAsia" w:cs="Times New Roman"/>
                      <w:color w:val="000000" w:themeColor="text1"/>
                      <w:lang w:val="en-US" w:eastAsia="zh-CN"/>
                    </w:rPr>
                    <w:t>个</w:t>
                  </w:r>
                </w:p>
              </w:tc>
              <w:tc>
                <w:tcPr>
                  <w:tcW w:w="706" w:type="pct"/>
                  <w:noWrap w:val="0"/>
                  <w:vAlign w:val="center"/>
                </w:tcPr>
                <w:p w14:paraId="76AB5269">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default" w:cs="Times New Roman"/>
                      <w:color w:val="000000" w:themeColor="text1"/>
                    </w:rPr>
                    <w:t>0.05</w:t>
                  </w:r>
                </w:p>
              </w:tc>
              <w:tc>
                <w:tcPr>
                  <w:tcW w:w="1148" w:type="dxa"/>
                  <w:noWrap w:val="0"/>
                  <w:vAlign w:val="center"/>
                </w:tcPr>
                <w:p w14:paraId="273AA3CB">
                  <w:pPr>
                    <w:pStyle w:val="62"/>
                    <w:keepNext w:val="0"/>
                    <w:keepLines w:val="0"/>
                    <w:suppressLineNumbers w:val="0"/>
                    <w:spacing w:before="0" w:beforeAutospacing="0" w:after="0" w:afterAutospacing="0" w:line="240" w:lineRule="auto"/>
                    <w:ind w:left="0" w:leftChars="0" w:right="0" w:rightChars="0" w:firstLine="0" w:firstLineChars="0"/>
                    <w:rPr>
                      <w:rFonts w:hint="default" w:cs="Times New Roman"/>
                      <w:color w:val="000000" w:themeColor="text1"/>
                    </w:rPr>
                  </w:pPr>
                  <w:r>
                    <w:rPr>
                      <w:rFonts w:hint="default" w:cs="Times New Roman"/>
                      <w:color w:val="000000" w:themeColor="text1"/>
                      <w:lang w:val="en-US" w:eastAsia="zh-CN"/>
                    </w:rPr>
                    <w:t>新建</w:t>
                  </w:r>
                </w:p>
              </w:tc>
            </w:tr>
            <w:tr w14:paraId="39DA9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noWrap w:val="0"/>
                  <w:vAlign w:val="center"/>
                </w:tcPr>
                <w:p w14:paraId="472A081D">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p>
              </w:tc>
              <w:tc>
                <w:tcPr>
                  <w:tcW w:w="623" w:type="pct"/>
                  <w:vMerge w:val="continue"/>
                  <w:noWrap w:val="0"/>
                  <w:vAlign w:val="center"/>
                </w:tcPr>
                <w:p w14:paraId="59641E91">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p>
              </w:tc>
              <w:tc>
                <w:tcPr>
                  <w:tcW w:w="2027" w:type="pct"/>
                  <w:noWrap w:val="0"/>
                  <w:vAlign w:val="center"/>
                </w:tcPr>
                <w:p w14:paraId="1C3210BA">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eastAsia" w:cs="Times New Roman"/>
                      <w:color w:val="000000" w:themeColor="text1"/>
                    </w:rPr>
                    <w:t>1间10m</w:t>
                  </w:r>
                  <w:r>
                    <w:rPr>
                      <w:rFonts w:hint="eastAsia" w:cs="Times New Roman"/>
                      <w:color w:val="000000" w:themeColor="text1"/>
                      <w:vertAlign w:val="superscript"/>
                    </w:rPr>
                    <w:t>2</w:t>
                  </w:r>
                  <w:r>
                    <w:rPr>
                      <w:rFonts w:hint="eastAsia" w:cs="Times New Roman"/>
                      <w:color w:val="000000" w:themeColor="text1"/>
                    </w:rPr>
                    <w:t>一般固体废物摆放间</w:t>
                  </w:r>
                  <w:r>
                    <w:rPr>
                      <w:rFonts w:hint="eastAsia" w:cs="Times New Roman"/>
                      <w:color w:val="00B050"/>
                      <w:lang w:val="en-US" w:eastAsia="zh-CN"/>
                    </w:rPr>
                    <w:t>（TS001）</w:t>
                  </w:r>
                </w:p>
              </w:tc>
              <w:tc>
                <w:tcPr>
                  <w:tcW w:w="646" w:type="pct"/>
                  <w:noWrap w:val="0"/>
                  <w:vAlign w:val="center"/>
                </w:tcPr>
                <w:p w14:paraId="3350FA31">
                  <w:pPr>
                    <w:pStyle w:val="62"/>
                    <w:keepNext w:val="0"/>
                    <w:keepLines w:val="0"/>
                    <w:suppressLineNumbers w:val="0"/>
                    <w:spacing w:before="0" w:beforeAutospacing="0" w:after="0" w:afterAutospacing="0" w:line="240" w:lineRule="auto"/>
                    <w:ind w:left="0" w:right="0"/>
                    <w:rPr>
                      <w:rFonts w:hint="default" w:eastAsia="宋体" w:cs="Times New Roman"/>
                      <w:color w:val="000000" w:themeColor="text1"/>
                      <w:lang w:val="en-US" w:eastAsia="zh-CN"/>
                    </w:rPr>
                  </w:pPr>
                  <w:r>
                    <w:rPr>
                      <w:rFonts w:hint="eastAsia" w:cs="Times New Roman"/>
                      <w:color w:val="000000" w:themeColor="text1"/>
                      <w:lang w:val="en-US" w:eastAsia="zh-CN"/>
                    </w:rPr>
                    <w:t>1间</w:t>
                  </w:r>
                </w:p>
              </w:tc>
              <w:tc>
                <w:tcPr>
                  <w:tcW w:w="706" w:type="pct"/>
                  <w:noWrap w:val="0"/>
                  <w:vAlign w:val="center"/>
                </w:tcPr>
                <w:p w14:paraId="13AEC629">
                  <w:pPr>
                    <w:pStyle w:val="62"/>
                    <w:keepNext w:val="0"/>
                    <w:keepLines w:val="0"/>
                    <w:suppressLineNumbers w:val="0"/>
                    <w:spacing w:before="0" w:beforeAutospacing="0" w:after="0" w:afterAutospacing="0" w:line="240" w:lineRule="auto"/>
                    <w:ind w:left="0" w:right="0"/>
                    <w:rPr>
                      <w:rFonts w:hint="eastAsia" w:eastAsia="宋体" w:cs="Times New Roman"/>
                      <w:color w:val="000000" w:themeColor="text1"/>
                      <w:lang w:val="en-US" w:eastAsia="zh-CN"/>
                    </w:rPr>
                  </w:pPr>
                  <w:r>
                    <w:rPr>
                      <w:rFonts w:hint="eastAsia" w:cs="Times New Roman"/>
                      <w:color w:val="000000" w:themeColor="text1"/>
                      <w:lang w:val="en-US" w:eastAsia="zh-CN"/>
                    </w:rPr>
                    <w:t>1</w:t>
                  </w:r>
                </w:p>
              </w:tc>
              <w:tc>
                <w:tcPr>
                  <w:tcW w:w="1148" w:type="dxa"/>
                  <w:noWrap w:val="0"/>
                  <w:vAlign w:val="center"/>
                </w:tcPr>
                <w:p w14:paraId="3046AC80">
                  <w:pPr>
                    <w:pStyle w:val="62"/>
                    <w:keepNext w:val="0"/>
                    <w:keepLines w:val="0"/>
                    <w:suppressLineNumbers w:val="0"/>
                    <w:spacing w:before="0" w:beforeAutospacing="0" w:after="0" w:afterAutospacing="0" w:line="240" w:lineRule="auto"/>
                    <w:ind w:left="0" w:leftChars="0" w:right="0" w:rightChars="0" w:firstLine="0" w:firstLineChars="0"/>
                    <w:rPr>
                      <w:rFonts w:hint="default" w:cs="Times New Roman"/>
                      <w:color w:val="000000" w:themeColor="text1"/>
                    </w:rPr>
                  </w:pPr>
                  <w:r>
                    <w:rPr>
                      <w:rFonts w:hint="eastAsia" w:cs="Times New Roman"/>
                      <w:color w:val="000000" w:themeColor="text1"/>
                      <w:lang w:val="en-US" w:eastAsia="zh-CN"/>
                    </w:rPr>
                    <w:t>新建</w:t>
                  </w:r>
                </w:p>
              </w:tc>
            </w:tr>
            <w:tr w14:paraId="336D5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noWrap w:val="0"/>
                  <w:vAlign w:val="center"/>
                </w:tcPr>
                <w:p w14:paraId="6175DF13">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p>
              </w:tc>
              <w:tc>
                <w:tcPr>
                  <w:tcW w:w="623" w:type="pct"/>
                  <w:vMerge w:val="continue"/>
                  <w:noWrap w:val="0"/>
                  <w:vAlign w:val="center"/>
                </w:tcPr>
                <w:p w14:paraId="44A0ED28">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p>
              </w:tc>
              <w:tc>
                <w:tcPr>
                  <w:tcW w:w="2027" w:type="pct"/>
                  <w:noWrap w:val="0"/>
                  <w:vAlign w:val="center"/>
                </w:tcPr>
                <w:p w14:paraId="0EC78F3B">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default" w:cs="Times New Roman"/>
                      <w:color w:val="000000" w:themeColor="text1"/>
                    </w:rPr>
                    <w:t>危废暂存间（</w:t>
                  </w:r>
                  <w:r>
                    <w:rPr>
                      <w:rFonts w:hint="default" w:cs="Times New Roman"/>
                      <w:color w:val="00B050"/>
                      <w:lang w:val="en-US" w:eastAsia="zh-CN"/>
                    </w:rPr>
                    <w:t>TS00</w:t>
                  </w:r>
                  <w:r>
                    <w:rPr>
                      <w:rFonts w:hint="eastAsia" w:cs="Times New Roman"/>
                      <w:color w:val="00B050"/>
                      <w:lang w:val="en-US" w:eastAsia="zh-CN"/>
                    </w:rPr>
                    <w:t>2</w:t>
                  </w:r>
                  <w:r>
                    <w:rPr>
                      <w:rFonts w:hint="eastAsia" w:cs="Times New Roman"/>
                      <w:color w:val="000000" w:themeColor="text1"/>
                      <w:lang w:val="en-US" w:eastAsia="zh-CN"/>
                    </w:rPr>
                    <w:t>，</w:t>
                  </w:r>
                  <w:r>
                    <w:rPr>
                      <w:rFonts w:hint="default" w:cs="Times New Roman"/>
                      <w:color w:val="000000" w:themeColor="text1"/>
                    </w:rPr>
                    <w:t>面积5m</w:t>
                  </w:r>
                  <w:r>
                    <w:rPr>
                      <w:rFonts w:hint="default" w:cs="Times New Roman"/>
                      <w:color w:val="000000" w:themeColor="text1"/>
                      <w:vertAlign w:val="superscript"/>
                    </w:rPr>
                    <w:t>2</w:t>
                  </w:r>
                  <w:r>
                    <w:rPr>
                      <w:rFonts w:hint="default" w:cs="Times New Roman"/>
                      <w:color w:val="000000" w:themeColor="text1"/>
                    </w:rPr>
                    <w:t>）</w:t>
                  </w:r>
                  <w:r>
                    <w:rPr>
                      <w:rFonts w:hint="eastAsia" w:cs="Times New Roman"/>
                      <w:color w:val="000000" w:themeColor="text1"/>
                    </w:rPr>
                    <w:t>及防渗</w:t>
                  </w:r>
                </w:p>
              </w:tc>
              <w:tc>
                <w:tcPr>
                  <w:tcW w:w="646" w:type="pct"/>
                  <w:noWrap w:val="0"/>
                  <w:vAlign w:val="center"/>
                </w:tcPr>
                <w:p w14:paraId="7C6EC3EB">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default" w:cs="Times New Roman"/>
                      <w:color w:val="000000" w:themeColor="text1"/>
                    </w:rPr>
                    <w:t>1</w:t>
                  </w:r>
                  <w:r>
                    <w:rPr>
                      <w:rFonts w:hint="eastAsia" w:cs="Times New Roman"/>
                      <w:color w:val="000000" w:themeColor="text1"/>
                    </w:rPr>
                    <w:t>间</w:t>
                  </w:r>
                </w:p>
              </w:tc>
              <w:tc>
                <w:tcPr>
                  <w:tcW w:w="706" w:type="pct"/>
                  <w:noWrap w:val="0"/>
                  <w:vAlign w:val="center"/>
                </w:tcPr>
                <w:p w14:paraId="5AE22341">
                  <w:pPr>
                    <w:pStyle w:val="62"/>
                    <w:keepNext w:val="0"/>
                    <w:keepLines w:val="0"/>
                    <w:suppressLineNumbers w:val="0"/>
                    <w:spacing w:before="0" w:beforeAutospacing="0" w:after="0" w:afterAutospacing="0" w:line="240" w:lineRule="auto"/>
                    <w:ind w:left="0" w:right="0"/>
                    <w:rPr>
                      <w:rFonts w:hint="eastAsia" w:cs="Times New Roman"/>
                      <w:color w:val="000000" w:themeColor="text1"/>
                    </w:rPr>
                  </w:pPr>
                  <w:r>
                    <w:rPr>
                      <w:rFonts w:hint="eastAsia" w:cs="Times New Roman"/>
                      <w:color w:val="000000" w:themeColor="text1"/>
                    </w:rPr>
                    <w:t>4</w:t>
                  </w:r>
                </w:p>
              </w:tc>
              <w:tc>
                <w:tcPr>
                  <w:tcW w:w="1148" w:type="dxa"/>
                  <w:noWrap w:val="0"/>
                  <w:vAlign w:val="center"/>
                </w:tcPr>
                <w:p w14:paraId="6D8AA74C">
                  <w:pPr>
                    <w:pStyle w:val="62"/>
                    <w:keepNext w:val="0"/>
                    <w:keepLines w:val="0"/>
                    <w:suppressLineNumbers w:val="0"/>
                    <w:spacing w:before="0" w:beforeAutospacing="0" w:after="0" w:afterAutospacing="0" w:line="240" w:lineRule="auto"/>
                    <w:ind w:left="0" w:leftChars="0" w:right="0" w:rightChars="0" w:firstLine="0" w:firstLineChars="0"/>
                    <w:rPr>
                      <w:rFonts w:hint="default" w:cs="Times New Roman"/>
                      <w:color w:val="000000" w:themeColor="text1"/>
                    </w:rPr>
                  </w:pPr>
                  <w:r>
                    <w:rPr>
                      <w:rFonts w:hint="default" w:cs="Times New Roman"/>
                      <w:color w:val="000000" w:themeColor="text1"/>
                      <w:lang w:val="en-US" w:eastAsia="zh-CN"/>
                    </w:rPr>
                    <w:t>新建</w:t>
                  </w:r>
                </w:p>
              </w:tc>
            </w:tr>
            <w:tr w14:paraId="16796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noWrap w:val="0"/>
                  <w:vAlign w:val="center"/>
                </w:tcPr>
                <w:p w14:paraId="190942C0">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p>
              </w:tc>
              <w:tc>
                <w:tcPr>
                  <w:tcW w:w="623" w:type="pct"/>
                  <w:vMerge w:val="restart"/>
                  <w:noWrap w:val="0"/>
                  <w:vAlign w:val="center"/>
                </w:tcPr>
                <w:p w14:paraId="5C77BF35">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default" w:cs="Times New Roman"/>
                      <w:color w:val="000000" w:themeColor="text1"/>
                    </w:rPr>
                    <w:t>环境</w:t>
                  </w:r>
                </w:p>
                <w:p w14:paraId="0F1CBF08">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default" w:cs="Times New Roman"/>
                      <w:color w:val="000000" w:themeColor="text1"/>
                    </w:rPr>
                    <w:t>风险</w:t>
                  </w:r>
                </w:p>
              </w:tc>
              <w:tc>
                <w:tcPr>
                  <w:tcW w:w="2027" w:type="pct"/>
                  <w:noWrap w:val="0"/>
                  <w:vAlign w:val="center"/>
                </w:tcPr>
                <w:p w14:paraId="1D6DF61F">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eastAsia" w:ascii="宋体" w:hAnsi="宋体" w:cs="宋体"/>
                      <w:color w:val="000000" w:themeColor="text1"/>
                    </w:rPr>
                    <w:t>为避免贮料池</w:t>
                  </w:r>
                  <w:r>
                    <w:rPr>
                      <w:rFonts w:hint="eastAsia" w:ascii="宋体" w:hAnsi="宋体" w:cs="宋体"/>
                      <w:color w:val="000000" w:themeColor="text1"/>
                      <w:lang w:val="en-US" w:eastAsia="zh-CN"/>
                    </w:rPr>
                    <w:t>和</w:t>
                  </w:r>
                  <w:r>
                    <w:rPr>
                      <w:rFonts w:hint="eastAsia" w:ascii="宋体" w:hAnsi="宋体" w:cs="宋体"/>
                      <w:color w:val="000000" w:themeColor="text1"/>
                    </w:rPr>
                    <w:t>配料池</w:t>
                  </w:r>
                  <w:r>
                    <w:rPr>
                      <w:rFonts w:hint="eastAsia" w:ascii="宋体" w:hAnsi="宋体" w:cs="宋体"/>
                      <w:color w:val="000000" w:themeColor="text1"/>
                      <w:lang w:val="en-US" w:eastAsia="zh-CN"/>
                    </w:rPr>
                    <w:t>事故</w:t>
                  </w:r>
                  <w:r>
                    <w:rPr>
                      <w:rFonts w:hint="eastAsia" w:ascii="宋体" w:hAnsi="宋体" w:cs="宋体"/>
                      <w:color w:val="000000" w:themeColor="text1"/>
                    </w:rPr>
                    <w:t>泄漏对周边地表水造成污染，本次要求在</w:t>
                  </w:r>
                  <w:r>
                    <w:rPr>
                      <w:rFonts w:hint="eastAsia" w:ascii="宋体" w:hAnsi="宋体" w:cs="宋体"/>
                      <w:color w:val="000000" w:themeColor="text1"/>
                      <w:lang w:val="en-US" w:eastAsia="zh-CN"/>
                    </w:rPr>
                    <w:t>配料区</w:t>
                  </w:r>
                  <w:r>
                    <w:rPr>
                      <w:rFonts w:hint="eastAsia" w:ascii="宋体" w:hAnsi="宋体" w:cs="宋体"/>
                      <w:color w:val="000000" w:themeColor="text1"/>
                    </w:rPr>
                    <w:t>建设1个不小于</w:t>
                  </w:r>
                  <w:r>
                    <w:rPr>
                      <w:rFonts w:hint="eastAsia" w:ascii="宋体" w:hAnsi="宋体" w:cs="宋体"/>
                      <w:color w:val="000000" w:themeColor="text1"/>
                      <w:lang w:val="en-US" w:eastAsia="zh-CN"/>
                    </w:rPr>
                    <w:t>160</w:t>
                  </w:r>
                  <w:r>
                    <w:rPr>
                      <w:rFonts w:hint="eastAsia" w:ascii="宋体" w:hAnsi="宋体" w:cs="宋体"/>
                      <w:color w:val="000000" w:themeColor="text1"/>
                    </w:rPr>
                    <w:t>m</w:t>
                  </w:r>
                  <w:r>
                    <w:rPr>
                      <w:rFonts w:hint="eastAsia" w:ascii="宋体" w:hAnsi="宋体" w:cs="宋体"/>
                      <w:color w:val="000000" w:themeColor="text1"/>
                      <w:vertAlign w:val="superscript"/>
                    </w:rPr>
                    <w:t>3</w:t>
                  </w:r>
                  <w:r>
                    <w:rPr>
                      <w:rFonts w:hint="eastAsia" w:ascii="宋体" w:hAnsi="宋体" w:cs="宋体"/>
                      <w:color w:val="000000" w:themeColor="text1"/>
                    </w:rPr>
                    <w:t>（</w:t>
                  </w:r>
                  <w:r>
                    <w:rPr>
                      <w:rFonts w:hint="eastAsia" w:ascii="宋体" w:hAnsi="宋体" w:cs="宋体"/>
                      <w:color w:val="000000" w:themeColor="text1"/>
                      <w:lang w:val="en-US" w:eastAsia="zh-CN"/>
                    </w:rPr>
                    <w:t>发现事故立即停工，考虑为停留1小时</w:t>
                  </w:r>
                  <w:r>
                    <w:rPr>
                      <w:rFonts w:hint="eastAsia" w:ascii="宋体" w:hAnsi="宋体" w:cs="宋体"/>
                      <w:color w:val="000000" w:themeColor="text1"/>
                    </w:rPr>
                    <w:t>）的事故应急池。</w:t>
                  </w:r>
                </w:p>
              </w:tc>
              <w:tc>
                <w:tcPr>
                  <w:tcW w:w="646" w:type="pct"/>
                  <w:noWrap w:val="0"/>
                  <w:vAlign w:val="center"/>
                </w:tcPr>
                <w:p w14:paraId="4EFE626D">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default" w:cs="Times New Roman"/>
                      <w:color w:val="000000" w:themeColor="text1"/>
                    </w:rPr>
                    <w:t>1</w:t>
                  </w:r>
                  <w:r>
                    <w:rPr>
                      <w:rFonts w:hint="eastAsia" w:cs="Times New Roman"/>
                      <w:color w:val="000000" w:themeColor="text1"/>
                    </w:rPr>
                    <w:t>座</w:t>
                  </w:r>
                </w:p>
              </w:tc>
              <w:tc>
                <w:tcPr>
                  <w:tcW w:w="706" w:type="pct"/>
                  <w:noWrap w:val="0"/>
                  <w:vAlign w:val="center"/>
                </w:tcPr>
                <w:p w14:paraId="45D8A377">
                  <w:pPr>
                    <w:pStyle w:val="62"/>
                    <w:keepNext w:val="0"/>
                    <w:keepLines w:val="0"/>
                    <w:suppressLineNumbers w:val="0"/>
                    <w:spacing w:before="0" w:beforeAutospacing="0" w:after="0" w:afterAutospacing="0" w:line="240" w:lineRule="auto"/>
                    <w:ind w:left="0" w:right="0"/>
                    <w:rPr>
                      <w:rFonts w:hint="eastAsia" w:eastAsia="宋体" w:cs="Times New Roman"/>
                      <w:color w:val="000000" w:themeColor="text1"/>
                      <w:lang w:val="en-US" w:eastAsia="zh-CN"/>
                    </w:rPr>
                  </w:pPr>
                  <w:r>
                    <w:rPr>
                      <w:rFonts w:hint="eastAsia" w:cs="Times New Roman"/>
                      <w:color w:val="000000" w:themeColor="text1"/>
                      <w:lang w:val="en-US" w:eastAsia="zh-CN"/>
                    </w:rPr>
                    <w:t>2</w:t>
                  </w:r>
                </w:p>
              </w:tc>
              <w:tc>
                <w:tcPr>
                  <w:tcW w:w="1148" w:type="dxa"/>
                  <w:noWrap w:val="0"/>
                  <w:vAlign w:val="center"/>
                </w:tcPr>
                <w:p w14:paraId="5FDBD560">
                  <w:pPr>
                    <w:pStyle w:val="62"/>
                    <w:keepNext w:val="0"/>
                    <w:keepLines w:val="0"/>
                    <w:suppressLineNumbers w:val="0"/>
                    <w:spacing w:before="0" w:beforeAutospacing="0" w:after="0" w:afterAutospacing="0" w:line="240" w:lineRule="auto"/>
                    <w:ind w:left="0" w:leftChars="0" w:right="0" w:rightChars="0" w:firstLine="0" w:firstLineChars="0"/>
                    <w:rPr>
                      <w:rFonts w:hint="default" w:cs="Times New Roman"/>
                      <w:color w:val="000000" w:themeColor="text1"/>
                    </w:rPr>
                  </w:pPr>
                  <w:r>
                    <w:rPr>
                      <w:rFonts w:hint="eastAsia" w:cs="Times New Roman"/>
                      <w:color w:val="000000" w:themeColor="text1"/>
                      <w:lang w:val="en-US" w:eastAsia="zh-CN"/>
                    </w:rPr>
                    <w:t>新建</w:t>
                  </w:r>
                </w:p>
              </w:tc>
            </w:tr>
            <w:tr w14:paraId="19E37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noWrap w:val="0"/>
                  <w:vAlign w:val="center"/>
                </w:tcPr>
                <w:p w14:paraId="60CBD767">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p>
              </w:tc>
              <w:tc>
                <w:tcPr>
                  <w:tcW w:w="623" w:type="pct"/>
                  <w:vMerge w:val="continue"/>
                  <w:noWrap w:val="0"/>
                  <w:vAlign w:val="center"/>
                </w:tcPr>
                <w:p w14:paraId="5709A55C">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p>
              </w:tc>
              <w:tc>
                <w:tcPr>
                  <w:tcW w:w="2027" w:type="pct"/>
                  <w:noWrap w:val="0"/>
                  <w:vAlign w:val="center"/>
                </w:tcPr>
                <w:p w14:paraId="7DDE7492">
                  <w:pPr>
                    <w:pStyle w:val="62"/>
                    <w:keepNext w:val="0"/>
                    <w:keepLines w:val="0"/>
                    <w:suppressLineNumbers w:val="0"/>
                    <w:spacing w:before="0" w:beforeAutospacing="0" w:after="0" w:afterAutospacing="0" w:line="240" w:lineRule="auto"/>
                    <w:ind w:left="0" w:right="0"/>
                    <w:jc w:val="left"/>
                    <w:rPr>
                      <w:rFonts w:hint="default" w:cs="Times New Roman"/>
                      <w:color w:val="000000" w:themeColor="text1"/>
                    </w:rPr>
                  </w:pPr>
                  <w:r>
                    <w:rPr>
                      <w:rFonts w:hint="eastAsia" w:cs="Times New Roman"/>
                      <w:color w:val="000000" w:themeColor="text1"/>
                      <w:lang w:val="en-US" w:eastAsia="zh-CN"/>
                    </w:rPr>
                    <w:t>搅拌</w:t>
                  </w:r>
                  <w:r>
                    <w:rPr>
                      <w:rFonts w:hint="eastAsia" w:cs="Times New Roman"/>
                      <w:color w:val="000000" w:themeColor="text1"/>
                    </w:rPr>
                    <w:t>区设置环形明沟，并设置排水管道与事故水池相连。</w:t>
                  </w:r>
                </w:p>
              </w:tc>
              <w:tc>
                <w:tcPr>
                  <w:tcW w:w="646" w:type="pct"/>
                  <w:noWrap w:val="0"/>
                  <w:vAlign w:val="center"/>
                </w:tcPr>
                <w:p w14:paraId="7E265F28">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eastAsia" w:cs="Times New Roman"/>
                      <w:color w:val="000000" w:themeColor="text1"/>
                    </w:rPr>
                    <w:t>1套</w:t>
                  </w:r>
                </w:p>
              </w:tc>
              <w:tc>
                <w:tcPr>
                  <w:tcW w:w="706" w:type="pct"/>
                  <w:noWrap w:val="0"/>
                  <w:vAlign w:val="center"/>
                </w:tcPr>
                <w:p w14:paraId="663C289B">
                  <w:pPr>
                    <w:pStyle w:val="62"/>
                    <w:keepNext w:val="0"/>
                    <w:keepLines w:val="0"/>
                    <w:suppressLineNumbers w:val="0"/>
                    <w:spacing w:before="0" w:beforeAutospacing="0" w:after="0" w:afterAutospacing="0" w:line="240" w:lineRule="auto"/>
                    <w:ind w:left="0" w:right="0"/>
                    <w:rPr>
                      <w:rFonts w:hint="default" w:eastAsia="宋体" w:cs="Times New Roman"/>
                      <w:color w:val="000000" w:themeColor="text1"/>
                      <w:lang w:val="en-US" w:eastAsia="zh-CN"/>
                    </w:rPr>
                  </w:pPr>
                  <w:r>
                    <w:rPr>
                      <w:rFonts w:hint="eastAsia" w:cs="Times New Roman"/>
                      <w:color w:val="000000" w:themeColor="text1"/>
                      <w:lang w:val="en-US" w:eastAsia="zh-CN"/>
                    </w:rPr>
                    <w:t>2</w:t>
                  </w:r>
                </w:p>
              </w:tc>
              <w:tc>
                <w:tcPr>
                  <w:tcW w:w="1148" w:type="dxa"/>
                  <w:noWrap w:val="0"/>
                  <w:vAlign w:val="center"/>
                </w:tcPr>
                <w:p w14:paraId="364EAE2E">
                  <w:pPr>
                    <w:pStyle w:val="62"/>
                    <w:keepNext w:val="0"/>
                    <w:keepLines w:val="0"/>
                    <w:suppressLineNumbers w:val="0"/>
                    <w:spacing w:before="0" w:beforeAutospacing="0" w:after="0" w:afterAutospacing="0" w:line="240" w:lineRule="auto"/>
                    <w:ind w:left="0" w:leftChars="0" w:right="0" w:rightChars="0" w:firstLine="0" w:firstLineChars="0"/>
                    <w:rPr>
                      <w:rFonts w:hint="default" w:cs="Times New Roman"/>
                      <w:color w:val="000000" w:themeColor="text1"/>
                    </w:rPr>
                  </w:pPr>
                  <w:r>
                    <w:rPr>
                      <w:rFonts w:hint="default" w:cs="Times New Roman"/>
                      <w:color w:val="000000" w:themeColor="text1"/>
                      <w:lang w:val="en-US" w:eastAsia="zh-CN"/>
                    </w:rPr>
                    <w:t>新建</w:t>
                  </w:r>
                </w:p>
              </w:tc>
            </w:tr>
            <w:tr w14:paraId="235C0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noWrap w:val="0"/>
                  <w:vAlign w:val="center"/>
                </w:tcPr>
                <w:p w14:paraId="4854DF9D">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p>
              </w:tc>
              <w:tc>
                <w:tcPr>
                  <w:tcW w:w="2650" w:type="pct"/>
                  <w:gridSpan w:val="2"/>
                  <w:noWrap w:val="0"/>
                  <w:vAlign w:val="center"/>
                </w:tcPr>
                <w:p w14:paraId="541F3384">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default" w:cs="Times New Roman"/>
                      <w:color w:val="000000" w:themeColor="text1"/>
                    </w:rPr>
                    <w:t>合计</w:t>
                  </w:r>
                </w:p>
              </w:tc>
              <w:tc>
                <w:tcPr>
                  <w:tcW w:w="646" w:type="pct"/>
                  <w:noWrap w:val="0"/>
                  <w:vAlign w:val="center"/>
                </w:tcPr>
                <w:p w14:paraId="3FD581BA">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default" w:cs="Times New Roman"/>
                      <w:color w:val="000000" w:themeColor="text1"/>
                    </w:rPr>
                    <w:t>/</w:t>
                  </w:r>
                </w:p>
              </w:tc>
              <w:tc>
                <w:tcPr>
                  <w:tcW w:w="706" w:type="pct"/>
                  <w:noWrap w:val="0"/>
                  <w:vAlign w:val="center"/>
                </w:tcPr>
                <w:p w14:paraId="58F131F1">
                  <w:pPr>
                    <w:pStyle w:val="62"/>
                    <w:keepNext w:val="0"/>
                    <w:keepLines w:val="0"/>
                    <w:suppressLineNumbers w:val="0"/>
                    <w:spacing w:before="0" w:beforeAutospacing="0" w:after="0" w:afterAutospacing="0" w:line="240" w:lineRule="auto"/>
                    <w:ind w:left="0" w:right="0"/>
                    <w:rPr>
                      <w:rFonts w:hint="default" w:eastAsia="宋体" w:cs="Times New Roman"/>
                      <w:color w:val="000000" w:themeColor="text1"/>
                      <w:lang w:val="en-US" w:eastAsia="zh-CN"/>
                    </w:rPr>
                  </w:pPr>
                  <w:r>
                    <w:rPr>
                      <w:rFonts w:hint="eastAsia" w:cs="Times New Roman"/>
                      <w:color w:val="000000" w:themeColor="text1"/>
                      <w:lang w:val="en-US" w:eastAsia="zh-CN"/>
                    </w:rPr>
                    <w:t>65.55</w:t>
                  </w:r>
                </w:p>
              </w:tc>
              <w:tc>
                <w:tcPr>
                  <w:tcW w:w="717" w:type="pct"/>
                  <w:noWrap w:val="0"/>
                  <w:vAlign w:val="center"/>
                </w:tcPr>
                <w:p w14:paraId="332B11E4">
                  <w:pPr>
                    <w:pStyle w:val="62"/>
                    <w:keepNext w:val="0"/>
                    <w:keepLines w:val="0"/>
                    <w:suppressLineNumbers w:val="0"/>
                    <w:spacing w:before="0" w:beforeAutospacing="0" w:after="0" w:afterAutospacing="0" w:line="240" w:lineRule="auto"/>
                    <w:ind w:left="0" w:right="0"/>
                    <w:rPr>
                      <w:rFonts w:hint="default" w:cs="Times New Roman"/>
                      <w:color w:val="000000" w:themeColor="text1"/>
                    </w:rPr>
                  </w:pPr>
                  <w:r>
                    <w:rPr>
                      <w:rFonts w:hint="default" w:cs="Times New Roman"/>
                      <w:color w:val="000000" w:themeColor="text1"/>
                    </w:rPr>
                    <w:t>/</w:t>
                  </w:r>
                </w:p>
              </w:tc>
            </w:tr>
          </w:tbl>
          <w:p w14:paraId="1AFDFA59">
            <w:pPr>
              <w:keepNext w:val="0"/>
              <w:keepLines w:val="0"/>
              <w:suppressLineNumbers w:val="0"/>
              <w:adjustRightInd w:val="0"/>
              <w:snapToGrid w:val="0"/>
              <w:spacing w:before="0" w:beforeAutospacing="0" w:after="0" w:afterAutospacing="0"/>
              <w:ind w:left="0" w:right="0" w:firstLine="420"/>
              <w:rPr>
                <w:rFonts w:hint="default" w:ascii="Times New Roman" w:hAnsi="Times New Roman" w:cs="Times New Roman"/>
                <w:color w:val="000000" w:themeColor="text1"/>
                <w:sz w:val="21"/>
                <w:szCs w:val="21"/>
              </w:rPr>
            </w:pPr>
          </w:p>
        </w:tc>
      </w:tr>
      <w:tr w14:paraId="79BE6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379" w:type="pct"/>
            <w:noWrap w:val="0"/>
            <w:vAlign w:val="center"/>
          </w:tcPr>
          <w:p w14:paraId="687833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工艺流程和产排污环节</w:t>
            </w:r>
          </w:p>
        </w:tc>
        <w:tc>
          <w:tcPr>
            <w:tcW w:w="4620" w:type="pct"/>
            <w:noWrap w:val="0"/>
            <w:vAlign w:val="top"/>
          </w:tcPr>
          <w:p w14:paraId="34EE9C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cs="Times New Roman"/>
                <w:b/>
                <w:bCs/>
                <w:color w:val="000000" w:themeColor="text1"/>
                <w:sz w:val="21"/>
                <w:szCs w:val="21"/>
              </w:rPr>
              <w:t>1、</w:t>
            </w:r>
            <w:r>
              <w:rPr>
                <w:rFonts w:hint="default" w:ascii="Times New Roman" w:hAnsi="Times New Roman" w:eastAsia="宋体" w:cs="Times New Roman"/>
                <w:b/>
                <w:bCs/>
                <w:color w:val="000000" w:themeColor="text1"/>
                <w:sz w:val="21"/>
                <w:szCs w:val="21"/>
              </w:rPr>
              <w:t>施工期工艺流程以及产排污环节</w:t>
            </w:r>
          </w:p>
          <w:p w14:paraId="553B57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宋体" w:hAnsi="宋体" w:eastAsia="宋体" w:cs="宋体"/>
                <w:color w:val="000000" w:themeColor="text1"/>
                <w:sz w:val="21"/>
              </w:rPr>
            </w:pPr>
            <w:r>
              <w:rPr>
                <w:rFonts w:hint="eastAsia" w:ascii="宋体" w:hAnsi="宋体" w:eastAsia="宋体" w:cs="宋体"/>
                <w:color w:val="000000" w:themeColor="text1"/>
                <w:sz w:val="21"/>
                <w:szCs w:val="21"/>
              </w:rPr>
              <w:t>本项目</w:t>
            </w:r>
            <w:r>
              <w:rPr>
                <w:rFonts w:hint="eastAsia" w:ascii="宋体" w:hAnsi="宋体" w:eastAsia="宋体" w:cs="宋体"/>
                <w:color w:val="000000" w:themeColor="text1"/>
                <w:sz w:val="21"/>
              </w:rPr>
              <w:t>工程的施工划分为前期工程、主体工程、附属工程、道路工程和绿化工程前期工程:清理一场地平整→基坑开挖。</w:t>
            </w:r>
          </w:p>
          <w:p w14:paraId="72889F1E">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宋体" w:hAnsi="宋体" w:eastAsia="宋体" w:cs="宋体"/>
                <w:color w:val="000000" w:themeColor="text1"/>
                <w:sz w:val="21"/>
              </w:rPr>
            </w:pPr>
            <w:r>
              <w:rPr>
                <w:rFonts w:hint="eastAsia" w:ascii="宋体" w:hAnsi="宋体" w:eastAsia="宋体" w:cs="宋体"/>
                <w:color w:val="000000" w:themeColor="text1"/>
                <w:sz w:val="21"/>
              </w:rPr>
              <w:t>主体工程:构筑物基坑开挖、支护及施工</w:t>
            </w:r>
          </w:p>
          <w:p w14:paraId="2F14635C">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宋体" w:hAnsi="宋体" w:eastAsia="宋体" w:cs="宋体"/>
                <w:color w:val="000000" w:themeColor="text1"/>
                <w:sz w:val="21"/>
              </w:rPr>
            </w:pPr>
            <w:r>
              <w:rPr>
                <w:rFonts w:hint="eastAsia" w:ascii="宋体" w:hAnsi="宋体" w:eastAsia="宋体" w:cs="宋体"/>
                <w:color w:val="000000" w:themeColor="text1"/>
                <w:sz w:val="21"/>
              </w:rPr>
              <w:t>附属工程:基坑开挖、支护及施工、装修。</w:t>
            </w:r>
          </w:p>
          <w:p w14:paraId="4AF4CBFD">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宋体" w:hAnsi="宋体" w:eastAsia="宋体" w:cs="宋体"/>
                <w:color w:val="000000" w:themeColor="text1"/>
                <w:sz w:val="21"/>
              </w:rPr>
            </w:pPr>
            <w:r>
              <w:rPr>
                <w:rFonts w:hint="eastAsia" w:ascii="宋体" w:hAnsi="宋体" w:eastAsia="宋体" w:cs="宋体"/>
                <w:color w:val="000000" w:themeColor="text1"/>
                <w:sz w:val="21"/>
              </w:rPr>
              <w:t>道路工程:进行道路路基的施工，同时进行配套管网、管线工程施工;</w:t>
            </w:r>
          </w:p>
          <w:p w14:paraId="1B60F0C3">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宋体" w:hAnsi="宋体" w:eastAsia="宋体" w:cs="宋体"/>
                <w:color w:val="000000" w:themeColor="text1"/>
                <w:sz w:val="21"/>
              </w:rPr>
            </w:pPr>
            <w:r>
              <w:rPr>
                <w:rFonts w:hint="eastAsia" w:ascii="宋体" w:hAnsi="宋体" w:eastAsia="宋体" w:cs="宋体"/>
                <w:color w:val="000000" w:themeColor="text1"/>
                <w:sz w:val="21"/>
              </w:rPr>
              <w:t>绿化工程:绿化用地回填绿化用土、土地整治、绿化苗木的种植、草种撒播，苗木嫁接及抚育管理。</w:t>
            </w:r>
          </w:p>
          <w:p w14:paraId="1AE46AC6">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宋体" w:hAnsi="宋体" w:eastAsia="宋体" w:cs="宋体"/>
                <w:color w:val="000000" w:themeColor="text1"/>
                <w:sz w:val="21"/>
                <w:lang w:eastAsia="zh-CN"/>
              </w:rPr>
            </w:pPr>
            <w:r>
              <w:rPr>
                <w:rFonts w:hint="eastAsia" w:ascii="宋体" w:hAnsi="宋体" w:eastAsia="宋体" w:cs="宋体"/>
                <w:color w:val="000000" w:themeColor="text1"/>
                <w:sz w:val="21"/>
              </w:rPr>
              <w:t>工程结束后，将工程区范围内的临时设施拆除，清理施工迹地</w:t>
            </w:r>
            <w:r>
              <w:rPr>
                <w:rFonts w:hint="eastAsia" w:ascii="宋体" w:hAnsi="宋体" w:eastAsia="宋体" w:cs="宋体"/>
                <w:color w:val="000000" w:themeColor="text1"/>
                <w:sz w:val="21"/>
                <w:lang w:eastAsia="zh-CN"/>
              </w:rPr>
              <w:t>。</w:t>
            </w:r>
          </w:p>
          <w:p w14:paraId="789CCD1B">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color w:val="000000" w:themeColor="text1"/>
                <w:sz w:val="21"/>
                <w:lang w:val="en-US" w:eastAsia="zh-CN"/>
              </w:rPr>
            </w:pPr>
            <w:r>
              <w:rPr>
                <w:rFonts w:hint="eastAsia" w:ascii="Times New Roman" w:hAnsi="Times New Roman" w:eastAsia="宋体" w:cs="Times New Roman"/>
                <w:color w:val="000000" w:themeColor="text1"/>
                <w:sz w:val="21"/>
                <w:lang w:val="en-US" w:eastAsia="zh-CN"/>
              </w:rPr>
              <w:t>工艺流程见图2-2.</w:t>
            </w:r>
          </w:p>
          <w:p w14:paraId="25578266">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textAlignment w:val="auto"/>
              <w:rPr>
                <w:rFonts w:hint="default" w:cs="Times New Roman"/>
                <w:color w:val="000000" w:themeColor="text1"/>
              </w:rPr>
            </w:pPr>
            <w:r>
              <w:rPr>
                <w:rFonts w:hint="default" w:cs="Times New Roman"/>
                <w:color w:val="000000" w:themeColor="text1"/>
              </w:rPr>
              <w:pict>
                <v:shape id="_x0000_i1027" o:spt="75" type="#_x0000_t75" style="height:184.1pt;width:391.45pt;" filled="f" o:preferrelative="t" stroked="f" coordsize="21600,21600">
                  <v:path/>
                  <v:fill on="f" focussize="0,0"/>
                  <v:stroke on="f"/>
                  <v:imagedata r:id="rId20" o:title=""/>
                  <o:lock v:ext="edit" aspectratio="t"/>
                  <w10:wrap type="none"/>
                  <w10:anchorlock/>
                </v:shape>
              </w:pict>
            </w:r>
          </w:p>
          <w:p w14:paraId="0FE548D4">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firstLineChars="200"/>
              <w:textAlignment w:val="auto"/>
              <w:rPr>
                <w:rFonts w:hint="default" w:cs="Times New Roman"/>
                <w:color w:val="000000" w:themeColor="text1"/>
              </w:rPr>
            </w:pPr>
            <w:r>
              <w:rPr>
                <w:rFonts w:hint="default" w:cs="Times New Roman"/>
                <w:color w:val="000000" w:themeColor="text1"/>
              </w:rPr>
              <w:t>图2-2</w:t>
            </w:r>
            <w:r>
              <w:rPr>
                <w:rFonts w:hint="eastAsia" w:cs="Times New Roman"/>
                <w:color w:val="000000" w:themeColor="text1"/>
              </w:rPr>
              <w:t xml:space="preserve">  </w:t>
            </w:r>
            <w:r>
              <w:rPr>
                <w:rFonts w:hint="default" w:cs="Times New Roman"/>
                <w:color w:val="000000" w:themeColor="text1"/>
              </w:rPr>
              <w:t>项目施工期工艺流程及产污节点图</w:t>
            </w:r>
          </w:p>
          <w:p w14:paraId="00ED77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项目施工期主要环境影响因素包括:</w:t>
            </w:r>
          </w:p>
          <w:p w14:paraId="336D2A5E">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施工人员的生活污水和施工工程废水对区域水环境的影响;</w:t>
            </w:r>
          </w:p>
          <w:p w14:paraId="3F05A99D">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施工行为产生的扬尘、机械废气等对周边大气环境的影响;</w:t>
            </w:r>
          </w:p>
          <w:p w14:paraId="54FD2EE6">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工机械及运输车辆产生的噪声对周围环境的影响;</w:t>
            </w:r>
          </w:p>
          <w:p w14:paraId="3C764B35">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施工产生的废土石、建筑垃圾及生活垃圾等固体废弃物对外环境的影响;</w:t>
            </w:r>
          </w:p>
          <w:p w14:paraId="2A97530F">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施工造成的地表原地貌破坏等对区域生态环境的影响。</w:t>
            </w:r>
          </w:p>
          <w:p w14:paraId="1150224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2、运营期工艺流程以及产排污环节</w:t>
            </w:r>
          </w:p>
          <w:p w14:paraId="789C13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textAlignment w:val="auto"/>
              <w:rPr>
                <w:rFonts w:hint="default" w:ascii="Times New Roman" w:hAnsi="Times New Roman" w:eastAsia="宋体" w:cs="Times New Roman"/>
                <w:color w:val="000000" w:themeColor="text1"/>
                <w:sz w:val="21"/>
                <w:szCs w:val="21"/>
                <w:lang w:val="en-US" w:eastAsia="zh-CN"/>
              </w:rPr>
            </w:pPr>
            <w:r>
              <w:rPr>
                <w:rFonts w:hint="default" w:ascii="宋体" w:hAnsi="宋体" w:eastAsia="宋体" w:cs="宋体"/>
                <w:color w:val="000000" w:themeColor="text1"/>
                <w:sz w:val="21"/>
                <w:szCs w:val="21"/>
              </w:rPr>
              <w:t>项目以外购</w:t>
            </w:r>
            <w:r>
              <w:rPr>
                <w:rFonts w:hint="eastAsia" w:ascii="宋体" w:hAnsi="宋体" w:eastAsia="宋体" w:cs="宋体"/>
                <w:color w:val="000000" w:themeColor="text1"/>
                <w:sz w:val="21"/>
                <w:szCs w:val="21"/>
                <w:lang w:val="en-US" w:eastAsia="zh-CN"/>
              </w:rPr>
              <w:t>废纸</w:t>
            </w:r>
            <w:r>
              <w:rPr>
                <w:rFonts w:hint="default" w:ascii="宋体" w:hAnsi="宋体" w:eastAsia="宋体" w:cs="宋体"/>
                <w:color w:val="000000" w:themeColor="text1"/>
                <w:sz w:val="21"/>
                <w:szCs w:val="21"/>
              </w:rPr>
              <w:t>、石英砂、着色剂（根据客户需求添加）作原料通过搅拌、成型、烘干等工序生产</w:t>
            </w:r>
            <w:r>
              <w:rPr>
                <w:rFonts w:hint="eastAsia" w:ascii="Times New Roman" w:hAnsi="Times New Roman" w:cs="Times New Roman"/>
                <w:color w:val="000000" w:themeColor="text1"/>
                <w:sz w:val="21"/>
                <w:szCs w:val="21"/>
                <w:lang w:val="en-US" w:eastAsia="zh-CN"/>
              </w:rPr>
              <w:t>纸浆模塑包装制品</w:t>
            </w:r>
            <w:r>
              <w:rPr>
                <w:rFonts w:hint="default" w:ascii="宋体" w:hAnsi="宋体" w:eastAsia="宋体" w:cs="宋体"/>
                <w:color w:val="000000" w:themeColor="text1"/>
                <w:sz w:val="21"/>
                <w:szCs w:val="21"/>
              </w:rPr>
              <w:t>，烘干工序使用燃生物质成型燃料提供烘干热气。</w:t>
            </w:r>
            <w:r>
              <w:rPr>
                <w:rFonts w:hint="default" w:ascii="Times New Roman" w:hAnsi="Times New Roman" w:cs="Times New Roman"/>
                <w:color w:val="000000" w:themeColor="text1"/>
                <w:sz w:val="21"/>
                <w:szCs w:val="21"/>
              </w:rPr>
              <w:t>项目预计年产</w:t>
            </w:r>
            <w:r>
              <w:rPr>
                <w:rFonts w:hint="eastAsia" w:ascii="Times New Roman" w:hAnsi="Times New Roman" w:cs="Times New Roman"/>
                <w:color w:val="000000" w:themeColor="text1"/>
                <w:sz w:val="21"/>
                <w:szCs w:val="21"/>
                <w:lang w:val="en-US" w:eastAsia="zh-CN"/>
              </w:rPr>
              <w:t>3亿片纸浆模塑包装制品，</w:t>
            </w:r>
            <w:r>
              <w:rPr>
                <w:rFonts w:hint="default" w:ascii="Times New Roman" w:hAnsi="Times New Roman" w:cs="Times New Roman"/>
                <w:color w:val="000000" w:themeColor="text1"/>
                <w:sz w:val="21"/>
                <w:szCs w:val="21"/>
              </w:rPr>
              <w:t>主要设置3条生产线</w:t>
            </w:r>
            <w:r>
              <w:rPr>
                <w:rFonts w:hint="eastAsia" w:ascii="Times New Roman" w:hAnsi="Times New Roman" w:cs="Times New Roman"/>
                <w:color w:val="000000" w:themeColor="text1"/>
                <w:sz w:val="21"/>
                <w:szCs w:val="21"/>
                <w:lang w:val="en-US" w:eastAsia="zh-CN"/>
              </w:rPr>
              <w:t>，其中蛋托</w:t>
            </w:r>
            <w:r>
              <w:rPr>
                <w:rFonts w:hint="default" w:ascii="Times New Roman" w:hAnsi="Times New Roman" w:cs="Times New Roman"/>
                <w:color w:val="000000" w:themeColor="text1"/>
                <w:sz w:val="21"/>
                <w:szCs w:val="21"/>
              </w:rPr>
              <w:t>生产线</w:t>
            </w:r>
            <w:r>
              <w:rPr>
                <w:rFonts w:hint="eastAsia" w:ascii="Times New Roman" w:hAnsi="Times New Roman" w:cs="Times New Roman"/>
                <w:color w:val="000000" w:themeColor="text1"/>
                <w:sz w:val="21"/>
                <w:szCs w:val="21"/>
                <w:lang w:val="en-US" w:eastAsia="zh-CN"/>
              </w:rPr>
              <w:t>1</w:t>
            </w:r>
            <w:r>
              <w:rPr>
                <w:rFonts w:hint="default" w:ascii="Times New Roman" w:hAnsi="Times New Roman" w:cs="Times New Roman"/>
                <w:color w:val="000000" w:themeColor="text1"/>
                <w:sz w:val="21"/>
                <w:szCs w:val="21"/>
              </w:rPr>
              <w:t>条，</w:t>
            </w:r>
            <w:r>
              <w:rPr>
                <w:rFonts w:hint="eastAsia" w:ascii="Times New Roman" w:hAnsi="Times New Roman" w:cs="Times New Roman"/>
                <w:color w:val="000000" w:themeColor="text1"/>
                <w:sz w:val="21"/>
                <w:szCs w:val="21"/>
                <w:lang w:val="en-US" w:eastAsia="zh-CN"/>
              </w:rPr>
              <w:t>果托生产线1条，蛋盒和瓶托生产线1条</w:t>
            </w:r>
            <w:r>
              <w:rPr>
                <w:rFonts w:hint="default" w:ascii="Times New Roman" w:hAnsi="Times New Roman" w:cs="Times New Roman"/>
                <w:color w:val="000000" w:themeColor="text1"/>
                <w:sz w:val="21"/>
                <w:szCs w:val="21"/>
              </w:rPr>
              <w:t>。</w:t>
            </w:r>
            <w:r>
              <w:rPr>
                <w:rFonts w:hint="eastAsia" w:ascii="Times New Roman" w:hAnsi="Times New Roman" w:cs="Times New Roman"/>
                <w:color w:val="000000" w:themeColor="text1"/>
                <w:sz w:val="21"/>
                <w:szCs w:val="21"/>
                <w:lang w:val="en-US" w:eastAsia="zh-CN"/>
              </w:rPr>
              <w:t>其中蛋托生产线和果托生产线使用烘干工艺，使用生物质燃料，生产工艺仅成型机模具不一致；蛋盒和瓶托生产线生产线生产工艺不使用烘干工艺，采取热压工艺。</w:t>
            </w:r>
          </w:p>
          <w:p w14:paraId="488BE5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其生产工艺流程均为简述如下</w:t>
            </w:r>
            <w:r>
              <w:rPr>
                <w:rFonts w:hint="eastAsia" w:cs="Times New Roman"/>
                <w:color w:val="000000" w:themeColor="text1"/>
                <w:sz w:val="21"/>
                <w:szCs w:val="21"/>
                <w:lang w:val="en-US" w:eastAsia="zh-CN"/>
              </w:rPr>
              <w:t>。</w:t>
            </w:r>
          </w:p>
          <w:p w14:paraId="4BCE4A02">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textAlignment w:val="auto"/>
              <w:rPr>
                <w:rFonts w:hint="default" w:ascii="Times New Roman" w:hAnsi="Times New Roman" w:cs="Times New Roman"/>
                <w:b/>
                <w:bCs/>
                <w:color w:val="000000" w:themeColor="text1"/>
                <w:sz w:val="21"/>
                <w:szCs w:val="21"/>
              </w:rPr>
            </w:pPr>
            <w:r>
              <w:rPr>
                <w:rFonts w:hint="eastAsia" w:ascii="Times New Roman" w:hAnsi="Times New Roman" w:cs="Times New Roman"/>
                <w:b/>
                <w:bCs/>
                <w:color w:val="000000" w:themeColor="text1"/>
                <w:sz w:val="21"/>
                <w:szCs w:val="21"/>
                <w:lang w:val="en-US" w:eastAsia="zh-CN"/>
              </w:rPr>
              <w:t>蛋托、果托</w:t>
            </w:r>
            <w:r>
              <w:rPr>
                <w:rFonts w:hint="default" w:ascii="Times New Roman" w:hAnsi="Times New Roman" w:cs="Times New Roman"/>
                <w:b/>
                <w:bCs/>
                <w:color w:val="000000" w:themeColor="text1"/>
                <w:sz w:val="21"/>
                <w:szCs w:val="21"/>
              </w:rPr>
              <w:t>工艺流程及产污环节</w:t>
            </w:r>
          </w:p>
          <w:p w14:paraId="54AE80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工艺说明：</w:t>
            </w:r>
          </w:p>
          <w:p w14:paraId="27E42D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22" w:firstLineChars="200"/>
              <w:textAlignment w:val="auto"/>
              <w:rPr>
                <w:rFonts w:hint="eastAsia" w:ascii="Times New Roman" w:hAnsi="Times New Roman" w:cs="Times New Roman"/>
                <w:b w:val="0"/>
                <w:bCs w:val="0"/>
                <w:color w:val="000000" w:themeColor="text1"/>
                <w:sz w:val="21"/>
                <w:szCs w:val="21"/>
                <w:lang w:eastAsia="zh-CN"/>
              </w:rPr>
            </w:pPr>
            <w:r>
              <w:rPr>
                <w:rFonts w:hint="eastAsia" w:ascii="Times New Roman" w:hAnsi="Times New Roman" w:cs="Times New Roman"/>
                <w:b/>
                <w:bCs/>
                <w:color w:val="000000" w:themeColor="text1"/>
                <w:sz w:val="21"/>
                <w:szCs w:val="21"/>
                <w:lang w:val="en-US" w:eastAsia="zh-CN"/>
              </w:rPr>
              <w:t>1）搅拌制料</w:t>
            </w:r>
            <w:r>
              <w:rPr>
                <w:rFonts w:hint="default" w:ascii="Times New Roman" w:hAnsi="Times New Roman" w:cs="Times New Roman"/>
                <w:b/>
                <w:bCs/>
                <w:color w:val="000000" w:themeColor="text1"/>
                <w:sz w:val="21"/>
                <w:szCs w:val="21"/>
              </w:rPr>
              <w:t>：</w:t>
            </w:r>
            <w:r>
              <w:rPr>
                <w:rFonts w:hint="eastAsia" w:ascii="Times New Roman" w:hAnsi="Times New Roman" w:cs="Times New Roman"/>
                <w:b w:val="0"/>
                <w:bCs w:val="0"/>
                <w:color w:val="000000" w:themeColor="text1"/>
                <w:sz w:val="21"/>
                <w:szCs w:val="21"/>
              </w:rPr>
              <w:t>将外购的废纸</w:t>
            </w:r>
            <w:r>
              <w:rPr>
                <w:rFonts w:hint="eastAsia" w:ascii="Times New Roman" w:hAnsi="Times New Roman" w:cs="Times New Roman"/>
                <w:b w:val="0"/>
                <w:bCs w:val="0"/>
                <w:color w:val="000000" w:themeColor="text1"/>
                <w:sz w:val="21"/>
                <w:szCs w:val="21"/>
                <w:lang w:val="en-US" w:eastAsia="zh-CN"/>
              </w:rPr>
              <w:t>原料</w:t>
            </w:r>
            <w:r>
              <w:rPr>
                <w:rFonts w:hint="eastAsia" w:ascii="Times New Roman" w:hAnsi="Times New Roman" w:cs="Times New Roman"/>
                <w:color w:val="000000" w:themeColor="text1"/>
                <w:sz w:val="21"/>
                <w:szCs w:val="21"/>
                <w:lang w:val="en-US" w:eastAsia="zh-CN"/>
              </w:rPr>
              <w:t>、染料、硫酸铝、石粉</w:t>
            </w:r>
            <w:r>
              <w:rPr>
                <w:rFonts w:hint="eastAsia" w:ascii="Times New Roman" w:hAnsi="Times New Roman" w:cs="Times New Roman"/>
                <w:b w:val="0"/>
                <w:bCs w:val="0"/>
                <w:color w:val="000000" w:themeColor="text1"/>
                <w:sz w:val="21"/>
                <w:szCs w:val="21"/>
              </w:rPr>
              <w:t>和水按照比例投入到</w:t>
            </w:r>
            <w:r>
              <w:rPr>
                <w:rFonts w:hint="eastAsia" w:ascii="Times New Roman" w:hAnsi="Times New Roman" w:cs="Times New Roman"/>
                <w:b w:val="0"/>
                <w:bCs w:val="0"/>
                <w:color w:val="000000" w:themeColor="text1"/>
                <w:sz w:val="21"/>
                <w:szCs w:val="21"/>
                <w:lang w:val="en-US" w:eastAsia="zh-CN"/>
              </w:rPr>
              <w:t>配料池</w:t>
            </w:r>
            <w:r>
              <w:rPr>
                <w:rFonts w:hint="eastAsia" w:ascii="Times New Roman" w:hAnsi="Times New Roman" w:cs="Times New Roman"/>
                <w:b w:val="0"/>
                <w:bCs w:val="0"/>
                <w:color w:val="000000" w:themeColor="text1"/>
                <w:sz w:val="21"/>
                <w:szCs w:val="21"/>
              </w:rPr>
              <w:t>，</w:t>
            </w:r>
            <w:r>
              <w:rPr>
                <w:rFonts w:hint="eastAsia" w:ascii="Times New Roman" w:hAnsi="Times New Roman" w:cs="Times New Roman"/>
                <w:b w:val="0"/>
                <w:bCs w:val="0"/>
                <w:color w:val="000000" w:themeColor="text1"/>
                <w:sz w:val="21"/>
                <w:szCs w:val="21"/>
                <w:lang w:val="en-US" w:eastAsia="zh-CN"/>
              </w:rPr>
              <w:t>使用水力碎料机和搅拌机将</w:t>
            </w:r>
            <w:r>
              <w:rPr>
                <w:rFonts w:hint="eastAsia" w:ascii="Times New Roman" w:hAnsi="Times New Roman" w:cs="Times New Roman"/>
                <w:b w:val="0"/>
                <w:bCs w:val="0"/>
                <w:color w:val="000000" w:themeColor="text1"/>
                <w:sz w:val="21"/>
                <w:szCs w:val="21"/>
              </w:rPr>
              <w:t>包装箱废纸片在水流的剪切力及摩擦力作用下被分解成纸浆纤维</w:t>
            </w:r>
            <w:r>
              <w:rPr>
                <w:rFonts w:hint="eastAsia" w:ascii="Times New Roman" w:hAnsi="Times New Roman" w:cs="Times New Roman"/>
                <w:b w:val="0"/>
                <w:bCs w:val="0"/>
                <w:color w:val="000000" w:themeColor="text1"/>
                <w:sz w:val="21"/>
                <w:szCs w:val="21"/>
                <w:lang w:eastAsia="zh-CN"/>
              </w:rPr>
              <w:t>。</w:t>
            </w:r>
          </w:p>
          <w:p w14:paraId="257BBC0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firstLineChars="200"/>
              <w:textAlignment w:val="auto"/>
              <w:rPr>
                <w:rFonts w:hint="default" w:ascii="Times New Roman" w:hAnsi="Times New Roman" w:cs="Times New Roman"/>
                <w:b/>
                <w:bCs/>
                <w:color w:val="000000" w:themeColor="text1"/>
                <w:sz w:val="21"/>
                <w:szCs w:val="21"/>
              </w:rPr>
            </w:pPr>
            <w:r>
              <w:rPr>
                <w:rFonts w:hint="eastAsia" w:ascii="Times New Roman" w:hAnsi="Times New Roman" w:cs="Times New Roman"/>
                <w:b/>
                <w:bCs/>
                <w:color w:val="000000" w:themeColor="text1"/>
                <w:sz w:val="21"/>
                <w:szCs w:val="21"/>
              </w:rPr>
              <w:t>此工序</w:t>
            </w:r>
            <w:r>
              <w:rPr>
                <w:rFonts w:hint="default" w:ascii="Times New Roman" w:hAnsi="Times New Roman" w:cs="Times New Roman"/>
                <w:b/>
                <w:bCs/>
                <w:color w:val="000000" w:themeColor="text1"/>
                <w:sz w:val="21"/>
                <w:szCs w:val="21"/>
              </w:rPr>
              <w:t>会产生噪声、</w:t>
            </w:r>
            <w:r>
              <w:rPr>
                <w:rFonts w:hint="eastAsia" w:cs="Times New Roman"/>
                <w:b/>
                <w:bCs/>
                <w:color w:val="000000" w:themeColor="text1"/>
                <w:sz w:val="21"/>
                <w:szCs w:val="21"/>
                <w:lang w:val="en-US" w:eastAsia="zh-CN"/>
              </w:rPr>
              <w:t>投料</w:t>
            </w:r>
            <w:r>
              <w:rPr>
                <w:rFonts w:hint="default" w:ascii="Times New Roman" w:hAnsi="Times New Roman" w:cs="Times New Roman"/>
                <w:b/>
                <w:bCs/>
                <w:color w:val="000000" w:themeColor="text1"/>
                <w:sz w:val="21"/>
                <w:szCs w:val="21"/>
              </w:rPr>
              <w:t>粉尘、废原材料包装袋。</w:t>
            </w:r>
          </w:p>
          <w:p w14:paraId="780BB19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firstLineChars="200"/>
              <w:textAlignment w:val="auto"/>
              <w:rPr>
                <w:rFonts w:hint="eastAsia" w:ascii="Times New Roman" w:hAnsi="Times New Roman" w:cs="Times New Roman"/>
                <w:b w:val="0"/>
                <w:bCs w:val="0"/>
                <w:color w:val="000000" w:themeColor="text1"/>
                <w:sz w:val="21"/>
                <w:szCs w:val="21"/>
              </w:rPr>
            </w:pPr>
            <w:r>
              <w:rPr>
                <w:rFonts w:hint="eastAsia" w:ascii="Times New Roman" w:hAnsi="Times New Roman" w:cs="Times New Roman"/>
                <w:b/>
                <w:bCs/>
                <w:color w:val="000000" w:themeColor="text1"/>
                <w:sz w:val="21"/>
                <w:szCs w:val="21"/>
                <w:lang w:val="en-US" w:eastAsia="zh-CN"/>
              </w:rPr>
              <w:t>2）成型</w:t>
            </w:r>
            <w:r>
              <w:rPr>
                <w:rFonts w:hint="default" w:ascii="Times New Roman" w:hAnsi="Times New Roman" w:cs="Times New Roman"/>
                <w:b/>
                <w:bCs/>
                <w:color w:val="000000" w:themeColor="text1"/>
                <w:sz w:val="21"/>
                <w:szCs w:val="21"/>
              </w:rPr>
              <w:t>：</w:t>
            </w:r>
            <w:r>
              <w:rPr>
                <w:rFonts w:hint="eastAsia" w:ascii="Times New Roman" w:hAnsi="Times New Roman" w:eastAsia="宋体" w:cs="Times New Roman"/>
                <w:color w:val="000000" w:themeColor="text1"/>
                <w:kern w:val="2"/>
                <w:sz w:val="21"/>
                <w:szCs w:val="21"/>
                <w:lang w:val="en-US" w:eastAsia="zh-CN" w:bidi="ar"/>
              </w:rPr>
              <w:t>通过真空泵将配料池中的料液泵至贮料池中，将</w:t>
            </w:r>
            <w:r>
              <w:rPr>
                <w:rFonts w:hint="eastAsia" w:ascii="Times New Roman" w:hAnsi="Times New Roman" w:cs="Times New Roman"/>
                <w:b w:val="0"/>
                <w:bCs w:val="0"/>
                <w:color w:val="000000" w:themeColor="text1"/>
                <w:sz w:val="21"/>
                <w:szCs w:val="21"/>
              </w:rPr>
              <w:t>成型机</w:t>
            </w:r>
            <w:r>
              <w:rPr>
                <w:rFonts w:hint="eastAsia" w:ascii="Times New Roman" w:hAnsi="Times New Roman" w:cs="Times New Roman"/>
                <w:b w:val="0"/>
                <w:bCs w:val="0"/>
                <w:color w:val="000000" w:themeColor="text1"/>
                <w:sz w:val="21"/>
                <w:szCs w:val="21"/>
                <w:lang w:val="en-US" w:eastAsia="zh-CN"/>
              </w:rPr>
              <w:t>料</w:t>
            </w:r>
            <w:r>
              <w:rPr>
                <w:rFonts w:hint="eastAsia" w:ascii="Times New Roman" w:hAnsi="Times New Roman" w:cs="Times New Roman"/>
                <w:b w:val="0"/>
                <w:bCs w:val="0"/>
                <w:color w:val="000000" w:themeColor="text1"/>
                <w:sz w:val="21"/>
                <w:szCs w:val="21"/>
              </w:rPr>
              <w:t>箱上方的成型模具下沉完全浸入料</w:t>
            </w:r>
            <w:r>
              <w:rPr>
                <w:rFonts w:hint="eastAsia" w:ascii="Times New Roman" w:hAnsi="Times New Roman" w:cs="Times New Roman"/>
                <w:b w:val="0"/>
                <w:bCs w:val="0"/>
                <w:color w:val="000000" w:themeColor="text1"/>
                <w:sz w:val="21"/>
                <w:szCs w:val="21"/>
                <w:lang w:val="en-US" w:eastAsia="zh-CN"/>
              </w:rPr>
              <w:t>液</w:t>
            </w:r>
            <w:r>
              <w:rPr>
                <w:rFonts w:hint="eastAsia" w:ascii="Times New Roman" w:hAnsi="Times New Roman" w:cs="Times New Roman"/>
                <w:b w:val="0"/>
                <w:bCs w:val="0"/>
                <w:color w:val="000000" w:themeColor="text1"/>
                <w:sz w:val="21"/>
                <w:szCs w:val="21"/>
              </w:rPr>
              <w:t>中时，在成型模具背部真空的抽吸作用下，</w:t>
            </w:r>
            <w:r>
              <w:rPr>
                <w:rFonts w:hint="eastAsia" w:ascii="Times New Roman" w:hAnsi="Times New Roman" w:cs="Times New Roman"/>
                <w:b w:val="0"/>
                <w:bCs w:val="0"/>
                <w:color w:val="000000" w:themeColor="text1"/>
                <w:sz w:val="21"/>
                <w:szCs w:val="21"/>
                <w:lang w:val="en-US" w:eastAsia="zh-CN"/>
              </w:rPr>
              <w:t>料液</w:t>
            </w:r>
            <w:r>
              <w:rPr>
                <w:rFonts w:hint="eastAsia" w:ascii="Times New Roman" w:hAnsi="Times New Roman" w:cs="Times New Roman"/>
                <w:b w:val="0"/>
                <w:bCs w:val="0"/>
                <w:color w:val="000000" w:themeColor="text1"/>
                <w:sz w:val="21"/>
                <w:szCs w:val="21"/>
              </w:rPr>
              <w:t>被吸附而向模具表面聚拢；因为成型模具特有的表面滤水加中空结构，聚拢来的料</w:t>
            </w:r>
            <w:r>
              <w:rPr>
                <w:rFonts w:hint="eastAsia" w:ascii="Times New Roman" w:hAnsi="Times New Roman" w:cs="Times New Roman"/>
                <w:b w:val="0"/>
                <w:bCs w:val="0"/>
                <w:color w:val="000000" w:themeColor="text1"/>
                <w:sz w:val="21"/>
                <w:szCs w:val="21"/>
                <w:lang w:val="en-US" w:eastAsia="zh-CN"/>
              </w:rPr>
              <w:t>液</w:t>
            </w:r>
            <w:r>
              <w:rPr>
                <w:rFonts w:hint="eastAsia" w:ascii="Times New Roman" w:hAnsi="Times New Roman" w:cs="Times New Roman"/>
                <w:b w:val="0"/>
                <w:bCs w:val="0"/>
                <w:color w:val="000000" w:themeColor="text1"/>
                <w:sz w:val="21"/>
                <w:szCs w:val="21"/>
              </w:rPr>
              <w:t>中的纸浆纤维附着在模具的表面，而水则被抽走。附着于模具表面的纤维层厚约2.5mm，</w:t>
            </w:r>
            <w:r>
              <w:rPr>
                <w:rFonts w:hint="eastAsia" w:ascii="Times New Roman" w:hAnsi="Times New Roman" w:cs="Times New Roman"/>
                <w:b w:val="0"/>
                <w:bCs w:val="0"/>
                <w:color w:val="000000" w:themeColor="text1"/>
                <w:sz w:val="21"/>
                <w:szCs w:val="21"/>
                <w:lang w:val="en-US" w:eastAsia="zh-CN"/>
              </w:rPr>
              <w:t>根据模具不同分成蛋托和果托的</w:t>
            </w:r>
            <w:r>
              <w:rPr>
                <w:rFonts w:hint="eastAsia" w:ascii="Times New Roman" w:hAnsi="Times New Roman" w:cs="Times New Roman"/>
                <w:b w:val="0"/>
                <w:bCs w:val="0"/>
                <w:color w:val="000000" w:themeColor="text1"/>
                <w:sz w:val="21"/>
                <w:szCs w:val="21"/>
              </w:rPr>
              <w:t>湿坯</w:t>
            </w:r>
            <w:r>
              <w:rPr>
                <w:rFonts w:hint="eastAsia" w:ascii="Times New Roman" w:hAnsi="Times New Roman" w:cs="Times New Roman"/>
                <w:b w:val="0"/>
                <w:bCs w:val="0"/>
                <w:color w:val="000000" w:themeColor="text1"/>
                <w:sz w:val="21"/>
                <w:szCs w:val="21"/>
                <w:lang w:eastAsia="zh-CN"/>
              </w:rPr>
              <w:t>，</w:t>
            </w:r>
            <w:r>
              <w:rPr>
                <w:rFonts w:hint="eastAsia" w:ascii="Times New Roman" w:hAnsi="Times New Roman" w:cs="Times New Roman"/>
                <w:b w:val="0"/>
                <w:bCs w:val="0"/>
                <w:color w:val="000000" w:themeColor="text1"/>
                <w:sz w:val="21"/>
                <w:szCs w:val="21"/>
              </w:rPr>
              <w:t>湿坯含有大约70%的水分。成型机抽出的水</w:t>
            </w:r>
            <w:r>
              <w:rPr>
                <w:rFonts w:hint="eastAsia" w:ascii="Times New Roman" w:hAnsi="Times New Roman" w:cs="Times New Roman"/>
                <w:b w:val="0"/>
                <w:bCs w:val="0"/>
                <w:color w:val="000000" w:themeColor="text1"/>
                <w:sz w:val="21"/>
                <w:szCs w:val="21"/>
                <w:lang w:val="en-US" w:eastAsia="zh-CN"/>
              </w:rPr>
              <w:t>和真空泵冷却废水</w:t>
            </w:r>
            <w:r>
              <w:rPr>
                <w:rFonts w:hint="eastAsia" w:ascii="Times New Roman" w:hAnsi="Times New Roman" w:cs="Times New Roman"/>
                <w:b w:val="0"/>
                <w:bCs w:val="0"/>
                <w:color w:val="000000" w:themeColor="text1"/>
                <w:sz w:val="21"/>
                <w:szCs w:val="21"/>
              </w:rPr>
              <w:t>回流至</w:t>
            </w:r>
            <w:r>
              <w:rPr>
                <w:rFonts w:hint="eastAsia" w:ascii="Times New Roman" w:hAnsi="Times New Roman" w:cs="Times New Roman"/>
                <w:b w:val="0"/>
                <w:bCs w:val="0"/>
                <w:color w:val="000000" w:themeColor="text1"/>
                <w:sz w:val="21"/>
                <w:szCs w:val="21"/>
                <w:lang w:val="en-US" w:eastAsia="zh-CN"/>
              </w:rPr>
              <w:t>循环水池</w:t>
            </w:r>
            <w:r>
              <w:rPr>
                <w:rFonts w:hint="eastAsia" w:ascii="Times New Roman" w:hAnsi="Times New Roman" w:cs="Times New Roman"/>
                <w:b w:val="0"/>
                <w:bCs w:val="0"/>
                <w:color w:val="000000" w:themeColor="text1"/>
                <w:sz w:val="21"/>
                <w:szCs w:val="21"/>
              </w:rPr>
              <w:t>中</w:t>
            </w:r>
            <w:r>
              <w:rPr>
                <w:rFonts w:hint="eastAsia" w:ascii="Times New Roman" w:hAnsi="Times New Roman" w:eastAsia="宋体" w:cs="Times New Roman"/>
                <w:color w:val="00B050"/>
                <w:kern w:val="2"/>
                <w:sz w:val="21"/>
                <w:szCs w:val="21"/>
                <w:lang w:val="en-US" w:eastAsia="zh-CN" w:bidi="ar"/>
              </w:rPr>
              <w:t>（TW003）</w:t>
            </w:r>
            <w:r>
              <w:rPr>
                <w:rFonts w:hint="eastAsia" w:cs="Times New Roman"/>
                <w:color w:val="00B050"/>
                <w:kern w:val="2"/>
                <w:sz w:val="21"/>
                <w:szCs w:val="21"/>
                <w:lang w:val="en-US" w:eastAsia="zh-CN" w:bidi="ar"/>
              </w:rPr>
              <w:t>，再进入配料池</w:t>
            </w:r>
            <w:r>
              <w:rPr>
                <w:rFonts w:hint="eastAsia" w:ascii="Times New Roman" w:hAnsi="Times New Roman" w:cs="Times New Roman"/>
                <w:b w:val="0"/>
                <w:bCs w:val="0"/>
                <w:color w:val="000000" w:themeColor="text1"/>
                <w:sz w:val="21"/>
                <w:szCs w:val="21"/>
              </w:rPr>
              <w:t>。</w:t>
            </w:r>
          </w:p>
          <w:p w14:paraId="2D95C2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textAlignment w:val="auto"/>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此过程会产生噪声、</w:t>
            </w:r>
            <w:r>
              <w:rPr>
                <w:rFonts w:hint="eastAsia" w:ascii="Times New Roman" w:hAnsi="Times New Roman" w:cs="Times New Roman"/>
                <w:b/>
                <w:bCs/>
                <w:color w:val="000000" w:themeColor="text1"/>
                <w:sz w:val="21"/>
                <w:szCs w:val="21"/>
                <w:lang w:val="en-US" w:eastAsia="zh-CN"/>
              </w:rPr>
              <w:t>废水</w:t>
            </w:r>
            <w:r>
              <w:rPr>
                <w:rFonts w:hint="default" w:ascii="Times New Roman" w:hAnsi="Times New Roman" w:cs="Times New Roman"/>
                <w:b/>
                <w:bCs/>
                <w:color w:val="000000" w:themeColor="text1"/>
                <w:sz w:val="21"/>
                <w:szCs w:val="21"/>
              </w:rPr>
              <w:t>。</w:t>
            </w:r>
          </w:p>
          <w:p w14:paraId="75E9B7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textAlignment w:val="auto"/>
              <w:rPr>
                <w:rFonts w:hint="eastAsia" w:ascii="Times New Roman" w:hAnsi="Times New Roman" w:cs="Times New Roman"/>
                <w:b w:val="0"/>
                <w:bCs w:val="0"/>
                <w:color w:val="000000" w:themeColor="text1"/>
                <w:sz w:val="21"/>
                <w:szCs w:val="21"/>
                <w:lang w:val="en-US" w:eastAsia="zh-CN"/>
              </w:rPr>
            </w:pPr>
            <w:r>
              <w:rPr>
                <w:rFonts w:hint="eastAsia" w:ascii="Times New Roman" w:hAnsi="Times New Roman" w:cs="Times New Roman"/>
                <w:b/>
                <w:bCs/>
                <w:color w:val="000000" w:themeColor="text1"/>
                <w:sz w:val="21"/>
                <w:szCs w:val="21"/>
                <w:lang w:val="en-US" w:eastAsia="zh-CN"/>
              </w:rPr>
              <w:t>3）烘干</w:t>
            </w:r>
            <w:r>
              <w:rPr>
                <w:rFonts w:hint="default" w:ascii="Times New Roman" w:hAnsi="Times New Roman" w:cs="Times New Roman"/>
                <w:b/>
                <w:bCs/>
                <w:color w:val="000000" w:themeColor="text1"/>
                <w:sz w:val="21"/>
                <w:szCs w:val="21"/>
              </w:rPr>
              <w:t>：</w:t>
            </w:r>
            <w:r>
              <w:rPr>
                <w:rFonts w:hint="eastAsia" w:ascii="Times New Roman" w:hAnsi="Times New Roman" w:cs="Times New Roman"/>
                <w:b w:val="0"/>
                <w:bCs w:val="0"/>
                <w:color w:val="000000" w:themeColor="text1"/>
                <w:sz w:val="21"/>
                <w:szCs w:val="21"/>
              </w:rPr>
              <w:t>蛋托</w:t>
            </w:r>
            <w:r>
              <w:rPr>
                <w:rFonts w:hint="eastAsia" w:ascii="Times New Roman" w:hAnsi="Times New Roman" w:cs="Times New Roman"/>
                <w:b w:val="0"/>
                <w:bCs w:val="0"/>
                <w:color w:val="000000" w:themeColor="text1"/>
                <w:sz w:val="21"/>
                <w:szCs w:val="21"/>
                <w:lang w:val="en-US" w:eastAsia="zh-CN"/>
              </w:rPr>
              <w:t>和果托</w:t>
            </w:r>
            <w:r>
              <w:rPr>
                <w:rFonts w:hint="eastAsia" w:ascii="Times New Roman" w:hAnsi="Times New Roman" w:cs="Times New Roman"/>
                <w:b w:val="0"/>
                <w:bCs w:val="0"/>
                <w:color w:val="000000" w:themeColor="text1"/>
                <w:sz w:val="21"/>
                <w:szCs w:val="21"/>
              </w:rPr>
              <w:t>湿模坯由机械输送至</w:t>
            </w:r>
            <w:r>
              <w:rPr>
                <w:rFonts w:hint="eastAsia" w:ascii="Times New Roman" w:hAnsi="Times New Roman" w:cs="Times New Roman"/>
                <w:b w:val="0"/>
                <w:bCs w:val="0"/>
                <w:color w:val="000000" w:themeColor="text1"/>
                <w:sz w:val="21"/>
                <w:szCs w:val="21"/>
                <w:lang w:val="en-US" w:eastAsia="zh-CN"/>
              </w:rPr>
              <w:t>分别的</w:t>
            </w:r>
            <w:r>
              <w:rPr>
                <w:rFonts w:hint="eastAsia" w:ascii="Times New Roman" w:hAnsi="Times New Roman" w:cs="Times New Roman"/>
                <w:b w:val="0"/>
                <w:bCs w:val="0"/>
                <w:color w:val="000000" w:themeColor="text1"/>
                <w:sz w:val="21"/>
                <w:szCs w:val="21"/>
              </w:rPr>
              <w:t>烘干</w:t>
            </w:r>
            <w:r>
              <w:rPr>
                <w:rFonts w:hint="eastAsia" w:ascii="Times New Roman" w:hAnsi="Times New Roman" w:cs="Times New Roman"/>
                <w:b w:val="0"/>
                <w:bCs w:val="0"/>
                <w:color w:val="000000" w:themeColor="text1"/>
                <w:sz w:val="21"/>
                <w:szCs w:val="21"/>
                <w:lang w:val="en-US" w:eastAsia="zh-CN"/>
              </w:rPr>
              <w:t>机中</w:t>
            </w:r>
            <w:r>
              <w:rPr>
                <w:rFonts w:hint="eastAsia" w:ascii="Times New Roman" w:hAnsi="Times New Roman" w:cs="Times New Roman"/>
                <w:b w:val="0"/>
                <w:bCs w:val="0"/>
                <w:color w:val="000000" w:themeColor="text1"/>
                <w:sz w:val="21"/>
                <w:szCs w:val="21"/>
              </w:rPr>
              <w:t>进行烘干，烘干</w:t>
            </w:r>
            <w:r>
              <w:rPr>
                <w:rFonts w:hint="eastAsia" w:ascii="Times New Roman" w:hAnsi="Times New Roman" w:cs="Times New Roman"/>
                <w:b w:val="0"/>
                <w:bCs w:val="0"/>
                <w:color w:val="000000" w:themeColor="text1"/>
                <w:sz w:val="21"/>
                <w:szCs w:val="21"/>
                <w:lang w:val="en-US" w:eastAsia="zh-CN"/>
              </w:rPr>
              <w:t>机热风炉</w:t>
            </w:r>
            <w:r>
              <w:rPr>
                <w:rFonts w:hint="eastAsia" w:ascii="Times New Roman" w:hAnsi="Times New Roman" w:cs="Times New Roman"/>
                <w:b w:val="0"/>
                <w:bCs w:val="0"/>
                <w:color w:val="000000" w:themeColor="text1"/>
                <w:sz w:val="21"/>
                <w:szCs w:val="21"/>
              </w:rPr>
              <w:t>使用生物质颗粒燃料，通过燃烧生物质燃料提供热源，热气进入烘干</w:t>
            </w:r>
            <w:r>
              <w:rPr>
                <w:rFonts w:hint="eastAsia" w:ascii="Times New Roman" w:hAnsi="Times New Roman" w:cs="Times New Roman"/>
                <w:b w:val="0"/>
                <w:bCs w:val="0"/>
                <w:color w:val="000000" w:themeColor="text1"/>
                <w:sz w:val="21"/>
                <w:szCs w:val="21"/>
                <w:lang w:val="en-US" w:eastAsia="zh-CN"/>
              </w:rPr>
              <w:t>机</w:t>
            </w:r>
            <w:r>
              <w:rPr>
                <w:rFonts w:hint="eastAsia" w:ascii="Times New Roman" w:hAnsi="Times New Roman" w:cs="Times New Roman"/>
                <w:b w:val="0"/>
                <w:bCs w:val="0"/>
                <w:color w:val="000000" w:themeColor="text1"/>
                <w:sz w:val="21"/>
                <w:szCs w:val="21"/>
              </w:rPr>
              <w:t>，烘干温度约为105℃-120℃，使蛋托</w:t>
            </w:r>
            <w:r>
              <w:rPr>
                <w:rFonts w:hint="eastAsia" w:ascii="Times New Roman" w:hAnsi="Times New Roman" w:cs="Times New Roman"/>
                <w:b w:val="0"/>
                <w:bCs w:val="0"/>
                <w:color w:val="000000" w:themeColor="text1"/>
                <w:sz w:val="21"/>
                <w:szCs w:val="21"/>
                <w:lang w:val="en-US" w:eastAsia="zh-CN"/>
              </w:rPr>
              <w:t>和果托</w:t>
            </w:r>
            <w:r>
              <w:rPr>
                <w:rFonts w:hint="eastAsia" w:ascii="Times New Roman" w:hAnsi="Times New Roman" w:cs="Times New Roman"/>
                <w:b w:val="0"/>
                <w:bCs w:val="0"/>
                <w:color w:val="000000" w:themeColor="text1"/>
                <w:sz w:val="21"/>
                <w:szCs w:val="21"/>
              </w:rPr>
              <w:t>湿模坯充分的与热气形成热交换</w:t>
            </w:r>
            <w:r>
              <w:rPr>
                <w:rFonts w:hint="eastAsia" w:ascii="Times New Roman" w:hAnsi="Times New Roman" w:cs="Times New Roman"/>
                <w:b w:val="0"/>
                <w:bCs w:val="0"/>
                <w:color w:val="000000" w:themeColor="text1"/>
                <w:sz w:val="21"/>
                <w:szCs w:val="21"/>
                <w:lang w:val="en-US" w:eastAsia="zh-CN"/>
              </w:rPr>
              <w:t>而被烘干；</w:t>
            </w:r>
            <w:r>
              <w:rPr>
                <w:rFonts w:hint="eastAsia" w:cs="Times New Roman"/>
                <w:b w:val="0"/>
                <w:bCs w:val="0"/>
                <w:color w:val="00B050"/>
                <w:sz w:val="21"/>
                <w:szCs w:val="21"/>
                <w:lang w:val="en-US" w:eastAsia="zh-CN"/>
              </w:rPr>
              <w:t>烘干机热源来自热风炉，热风炉</w:t>
            </w:r>
            <w:r>
              <w:rPr>
                <w:rFonts w:hint="eastAsia" w:ascii="Times New Roman" w:hAnsi="Times New Roman" w:cs="Times New Roman"/>
                <w:b w:val="0"/>
                <w:bCs w:val="0"/>
                <w:color w:val="00B050"/>
                <w:sz w:val="21"/>
                <w:szCs w:val="21"/>
              </w:rPr>
              <w:t>燃烧生物质颗料燃料产生</w:t>
            </w:r>
            <w:r>
              <w:rPr>
                <w:rFonts w:hint="eastAsia" w:cs="Times New Roman"/>
                <w:b w:val="0"/>
                <w:bCs w:val="0"/>
                <w:color w:val="00B050"/>
                <w:sz w:val="21"/>
                <w:szCs w:val="21"/>
                <w:lang w:val="en-US" w:eastAsia="zh-CN"/>
              </w:rPr>
              <w:t>热源，热风炉产生的废气主要污染物为</w:t>
            </w:r>
            <w:r>
              <w:rPr>
                <w:rFonts w:hint="eastAsia" w:ascii="Times New Roman" w:hAnsi="Times New Roman" w:cs="Times New Roman"/>
                <w:b w:val="0"/>
                <w:bCs w:val="0"/>
                <w:color w:val="00B050"/>
                <w:sz w:val="21"/>
                <w:szCs w:val="21"/>
              </w:rPr>
              <w:t>颗粒物、二氧化硫、氮氧化物</w:t>
            </w:r>
            <w:r>
              <w:rPr>
                <w:rFonts w:hint="eastAsia" w:cs="Times New Roman"/>
                <w:b w:val="0"/>
                <w:bCs w:val="0"/>
                <w:color w:val="00B050"/>
                <w:sz w:val="21"/>
                <w:szCs w:val="21"/>
                <w:lang w:eastAsia="zh-CN"/>
              </w:rPr>
              <w:t>，</w:t>
            </w:r>
            <w:r>
              <w:rPr>
                <w:rFonts w:hint="eastAsia" w:cs="Times New Roman"/>
                <w:b w:val="0"/>
                <w:bCs w:val="0"/>
                <w:color w:val="00B050"/>
                <w:sz w:val="21"/>
                <w:szCs w:val="21"/>
                <w:lang w:val="en-US" w:eastAsia="zh-CN"/>
              </w:rPr>
              <w:t>先经“重力沉降+布袋除尘”（TA001）处理后进入烘干机对物料进行烘干，烘干后的废气合并经水膜除尘设施（TA001）</w:t>
            </w:r>
            <w:r>
              <w:rPr>
                <w:rFonts w:hint="eastAsia" w:ascii="Times New Roman" w:hAnsi="Times New Roman" w:cs="Times New Roman"/>
                <w:b w:val="0"/>
                <w:bCs w:val="0"/>
                <w:color w:val="00B050"/>
                <w:sz w:val="21"/>
                <w:szCs w:val="21"/>
                <w:lang w:val="en-US" w:eastAsia="zh-CN"/>
              </w:rPr>
              <w:t>处理</w:t>
            </w:r>
            <w:r>
              <w:rPr>
                <w:rFonts w:hint="eastAsia" w:ascii="Times New Roman" w:hAnsi="Times New Roman" w:cs="Times New Roman"/>
                <w:b w:val="0"/>
                <w:bCs w:val="0"/>
                <w:color w:val="00B050"/>
                <w:sz w:val="21"/>
                <w:szCs w:val="21"/>
              </w:rPr>
              <w:t>后由1根</w:t>
            </w:r>
            <w:r>
              <w:rPr>
                <w:rFonts w:hint="eastAsia" w:cs="Times New Roman"/>
                <w:b w:val="0"/>
                <w:bCs w:val="0"/>
                <w:color w:val="00B050"/>
                <w:sz w:val="21"/>
                <w:szCs w:val="21"/>
                <w:lang w:eastAsia="zh-CN"/>
              </w:rPr>
              <w:t>20</w:t>
            </w:r>
            <w:r>
              <w:rPr>
                <w:rFonts w:hint="eastAsia" w:ascii="Times New Roman" w:hAnsi="Times New Roman" w:cs="Times New Roman"/>
                <w:b w:val="0"/>
                <w:bCs w:val="0"/>
                <w:color w:val="00B050"/>
                <w:sz w:val="21"/>
                <w:szCs w:val="21"/>
              </w:rPr>
              <w:t>m高（DA00</w:t>
            </w:r>
            <w:r>
              <w:rPr>
                <w:rFonts w:hint="eastAsia" w:ascii="Times New Roman" w:hAnsi="Times New Roman" w:cs="Times New Roman"/>
                <w:b w:val="0"/>
                <w:bCs w:val="0"/>
                <w:color w:val="00B050"/>
                <w:sz w:val="21"/>
                <w:szCs w:val="21"/>
                <w:lang w:val="en-US" w:eastAsia="zh-CN"/>
              </w:rPr>
              <w:t>1</w:t>
            </w:r>
            <w:r>
              <w:rPr>
                <w:rFonts w:hint="eastAsia" w:ascii="Times New Roman" w:hAnsi="Times New Roman" w:cs="Times New Roman"/>
                <w:b w:val="0"/>
                <w:bCs w:val="0"/>
                <w:color w:val="00B050"/>
                <w:sz w:val="21"/>
                <w:szCs w:val="21"/>
              </w:rPr>
              <w:t>）排气筒</w:t>
            </w:r>
            <w:r>
              <w:rPr>
                <w:rFonts w:hint="eastAsia" w:ascii="Times New Roman" w:hAnsi="Times New Roman" w:cs="Times New Roman"/>
                <w:b w:val="0"/>
                <w:bCs w:val="0"/>
                <w:color w:val="00B050"/>
                <w:sz w:val="21"/>
                <w:szCs w:val="21"/>
                <w:lang w:val="en-US" w:eastAsia="zh-CN"/>
              </w:rPr>
              <w:t>排放</w:t>
            </w:r>
            <w:r>
              <w:rPr>
                <w:rFonts w:hint="eastAsia" w:cs="Times New Roman"/>
                <w:b w:val="0"/>
                <w:bCs w:val="0"/>
                <w:color w:val="00B050"/>
                <w:sz w:val="21"/>
                <w:szCs w:val="21"/>
                <w:lang w:eastAsia="zh-CN"/>
              </w:rPr>
              <w:t>，</w:t>
            </w:r>
            <w:r>
              <w:rPr>
                <w:rFonts w:hint="eastAsia" w:ascii="Times New Roman" w:hAnsi="Times New Roman" w:cs="Times New Roman"/>
                <w:b w:val="0"/>
                <w:bCs w:val="0"/>
                <w:color w:val="00B050"/>
                <w:sz w:val="21"/>
                <w:szCs w:val="21"/>
              </w:rPr>
              <w:t>湿模坯水分经</w:t>
            </w:r>
            <w:r>
              <w:rPr>
                <w:rFonts w:hint="eastAsia" w:cs="Times New Roman"/>
                <w:b w:val="0"/>
                <w:bCs w:val="0"/>
                <w:color w:val="00B050"/>
                <w:sz w:val="21"/>
                <w:szCs w:val="21"/>
                <w:lang w:val="en-US" w:eastAsia="zh-CN"/>
              </w:rPr>
              <w:t>水膜除尘冷凝部分，产生的废水回用于生产</w:t>
            </w:r>
            <w:r>
              <w:rPr>
                <w:rFonts w:hint="eastAsia" w:ascii="Times New Roman" w:hAnsi="Times New Roman" w:cs="Times New Roman"/>
                <w:b w:val="0"/>
                <w:bCs w:val="0"/>
                <w:color w:val="000000" w:themeColor="text1"/>
                <w:sz w:val="21"/>
                <w:szCs w:val="21"/>
                <w:lang w:val="en-US" w:eastAsia="zh-CN"/>
              </w:rPr>
              <w:t>。</w:t>
            </w:r>
          </w:p>
          <w:p w14:paraId="095472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textAlignment w:val="auto"/>
              <w:rPr>
                <w:rFonts w:hint="eastAsia" w:ascii="Times New Roman" w:hAnsi="Times New Roman" w:cs="Times New Roman"/>
                <w:color w:val="000000" w:themeColor="text1"/>
                <w:lang w:val="en-US" w:eastAsia="zh-CN"/>
              </w:rPr>
            </w:pPr>
            <w:r>
              <w:rPr>
                <w:rFonts w:hint="default" w:ascii="Times New Roman" w:hAnsi="Times New Roman" w:cs="Times New Roman"/>
                <w:b/>
                <w:bCs/>
                <w:color w:val="000000" w:themeColor="text1"/>
                <w:sz w:val="21"/>
                <w:szCs w:val="21"/>
              </w:rPr>
              <w:t>此过程会产生噪声、</w:t>
            </w:r>
            <w:r>
              <w:rPr>
                <w:rFonts w:hint="eastAsia" w:ascii="Times New Roman" w:hAnsi="Times New Roman" w:cs="Times New Roman"/>
                <w:b/>
                <w:bCs/>
                <w:color w:val="000000" w:themeColor="text1"/>
                <w:sz w:val="21"/>
                <w:szCs w:val="21"/>
                <w:lang w:val="en-US" w:eastAsia="zh-CN"/>
              </w:rPr>
              <w:t>炉渣、废水和废气（</w:t>
            </w:r>
            <w:r>
              <w:rPr>
                <w:rFonts w:hint="eastAsia" w:ascii="Times New Roman" w:hAnsi="Times New Roman" w:cs="Times New Roman"/>
                <w:b/>
                <w:bCs/>
                <w:color w:val="000000" w:themeColor="text1"/>
                <w:sz w:val="21"/>
                <w:szCs w:val="21"/>
              </w:rPr>
              <w:t>颗粒物、二氧化硫、氮氧化物</w:t>
            </w:r>
            <w:r>
              <w:rPr>
                <w:rFonts w:hint="eastAsia" w:ascii="Times New Roman" w:hAnsi="Times New Roman" w:cs="Times New Roman"/>
                <w:b/>
                <w:bCs/>
                <w:color w:val="000000" w:themeColor="text1"/>
                <w:sz w:val="21"/>
                <w:szCs w:val="21"/>
                <w:lang w:val="en-US" w:eastAsia="zh-CN"/>
              </w:rPr>
              <w:t>）</w:t>
            </w:r>
            <w:r>
              <w:rPr>
                <w:rFonts w:hint="default" w:ascii="Times New Roman" w:hAnsi="Times New Roman" w:cs="Times New Roman"/>
                <w:b/>
                <w:bCs/>
                <w:color w:val="000000" w:themeColor="text1"/>
                <w:sz w:val="21"/>
                <w:szCs w:val="21"/>
              </w:rPr>
              <w:t>。</w:t>
            </w:r>
          </w:p>
          <w:p w14:paraId="456F1BC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firstLineChars="200"/>
              <w:textAlignment w:val="auto"/>
              <w:rPr>
                <w:rFonts w:hint="eastAsia" w:ascii="Times New Roman" w:hAnsi="Times New Roman" w:cs="Times New Roman"/>
                <w:b w:val="0"/>
                <w:bCs w:val="0"/>
                <w:color w:val="000000" w:themeColor="text1"/>
                <w:sz w:val="21"/>
                <w:szCs w:val="21"/>
                <w:lang w:val="en-US" w:eastAsia="zh-CN"/>
              </w:rPr>
            </w:pPr>
            <w:r>
              <w:rPr>
                <w:rFonts w:hint="eastAsia" w:ascii="Times New Roman" w:hAnsi="Times New Roman" w:cs="Times New Roman"/>
                <w:b/>
                <w:bCs/>
                <w:color w:val="000000" w:themeColor="text1"/>
                <w:sz w:val="21"/>
                <w:szCs w:val="21"/>
                <w:lang w:val="en-US" w:eastAsia="zh-CN"/>
              </w:rPr>
              <w:t>4）</w:t>
            </w:r>
            <w:r>
              <w:rPr>
                <w:rFonts w:hint="eastAsia" w:cs="Times New Roman"/>
                <w:b/>
                <w:bCs/>
                <w:color w:val="000000" w:themeColor="text1"/>
                <w:sz w:val="21"/>
                <w:szCs w:val="21"/>
                <w:lang w:val="en-US" w:eastAsia="zh-CN"/>
              </w:rPr>
              <w:t>检验、</w:t>
            </w:r>
            <w:r>
              <w:rPr>
                <w:rFonts w:hint="eastAsia" w:ascii="Times New Roman" w:hAnsi="Times New Roman" w:cs="Times New Roman"/>
                <w:b/>
                <w:bCs/>
                <w:color w:val="000000" w:themeColor="text1"/>
                <w:sz w:val="21"/>
                <w:szCs w:val="21"/>
                <w:lang w:val="en-US" w:eastAsia="zh-CN"/>
              </w:rPr>
              <w:t>打包入库：</w:t>
            </w:r>
            <w:r>
              <w:rPr>
                <w:rFonts w:hint="eastAsia" w:ascii="Times New Roman" w:hAnsi="Times New Roman" w:cs="Times New Roman"/>
                <w:b w:val="0"/>
                <w:bCs w:val="0"/>
                <w:color w:val="000000" w:themeColor="text1"/>
                <w:sz w:val="21"/>
                <w:szCs w:val="21"/>
                <w:lang w:val="en-US" w:eastAsia="zh-CN"/>
              </w:rPr>
              <w:t>经烘干后的干燥蛋托和果托经人工检查后自动堆叠，将合格的成品叠放打包，进入成品贮存区包装；人工检验将不合格品挑出，回收利用于生产。</w:t>
            </w:r>
          </w:p>
          <w:p w14:paraId="7E00F23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480" w:leftChars="200" w:right="0"/>
              <w:textAlignment w:val="auto"/>
              <w:rPr>
                <w:rFonts w:hint="default" w:ascii="Times New Roman" w:hAnsi="Times New Roman" w:cs="Times New Roman"/>
                <w:color w:val="000000" w:themeColor="text1"/>
                <w:sz w:val="24"/>
              </w:rPr>
            </w:pPr>
            <w:r>
              <w:rPr>
                <w:rFonts w:hint="default" w:ascii="Times New Roman" w:hAnsi="Times New Roman" w:cs="Times New Roman"/>
                <w:b/>
                <w:bCs/>
                <w:color w:val="000000" w:themeColor="text1"/>
                <w:sz w:val="21"/>
                <w:szCs w:val="21"/>
              </w:rPr>
              <w:t>此过程会产生噪声。</w:t>
            </w:r>
          </w:p>
          <w:p w14:paraId="1C30B3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eastAsia="zh-CN"/>
              </w:rPr>
              <w:pict>
                <v:shape id="_x0000_i1028" o:spt="75" type="#_x0000_t75" style="height:213pt;width:400.6pt;" filled="f" stroked="f" coordsize="21600,21600">
                  <v:path/>
                  <v:fill on="f" focussize="0,0"/>
                  <v:stroke on="f"/>
                  <v:imagedata r:id="rId21" o:title=""/>
                  <o:lock v:ext="edit" aspectratio="t"/>
                  <w10:wrap type="none"/>
                  <w10:anchorlock/>
                </v:shape>
              </w:pict>
            </w:r>
          </w:p>
          <w:p w14:paraId="720B4554">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textAlignment w:val="auto"/>
              <w:rPr>
                <w:rFonts w:hint="default" w:cs="Times New Roman"/>
                <w:color w:val="000000" w:themeColor="text1"/>
              </w:rPr>
            </w:pPr>
            <w:r>
              <w:rPr>
                <w:rFonts w:hint="default" w:cs="Times New Roman"/>
                <w:color w:val="000000" w:themeColor="text1"/>
              </w:rPr>
              <w:t>图2-</w:t>
            </w:r>
            <w:r>
              <w:rPr>
                <w:rFonts w:hint="eastAsia" w:cs="Times New Roman"/>
                <w:color w:val="000000" w:themeColor="text1"/>
              </w:rPr>
              <w:t xml:space="preserve">3  </w:t>
            </w:r>
            <w:r>
              <w:rPr>
                <w:rFonts w:hint="eastAsia" w:cs="Times New Roman"/>
                <w:color w:val="000000" w:themeColor="text1"/>
                <w:lang w:val="en-US" w:eastAsia="zh-CN"/>
              </w:rPr>
              <w:t>蛋托、果托</w:t>
            </w:r>
            <w:r>
              <w:rPr>
                <w:rFonts w:hint="default" w:cs="Times New Roman"/>
                <w:color w:val="000000" w:themeColor="text1"/>
              </w:rPr>
              <w:t>生产工艺流程及产污环节</w:t>
            </w:r>
          </w:p>
          <w:p w14:paraId="1092BBEB">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22" w:firstLineChars="200"/>
              <w:textAlignment w:val="auto"/>
              <w:rPr>
                <w:rFonts w:hint="default" w:ascii="Times New Roman" w:hAnsi="Times New Roman" w:cs="Times New Roman"/>
                <w:b/>
                <w:bCs/>
                <w:color w:val="000000" w:themeColor="text1"/>
                <w:sz w:val="21"/>
                <w:szCs w:val="21"/>
              </w:rPr>
            </w:pPr>
            <w:r>
              <w:rPr>
                <w:rFonts w:hint="eastAsia" w:ascii="Times New Roman" w:hAnsi="Times New Roman" w:cs="Times New Roman"/>
                <w:b/>
                <w:bCs/>
                <w:color w:val="000000" w:themeColor="text1"/>
                <w:sz w:val="21"/>
                <w:szCs w:val="21"/>
              </w:rPr>
              <w:t>蛋盒和瓶托生产</w:t>
            </w:r>
            <w:r>
              <w:rPr>
                <w:rFonts w:hint="default" w:ascii="Times New Roman" w:hAnsi="Times New Roman" w:cs="Times New Roman"/>
                <w:b/>
                <w:bCs/>
                <w:color w:val="000000" w:themeColor="text1"/>
                <w:sz w:val="21"/>
                <w:szCs w:val="21"/>
              </w:rPr>
              <w:t>流程及产污环节</w:t>
            </w:r>
          </w:p>
          <w:p w14:paraId="116260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工艺说明：</w:t>
            </w:r>
          </w:p>
          <w:p w14:paraId="56C58F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22" w:firstLineChars="200"/>
              <w:textAlignment w:val="auto"/>
              <w:rPr>
                <w:rFonts w:hint="default" w:ascii="Times New Roman" w:hAnsi="Times New Roman" w:cs="Times New Roman"/>
                <w:b w:val="0"/>
                <w:bCs w:val="0"/>
                <w:color w:val="000000" w:themeColor="text1"/>
                <w:sz w:val="21"/>
                <w:szCs w:val="21"/>
                <w:lang w:val="en-US" w:eastAsia="zh-CN"/>
              </w:rPr>
            </w:pPr>
            <w:r>
              <w:rPr>
                <w:rFonts w:hint="eastAsia" w:ascii="Times New Roman" w:hAnsi="Times New Roman" w:cs="Times New Roman"/>
                <w:b/>
                <w:bCs/>
                <w:color w:val="000000" w:themeColor="text1"/>
                <w:sz w:val="21"/>
                <w:szCs w:val="21"/>
                <w:lang w:val="en-US" w:eastAsia="zh-CN"/>
              </w:rPr>
              <w:t>1）搅拌制料</w:t>
            </w:r>
            <w:r>
              <w:rPr>
                <w:rFonts w:hint="default" w:ascii="Times New Roman" w:hAnsi="Times New Roman" w:cs="Times New Roman"/>
                <w:b/>
                <w:bCs/>
                <w:color w:val="000000" w:themeColor="text1"/>
                <w:sz w:val="21"/>
                <w:szCs w:val="21"/>
              </w:rPr>
              <w:t>：</w:t>
            </w:r>
            <w:r>
              <w:rPr>
                <w:rFonts w:hint="eastAsia" w:ascii="Times New Roman" w:hAnsi="Times New Roman" w:cs="Times New Roman"/>
                <w:b w:val="0"/>
                <w:bCs w:val="0"/>
                <w:color w:val="000000" w:themeColor="text1"/>
                <w:sz w:val="21"/>
                <w:szCs w:val="21"/>
              </w:rPr>
              <w:t>将外购的包装箱废纸和水按照比例投入到</w:t>
            </w:r>
            <w:r>
              <w:rPr>
                <w:rFonts w:hint="eastAsia" w:ascii="Times New Roman" w:hAnsi="Times New Roman" w:cs="Times New Roman"/>
                <w:b w:val="0"/>
                <w:bCs w:val="0"/>
                <w:color w:val="000000" w:themeColor="text1"/>
                <w:sz w:val="21"/>
                <w:szCs w:val="21"/>
                <w:lang w:val="en-US" w:eastAsia="zh-CN"/>
              </w:rPr>
              <w:t>配料池</w:t>
            </w:r>
            <w:r>
              <w:rPr>
                <w:rFonts w:hint="eastAsia" w:ascii="Times New Roman" w:hAnsi="Times New Roman" w:cs="Times New Roman"/>
                <w:b w:val="0"/>
                <w:bCs w:val="0"/>
                <w:color w:val="000000" w:themeColor="text1"/>
                <w:sz w:val="21"/>
                <w:szCs w:val="21"/>
              </w:rPr>
              <w:t>，</w:t>
            </w:r>
            <w:r>
              <w:rPr>
                <w:rFonts w:hint="eastAsia" w:ascii="Times New Roman" w:hAnsi="Times New Roman" w:cs="Times New Roman"/>
                <w:b w:val="0"/>
                <w:bCs w:val="0"/>
                <w:color w:val="000000" w:themeColor="text1"/>
                <w:sz w:val="21"/>
                <w:szCs w:val="21"/>
                <w:lang w:val="en-US" w:eastAsia="zh-CN"/>
              </w:rPr>
              <w:t>使用水力制料机和搅拌机将</w:t>
            </w:r>
            <w:r>
              <w:rPr>
                <w:rFonts w:hint="eastAsia" w:ascii="Times New Roman" w:hAnsi="Times New Roman" w:cs="Times New Roman"/>
                <w:b w:val="0"/>
                <w:bCs w:val="0"/>
                <w:color w:val="000000" w:themeColor="text1"/>
                <w:sz w:val="21"/>
                <w:szCs w:val="21"/>
              </w:rPr>
              <w:t>包装箱废纸片在水流的剪切力及摩擦力作用下被分解成纸浆纤维</w:t>
            </w:r>
            <w:r>
              <w:rPr>
                <w:rFonts w:hint="eastAsia" w:ascii="Times New Roman" w:hAnsi="Times New Roman" w:cs="Times New Roman"/>
                <w:b w:val="0"/>
                <w:bCs w:val="0"/>
                <w:color w:val="000000" w:themeColor="text1"/>
                <w:sz w:val="21"/>
                <w:szCs w:val="21"/>
                <w:lang w:eastAsia="zh-CN"/>
              </w:rPr>
              <w:t>，</w:t>
            </w:r>
            <w:r>
              <w:rPr>
                <w:rFonts w:hint="eastAsia" w:ascii="Times New Roman" w:hAnsi="Times New Roman" w:cs="Times New Roman"/>
                <w:b w:val="0"/>
                <w:bCs w:val="0"/>
                <w:color w:val="000000" w:themeColor="text1"/>
                <w:sz w:val="21"/>
                <w:szCs w:val="21"/>
                <w:lang w:val="en-US" w:eastAsia="zh-CN"/>
              </w:rPr>
              <w:t>该过程不产生化学反应</w:t>
            </w:r>
            <w:r>
              <w:rPr>
                <w:rFonts w:hint="eastAsia" w:ascii="Times New Roman" w:hAnsi="Times New Roman" w:cs="Times New Roman"/>
                <w:b w:val="0"/>
                <w:bCs w:val="0"/>
                <w:color w:val="000000" w:themeColor="text1"/>
                <w:sz w:val="21"/>
                <w:szCs w:val="21"/>
                <w:lang w:eastAsia="zh-CN"/>
              </w:rPr>
              <w:t>。</w:t>
            </w:r>
          </w:p>
          <w:p w14:paraId="251E5E7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firstLineChars="200"/>
              <w:textAlignment w:val="auto"/>
              <w:rPr>
                <w:rFonts w:hint="default" w:ascii="Times New Roman" w:hAnsi="Times New Roman" w:cs="Times New Roman"/>
                <w:b/>
                <w:bCs/>
                <w:color w:val="000000" w:themeColor="text1"/>
                <w:sz w:val="21"/>
                <w:szCs w:val="21"/>
              </w:rPr>
            </w:pPr>
            <w:r>
              <w:rPr>
                <w:rFonts w:hint="eastAsia" w:ascii="Times New Roman" w:hAnsi="Times New Roman" w:cs="Times New Roman"/>
                <w:b/>
                <w:bCs/>
                <w:color w:val="000000" w:themeColor="text1"/>
                <w:sz w:val="21"/>
                <w:szCs w:val="21"/>
              </w:rPr>
              <w:t>此工序</w:t>
            </w:r>
            <w:r>
              <w:rPr>
                <w:rFonts w:hint="default" w:ascii="Times New Roman" w:hAnsi="Times New Roman" w:cs="Times New Roman"/>
                <w:b/>
                <w:bCs/>
                <w:color w:val="000000" w:themeColor="text1"/>
                <w:sz w:val="21"/>
                <w:szCs w:val="21"/>
              </w:rPr>
              <w:t>会产生噪声</w:t>
            </w:r>
            <w:r>
              <w:rPr>
                <w:rFonts w:hint="eastAsia" w:cs="Times New Roman"/>
                <w:b/>
                <w:bCs/>
                <w:color w:val="000000" w:themeColor="text1"/>
                <w:sz w:val="21"/>
                <w:szCs w:val="21"/>
                <w:lang w:eastAsia="zh-CN"/>
              </w:rPr>
              <w:t>、</w:t>
            </w:r>
            <w:r>
              <w:rPr>
                <w:rFonts w:hint="eastAsia" w:cs="Times New Roman"/>
                <w:b/>
                <w:bCs/>
                <w:color w:val="000000" w:themeColor="text1"/>
                <w:sz w:val="21"/>
                <w:szCs w:val="21"/>
                <w:lang w:val="en-US" w:eastAsia="zh-CN"/>
              </w:rPr>
              <w:t>投料粉尘</w:t>
            </w:r>
            <w:r>
              <w:rPr>
                <w:rFonts w:hint="eastAsia" w:ascii="Times New Roman" w:hAnsi="Times New Roman" w:cs="Times New Roman"/>
                <w:b/>
                <w:bCs/>
                <w:color w:val="000000" w:themeColor="text1"/>
                <w:sz w:val="21"/>
                <w:szCs w:val="21"/>
                <w:lang w:val="en-US" w:eastAsia="zh-CN"/>
              </w:rPr>
              <w:t>和</w:t>
            </w:r>
            <w:r>
              <w:rPr>
                <w:rFonts w:hint="default" w:ascii="Times New Roman" w:hAnsi="Times New Roman" w:cs="Times New Roman"/>
                <w:b/>
                <w:bCs/>
                <w:color w:val="000000" w:themeColor="text1"/>
                <w:sz w:val="21"/>
                <w:szCs w:val="21"/>
              </w:rPr>
              <w:t>废原材料包装袋。</w:t>
            </w:r>
          </w:p>
          <w:p w14:paraId="0DF0D57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firstLineChars="200"/>
              <w:textAlignment w:val="auto"/>
              <w:rPr>
                <w:rFonts w:hint="eastAsia" w:ascii="Times New Roman" w:hAnsi="Times New Roman" w:cs="Times New Roman"/>
                <w:b w:val="0"/>
                <w:bCs w:val="0"/>
                <w:color w:val="000000" w:themeColor="text1"/>
                <w:sz w:val="21"/>
                <w:szCs w:val="21"/>
              </w:rPr>
            </w:pPr>
            <w:r>
              <w:rPr>
                <w:rFonts w:hint="eastAsia" w:ascii="Times New Roman" w:hAnsi="Times New Roman" w:cs="Times New Roman"/>
                <w:b/>
                <w:bCs/>
                <w:color w:val="000000" w:themeColor="text1"/>
                <w:sz w:val="21"/>
                <w:szCs w:val="21"/>
                <w:lang w:val="en-US" w:eastAsia="zh-CN"/>
              </w:rPr>
              <w:t>2）成型</w:t>
            </w:r>
            <w:r>
              <w:rPr>
                <w:rFonts w:hint="default" w:ascii="Times New Roman" w:hAnsi="Times New Roman" w:cs="Times New Roman"/>
                <w:b/>
                <w:bCs/>
                <w:color w:val="000000" w:themeColor="text1"/>
                <w:sz w:val="21"/>
                <w:szCs w:val="21"/>
              </w:rPr>
              <w:t>：</w:t>
            </w:r>
            <w:r>
              <w:rPr>
                <w:rFonts w:hint="eastAsia" w:ascii="Times New Roman" w:hAnsi="Times New Roman" w:eastAsia="宋体" w:cs="Times New Roman"/>
                <w:color w:val="000000" w:themeColor="text1"/>
                <w:kern w:val="2"/>
                <w:sz w:val="21"/>
                <w:szCs w:val="21"/>
                <w:lang w:val="en-US" w:eastAsia="zh-CN" w:bidi="ar"/>
              </w:rPr>
              <w:t>通过真空泵将配料池中的浆液泵至贮料池中，将</w:t>
            </w:r>
            <w:r>
              <w:rPr>
                <w:rFonts w:hint="eastAsia" w:ascii="Times New Roman" w:hAnsi="Times New Roman" w:cs="Times New Roman"/>
                <w:b w:val="0"/>
                <w:bCs w:val="0"/>
                <w:color w:val="000000" w:themeColor="text1"/>
                <w:sz w:val="21"/>
                <w:szCs w:val="21"/>
              </w:rPr>
              <w:t>成型机</w:t>
            </w:r>
            <w:r>
              <w:rPr>
                <w:rFonts w:hint="eastAsia" w:ascii="Times New Roman" w:hAnsi="Times New Roman" w:cs="Times New Roman"/>
                <w:b w:val="0"/>
                <w:bCs w:val="0"/>
                <w:color w:val="000000" w:themeColor="text1"/>
                <w:sz w:val="21"/>
                <w:szCs w:val="21"/>
                <w:lang w:val="en-US" w:eastAsia="zh-CN"/>
              </w:rPr>
              <w:t>料</w:t>
            </w:r>
            <w:r>
              <w:rPr>
                <w:rFonts w:hint="eastAsia" w:ascii="Times New Roman" w:hAnsi="Times New Roman" w:cs="Times New Roman"/>
                <w:b w:val="0"/>
                <w:bCs w:val="0"/>
                <w:color w:val="000000" w:themeColor="text1"/>
                <w:sz w:val="21"/>
                <w:szCs w:val="21"/>
              </w:rPr>
              <w:t>箱上方的成型模具下沉完全浸入料</w:t>
            </w:r>
            <w:r>
              <w:rPr>
                <w:rFonts w:hint="eastAsia" w:ascii="Times New Roman" w:hAnsi="Times New Roman" w:cs="Times New Roman"/>
                <w:b w:val="0"/>
                <w:bCs w:val="0"/>
                <w:color w:val="000000" w:themeColor="text1"/>
                <w:sz w:val="21"/>
                <w:szCs w:val="21"/>
                <w:lang w:val="en-US" w:eastAsia="zh-CN"/>
              </w:rPr>
              <w:t>液</w:t>
            </w:r>
            <w:r>
              <w:rPr>
                <w:rFonts w:hint="eastAsia" w:ascii="Times New Roman" w:hAnsi="Times New Roman" w:cs="Times New Roman"/>
                <w:b w:val="0"/>
                <w:bCs w:val="0"/>
                <w:color w:val="000000" w:themeColor="text1"/>
                <w:sz w:val="21"/>
                <w:szCs w:val="21"/>
              </w:rPr>
              <w:t>中时，在成型模具背部真空的抽吸作用下，</w:t>
            </w:r>
            <w:r>
              <w:rPr>
                <w:rFonts w:hint="eastAsia" w:ascii="Times New Roman" w:hAnsi="Times New Roman" w:cs="Times New Roman"/>
                <w:b w:val="0"/>
                <w:bCs w:val="0"/>
                <w:color w:val="000000" w:themeColor="text1"/>
                <w:sz w:val="21"/>
                <w:szCs w:val="21"/>
                <w:lang w:val="en-US" w:eastAsia="zh-CN"/>
              </w:rPr>
              <w:t>料液</w:t>
            </w:r>
            <w:r>
              <w:rPr>
                <w:rFonts w:hint="eastAsia" w:ascii="Times New Roman" w:hAnsi="Times New Roman" w:cs="Times New Roman"/>
                <w:b w:val="0"/>
                <w:bCs w:val="0"/>
                <w:color w:val="000000" w:themeColor="text1"/>
                <w:sz w:val="21"/>
                <w:szCs w:val="21"/>
              </w:rPr>
              <w:t>被吸附而向模具表面聚拢；因为成型模具特有的表面滤水加中空结构，聚拢来的</w:t>
            </w:r>
            <w:r>
              <w:rPr>
                <w:rFonts w:hint="eastAsia" w:ascii="Times New Roman" w:hAnsi="Times New Roman" w:cs="Times New Roman"/>
                <w:b w:val="0"/>
                <w:bCs w:val="0"/>
                <w:color w:val="000000" w:themeColor="text1"/>
                <w:sz w:val="21"/>
                <w:szCs w:val="21"/>
                <w:lang w:val="en-US" w:eastAsia="zh-CN"/>
              </w:rPr>
              <w:t>料液</w:t>
            </w:r>
            <w:r>
              <w:rPr>
                <w:rFonts w:hint="eastAsia" w:ascii="Times New Roman" w:hAnsi="Times New Roman" w:cs="Times New Roman"/>
                <w:b w:val="0"/>
                <w:bCs w:val="0"/>
                <w:color w:val="000000" w:themeColor="text1"/>
                <w:sz w:val="21"/>
                <w:szCs w:val="21"/>
              </w:rPr>
              <w:t>中的纸浆纤维附着在模具的表面，而水则被抽走。附着于模具表面的纤维层厚约2.5mm，</w:t>
            </w:r>
            <w:r>
              <w:rPr>
                <w:rFonts w:hint="eastAsia" w:ascii="Times New Roman" w:hAnsi="Times New Roman" w:cs="Times New Roman"/>
                <w:b w:val="0"/>
                <w:bCs w:val="0"/>
                <w:color w:val="000000" w:themeColor="text1"/>
                <w:sz w:val="21"/>
                <w:szCs w:val="21"/>
                <w:lang w:val="en-US" w:eastAsia="zh-CN"/>
              </w:rPr>
              <w:t>根据模具不同分成蛋盒和瓶托的</w:t>
            </w:r>
            <w:r>
              <w:rPr>
                <w:rFonts w:hint="eastAsia" w:ascii="Times New Roman" w:hAnsi="Times New Roman" w:cs="Times New Roman"/>
                <w:b w:val="0"/>
                <w:bCs w:val="0"/>
                <w:color w:val="000000" w:themeColor="text1"/>
                <w:sz w:val="21"/>
                <w:szCs w:val="21"/>
              </w:rPr>
              <w:t>湿坯</w:t>
            </w:r>
            <w:r>
              <w:rPr>
                <w:rFonts w:hint="eastAsia" w:ascii="Times New Roman" w:hAnsi="Times New Roman" w:cs="Times New Roman"/>
                <w:b w:val="0"/>
                <w:bCs w:val="0"/>
                <w:color w:val="000000" w:themeColor="text1"/>
                <w:sz w:val="21"/>
                <w:szCs w:val="21"/>
                <w:lang w:eastAsia="zh-CN"/>
              </w:rPr>
              <w:t>，</w:t>
            </w:r>
            <w:r>
              <w:rPr>
                <w:rFonts w:hint="eastAsia" w:ascii="Times New Roman" w:hAnsi="Times New Roman" w:cs="Times New Roman"/>
                <w:b w:val="0"/>
                <w:bCs w:val="0"/>
                <w:color w:val="000000" w:themeColor="text1"/>
                <w:sz w:val="21"/>
                <w:szCs w:val="21"/>
              </w:rPr>
              <w:t>湿坯含有大约70%的水分。成型机抽出的水</w:t>
            </w:r>
            <w:r>
              <w:rPr>
                <w:rFonts w:hint="eastAsia" w:ascii="Times New Roman" w:hAnsi="Times New Roman" w:cs="Times New Roman"/>
                <w:b w:val="0"/>
                <w:bCs w:val="0"/>
                <w:color w:val="000000" w:themeColor="text1"/>
                <w:sz w:val="21"/>
                <w:szCs w:val="21"/>
                <w:lang w:val="en-US" w:eastAsia="zh-CN"/>
              </w:rPr>
              <w:t>和真空泵冷却废水</w:t>
            </w:r>
            <w:r>
              <w:rPr>
                <w:rFonts w:hint="eastAsia" w:ascii="Times New Roman" w:hAnsi="Times New Roman" w:cs="Times New Roman"/>
                <w:b w:val="0"/>
                <w:bCs w:val="0"/>
                <w:color w:val="000000" w:themeColor="text1"/>
                <w:sz w:val="21"/>
                <w:szCs w:val="21"/>
              </w:rPr>
              <w:t>回流至</w:t>
            </w:r>
            <w:r>
              <w:rPr>
                <w:rFonts w:hint="eastAsia" w:ascii="Times New Roman" w:hAnsi="Times New Roman" w:cs="Times New Roman"/>
                <w:b w:val="0"/>
                <w:bCs w:val="0"/>
                <w:color w:val="00B050"/>
                <w:sz w:val="21"/>
                <w:szCs w:val="21"/>
                <w:lang w:val="en-US" w:eastAsia="zh-CN"/>
              </w:rPr>
              <w:t>循环水池中（TW003），再进入配料池</w:t>
            </w:r>
            <w:r>
              <w:rPr>
                <w:rFonts w:hint="eastAsia" w:ascii="Times New Roman" w:hAnsi="Times New Roman" w:cs="Times New Roman"/>
                <w:b w:val="0"/>
                <w:bCs w:val="0"/>
                <w:color w:val="000000" w:themeColor="text1"/>
                <w:sz w:val="21"/>
                <w:szCs w:val="21"/>
              </w:rPr>
              <w:t>。</w:t>
            </w:r>
          </w:p>
          <w:p w14:paraId="30F7D9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textAlignment w:val="auto"/>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此过程会产生噪声、</w:t>
            </w:r>
            <w:r>
              <w:rPr>
                <w:rFonts w:hint="eastAsia" w:ascii="Times New Roman" w:hAnsi="Times New Roman" w:cs="Times New Roman"/>
                <w:b/>
                <w:bCs/>
                <w:color w:val="000000" w:themeColor="text1"/>
                <w:sz w:val="21"/>
                <w:szCs w:val="21"/>
                <w:lang w:val="en-US" w:eastAsia="zh-CN"/>
              </w:rPr>
              <w:t>废水</w:t>
            </w:r>
            <w:r>
              <w:rPr>
                <w:rFonts w:hint="default" w:ascii="Times New Roman" w:hAnsi="Times New Roman" w:cs="Times New Roman"/>
                <w:b/>
                <w:bCs/>
                <w:color w:val="000000" w:themeColor="text1"/>
                <w:sz w:val="21"/>
                <w:szCs w:val="21"/>
              </w:rPr>
              <w:t>。</w:t>
            </w:r>
          </w:p>
          <w:p w14:paraId="5B34F6D9">
            <w:pPr>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textAlignment w:val="auto"/>
              <w:rPr>
                <w:rFonts w:hint="eastAsia" w:ascii="Times New Roman" w:hAnsi="Times New Roman" w:cs="Times New Roman"/>
                <w:b w:val="0"/>
                <w:bCs w:val="0"/>
                <w:color w:val="000000" w:themeColor="text1"/>
                <w:sz w:val="21"/>
                <w:szCs w:val="21"/>
              </w:rPr>
            </w:pPr>
            <w:r>
              <w:rPr>
                <w:rFonts w:hint="eastAsia" w:ascii="Times New Roman" w:hAnsi="Times New Roman" w:cs="Times New Roman"/>
                <w:b/>
                <w:bCs/>
                <w:color w:val="000000" w:themeColor="text1"/>
                <w:sz w:val="21"/>
                <w:szCs w:val="21"/>
                <w:lang w:val="en-US" w:eastAsia="zh-CN"/>
              </w:rPr>
              <w:t>热压</w:t>
            </w:r>
            <w:r>
              <w:rPr>
                <w:rFonts w:hint="default" w:ascii="Times New Roman" w:hAnsi="Times New Roman" w:cs="Times New Roman"/>
                <w:b/>
                <w:bCs/>
                <w:color w:val="000000" w:themeColor="text1"/>
                <w:sz w:val="21"/>
                <w:szCs w:val="21"/>
              </w:rPr>
              <w:t>：</w:t>
            </w:r>
            <w:r>
              <w:rPr>
                <w:rFonts w:hint="eastAsia" w:ascii="Times New Roman" w:hAnsi="Times New Roman" w:cs="Times New Roman"/>
                <w:b w:val="0"/>
                <w:bCs w:val="0"/>
                <w:color w:val="000000" w:themeColor="text1"/>
                <w:sz w:val="21"/>
                <w:szCs w:val="21"/>
                <w:lang w:val="en-US" w:eastAsia="zh-CN"/>
              </w:rPr>
              <w:t>蛋盒和瓶托的</w:t>
            </w:r>
            <w:r>
              <w:rPr>
                <w:rFonts w:hint="eastAsia" w:ascii="Times New Roman" w:hAnsi="Times New Roman" w:cs="Times New Roman"/>
                <w:b w:val="0"/>
                <w:bCs w:val="0"/>
                <w:color w:val="000000" w:themeColor="text1"/>
                <w:sz w:val="21"/>
                <w:szCs w:val="21"/>
              </w:rPr>
              <w:t>湿坯由机械输送至</w:t>
            </w:r>
            <w:r>
              <w:rPr>
                <w:rFonts w:hint="eastAsia" w:ascii="Times New Roman" w:hAnsi="Times New Roman" w:cs="Times New Roman"/>
                <w:b w:val="0"/>
                <w:bCs w:val="0"/>
                <w:color w:val="000000" w:themeColor="text1"/>
                <w:sz w:val="21"/>
                <w:szCs w:val="21"/>
                <w:lang w:val="en-US" w:eastAsia="zh-CN"/>
              </w:rPr>
              <w:t>热压机</w:t>
            </w:r>
            <w:r>
              <w:rPr>
                <w:rFonts w:hint="eastAsia" w:ascii="Times New Roman" w:hAnsi="Times New Roman" w:cs="Times New Roman"/>
                <w:b w:val="0"/>
                <w:bCs w:val="0"/>
                <w:color w:val="000000" w:themeColor="text1"/>
                <w:sz w:val="21"/>
                <w:szCs w:val="21"/>
              </w:rPr>
              <w:t>进行</w:t>
            </w:r>
            <w:r>
              <w:rPr>
                <w:rFonts w:hint="eastAsia" w:ascii="Times New Roman" w:hAnsi="Times New Roman" w:cs="Times New Roman"/>
                <w:b w:val="0"/>
                <w:bCs w:val="0"/>
                <w:color w:val="000000" w:themeColor="text1"/>
                <w:sz w:val="21"/>
                <w:szCs w:val="21"/>
                <w:lang w:val="en-US" w:eastAsia="zh-CN"/>
              </w:rPr>
              <w:t>热压</w:t>
            </w:r>
            <w:r>
              <w:rPr>
                <w:rFonts w:hint="eastAsia" w:ascii="Times New Roman" w:hAnsi="Times New Roman" w:cs="Times New Roman"/>
                <w:b w:val="0"/>
                <w:bCs w:val="0"/>
                <w:color w:val="000000" w:themeColor="text1"/>
                <w:sz w:val="21"/>
                <w:szCs w:val="21"/>
              </w:rPr>
              <w:t>，</w:t>
            </w:r>
            <w:r>
              <w:rPr>
                <w:rFonts w:hint="eastAsia" w:ascii="Times New Roman" w:hAnsi="Times New Roman" w:cs="Times New Roman"/>
                <w:b w:val="0"/>
                <w:bCs w:val="0"/>
                <w:color w:val="000000" w:themeColor="text1"/>
                <w:sz w:val="21"/>
                <w:szCs w:val="21"/>
                <w:lang w:val="en-US" w:eastAsia="zh-CN"/>
              </w:rPr>
              <w:t>热压机</w:t>
            </w:r>
            <w:r>
              <w:rPr>
                <w:rFonts w:hint="eastAsia" w:ascii="Times New Roman" w:hAnsi="Times New Roman" w:cs="Times New Roman"/>
                <w:b w:val="0"/>
                <w:bCs w:val="0"/>
                <w:color w:val="000000" w:themeColor="text1"/>
                <w:sz w:val="21"/>
                <w:szCs w:val="21"/>
              </w:rPr>
              <w:t>使用</w:t>
            </w:r>
            <w:r>
              <w:rPr>
                <w:rFonts w:hint="eastAsia" w:ascii="Times New Roman" w:hAnsi="Times New Roman" w:cs="Times New Roman"/>
                <w:b w:val="0"/>
                <w:bCs w:val="0"/>
                <w:color w:val="000000" w:themeColor="text1"/>
                <w:sz w:val="21"/>
                <w:szCs w:val="21"/>
                <w:lang w:val="en-US" w:eastAsia="zh-CN"/>
              </w:rPr>
              <w:t>电力</w:t>
            </w:r>
            <w:r>
              <w:rPr>
                <w:rFonts w:hint="eastAsia" w:ascii="Times New Roman" w:hAnsi="Times New Roman" w:cs="Times New Roman"/>
                <w:b w:val="0"/>
                <w:bCs w:val="0"/>
                <w:color w:val="000000" w:themeColor="text1"/>
                <w:sz w:val="21"/>
                <w:szCs w:val="21"/>
              </w:rPr>
              <w:t>提供热源，热压机的工作流程分为预热、加压、压制和冷却四个主要步骤。在预热阶段，加热系统将模具和待加工</w:t>
            </w:r>
            <w:r>
              <w:rPr>
                <w:rFonts w:hint="eastAsia" w:ascii="Times New Roman" w:hAnsi="Times New Roman" w:cs="Times New Roman"/>
                <w:b w:val="0"/>
                <w:bCs w:val="0"/>
                <w:color w:val="000000" w:themeColor="text1"/>
                <w:sz w:val="21"/>
                <w:szCs w:val="21"/>
                <w:lang w:val="en-US" w:eastAsia="zh-CN"/>
              </w:rPr>
              <w:t>湿</w:t>
            </w:r>
            <w:r>
              <w:rPr>
                <w:rFonts w:hint="eastAsia" w:ascii="Times New Roman" w:hAnsi="Times New Roman" w:cs="Times New Roman"/>
                <w:b w:val="0"/>
                <w:bCs w:val="0"/>
                <w:color w:val="000000" w:themeColor="text1"/>
                <w:sz w:val="21"/>
                <w:szCs w:val="21"/>
              </w:rPr>
              <w:t>坯一起加热至设定温度，以保证</w:t>
            </w:r>
            <w:r>
              <w:rPr>
                <w:rFonts w:hint="eastAsia" w:ascii="Times New Roman" w:hAnsi="Times New Roman" w:cs="Times New Roman"/>
                <w:b w:val="0"/>
                <w:bCs w:val="0"/>
                <w:color w:val="000000" w:themeColor="text1"/>
                <w:sz w:val="21"/>
                <w:szCs w:val="21"/>
                <w:lang w:val="en-US" w:eastAsia="zh-CN"/>
              </w:rPr>
              <w:t>湿</w:t>
            </w:r>
            <w:r>
              <w:rPr>
                <w:rFonts w:hint="eastAsia" w:ascii="Times New Roman" w:hAnsi="Times New Roman" w:cs="Times New Roman"/>
                <w:b w:val="0"/>
                <w:bCs w:val="0"/>
                <w:color w:val="000000" w:themeColor="text1"/>
                <w:sz w:val="21"/>
                <w:szCs w:val="21"/>
              </w:rPr>
              <w:t>坯达到可塑性。在加压阶段，热压机通过压力系统产生一定压力，使</w:t>
            </w:r>
            <w:r>
              <w:rPr>
                <w:rFonts w:hint="eastAsia" w:ascii="Times New Roman" w:hAnsi="Times New Roman" w:cs="Times New Roman"/>
                <w:b w:val="0"/>
                <w:bCs w:val="0"/>
                <w:color w:val="000000" w:themeColor="text1"/>
                <w:sz w:val="21"/>
                <w:szCs w:val="21"/>
                <w:lang w:val="en-US" w:eastAsia="zh-CN"/>
              </w:rPr>
              <w:t>湿</w:t>
            </w:r>
            <w:r>
              <w:rPr>
                <w:rFonts w:hint="eastAsia" w:ascii="Times New Roman" w:hAnsi="Times New Roman" w:cs="Times New Roman"/>
                <w:b w:val="0"/>
                <w:bCs w:val="0"/>
                <w:color w:val="000000" w:themeColor="text1"/>
                <w:sz w:val="21"/>
                <w:szCs w:val="21"/>
              </w:rPr>
              <w:t>坯在模具中充分填充。在压制阶段，施加的压力不改变，但保持一段时间，以保证</w:t>
            </w:r>
            <w:r>
              <w:rPr>
                <w:rFonts w:hint="eastAsia" w:ascii="Times New Roman" w:hAnsi="Times New Roman" w:cs="Times New Roman"/>
                <w:b w:val="0"/>
                <w:bCs w:val="0"/>
                <w:color w:val="000000" w:themeColor="text1"/>
                <w:sz w:val="21"/>
                <w:szCs w:val="21"/>
                <w:lang w:val="en-US" w:eastAsia="zh-CN"/>
              </w:rPr>
              <w:t>湿</w:t>
            </w:r>
            <w:r>
              <w:rPr>
                <w:rFonts w:hint="eastAsia" w:ascii="Times New Roman" w:hAnsi="Times New Roman" w:cs="Times New Roman"/>
                <w:b w:val="0"/>
                <w:bCs w:val="0"/>
                <w:color w:val="000000" w:themeColor="text1"/>
                <w:sz w:val="21"/>
                <w:szCs w:val="21"/>
              </w:rPr>
              <w:t>坯充分热化</w:t>
            </w:r>
            <w:r>
              <w:rPr>
                <w:rFonts w:hint="eastAsia" w:ascii="Times New Roman" w:hAnsi="Times New Roman" w:cs="Times New Roman"/>
                <w:b w:val="0"/>
                <w:bCs w:val="0"/>
                <w:color w:val="000000" w:themeColor="text1"/>
                <w:sz w:val="21"/>
                <w:szCs w:val="21"/>
                <w:lang w:val="en-US" w:eastAsia="zh-CN"/>
              </w:rPr>
              <w:t>得到干燥</w:t>
            </w:r>
            <w:r>
              <w:rPr>
                <w:rFonts w:hint="eastAsia" w:ascii="Times New Roman" w:hAnsi="Times New Roman" w:cs="Times New Roman"/>
                <w:b w:val="0"/>
                <w:bCs w:val="0"/>
                <w:color w:val="000000" w:themeColor="text1"/>
                <w:sz w:val="21"/>
                <w:szCs w:val="21"/>
              </w:rPr>
              <w:t>。在冷却阶段，系统冷却模具，使加工好的产品从模具中取出来。</w:t>
            </w:r>
          </w:p>
          <w:p w14:paraId="330BC3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textAlignment w:val="auto"/>
              <w:rPr>
                <w:rFonts w:hint="eastAsia" w:ascii="Times New Roman" w:hAnsi="Times New Roman" w:cs="Times New Roman"/>
                <w:color w:val="000000" w:themeColor="text1"/>
                <w:lang w:val="en-US" w:eastAsia="zh-CN"/>
              </w:rPr>
            </w:pPr>
            <w:r>
              <w:rPr>
                <w:rFonts w:hint="default" w:ascii="Times New Roman" w:hAnsi="Times New Roman" w:cs="Times New Roman"/>
                <w:b/>
                <w:bCs/>
                <w:color w:val="000000" w:themeColor="text1"/>
                <w:sz w:val="21"/>
                <w:szCs w:val="21"/>
              </w:rPr>
              <w:t>此过程会产生噪声。</w:t>
            </w:r>
          </w:p>
          <w:p w14:paraId="0B533C0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firstLineChars="200"/>
              <w:textAlignment w:val="auto"/>
              <w:rPr>
                <w:rFonts w:hint="eastAsia" w:ascii="Times New Roman" w:hAnsi="Times New Roman" w:cs="Times New Roman"/>
                <w:b w:val="0"/>
                <w:bCs w:val="0"/>
                <w:color w:val="000000" w:themeColor="text1"/>
                <w:sz w:val="21"/>
                <w:szCs w:val="21"/>
                <w:lang w:val="en-US" w:eastAsia="zh-CN"/>
              </w:rPr>
            </w:pPr>
            <w:r>
              <w:rPr>
                <w:rFonts w:hint="eastAsia" w:ascii="Times New Roman" w:hAnsi="Times New Roman" w:cs="Times New Roman"/>
                <w:b/>
                <w:bCs/>
                <w:color w:val="000000" w:themeColor="text1"/>
                <w:sz w:val="21"/>
                <w:szCs w:val="21"/>
                <w:lang w:val="en-US" w:eastAsia="zh-CN"/>
              </w:rPr>
              <w:t>4）检验</w:t>
            </w:r>
            <w:r>
              <w:rPr>
                <w:rFonts w:hint="eastAsia" w:cs="Times New Roman"/>
                <w:b/>
                <w:bCs/>
                <w:color w:val="000000" w:themeColor="text1"/>
                <w:sz w:val="21"/>
                <w:szCs w:val="21"/>
                <w:lang w:val="en-US" w:eastAsia="zh-CN"/>
              </w:rPr>
              <w:t>、</w:t>
            </w:r>
            <w:r>
              <w:rPr>
                <w:rFonts w:hint="eastAsia" w:ascii="Times New Roman" w:hAnsi="Times New Roman" w:cs="Times New Roman"/>
                <w:b/>
                <w:bCs/>
                <w:color w:val="000000" w:themeColor="text1"/>
                <w:sz w:val="21"/>
                <w:szCs w:val="21"/>
                <w:lang w:val="en-US" w:eastAsia="zh-CN"/>
              </w:rPr>
              <w:t>打包入库：</w:t>
            </w:r>
            <w:r>
              <w:rPr>
                <w:rFonts w:hint="eastAsia" w:ascii="Times New Roman" w:hAnsi="Times New Roman" w:cs="Times New Roman"/>
                <w:b w:val="0"/>
                <w:bCs w:val="0"/>
                <w:color w:val="000000" w:themeColor="text1"/>
                <w:sz w:val="21"/>
                <w:szCs w:val="21"/>
                <w:lang w:val="en-US" w:eastAsia="zh-CN"/>
              </w:rPr>
              <w:t>经热压后的蛋盒和瓶托经人工检查后自动堆叠，将合格的成品叠放打包，进入成品贮存区包装；人工检验将不合格品挑出，回收利用于生产。</w:t>
            </w:r>
          </w:p>
          <w:p w14:paraId="4B9AA9C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textAlignment w:val="auto"/>
              <w:rPr>
                <w:rFonts w:hint="eastAsia" w:ascii="Times New Roman" w:hAnsi="Times New Roman" w:eastAsia="宋体" w:cs="Times New Roman"/>
                <w:b/>
                <w:bCs/>
                <w:color w:val="000000" w:themeColor="text1"/>
                <w:sz w:val="21"/>
                <w:szCs w:val="21"/>
                <w:lang w:val="en-US" w:eastAsia="zh-CN"/>
              </w:rPr>
            </w:pPr>
            <w:r>
              <w:rPr>
                <w:rFonts w:hint="default" w:ascii="Times New Roman" w:hAnsi="Times New Roman" w:cs="Times New Roman"/>
                <w:b/>
                <w:bCs/>
                <w:color w:val="000000" w:themeColor="text1"/>
                <w:sz w:val="21"/>
                <w:szCs w:val="21"/>
              </w:rPr>
              <w:t>此过程会产生噪声。</w:t>
            </w:r>
          </w:p>
          <w:p w14:paraId="72145957">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pict>
                <v:shape id="_x0000_i1029" o:spt="75" type="#_x0000_t75" style="height:140.85pt;width:400.2pt;" filled="f" stroked="f" coordsize="21600,21600">
                  <v:path/>
                  <v:fill on="f" focussize="0,0"/>
                  <v:stroke on="f"/>
                  <v:imagedata r:id="rId22" o:title=""/>
                  <o:lock v:ext="edit" aspectratio="t"/>
                  <w10:wrap type="none"/>
                  <w10:anchorlock/>
                </v:shape>
              </w:pict>
            </w:r>
          </w:p>
          <w:p w14:paraId="74EF6EF8">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textAlignment w:val="auto"/>
              <w:rPr>
                <w:rFonts w:hint="default" w:cs="Times New Roman"/>
                <w:b w:val="0"/>
                <w:bCs w:val="0"/>
                <w:color w:val="000000" w:themeColor="text1"/>
                <w:sz w:val="21"/>
                <w:szCs w:val="21"/>
              </w:rPr>
            </w:pPr>
            <w:r>
              <w:rPr>
                <w:rFonts w:hint="default" w:cs="Times New Roman"/>
                <w:color w:val="000000" w:themeColor="text1"/>
              </w:rPr>
              <w:t>图2-</w:t>
            </w:r>
            <w:r>
              <w:rPr>
                <w:rFonts w:hint="eastAsia" w:cs="Times New Roman"/>
                <w:color w:val="000000" w:themeColor="text1"/>
              </w:rPr>
              <w:t>4  蛋盒和瓶托生产流程</w:t>
            </w:r>
            <w:r>
              <w:rPr>
                <w:rFonts w:hint="default" w:cs="Times New Roman"/>
                <w:color w:val="000000" w:themeColor="text1"/>
              </w:rPr>
              <w:t>及产污环节</w:t>
            </w:r>
          </w:p>
        </w:tc>
      </w:tr>
      <w:tr w14:paraId="2FB14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6" w:hRule="atLeast"/>
          <w:jc w:val="center"/>
        </w:trPr>
        <w:tc>
          <w:tcPr>
            <w:tcW w:w="379" w:type="pct"/>
            <w:noWrap w:val="0"/>
            <w:vAlign w:val="center"/>
          </w:tcPr>
          <w:p w14:paraId="33EA1B18">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0"/>
                <w:sz w:val="21"/>
                <w:szCs w:val="21"/>
              </w:rPr>
              <w:t>与项目有关的原有环境污染问题</w:t>
            </w:r>
          </w:p>
        </w:tc>
        <w:tc>
          <w:tcPr>
            <w:tcW w:w="4620" w:type="pct"/>
            <w:noWrap w:val="0"/>
            <w:vAlign w:val="center"/>
          </w:tcPr>
          <w:p w14:paraId="0CDE05B6">
            <w:pPr>
              <w:keepNext w:val="0"/>
              <w:keepLines w:val="0"/>
              <w:suppressLineNumbers w:val="0"/>
              <w:adjustRightInd w:val="0"/>
              <w:snapToGrid w:val="0"/>
              <w:spacing w:before="0" w:beforeAutospacing="0" w:after="0" w:afterAutospacing="0"/>
              <w:ind w:left="0" w:right="0" w:firstLine="420"/>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本项目属于新建项目，无原有环境污染问题。</w:t>
            </w:r>
          </w:p>
        </w:tc>
      </w:tr>
    </w:tbl>
    <w:p w14:paraId="0A020505">
      <w:pPr>
        <w:pStyle w:val="2"/>
        <w:rPr>
          <w:color w:val="000000" w:themeColor="text1"/>
        </w:rPr>
        <w:sectPr>
          <w:pgSz w:w="11906" w:h="16838"/>
          <w:pgMar w:top="1440" w:right="1701" w:bottom="1440" w:left="1701" w:header="851" w:footer="992" w:gutter="0"/>
          <w:pgBorders>
            <w:top w:val="none" w:sz="0" w:space="0"/>
            <w:left w:val="none" w:sz="0" w:space="0"/>
            <w:bottom w:val="none" w:sz="0" w:space="0"/>
            <w:right w:val="none" w:sz="0" w:space="0"/>
          </w:pgBorders>
          <w:cols w:space="720" w:num="1"/>
          <w:docGrid w:type="lines" w:linePitch="312" w:charSpace="0"/>
        </w:sectPr>
      </w:pPr>
    </w:p>
    <w:p w14:paraId="536AD2E7">
      <w:pPr>
        <w:pStyle w:val="2"/>
        <w:jc w:val="center"/>
        <w:rPr>
          <w:rFonts w:hint="eastAsia"/>
          <w:color w:val="000000" w:themeColor="text1"/>
          <w:highlight w:val="none"/>
        </w:rPr>
      </w:pPr>
      <w:bookmarkStart w:id="9" w:name="_Toc838"/>
      <w:bookmarkStart w:id="10" w:name="_Toc13895"/>
      <w:r>
        <w:rPr>
          <w:rFonts w:hint="eastAsia"/>
          <w:color w:val="000000" w:themeColor="text1"/>
          <w:highlight w:val="none"/>
        </w:rPr>
        <w:t>三</w:t>
      </w:r>
      <w:r>
        <w:rPr>
          <w:color w:val="000000" w:themeColor="text1"/>
          <w:highlight w:val="none"/>
        </w:rPr>
        <w:t>、</w:t>
      </w:r>
      <w:r>
        <w:rPr>
          <w:rFonts w:hint="eastAsia"/>
          <w:color w:val="000000" w:themeColor="text1"/>
          <w:highlight w:val="none"/>
        </w:rPr>
        <w:t>区域环境质量现状、环境保护目标及评价标准</w:t>
      </w:r>
      <w:bookmarkEnd w:id="9"/>
      <w:bookmarkEnd w:id="10"/>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
        <w:gridCol w:w="8268"/>
      </w:tblGrid>
      <w:tr w14:paraId="07FAD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452" w:type="dxa"/>
            <w:noWrap w:val="0"/>
            <w:vAlign w:val="center"/>
          </w:tcPr>
          <w:p w14:paraId="4068E411">
            <w:pPr>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区域环境质量现状</w:t>
            </w:r>
          </w:p>
        </w:tc>
        <w:tc>
          <w:tcPr>
            <w:tcW w:w="8268" w:type="dxa"/>
            <w:noWrap w:val="0"/>
            <w:vAlign w:val="top"/>
          </w:tcPr>
          <w:p w14:paraId="78B568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1、大气环境质量现状</w:t>
            </w:r>
          </w:p>
          <w:p w14:paraId="6F8968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（1）空气质量达标区判定</w:t>
            </w:r>
          </w:p>
          <w:p w14:paraId="291DF0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color w:val="000000" w:themeColor="text1"/>
                <w:sz w:val="21"/>
                <w:szCs w:val="21"/>
              </w:rPr>
              <w:t>本项目位于通海五金产业园区，根据《环境空气质量标准》（GB3035-2012），项目所在区域为环境空气功能区划中的二类区，因此项目所在区域环境空气执行《环境空气质量标准》（GB3035-2012）</w:t>
            </w:r>
            <w:r>
              <w:rPr>
                <w:rFonts w:hint="default" w:ascii="Times New Roman" w:hAnsi="Times New Roman" w:eastAsia="宋体" w:cs="Times New Roman"/>
                <w:bCs/>
                <w:color w:val="000000" w:themeColor="text1"/>
                <w:sz w:val="21"/>
                <w:szCs w:val="21"/>
              </w:rPr>
              <w:t>及修改清单</w:t>
            </w:r>
            <w:r>
              <w:rPr>
                <w:rFonts w:hint="default" w:ascii="Times New Roman" w:hAnsi="Times New Roman" w:eastAsia="宋体" w:cs="Times New Roman"/>
                <w:color w:val="000000" w:themeColor="text1"/>
                <w:sz w:val="21"/>
                <w:szCs w:val="21"/>
              </w:rPr>
              <w:t>二级标准</w:t>
            </w:r>
            <w:r>
              <w:rPr>
                <w:rFonts w:hint="default" w:ascii="Times New Roman" w:hAnsi="Times New Roman" w:eastAsia="宋体" w:cs="Times New Roman"/>
                <w:bCs/>
                <w:color w:val="000000" w:themeColor="text1"/>
                <w:sz w:val="21"/>
                <w:szCs w:val="21"/>
              </w:rPr>
              <w:t>。</w:t>
            </w:r>
          </w:p>
          <w:p w14:paraId="1604F3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right="0" w:firstLine="420"/>
              <w:textAlignment w:val="auto"/>
              <w:rPr>
                <w:rFonts w:hint="default" w:ascii="Times New Roman" w:hAnsi="Times New Roman" w:eastAsia="宋体" w:cs="Times New Roman"/>
                <w:bCs/>
                <w:color w:val="00B050"/>
                <w:sz w:val="21"/>
                <w:szCs w:val="21"/>
              </w:rPr>
            </w:pPr>
            <w:r>
              <w:rPr>
                <w:rFonts w:hint="default" w:ascii="Times New Roman" w:hAnsi="Times New Roman" w:eastAsia="宋体" w:cs="Times New Roman"/>
                <w:bCs/>
                <w:color w:val="00B050"/>
                <w:sz w:val="21"/>
                <w:szCs w:val="21"/>
              </w:rPr>
              <w:t>本次评价</w:t>
            </w:r>
            <w:r>
              <w:rPr>
                <w:rFonts w:hint="eastAsia" w:ascii="Times New Roman" w:hAnsi="Times New Roman" w:eastAsia="宋体" w:cs="Times New Roman"/>
                <w:bCs/>
                <w:color w:val="00B050"/>
                <w:sz w:val="21"/>
                <w:szCs w:val="21"/>
                <w:lang w:val="en-US" w:eastAsia="zh-CN"/>
              </w:rPr>
              <w:t>引</w:t>
            </w:r>
            <w:r>
              <w:rPr>
                <w:rFonts w:hint="default" w:ascii="Times New Roman" w:hAnsi="Times New Roman" w:eastAsia="宋体" w:cs="Times New Roman"/>
                <w:bCs/>
                <w:color w:val="00B050"/>
                <w:sz w:val="21"/>
                <w:szCs w:val="21"/>
              </w:rPr>
              <w:t>用通海县环境空气质量自动监测点</w:t>
            </w:r>
            <w:r>
              <w:rPr>
                <w:rFonts w:hint="eastAsia" w:cs="Times New Roman"/>
                <w:bCs/>
                <w:color w:val="00B050"/>
                <w:sz w:val="21"/>
                <w:szCs w:val="21"/>
                <w:lang w:eastAsia="zh-CN"/>
              </w:rPr>
              <w:t>（</w:t>
            </w:r>
            <w:r>
              <w:rPr>
                <w:rFonts w:hint="eastAsia" w:cs="Times New Roman"/>
                <w:bCs/>
                <w:color w:val="00B050"/>
                <w:sz w:val="21"/>
                <w:szCs w:val="21"/>
                <w:lang w:val="en-US" w:eastAsia="zh-CN"/>
              </w:rPr>
              <w:t>位于本项目北侧3.5km处</w:t>
            </w:r>
            <w:r>
              <w:rPr>
                <w:rFonts w:hint="eastAsia" w:cs="Times New Roman"/>
                <w:bCs/>
                <w:color w:val="00B050"/>
                <w:sz w:val="21"/>
                <w:szCs w:val="21"/>
                <w:lang w:eastAsia="zh-CN"/>
              </w:rPr>
              <w:t>）</w:t>
            </w:r>
            <w:r>
              <w:rPr>
                <w:rFonts w:hint="default" w:ascii="Times New Roman" w:hAnsi="Times New Roman" w:eastAsia="宋体" w:cs="Times New Roman"/>
                <w:bCs/>
                <w:color w:val="00B050"/>
                <w:sz w:val="21"/>
                <w:szCs w:val="21"/>
              </w:rPr>
              <w:t>的2023年全年环境空气监测数据进行达标区判定及基本污染物环境空气质量现状评价。其统计如下：</w:t>
            </w:r>
          </w:p>
          <w:p w14:paraId="57CE548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宋体" w:cs="Times New Roman"/>
                <w:b/>
                <w:bCs/>
                <w:color w:val="00B050"/>
                <w:spacing w:val="14"/>
                <w:kern w:val="2"/>
                <w:sz w:val="21"/>
                <w:szCs w:val="21"/>
                <w:lang w:val="en-US" w:eastAsia="zh-CN" w:bidi="ar-SA"/>
              </w:rPr>
            </w:pPr>
            <w:r>
              <w:rPr>
                <w:rFonts w:hint="default" w:ascii="Times New Roman" w:hAnsi="Times New Roman" w:eastAsia="宋体" w:cs="Times New Roman"/>
                <w:b/>
                <w:bCs/>
                <w:color w:val="00B050"/>
                <w:spacing w:val="14"/>
                <w:kern w:val="2"/>
                <w:sz w:val="21"/>
                <w:szCs w:val="21"/>
                <w:lang w:val="en-US" w:eastAsia="zh-CN" w:bidi="ar-SA"/>
              </w:rPr>
              <w:t>表3-1  通海县空气质量现状评价表</w:t>
            </w:r>
          </w:p>
          <w:tbl>
            <w:tblPr>
              <w:tblStyle w:val="43"/>
              <w:tblW w:w="496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18"/>
              <w:gridCol w:w="2760"/>
              <w:gridCol w:w="1161"/>
              <w:gridCol w:w="1061"/>
              <w:gridCol w:w="1101"/>
              <w:gridCol w:w="1083"/>
            </w:tblGrid>
            <w:tr w14:paraId="03354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2" w:type="pct"/>
                  <w:noWrap w:val="0"/>
                  <w:vAlign w:val="center"/>
                </w:tcPr>
                <w:p w14:paraId="56DAA5A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val="0"/>
                      <w:color w:val="00B050"/>
                      <w:sz w:val="21"/>
                      <w:szCs w:val="21"/>
                      <w:highlight w:val="none"/>
                    </w:rPr>
                  </w:pPr>
                  <w:r>
                    <w:rPr>
                      <w:rFonts w:hint="default" w:ascii="Times New Roman" w:hAnsi="Times New Roman" w:eastAsia="宋体" w:cs="Times New Roman"/>
                      <w:b/>
                      <w:bCs w:val="0"/>
                      <w:color w:val="00B050"/>
                      <w:sz w:val="21"/>
                      <w:szCs w:val="21"/>
                      <w:highlight w:val="none"/>
                    </w:rPr>
                    <w:t>污染物</w:t>
                  </w:r>
                </w:p>
              </w:tc>
              <w:tc>
                <w:tcPr>
                  <w:tcW w:w="1728" w:type="pct"/>
                  <w:noWrap w:val="0"/>
                  <w:vAlign w:val="center"/>
                </w:tcPr>
                <w:p w14:paraId="75EBF45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val="0"/>
                      <w:color w:val="00B050"/>
                      <w:sz w:val="21"/>
                      <w:szCs w:val="21"/>
                      <w:highlight w:val="none"/>
                    </w:rPr>
                  </w:pPr>
                  <w:r>
                    <w:rPr>
                      <w:rFonts w:hint="default" w:ascii="Times New Roman" w:hAnsi="Times New Roman" w:eastAsia="宋体" w:cs="Times New Roman"/>
                      <w:b/>
                      <w:bCs w:val="0"/>
                      <w:color w:val="00B050"/>
                      <w:sz w:val="21"/>
                      <w:szCs w:val="21"/>
                      <w:highlight w:val="none"/>
                    </w:rPr>
                    <w:t>年评价指标</w:t>
                  </w:r>
                </w:p>
              </w:tc>
              <w:tc>
                <w:tcPr>
                  <w:tcW w:w="727" w:type="pct"/>
                  <w:noWrap w:val="0"/>
                  <w:vAlign w:val="center"/>
                </w:tcPr>
                <w:p w14:paraId="3AD800F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val="0"/>
                      <w:color w:val="00B050"/>
                      <w:sz w:val="21"/>
                      <w:szCs w:val="21"/>
                      <w:highlight w:val="none"/>
                    </w:rPr>
                  </w:pPr>
                  <w:r>
                    <w:rPr>
                      <w:rFonts w:hint="default" w:ascii="Times New Roman" w:hAnsi="Times New Roman" w:eastAsia="宋体" w:cs="Times New Roman"/>
                      <w:b/>
                      <w:bCs w:val="0"/>
                      <w:color w:val="00B050"/>
                      <w:sz w:val="21"/>
                      <w:szCs w:val="21"/>
                      <w:highlight w:val="none"/>
                    </w:rPr>
                    <w:t>现状浓度（ug/m</w:t>
                  </w:r>
                  <w:r>
                    <w:rPr>
                      <w:rFonts w:hint="default" w:ascii="Times New Roman" w:hAnsi="Times New Roman" w:eastAsia="宋体" w:cs="Times New Roman"/>
                      <w:b/>
                      <w:bCs w:val="0"/>
                      <w:color w:val="00B050"/>
                      <w:sz w:val="21"/>
                      <w:szCs w:val="21"/>
                      <w:highlight w:val="none"/>
                      <w:vertAlign w:val="superscript"/>
                    </w:rPr>
                    <w:t>3</w:t>
                  </w:r>
                  <w:r>
                    <w:rPr>
                      <w:rFonts w:hint="default" w:ascii="Times New Roman" w:hAnsi="Times New Roman" w:eastAsia="宋体" w:cs="Times New Roman"/>
                      <w:b/>
                      <w:bCs w:val="0"/>
                      <w:color w:val="00B050"/>
                      <w:sz w:val="21"/>
                      <w:szCs w:val="21"/>
                      <w:highlight w:val="none"/>
                    </w:rPr>
                    <w:t>）</w:t>
                  </w:r>
                </w:p>
              </w:tc>
              <w:tc>
                <w:tcPr>
                  <w:tcW w:w="664" w:type="pct"/>
                  <w:noWrap w:val="0"/>
                  <w:vAlign w:val="center"/>
                </w:tcPr>
                <w:p w14:paraId="3FE495D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val="0"/>
                      <w:color w:val="00B050"/>
                      <w:sz w:val="21"/>
                      <w:szCs w:val="21"/>
                      <w:highlight w:val="none"/>
                    </w:rPr>
                  </w:pPr>
                  <w:r>
                    <w:rPr>
                      <w:rFonts w:hint="default" w:ascii="Times New Roman" w:hAnsi="Times New Roman" w:eastAsia="宋体" w:cs="Times New Roman"/>
                      <w:b/>
                      <w:bCs w:val="0"/>
                      <w:color w:val="00B050"/>
                      <w:sz w:val="21"/>
                      <w:szCs w:val="21"/>
                      <w:highlight w:val="none"/>
                    </w:rPr>
                    <w:t>标准值</w:t>
                  </w:r>
                </w:p>
                <w:p w14:paraId="5315922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val="0"/>
                      <w:color w:val="00B050"/>
                      <w:sz w:val="21"/>
                      <w:szCs w:val="21"/>
                      <w:highlight w:val="none"/>
                    </w:rPr>
                  </w:pPr>
                  <w:r>
                    <w:rPr>
                      <w:rFonts w:hint="default" w:ascii="Times New Roman" w:hAnsi="Times New Roman" w:eastAsia="宋体" w:cs="Times New Roman"/>
                      <w:b/>
                      <w:bCs w:val="0"/>
                      <w:color w:val="00B050"/>
                      <w:sz w:val="21"/>
                      <w:szCs w:val="21"/>
                      <w:highlight w:val="none"/>
                    </w:rPr>
                    <w:t>（ug/m</w:t>
                  </w:r>
                  <w:r>
                    <w:rPr>
                      <w:rFonts w:hint="default" w:ascii="Times New Roman" w:hAnsi="Times New Roman" w:eastAsia="宋体" w:cs="Times New Roman"/>
                      <w:b/>
                      <w:bCs w:val="0"/>
                      <w:color w:val="00B050"/>
                      <w:sz w:val="21"/>
                      <w:szCs w:val="21"/>
                      <w:highlight w:val="none"/>
                      <w:vertAlign w:val="superscript"/>
                    </w:rPr>
                    <w:t>3</w:t>
                  </w:r>
                  <w:r>
                    <w:rPr>
                      <w:rFonts w:hint="default" w:ascii="Times New Roman" w:hAnsi="Times New Roman" w:eastAsia="宋体" w:cs="Times New Roman"/>
                      <w:b/>
                      <w:bCs w:val="0"/>
                      <w:color w:val="00B050"/>
                      <w:sz w:val="21"/>
                      <w:szCs w:val="21"/>
                      <w:highlight w:val="none"/>
                    </w:rPr>
                    <w:t>）</w:t>
                  </w:r>
                </w:p>
              </w:tc>
              <w:tc>
                <w:tcPr>
                  <w:tcW w:w="689" w:type="pct"/>
                  <w:noWrap w:val="0"/>
                  <w:vAlign w:val="center"/>
                </w:tcPr>
                <w:p w14:paraId="1B1CAE6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val="0"/>
                      <w:color w:val="00B050"/>
                      <w:sz w:val="21"/>
                      <w:szCs w:val="21"/>
                      <w:highlight w:val="none"/>
                    </w:rPr>
                  </w:pPr>
                  <w:r>
                    <w:rPr>
                      <w:rFonts w:hint="default" w:ascii="Times New Roman" w:hAnsi="Times New Roman" w:eastAsia="宋体" w:cs="Times New Roman"/>
                      <w:b/>
                      <w:bCs w:val="0"/>
                      <w:color w:val="00B050"/>
                      <w:sz w:val="21"/>
                      <w:szCs w:val="21"/>
                      <w:highlight w:val="none"/>
                    </w:rPr>
                    <w:t>占标率/%</w:t>
                  </w:r>
                </w:p>
              </w:tc>
              <w:tc>
                <w:tcPr>
                  <w:tcW w:w="678" w:type="pct"/>
                  <w:noWrap w:val="0"/>
                  <w:vAlign w:val="center"/>
                </w:tcPr>
                <w:p w14:paraId="0249C747">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val="0"/>
                      <w:color w:val="00B050"/>
                      <w:sz w:val="21"/>
                      <w:szCs w:val="21"/>
                      <w:highlight w:val="none"/>
                    </w:rPr>
                  </w:pPr>
                  <w:r>
                    <w:rPr>
                      <w:rFonts w:hint="default" w:ascii="Times New Roman" w:hAnsi="Times New Roman" w:eastAsia="宋体" w:cs="Times New Roman"/>
                      <w:b/>
                      <w:bCs w:val="0"/>
                      <w:color w:val="00B050"/>
                      <w:sz w:val="21"/>
                      <w:szCs w:val="21"/>
                      <w:highlight w:val="none"/>
                    </w:rPr>
                    <w:t>评价结果</w:t>
                  </w:r>
                </w:p>
              </w:tc>
            </w:tr>
            <w:tr w14:paraId="61E48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2" w:type="pct"/>
                  <w:vMerge w:val="restart"/>
                  <w:noWrap w:val="0"/>
                  <w:vAlign w:val="center"/>
                </w:tcPr>
                <w:p w14:paraId="5755687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00B050"/>
                      <w:sz w:val="21"/>
                      <w:szCs w:val="21"/>
                      <w:highlight w:val="none"/>
                    </w:rPr>
                  </w:pPr>
                  <w:r>
                    <w:rPr>
                      <w:rFonts w:hint="default" w:ascii="Times New Roman" w:hAnsi="Times New Roman" w:eastAsia="宋体" w:cs="Times New Roman"/>
                      <w:b w:val="0"/>
                      <w:bCs/>
                      <w:color w:val="00B050"/>
                      <w:sz w:val="21"/>
                      <w:szCs w:val="21"/>
                      <w:highlight w:val="none"/>
                    </w:rPr>
                    <w:t>SO</w:t>
                  </w:r>
                  <w:r>
                    <w:rPr>
                      <w:rFonts w:hint="default" w:ascii="Times New Roman" w:hAnsi="Times New Roman" w:eastAsia="宋体" w:cs="Times New Roman"/>
                      <w:b w:val="0"/>
                      <w:bCs/>
                      <w:color w:val="00B050"/>
                      <w:sz w:val="21"/>
                      <w:szCs w:val="21"/>
                      <w:highlight w:val="none"/>
                      <w:vertAlign w:val="subscript"/>
                    </w:rPr>
                    <w:t>2</w:t>
                  </w:r>
                </w:p>
              </w:tc>
              <w:tc>
                <w:tcPr>
                  <w:tcW w:w="1728" w:type="pct"/>
                  <w:noWrap w:val="0"/>
                  <w:vAlign w:val="center"/>
                </w:tcPr>
                <w:p w14:paraId="751B87C1">
                  <w:pPr>
                    <w:keepNext w:val="0"/>
                    <w:keepLines w:val="0"/>
                    <w:pageBreakBefore w:val="0"/>
                    <w:widowControl w:val="0"/>
                    <w:suppressLineNumbers w:val="0"/>
                    <w:tabs>
                      <w:tab w:val="left" w:pos="5327"/>
                      <w:tab w:val="left" w:pos="6326"/>
                      <w:tab w:val="left" w:pos="7230"/>
                      <w:tab w:val="left" w:pos="9301"/>
                    </w:tabs>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00B050"/>
                      <w:spacing w:val="0"/>
                      <w:kern w:val="0"/>
                      <w:sz w:val="21"/>
                      <w:szCs w:val="21"/>
                      <w:highlight w:val="none"/>
                      <w:lang w:val="en-US" w:eastAsia="zh-CN" w:bidi="ar-SA"/>
                    </w:rPr>
                  </w:pPr>
                  <w:r>
                    <w:rPr>
                      <w:rFonts w:hint="default" w:ascii="Times New Roman" w:hAnsi="Times New Roman" w:eastAsia="宋体" w:cs="Times New Roman"/>
                      <w:b w:val="0"/>
                      <w:bCs/>
                      <w:color w:val="00B050"/>
                      <w:spacing w:val="0"/>
                      <w:kern w:val="0"/>
                      <w:sz w:val="21"/>
                      <w:szCs w:val="21"/>
                      <w:lang w:val="en-US" w:eastAsia="zh-CN" w:bidi="ar-SA"/>
                    </w:rPr>
                    <w:t>年平均质量浓度</w:t>
                  </w:r>
                </w:p>
              </w:tc>
              <w:tc>
                <w:tcPr>
                  <w:tcW w:w="727" w:type="pct"/>
                  <w:noWrap w:val="0"/>
                  <w:vAlign w:val="center"/>
                </w:tcPr>
                <w:p w14:paraId="04A713A2">
                  <w:pPr>
                    <w:keepNext w:val="0"/>
                    <w:keepLines w:val="0"/>
                    <w:widowControl w:val="0"/>
                    <w:suppressLineNumbers w:val="0"/>
                    <w:bidi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b w:val="0"/>
                      <w:bCs/>
                      <w:color w:val="00B050"/>
                      <w:spacing w:val="0"/>
                      <w:kern w:val="2"/>
                      <w:sz w:val="21"/>
                      <w:szCs w:val="21"/>
                      <w:highlight w:val="none"/>
                      <w:lang w:val="en-US" w:eastAsia="zh-CN" w:bidi="ar-SA"/>
                    </w:rPr>
                  </w:pPr>
                  <w:r>
                    <w:rPr>
                      <w:rFonts w:hint="default" w:ascii="Times New Roman" w:hAnsi="Times New Roman" w:eastAsia="宋体" w:cs="Times New Roman"/>
                      <w:bCs w:val="0"/>
                      <w:color w:val="00B050"/>
                      <w:spacing w:val="0"/>
                      <w:kern w:val="2"/>
                      <w:sz w:val="21"/>
                      <w:szCs w:val="21"/>
                      <w:highlight w:val="none"/>
                      <w:lang w:val="en-US" w:eastAsia="zh-CN" w:bidi="ar-SA"/>
                    </w:rPr>
                    <w:t>6.84</w:t>
                  </w:r>
                </w:p>
              </w:tc>
              <w:tc>
                <w:tcPr>
                  <w:tcW w:w="664" w:type="pct"/>
                  <w:noWrap w:val="0"/>
                  <w:vAlign w:val="center"/>
                </w:tcPr>
                <w:p w14:paraId="346E3E1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color w:val="00B050"/>
                      <w:sz w:val="21"/>
                      <w:szCs w:val="21"/>
                      <w:highlight w:val="none"/>
                    </w:rPr>
                  </w:pPr>
                  <w:r>
                    <w:rPr>
                      <w:rFonts w:hint="default" w:ascii="Times New Roman" w:hAnsi="Times New Roman" w:eastAsia="宋体" w:cs="Times New Roman"/>
                      <w:b w:val="0"/>
                      <w:bCs/>
                      <w:color w:val="00B050"/>
                      <w:sz w:val="21"/>
                      <w:szCs w:val="21"/>
                    </w:rPr>
                    <w:t>60</w:t>
                  </w:r>
                </w:p>
              </w:tc>
              <w:tc>
                <w:tcPr>
                  <w:tcW w:w="689" w:type="pct"/>
                  <w:noWrap w:val="0"/>
                  <w:vAlign w:val="center"/>
                </w:tcPr>
                <w:p w14:paraId="26B95455">
                  <w:pPr>
                    <w:keepNext w:val="0"/>
                    <w:keepLines w:val="0"/>
                    <w:widowControl w:val="0"/>
                    <w:suppressLineNumbers w:val="0"/>
                    <w:bidi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b w:val="0"/>
                      <w:bCs/>
                      <w:color w:val="00B050"/>
                      <w:spacing w:val="0"/>
                      <w:kern w:val="2"/>
                      <w:sz w:val="21"/>
                      <w:szCs w:val="21"/>
                      <w:highlight w:val="none"/>
                      <w:lang w:val="en-US" w:eastAsia="zh-CN" w:bidi="ar-SA"/>
                    </w:rPr>
                  </w:pPr>
                  <w:r>
                    <w:rPr>
                      <w:rFonts w:hint="default" w:ascii="Times New Roman" w:hAnsi="Times New Roman" w:eastAsia="宋体" w:cs="Times New Roman"/>
                      <w:bCs w:val="0"/>
                      <w:color w:val="00B050"/>
                      <w:spacing w:val="0"/>
                      <w:kern w:val="2"/>
                      <w:sz w:val="21"/>
                      <w:szCs w:val="21"/>
                      <w:highlight w:val="none"/>
                      <w:lang w:val="en-US" w:eastAsia="zh-CN" w:bidi="ar-SA"/>
                    </w:rPr>
                    <w:t>11.40%</w:t>
                  </w:r>
                </w:p>
              </w:tc>
              <w:tc>
                <w:tcPr>
                  <w:tcW w:w="678" w:type="pct"/>
                  <w:noWrap w:val="0"/>
                  <w:vAlign w:val="center"/>
                </w:tcPr>
                <w:p w14:paraId="5353E89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00B050"/>
                      <w:sz w:val="21"/>
                      <w:szCs w:val="21"/>
                      <w:highlight w:val="none"/>
                    </w:rPr>
                  </w:pPr>
                  <w:r>
                    <w:rPr>
                      <w:rFonts w:hint="default" w:ascii="Times New Roman" w:hAnsi="Times New Roman" w:eastAsia="宋体" w:cs="Times New Roman"/>
                      <w:b w:val="0"/>
                      <w:bCs/>
                      <w:color w:val="00B050"/>
                      <w:sz w:val="21"/>
                      <w:szCs w:val="21"/>
                      <w:highlight w:val="none"/>
                    </w:rPr>
                    <w:t>达标</w:t>
                  </w:r>
                </w:p>
              </w:tc>
            </w:tr>
            <w:tr w14:paraId="52D20E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2" w:type="pct"/>
                  <w:vMerge w:val="continue"/>
                  <w:noWrap w:val="0"/>
                  <w:vAlign w:val="center"/>
                </w:tcPr>
                <w:p w14:paraId="7C0192CD">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00B050"/>
                      <w:sz w:val="21"/>
                      <w:szCs w:val="21"/>
                      <w:highlight w:val="none"/>
                    </w:rPr>
                  </w:pPr>
                </w:p>
              </w:tc>
              <w:tc>
                <w:tcPr>
                  <w:tcW w:w="1728" w:type="pct"/>
                  <w:noWrap w:val="0"/>
                  <w:vAlign w:val="center"/>
                </w:tcPr>
                <w:p w14:paraId="625B7F6D">
                  <w:pPr>
                    <w:keepNext w:val="0"/>
                    <w:keepLines w:val="0"/>
                    <w:pageBreakBefore w:val="0"/>
                    <w:widowControl w:val="0"/>
                    <w:suppressLineNumbers w:val="0"/>
                    <w:tabs>
                      <w:tab w:val="left" w:pos="5327"/>
                      <w:tab w:val="left" w:pos="6326"/>
                      <w:tab w:val="left" w:pos="7230"/>
                      <w:tab w:val="left" w:pos="9301"/>
                    </w:tabs>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00B050"/>
                      <w:spacing w:val="0"/>
                      <w:kern w:val="0"/>
                      <w:sz w:val="21"/>
                      <w:szCs w:val="21"/>
                      <w:highlight w:val="none"/>
                      <w:lang w:val="en-US" w:eastAsia="zh-CN" w:bidi="ar-SA"/>
                    </w:rPr>
                  </w:pPr>
                  <w:r>
                    <w:rPr>
                      <w:rFonts w:hint="default" w:ascii="Times New Roman" w:hAnsi="Times New Roman" w:eastAsia="宋体" w:cs="Times New Roman"/>
                      <w:b w:val="0"/>
                      <w:bCs/>
                      <w:color w:val="00B050"/>
                      <w:spacing w:val="0"/>
                      <w:kern w:val="0"/>
                      <w:sz w:val="21"/>
                      <w:szCs w:val="21"/>
                      <w:lang w:val="en-US" w:eastAsia="zh-CN" w:bidi="ar-SA"/>
                    </w:rPr>
                    <w:t>98%日平均质量浓度</w:t>
                  </w:r>
                </w:p>
              </w:tc>
              <w:tc>
                <w:tcPr>
                  <w:tcW w:w="727" w:type="pct"/>
                  <w:noWrap w:val="0"/>
                  <w:vAlign w:val="center"/>
                </w:tcPr>
                <w:p w14:paraId="4E281D94">
                  <w:pPr>
                    <w:keepNext w:val="0"/>
                    <w:keepLines w:val="0"/>
                    <w:widowControl w:val="0"/>
                    <w:suppressLineNumbers w:val="0"/>
                    <w:bidi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b w:val="0"/>
                      <w:bCs/>
                      <w:color w:val="00B050"/>
                      <w:spacing w:val="0"/>
                      <w:kern w:val="2"/>
                      <w:sz w:val="21"/>
                      <w:szCs w:val="21"/>
                      <w:highlight w:val="none"/>
                      <w:lang w:val="en-US" w:eastAsia="zh-CN" w:bidi="ar-SA"/>
                    </w:rPr>
                  </w:pPr>
                  <w:r>
                    <w:rPr>
                      <w:rFonts w:hint="default" w:ascii="Times New Roman" w:hAnsi="Times New Roman" w:eastAsia="宋体" w:cs="Times New Roman"/>
                      <w:bCs w:val="0"/>
                      <w:color w:val="00B050"/>
                      <w:spacing w:val="0"/>
                      <w:kern w:val="2"/>
                      <w:sz w:val="21"/>
                      <w:szCs w:val="21"/>
                      <w:highlight w:val="none"/>
                      <w:lang w:val="en-US" w:eastAsia="zh-CN" w:bidi="ar-SA"/>
                    </w:rPr>
                    <w:t>12</w:t>
                  </w:r>
                </w:p>
              </w:tc>
              <w:tc>
                <w:tcPr>
                  <w:tcW w:w="664" w:type="pct"/>
                  <w:noWrap w:val="0"/>
                  <w:vAlign w:val="center"/>
                </w:tcPr>
                <w:p w14:paraId="6C3C534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color w:val="00B050"/>
                      <w:sz w:val="21"/>
                      <w:szCs w:val="21"/>
                      <w:highlight w:val="none"/>
                    </w:rPr>
                  </w:pPr>
                  <w:r>
                    <w:rPr>
                      <w:rFonts w:hint="default" w:ascii="Times New Roman" w:hAnsi="Times New Roman" w:eastAsia="宋体" w:cs="Times New Roman"/>
                      <w:b w:val="0"/>
                      <w:bCs/>
                      <w:color w:val="00B050"/>
                      <w:sz w:val="21"/>
                      <w:szCs w:val="21"/>
                    </w:rPr>
                    <w:t>150</w:t>
                  </w:r>
                </w:p>
              </w:tc>
              <w:tc>
                <w:tcPr>
                  <w:tcW w:w="689" w:type="pct"/>
                  <w:noWrap w:val="0"/>
                  <w:vAlign w:val="center"/>
                </w:tcPr>
                <w:p w14:paraId="1AB185C5">
                  <w:pPr>
                    <w:keepNext w:val="0"/>
                    <w:keepLines w:val="0"/>
                    <w:widowControl w:val="0"/>
                    <w:suppressLineNumbers w:val="0"/>
                    <w:bidi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b w:val="0"/>
                      <w:bCs/>
                      <w:color w:val="00B050"/>
                      <w:spacing w:val="0"/>
                      <w:kern w:val="2"/>
                      <w:sz w:val="21"/>
                      <w:szCs w:val="21"/>
                      <w:highlight w:val="none"/>
                      <w:lang w:val="en-US" w:eastAsia="zh-CN" w:bidi="ar-SA"/>
                    </w:rPr>
                  </w:pPr>
                  <w:r>
                    <w:rPr>
                      <w:rFonts w:hint="default" w:ascii="Times New Roman" w:hAnsi="Times New Roman" w:eastAsia="宋体" w:cs="Times New Roman"/>
                      <w:bCs w:val="0"/>
                      <w:color w:val="00B050"/>
                      <w:spacing w:val="0"/>
                      <w:kern w:val="2"/>
                      <w:sz w:val="21"/>
                      <w:szCs w:val="21"/>
                      <w:highlight w:val="none"/>
                      <w:lang w:val="en-US" w:eastAsia="zh-CN" w:bidi="ar-SA"/>
                    </w:rPr>
                    <w:t>8.00%</w:t>
                  </w:r>
                </w:p>
              </w:tc>
              <w:tc>
                <w:tcPr>
                  <w:tcW w:w="678" w:type="pct"/>
                  <w:noWrap w:val="0"/>
                  <w:vAlign w:val="center"/>
                </w:tcPr>
                <w:p w14:paraId="3E6E7EB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00B050"/>
                      <w:sz w:val="21"/>
                      <w:szCs w:val="21"/>
                      <w:highlight w:val="none"/>
                    </w:rPr>
                  </w:pPr>
                  <w:r>
                    <w:rPr>
                      <w:rFonts w:hint="default" w:ascii="Times New Roman" w:hAnsi="Times New Roman" w:eastAsia="宋体" w:cs="Times New Roman"/>
                      <w:b w:val="0"/>
                      <w:bCs/>
                      <w:color w:val="00B050"/>
                      <w:sz w:val="21"/>
                      <w:szCs w:val="21"/>
                      <w:highlight w:val="none"/>
                    </w:rPr>
                    <w:t>达标</w:t>
                  </w:r>
                </w:p>
              </w:tc>
            </w:tr>
            <w:tr w14:paraId="3DA8A3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2" w:type="pct"/>
                  <w:vMerge w:val="restart"/>
                  <w:noWrap w:val="0"/>
                  <w:vAlign w:val="center"/>
                </w:tcPr>
                <w:p w14:paraId="2DB3782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00B050"/>
                      <w:sz w:val="21"/>
                      <w:szCs w:val="21"/>
                      <w:highlight w:val="none"/>
                    </w:rPr>
                  </w:pPr>
                  <w:r>
                    <w:rPr>
                      <w:rFonts w:hint="default" w:ascii="Times New Roman" w:hAnsi="Times New Roman" w:eastAsia="宋体" w:cs="Times New Roman"/>
                      <w:b w:val="0"/>
                      <w:bCs/>
                      <w:color w:val="00B050"/>
                      <w:sz w:val="21"/>
                      <w:szCs w:val="21"/>
                      <w:highlight w:val="none"/>
                    </w:rPr>
                    <w:t>NO</w:t>
                  </w:r>
                  <w:r>
                    <w:rPr>
                      <w:rFonts w:hint="default" w:ascii="Times New Roman" w:hAnsi="Times New Roman" w:eastAsia="宋体" w:cs="Times New Roman"/>
                      <w:b w:val="0"/>
                      <w:bCs/>
                      <w:color w:val="00B050"/>
                      <w:sz w:val="21"/>
                      <w:szCs w:val="21"/>
                      <w:highlight w:val="none"/>
                      <w:vertAlign w:val="subscript"/>
                    </w:rPr>
                    <w:t>2</w:t>
                  </w:r>
                </w:p>
              </w:tc>
              <w:tc>
                <w:tcPr>
                  <w:tcW w:w="1728" w:type="pct"/>
                  <w:noWrap w:val="0"/>
                  <w:vAlign w:val="center"/>
                </w:tcPr>
                <w:p w14:paraId="761159EB">
                  <w:pPr>
                    <w:keepNext w:val="0"/>
                    <w:keepLines w:val="0"/>
                    <w:pageBreakBefore w:val="0"/>
                    <w:widowControl w:val="0"/>
                    <w:suppressLineNumbers w:val="0"/>
                    <w:tabs>
                      <w:tab w:val="left" w:pos="5327"/>
                      <w:tab w:val="left" w:pos="6326"/>
                      <w:tab w:val="left" w:pos="7230"/>
                      <w:tab w:val="left" w:pos="9301"/>
                    </w:tabs>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00B050"/>
                      <w:spacing w:val="0"/>
                      <w:kern w:val="0"/>
                      <w:sz w:val="21"/>
                      <w:szCs w:val="21"/>
                      <w:highlight w:val="none"/>
                      <w:lang w:val="en-US" w:eastAsia="zh-CN" w:bidi="ar-SA"/>
                    </w:rPr>
                  </w:pPr>
                  <w:r>
                    <w:rPr>
                      <w:rFonts w:hint="default" w:ascii="Times New Roman" w:hAnsi="Times New Roman" w:eastAsia="宋体" w:cs="Times New Roman"/>
                      <w:b w:val="0"/>
                      <w:bCs/>
                      <w:color w:val="00B050"/>
                      <w:spacing w:val="0"/>
                      <w:kern w:val="0"/>
                      <w:sz w:val="21"/>
                      <w:szCs w:val="21"/>
                      <w:lang w:val="en-US" w:eastAsia="zh-CN" w:bidi="ar-SA"/>
                    </w:rPr>
                    <w:t>年平均质量浓度</w:t>
                  </w:r>
                </w:p>
              </w:tc>
              <w:tc>
                <w:tcPr>
                  <w:tcW w:w="727" w:type="pct"/>
                  <w:noWrap w:val="0"/>
                  <w:vAlign w:val="center"/>
                </w:tcPr>
                <w:p w14:paraId="7CB8939C">
                  <w:pPr>
                    <w:keepNext w:val="0"/>
                    <w:keepLines w:val="0"/>
                    <w:widowControl w:val="0"/>
                    <w:suppressLineNumbers w:val="0"/>
                    <w:bidi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b w:val="0"/>
                      <w:bCs/>
                      <w:color w:val="00B050"/>
                      <w:spacing w:val="0"/>
                      <w:kern w:val="2"/>
                      <w:sz w:val="21"/>
                      <w:szCs w:val="21"/>
                      <w:highlight w:val="none"/>
                      <w:lang w:val="en-US" w:eastAsia="zh-CN" w:bidi="ar-SA"/>
                    </w:rPr>
                  </w:pPr>
                  <w:r>
                    <w:rPr>
                      <w:rFonts w:hint="default" w:ascii="Times New Roman" w:hAnsi="Times New Roman" w:eastAsia="宋体" w:cs="Times New Roman"/>
                      <w:bCs w:val="0"/>
                      <w:color w:val="00B050"/>
                      <w:spacing w:val="0"/>
                      <w:kern w:val="2"/>
                      <w:sz w:val="21"/>
                      <w:szCs w:val="21"/>
                      <w:highlight w:val="none"/>
                      <w:lang w:val="en-US" w:eastAsia="zh-CN" w:bidi="ar-SA"/>
                    </w:rPr>
                    <w:t>11.48</w:t>
                  </w:r>
                </w:p>
              </w:tc>
              <w:tc>
                <w:tcPr>
                  <w:tcW w:w="664" w:type="pct"/>
                  <w:noWrap w:val="0"/>
                  <w:vAlign w:val="center"/>
                </w:tcPr>
                <w:p w14:paraId="72148C0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color w:val="00B050"/>
                      <w:sz w:val="21"/>
                      <w:szCs w:val="21"/>
                      <w:highlight w:val="none"/>
                    </w:rPr>
                  </w:pPr>
                  <w:r>
                    <w:rPr>
                      <w:rFonts w:hint="default" w:ascii="Times New Roman" w:hAnsi="Times New Roman" w:eastAsia="宋体" w:cs="Times New Roman"/>
                      <w:b w:val="0"/>
                      <w:bCs/>
                      <w:color w:val="00B050"/>
                      <w:sz w:val="21"/>
                      <w:szCs w:val="21"/>
                    </w:rPr>
                    <w:t>40</w:t>
                  </w:r>
                </w:p>
              </w:tc>
              <w:tc>
                <w:tcPr>
                  <w:tcW w:w="689" w:type="pct"/>
                  <w:noWrap w:val="0"/>
                  <w:vAlign w:val="center"/>
                </w:tcPr>
                <w:p w14:paraId="6C94706F">
                  <w:pPr>
                    <w:keepNext w:val="0"/>
                    <w:keepLines w:val="0"/>
                    <w:widowControl w:val="0"/>
                    <w:suppressLineNumbers w:val="0"/>
                    <w:bidi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b w:val="0"/>
                      <w:bCs/>
                      <w:color w:val="00B050"/>
                      <w:spacing w:val="0"/>
                      <w:kern w:val="2"/>
                      <w:sz w:val="21"/>
                      <w:szCs w:val="21"/>
                      <w:highlight w:val="none"/>
                      <w:lang w:val="en-US" w:eastAsia="zh-CN" w:bidi="ar-SA"/>
                    </w:rPr>
                  </w:pPr>
                  <w:r>
                    <w:rPr>
                      <w:rFonts w:hint="default" w:ascii="Times New Roman" w:hAnsi="Times New Roman" w:eastAsia="宋体" w:cs="Times New Roman"/>
                      <w:bCs w:val="0"/>
                      <w:color w:val="00B050"/>
                      <w:spacing w:val="0"/>
                      <w:kern w:val="2"/>
                      <w:sz w:val="21"/>
                      <w:szCs w:val="21"/>
                      <w:highlight w:val="none"/>
                      <w:lang w:val="en-US" w:eastAsia="zh-CN" w:bidi="ar-SA"/>
                    </w:rPr>
                    <w:t>28.69%</w:t>
                  </w:r>
                </w:p>
              </w:tc>
              <w:tc>
                <w:tcPr>
                  <w:tcW w:w="678" w:type="pct"/>
                  <w:noWrap w:val="0"/>
                  <w:vAlign w:val="center"/>
                </w:tcPr>
                <w:p w14:paraId="204CE0DD">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00B050"/>
                      <w:sz w:val="21"/>
                      <w:szCs w:val="21"/>
                      <w:highlight w:val="none"/>
                    </w:rPr>
                  </w:pPr>
                  <w:r>
                    <w:rPr>
                      <w:rFonts w:hint="default" w:ascii="Times New Roman" w:hAnsi="Times New Roman" w:eastAsia="宋体" w:cs="Times New Roman"/>
                      <w:b w:val="0"/>
                      <w:bCs/>
                      <w:color w:val="00B050"/>
                      <w:sz w:val="21"/>
                      <w:szCs w:val="21"/>
                      <w:highlight w:val="none"/>
                    </w:rPr>
                    <w:t>达标</w:t>
                  </w:r>
                </w:p>
              </w:tc>
            </w:tr>
            <w:tr w14:paraId="6D67D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2" w:type="pct"/>
                  <w:vMerge w:val="continue"/>
                  <w:noWrap w:val="0"/>
                  <w:vAlign w:val="center"/>
                </w:tcPr>
                <w:p w14:paraId="017F81B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00B050"/>
                      <w:sz w:val="21"/>
                      <w:szCs w:val="21"/>
                      <w:highlight w:val="none"/>
                    </w:rPr>
                  </w:pPr>
                </w:p>
              </w:tc>
              <w:tc>
                <w:tcPr>
                  <w:tcW w:w="1728" w:type="pct"/>
                  <w:noWrap w:val="0"/>
                  <w:vAlign w:val="center"/>
                </w:tcPr>
                <w:p w14:paraId="3BA37F34">
                  <w:pPr>
                    <w:keepNext w:val="0"/>
                    <w:keepLines w:val="0"/>
                    <w:pageBreakBefore w:val="0"/>
                    <w:widowControl w:val="0"/>
                    <w:suppressLineNumbers w:val="0"/>
                    <w:tabs>
                      <w:tab w:val="left" w:pos="5327"/>
                      <w:tab w:val="left" w:pos="6326"/>
                      <w:tab w:val="left" w:pos="7230"/>
                      <w:tab w:val="left" w:pos="9301"/>
                    </w:tabs>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00B050"/>
                      <w:spacing w:val="0"/>
                      <w:kern w:val="0"/>
                      <w:sz w:val="21"/>
                      <w:szCs w:val="21"/>
                      <w:highlight w:val="none"/>
                      <w:lang w:val="en-US" w:eastAsia="zh-CN" w:bidi="ar-SA"/>
                    </w:rPr>
                  </w:pPr>
                  <w:r>
                    <w:rPr>
                      <w:rFonts w:hint="default" w:ascii="Times New Roman" w:hAnsi="Times New Roman" w:eastAsia="宋体" w:cs="Times New Roman"/>
                      <w:b w:val="0"/>
                      <w:bCs/>
                      <w:color w:val="00B050"/>
                      <w:spacing w:val="0"/>
                      <w:kern w:val="0"/>
                      <w:sz w:val="21"/>
                      <w:szCs w:val="21"/>
                      <w:lang w:val="en-US" w:eastAsia="zh-CN" w:bidi="ar-SA"/>
                    </w:rPr>
                    <w:t>98%日平均质量浓度</w:t>
                  </w:r>
                </w:p>
              </w:tc>
              <w:tc>
                <w:tcPr>
                  <w:tcW w:w="727" w:type="pct"/>
                  <w:noWrap w:val="0"/>
                  <w:vAlign w:val="center"/>
                </w:tcPr>
                <w:p w14:paraId="1DC13C87">
                  <w:pPr>
                    <w:keepNext w:val="0"/>
                    <w:keepLines w:val="0"/>
                    <w:widowControl w:val="0"/>
                    <w:suppressLineNumbers w:val="0"/>
                    <w:bidi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b w:val="0"/>
                      <w:bCs/>
                      <w:color w:val="00B050"/>
                      <w:spacing w:val="0"/>
                      <w:kern w:val="2"/>
                      <w:sz w:val="21"/>
                      <w:szCs w:val="21"/>
                      <w:highlight w:val="none"/>
                      <w:lang w:val="en-US" w:eastAsia="zh-CN" w:bidi="ar-SA"/>
                    </w:rPr>
                  </w:pPr>
                  <w:r>
                    <w:rPr>
                      <w:rFonts w:hint="default" w:ascii="Times New Roman" w:hAnsi="Times New Roman" w:eastAsia="宋体" w:cs="Times New Roman"/>
                      <w:bCs w:val="0"/>
                      <w:color w:val="00B050"/>
                      <w:spacing w:val="0"/>
                      <w:kern w:val="2"/>
                      <w:sz w:val="21"/>
                      <w:szCs w:val="21"/>
                      <w:highlight w:val="none"/>
                      <w:lang w:val="en-US" w:eastAsia="zh-CN" w:bidi="ar-SA"/>
                    </w:rPr>
                    <w:t>25</w:t>
                  </w:r>
                </w:p>
              </w:tc>
              <w:tc>
                <w:tcPr>
                  <w:tcW w:w="664" w:type="pct"/>
                  <w:noWrap w:val="0"/>
                  <w:vAlign w:val="center"/>
                </w:tcPr>
                <w:p w14:paraId="1CFCAEA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color w:val="00B050"/>
                      <w:sz w:val="21"/>
                      <w:szCs w:val="21"/>
                      <w:highlight w:val="none"/>
                    </w:rPr>
                  </w:pPr>
                  <w:r>
                    <w:rPr>
                      <w:rFonts w:hint="default" w:ascii="Times New Roman" w:hAnsi="Times New Roman" w:eastAsia="宋体" w:cs="Times New Roman"/>
                      <w:b w:val="0"/>
                      <w:bCs/>
                      <w:color w:val="00B050"/>
                      <w:sz w:val="21"/>
                      <w:szCs w:val="21"/>
                    </w:rPr>
                    <w:t>80</w:t>
                  </w:r>
                </w:p>
              </w:tc>
              <w:tc>
                <w:tcPr>
                  <w:tcW w:w="689" w:type="pct"/>
                  <w:noWrap w:val="0"/>
                  <w:vAlign w:val="center"/>
                </w:tcPr>
                <w:p w14:paraId="5EDB35C0">
                  <w:pPr>
                    <w:keepNext w:val="0"/>
                    <w:keepLines w:val="0"/>
                    <w:widowControl w:val="0"/>
                    <w:suppressLineNumbers w:val="0"/>
                    <w:bidi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b w:val="0"/>
                      <w:bCs/>
                      <w:color w:val="00B050"/>
                      <w:spacing w:val="0"/>
                      <w:kern w:val="2"/>
                      <w:sz w:val="21"/>
                      <w:szCs w:val="21"/>
                      <w:highlight w:val="none"/>
                      <w:lang w:val="en-US" w:eastAsia="zh-CN" w:bidi="ar-SA"/>
                    </w:rPr>
                  </w:pPr>
                  <w:r>
                    <w:rPr>
                      <w:rFonts w:hint="default" w:ascii="Times New Roman" w:hAnsi="Times New Roman" w:eastAsia="宋体" w:cs="Times New Roman"/>
                      <w:bCs w:val="0"/>
                      <w:color w:val="00B050"/>
                      <w:spacing w:val="0"/>
                      <w:kern w:val="2"/>
                      <w:sz w:val="21"/>
                      <w:szCs w:val="21"/>
                      <w:highlight w:val="none"/>
                      <w:lang w:val="en-US" w:eastAsia="zh-CN" w:bidi="ar-SA"/>
                    </w:rPr>
                    <w:t>31.25%</w:t>
                  </w:r>
                </w:p>
              </w:tc>
              <w:tc>
                <w:tcPr>
                  <w:tcW w:w="678" w:type="pct"/>
                  <w:noWrap w:val="0"/>
                  <w:vAlign w:val="center"/>
                </w:tcPr>
                <w:p w14:paraId="72E963E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00B050"/>
                      <w:sz w:val="21"/>
                      <w:szCs w:val="21"/>
                      <w:highlight w:val="none"/>
                    </w:rPr>
                  </w:pPr>
                  <w:r>
                    <w:rPr>
                      <w:rFonts w:hint="default" w:ascii="Times New Roman" w:hAnsi="Times New Roman" w:eastAsia="宋体" w:cs="Times New Roman"/>
                      <w:b w:val="0"/>
                      <w:bCs/>
                      <w:color w:val="00B050"/>
                      <w:sz w:val="21"/>
                      <w:szCs w:val="21"/>
                      <w:highlight w:val="none"/>
                    </w:rPr>
                    <w:t>达标</w:t>
                  </w:r>
                </w:p>
              </w:tc>
            </w:tr>
            <w:tr w14:paraId="6300A3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2" w:type="pct"/>
                  <w:vMerge w:val="restart"/>
                  <w:noWrap w:val="0"/>
                  <w:vAlign w:val="center"/>
                </w:tcPr>
                <w:p w14:paraId="4570C13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00B050"/>
                      <w:sz w:val="21"/>
                      <w:szCs w:val="21"/>
                      <w:highlight w:val="none"/>
                    </w:rPr>
                  </w:pPr>
                  <w:r>
                    <w:rPr>
                      <w:rFonts w:hint="default" w:ascii="Times New Roman" w:hAnsi="Times New Roman" w:eastAsia="宋体" w:cs="Times New Roman"/>
                      <w:b w:val="0"/>
                      <w:bCs/>
                      <w:color w:val="00B050"/>
                      <w:sz w:val="21"/>
                      <w:szCs w:val="21"/>
                      <w:highlight w:val="none"/>
                    </w:rPr>
                    <w:t>PM</w:t>
                  </w:r>
                  <w:r>
                    <w:rPr>
                      <w:rFonts w:hint="default" w:ascii="Times New Roman" w:hAnsi="Times New Roman" w:eastAsia="宋体" w:cs="Times New Roman"/>
                      <w:b w:val="0"/>
                      <w:bCs/>
                      <w:color w:val="00B050"/>
                      <w:sz w:val="21"/>
                      <w:szCs w:val="21"/>
                      <w:highlight w:val="none"/>
                      <w:vertAlign w:val="subscript"/>
                    </w:rPr>
                    <w:t>10</w:t>
                  </w:r>
                </w:p>
              </w:tc>
              <w:tc>
                <w:tcPr>
                  <w:tcW w:w="1728" w:type="pct"/>
                  <w:noWrap w:val="0"/>
                  <w:vAlign w:val="center"/>
                </w:tcPr>
                <w:p w14:paraId="5A963EA5">
                  <w:pPr>
                    <w:keepNext w:val="0"/>
                    <w:keepLines w:val="0"/>
                    <w:pageBreakBefore w:val="0"/>
                    <w:widowControl w:val="0"/>
                    <w:suppressLineNumbers w:val="0"/>
                    <w:tabs>
                      <w:tab w:val="left" w:pos="5327"/>
                      <w:tab w:val="left" w:pos="6326"/>
                      <w:tab w:val="left" w:pos="7230"/>
                      <w:tab w:val="left" w:pos="9301"/>
                    </w:tabs>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00B050"/>
                      <w:spacing w:val="0"/>
                      <w:kern w:val="0"/>
                      <w:sz w:val="21"/>
                      <w:szCs w:val="21"/>
                      <w:highlight w:val="none"/>
                      <w:lang w:val="en-US" w:eastAsia="zh-CN" w:bidi="ar-SA"/>
                    </w:rPr>
                  </w:pPr>
                  <w:r>
                    <w:rPr>
                      <w:rFonts w:hint="default" w:ascii="Times New Roman" w:hAnsi="Times New Roman" w:eastAsia="宋体" w:cs="Times New Roman"/>
                      <w:b w:val="0"/>
                      <w:bCs/>
                      <w:color w:val="00B050"/>
                      <w:spacing w:val="0"/>
                      <w:kern w:val="0"/>
                      <w:sz w:val="21"/>
                      <w:szCs w:val="21"/>
                      <w:lang w:val="en-US" w:eastAsia="zh-CN" w:bidi="ar-SA"/>
                    </w:rPr>
                    <w:t>年平均质量浓度</w:t>
                  </w:r>
                </w:p>
              </w:tc>
              <w:tc>
                <w:tcPr>
                  <w:tcW w:w="727" w:type="pct"/>
                  <w:noWrap w:val="0"/>
                  <w:vAlign w:val="center"/>
                </w:tcPr>
                <w:p w14:paraId="7EF7C934">
                  <w:pPr>
                    <w:keepNext w:val="0"/>
                    <w:keepLines w:val="0"/>
                    <w:widowControl w:val="0"/>
                    <w:suppressLineNumbers w:val="0"/>
                    <w:bidi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b w:val="0"/>
                      <w:bCs/>
                      <w:color w:val="00B050"/>
                      <w:spacing w:val="0"/>
                      <w:kern w:val="2"/>
                      <w:sz w:val="21"/>
                      <w:szCs w:val="21"/>
                      <w:highlight w:val="none"/>
                      <w:lang w:val="en-US" w:eastAsia="zh-CN" w:bidi="ar-SA"/>
                    </w:rPr>
                  </w:pPr>
                  <w:r>
                    <w:rPr>
                      <w:rFonts w:hint="default" w:ascii="Times New Roman" w:hAnsi="Times New Roman" w:eastAsia="宋体" w:cs="Times New Roman"/>
                      <w:bCs w:val="0"/>
                      <w:color w:val="00B050"/>
                      <w:spacing w:val="0"/>
                      <w:kern w:val="2"/>
                      <w:sz w:val="21"/>
                      <w:szCs w:val="21"/>
                      <w:highlight w:val="none"/>
                      <w:lang w:val="en-US" w:eastAsia="zh-CN" w:bidi="ar-SA"/>
                    </w:rPr>
                    <w:t>29.44</w:t>
                  </w:r>
                </w:p>
              </w:tc>
              <w:tc>
                <w:tcPr>
                  <w:tcW w:w="664" w:type="pct"/>
                  <w:noWrap w:val="0"/>
                  <w:vAlign w:val="center"/>
                </w:tcPr>
                <w:p w14:paraId="428FFD17">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color w:val="00B050"/>
                      <w:sz w:val="21"/>
                      <w:szCs w:val="21"/>
                      <w:highlight w:val="none"/>
                    </w:rPr>
                  </w:pPr>
                  <w:r>
                    <w:rPr>
                      <w:rFonts w:hint="default" w:ascii="Times New Roman" w:hAnsi="Times New Roman" w:eastAsia="宋体" w:cs="Times New Roman"/>
                      <w:b w:val="0"/>
                      <w:bCs/>
                      <w:color w:val="00B050"/>
                      <w:sz w:val="21"/>
                      <w:szCs w:val="21"/>
                    </w:rPr>
                    <w:t>70</w:t>
                  </w:r>
                </w:p>
              </w:tc>
              <w:tc>
                <w:tcPr>
                  <w:tcW w:w="689" w:type="pct"/>
                  <w:noWrap w:val="0"/>
                  <w:vAlign w:val="center"/>
                </w:tcPr>
                <w:p w14:paraId="06A60712">
                  <w:pPr>
                    <w:keepNext w:val="0"/>
                    <w:keepLines w:val="0"/>
                    <w:widowControl w:val="0"/>
                    <w:suppressLineNumbers w:val="0"/>
                    <w:bidi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b w:val="0"/>
                      <w:bCs/>
                      <w:color w:val="00B050"/>
                      <w:spacing w:val="0"/>
                      <w:kern w:val="2"/>
                      <w:sz w:val="21"/>
                      <w:szCs w:val="21"/>
                      <w:highlight w:val="none"/>
                      <w:lang w:val="en-US" w:eastAsia="zh-CN" w:bidi="ar-SA"/>
                    </w:rPr>
                  </w:pPr>
                  <w:r>
                    <w:rPr>
                      <w:rFonts w:hint="default" w:ascii="Times New Roman" w:hAnsi="Times New Roman" w:eastAsia="宋体" w:cs="Times New Roman"/>
                      <w:bCs w:val="0"/>
                      <w:color w:val="00B050"/>
                      <w:spacing w:val="0"/>
                      <w:kern w:val="2"/>
                      <w:sz w:val="21"/>
                      <w:szCs w:val="21"/>
                      <w:highlight w:val="none"/>
                      <w:lang w:val="en-US" w:eastAsia="zh-CN" w:bidi="ar-SA"/>
                    </w:rPr>
                    <w:t>42.05%</w:t>
                  </w:r>
                </w:p>
              </w:tc>
              <w:tc>
                <w:tcPr>
                  <w:tcW w:w="678" w:type="pct"/>
                  <w:noWrap w:val="0"/>
                  <w:vAlign w:val="center"/>
                </w:tcPr>
                <w:p w14:paraId="728BBE4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00B050"/>
                      <w:sz w:val="21"/>
                      <w:szCs w:val="21"/>
                      <w:highlight w:val="none"/>
                    </w:rPr>
                  </w:pPr>
                  <w:r>
                    <w:rPr>
                      <w:rFonts w:hint="default" w:ascii="Times New Roman" w:hAnsi="Times New Roman" w:eastAsia="宋体" w:cs="Times New Roman"/>
                      <w:b w:val="0"/>
                      <w:bCs/>
                      <w:color w:val="00B050"/>
                      <w:sz w:val="21"/>
                      <w:szCs w:val="21"/>
                      <w:highlight w:val="none"/>
                    </w:rPr>
                    <w:t>达标</w:t>
                  </w:r>
                </w:p>
              </w:tc>
            </w:tr>
            <w:tr w14:paraId="1F9B7C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2" w:type="pct"/>
                  <w:vMerge w:val="continue"/>
                  <w:noWrap w:val="0"/>
                  <w:vAlign w:val="center"/>
                </w:tcPr>
                <w:p w14:paraId="4F1705F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00B050"/>
                      <w:sz w:val="21"/>
                      <w:szCs w:val="21"/>
                      <w:highlight w:val="none"/>
                    </w:rPr>
                  </w:pPr>
                </w:p>
              </w:tc>
              <w:tc>
                <w:tcPr>
                  <w:tcW w:w="1728" w:type="pct"/>
                  <w:noWrap w:val="0"/>
                  <w:vAlign w:val="center"/>
                </w:tcPr>
                <w:p w14:paraId="2C16F8BE">
                  <w:pPr>
                    <w:keepNext w:val="0"/>
                    <w:keepLines w:val="0"/>
                    <w:pageBreakBefore w:val="0"/>
                    <w:widowControl w:val="0"/>
                    <w:suppressLineNumbers w:val="0"/>
                    <w:tabs>
                      <w:tab w:val="left" w:pos="5327"/>
                      <w:tab w:val="left" w:pos="6326"/>
                      <w:tab w:val="left" w:pos="7230"/>
                      <w:tab w:val="left" w:pos="9301"/>
                    </w:tabs>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00B050"/>
                      <w:spacing w:val="0"/>
                      <w:kern w:val="0"/>
                      <w:sz w:val="21"/>
                      <w:szCs w:val="21"/>
                      <w:highlight w:val="none"/>
                      <w:lang w:val="en-US" w:eastAsia="zh-CN" w:bidi="ar-SA"/>
                    </w:rPr>
                  </w:pPr>
                  <w:r>
                    <w:rPr>
                      <w:rFonts w:hint="default" w:ascii="Times New Roman" w:hAnsi="Times New Roman" w:eastAsia="宋体" w:cs="Times New Roman"/>
                      <w:b w:val="0"/>
                      <w:bCs/>
                      <w:color w:val="00B050"/>
                      <w:spacing w:val="0"/>
                      <w:kern w:val="0"/>
                      <w:sz w:val="21"/>
                      <w:szCs w:val="21"/>
                      <w:lang w:val="en-US" w:eastAsia="zh-CN" w:bidi="ar-SA"/>
                    </w:rPr>
                    <w:t>95%日平均质量浓度</w:t>
                  </w:r>
                </w:p>
              </w:tc>
              <w:tc>
                <w:tcPr>
                  <w:tcW w:w="727" w:type="pct"/>
                  <w:noWrap w:val="0"/>
                  <w:vAlign w:val="center"/>
                </w:tcPr>
                <w:p w14:paraId="34DAD8A1">
                  <w:pPr>
                    <w:keepNext w:val="0"/>
                    <w:keepLines w:val="0"/>
                    <w:widowControl w:val="0"/>
                    <w:suppressLineNumbers w:val="0"/>
                    <w:bidi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b w:val="0"/>
                      <w:bCs/>
                      <w:color w:val="00B050"/>
                      <w:spacing w:val="0"/>
                      <w:kern w:val="2"/>
                      <w:sz w:val="21"/>
                      <w:szCs w:val="21"/>
                      <w:highlight w:val="none"/>
                      <w:lang w:val="en-US" w:eastAsia="zh-CN" w:bidi="ar-SA"/>
                    </w:rPr>
                  </w:pPr>
                  <w:r>
                    <w:rPr>
                      <w:rFonts w:hint="default" w:ascii="Times New Roman" w:hAnsi="Times New Roman" w:eastAsia="宋体" w:cs="Times New Roman"/>
                      <w:bCs w:val="0"/>
                      <w:color w:val="00B050"/>
                      <w:spacing w:val="0"/>
                      <w:kern w:val="2"/>
                      <w:sz w:val="21"/>
                      <w:szCs w:val="21"/>
                      <w:highlight w:val="none"/>
                      <w:lang w:val="en-US" w:eastAsia="zh-CN" w:bidi="ar-SA"/>
                    </w:rPr>
                    <w:t>64</w:t>
                  </w:r>
                </w:p>
              </w:tc>
              <w:tc>
                <w:tcPr>
                  <w:tcW w:w="664" w:type="pct"/>
                  <w:noWrap w:val="0"/>
                  <w:vAlign w:val="center"/>
                </w:tcPr>
                <w:p w14:paraId="157284C0">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color w:val="00B050"/>
                      <w:sz w:val="21"/>
                      <w:szCs w:val="21"/>
                      <w:highlight w:val="none"/>
                    </w:rPr>
                  </w:pPr>
                  <w:r>
                    <w:rPr>
                      <w:rFonts w:hint="default" w:ascii="Times New Roman" w:hAnsi="Times New Roman" w:eastAsia="宋体" w:cs="Times New Roman"/>
                      <w:b w:val="0"/>
                      <w:bCs/>
                      <w:color w:val="00B050"/>
                      <w:sz w:val="21"/>
                      <w:szCs w:val="21"/>
                    </w:rPr>
                    <w:t>150</w:t>
                  </w:r>
                </w:p>
              </w:tc>
              <w:tc>
                <w:tcPr>
                  <w:tcW w:w="689" w:type="pct"/>
                  <w:noWrap w:val="0"/>
                  <w:vAlign w:val="center"/>
                </w:tcPr>
                <w:p w14:paraId="02A6F8E9">
                  <w:pPr>
                    <w:keepNext w:val="0"/>
                    <w:keepLines w:val="0"/>
                    <w:widowControl w:val="0"/>
                    <w:suppressLineNumbers w:val="0"/>
                    <w:bidi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b w:val="0"/>
                      <w:bCs/>
                      <w:color w:val="00B050"/>
                      <w:spacing w:val="0"/>
                      <w:kern w:val="2"/>
                      <w:sz w:val="21"/>
                      <w:szCs w:val="21"/>
                      <w:highlight w:val="none"/>
                      <w:lang w:val="en-US" w:eastAsia="zh-CN" w:bidi="ar-SA"/>
                    </w:rPr>
                  </w:pPr>
                  <w:r>
                    <w:rPr>
                      <w:rFonts w:hint="default" w:ascii="Times New Roman" w:hAnsi="Times New Roman" w:eastAsia="宋体" w:cs="Times New Roman"/>
                      <w:bCs w:val="0"/>
                      <w:color w:val="00B050"/>
                      <w:spacing w:val="0"/>
                      <w:kern w:val="2"/>
                      <w:sz w:val="21"/>
                      <w:szCs w:val="21"/>
                      <w:highlight w:val="none"/>
                      <w:lang w:val="en-US" w:eastAsia="zh-CN" w:bidi="ar-SA"/>
                    </w:rPr>
                    <w:t>42.67%</w:t>
                  </w:r>
                </w:p>
              </w:tc>
              <w:tc>
                <w:tcPr>
                  <w:tcW w:w="678" w:type="pct"/>
                  <w:noWrap w:val="0"/>
                  <w:vAlign w:val="center"/>
                </w:tcPr>
                <w:p w14:paraId="3A0593F7">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00B050"/>
                      <w:sz w:val="21"/>
                      <w:szCs w:val="21"/>
                      <w:highlight w:val="none"/>
                    </w:rPr>
                  </w:pPr>
                  <w:r>
                    <w:rPr>
                      <w:rFonts w:hint="default" w:ascii="Times New Roman" w:hAnsi="Times New Roman" w:eastAsia="宋体" w:cs="Times New Roman"/>
                      <w:b w:val="0"/>
                      <w:bCs/>
                      <w:color w:val="00B050"/>
                      <w:sz w:val="21"/>
                      <w:szCs w:val="21"/>
                      <w:highlight w:val="none"/>
                    </w:rPr>
                    <w:t>达标</w:t>
                  </w:r>
                </w:p>
              </w:tc>
            </w:tr>
            <w:tr w14:paraId="632CAC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2" w:type="pct"/>
                  <w:vMerge w:val="restart"/>
                  <w:noWrap w:val="0"/>
                  <w:vAlign w:val="center"/>
                </w:tcPr>
                <w:p w14:paraId="7C410707">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00B050"/>
                      <w:sz w:val="21"/>
                      <w:szCs w:val="21"/>
                      <w:highlight w:val="none"/>
                    </w:rPr>
                  </w:pPr>
                  <w:r>
                    <w:rPr>
                      <w:rFonts w:hint="default" w:ascii="Times New Roman" w:hAnsi="Times New Roman" w:eastAsia="宋体" w:cs="Times New Roman"/>
                      <w:b w:val="0"/>
                      <w:bCs/>
                      <w:color w:val="00B050"/>
                      <w:sz w:val="21"/>
                      <w:szCs w:val="21"/>
                      <w:highlight w:val="none"/>
                    </w:rPr>
                    <w:t>PM</w:t>
                  </w:r>
                  <w:r>
                    <w:rPr>
                      <w:rFonts w:hint="default" w:ascii="Times New Roman" w:hAnsi="Times New Roman" w:eastAsia="宋体" w:cs="Times New Roman"/>
                      <w:b w:val="0"/>
                      <w:bCs/>
                      <w:color w:val="00B050"/>
                      <w:sz w:val="21"/>
                      <w:szCs w:val="21"/>
                      <w:highlight w:val="none"/>
                      <w:vertAlign w:val="subscript"/>
                    </w:rPr>
                    <w:t>2.5</w:t>
                  </w:r>
                </w:p>
              </w:tc>
              <w:tc>
                <w:tcPr>
                  <w:tcW w:w="1728" w:type="pct"/>
                  <w:noWrap w:val="0"/>
                  <w:vAlign w:val="center"/>
                </w:tcPr>
                <w:p w14:paraId="1AB38709">
                  <w:pPr>
                    <w:keepNext w:val="0"/>
                    <w:keepLines w:val="0"/>
                    <w:pageBreakBefore w:val="0"/>
                    <w:widowControl w:val="0"/>
                    <w:suppressLineNumbers w:val="0"/>
                    <w:tabs>
                      <w:tab w:val="left" w:pos="5327"/>
                      <w:tab w:val="left" w:pos="6326"/>
                      <w:tab w:val="left" w:pos="7230"/>
                      <w:tab w:val="left" w:pos="9301"/>
                    </w:tabs>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00B050"/>
                      <w:spacing w:val="0"/>
                      <w:kern w:val="0"/>
                      <w:sz w:val="21"/>
                      <w:szCs w:val="21"/>
                      <w:highlight w:val="none"/>
                      <w:lang w:val="en-US" w:eastAsia="zh-CN" w:bidi="ar-SA"/>
                    </w:rPr>
                  </w:pPr>
                  <w:r>
                    <w:rPr>
                      <w:rFonts w:hint="default" w:ascii="Times New Roman" w:hAnsi="Times New Roman" w:eastAsia="宋体" w:cs="Times New Roman"/>
                      <w:b w:val="0"/>
                      <w:bCs/>
                      <w:color w:val="00B050"/>
                      <w:spacing w:val="0"/>
                      <w:kern w:val="0"/>
                      <w:sz w:val="21"/>
                      <w:szCs w:val="21"/>
                      <w:lang w:val="en-US" w:eastAsia="zh-CN" w:bidi="ar-SA"/>
                    </w:rPr>
                    <w:t>年平均质量浓度</w:t>
                  </w:r>
                </w:p>
              </w:tc>
              <w:tc>
                <w:tcPr>
                  <w:tcW w:w="727" w:type="pct"/>
                  <w:noWrap w:val="0"/>
                  <w:vAlign w:val="center"/>
                </w:tcPr>
                <w:p w14:paraId="77A11F49">
                  <w:pPr>
                    <w:keepNext w:val="0"/>
                    <w:keepLines w:val="0"/>
                    <w:widowControl w:val="0"/>
                    <w:suppressLineNumbers w:val="0"/>
                    <w:bidi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b w:val="0"/>
                      <w:bCs/>
                      <w:color w:val="00B050"/>
                      <w:spacing w:val="0"/>
                      <w:kern w:val="2"/>
                      <w:sz w:val="21"/>
                      <w:szCs w:val="21"/>
                      <w:highlight w:val="none"/>
                      <w:lang w:val="en-US" w:eastAsia="zh-CN" w:bidi="ar-SA"/>
                    </w:rPr>
                  </w:pPr>
                  <w:r>
                    <w:rPr>
                      <w:rFonts w:hint="default" w:ascii="Times New Roman" w:hAnsi="Times New Roman" w:eastAsia="宋体" w:cs="Times New Roman"/>
                      <w:bCs w:val="0"/>
                      <w:color w:val="00B050"/>
                      <w:spacing w:val="0"/>
                      <w:kern w:val="2"/>
                      <w:sz w:val="21"/>
                      <w:szCs w:val="21"/>
                      <w:highlight w:val="none"/>
                      <w:lang w:val="en-US" w:eastAsia="zh-CN" w:bidi="ar-SA"/>
                    </w:rPr>
                    <w:t>20.14</w:t>
                  </w:r>
                </w:p>
              </w:tc>
              <w:tc>
                <w:tcPr>
                  <w:tcW w:w="664" w:type="pct"/>
                  <w:noWrap w:val="0"/>
                  <w:vAlign w:val="center"/>
                </w:tcPr>
                <w:p w14:paraId="3E3CF94A">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color w:val="00B050"/>
                      <w:sz w:val="21"/>
                      <w:szCs w:val="21"/>
                      <w:highlight w:val="none"/>
                    </w:rPr>
                  </w:pPr>
                  <w:r>
                    <w:rPr>
                      <w:rFonts w:hint="default" w:ascii="Times New Roman" w:hAnsi="Times New Roman" w:eastAsia="宋体" w:cs="Times New Roman"/>
                      <w:b w:val="0"/>
                      <w:bCs/>
                      <w:color w:val="00B050"/>
                      <w:sz w:val="21"/>
                      <w:szCs w:val="21"/>
                    </w:rPr>
                    <w:t>35</w:t>
                  </w:r>
                </w:p>
              </w:tc>
              <w:tc>
                <w:tcPr>
                  <w:tcW w:w="689" w:type="pct"/>
                  <w:noWrap w:val="0"/>
                  <w:vAlign w:val="center"/>
                </w:tcPr>
                <w:p w14:paraId="272B0B31">
                  <w:pPr>
                    <w:keepNext w:val="0"/>
                    <w:keepLines w:val="0"/>
                    <w:widowControl w:val="0"/>
                    <w:suppressLineNumbers w:val="0"/>
                    <w:bidi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b w:val="0"/>
                      <w:bCs/>
                      <w:color w:val="00B050"/>
                      <w:spacing w:val="0"/>
                      <w:kern w:val="2"/>
                      <w:sz w:val="21"/>
                      <w:szCs w:val="21"/>
                      <w:highlight w:val="none"/>
                      <w:lang w:val="en-US" w:eastAsia="zh-CN" w:bidi="ar-SA"/>
                    </w:rPr>
                  </w:pPr>
                  <w:r>
                    <w:rPr>
                      <w:rFonts w:hint="default" w:ascii="Times New Roman" w:hAnsi="Times New Roman" w:eastAsia="宋体" w:cs="Times New Roman"/>
                      <w:bCs w:val="0"/>
                      <w:color w:val="00B050"/>
                      <w:spacing w:val="0"/>
                      <w:kern w:val="2"/>
                      <w:sz w:val="21"/>
                      <w:szCs w:val="21"/>
                      <w:highlight w:val="none"/>
                      <w:lang w:val="en-US" w:eastAsia="zh-CN" w:bidi="ar-SA"/>
                    </w:rPr>
                    <w:t>57.54%</w:t>
                  </w:r>
                </w:p>
              </w:tc>
              <w:tc>
                <w:tcPr>
                  <w:tcW w:w="678" w:type="pct"/>
                  <w:noWrap w:val="0"/>
                  <w:vAlign w:val="center"/>
                </w:tcPr>
                <w:p w14:paraId="599B3197">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00B050"/>
                      <w:sz w:val="21"/>
                      <w:szCs w:val="21"/>
                      <w:highlight w:val="none"/>
                    </w:rPr>
                  </w:pPr>
                  <w:r>
                    <w:rPr>
                      <w:rFonts w:hint="default" w:ascii="Times New Roman" w:hAnsi="Times New Roman" w:eastAsia="宋体" w:cs="Times New Roman"/>
                      <w:b w:val="0"/>
                      <w:bCs/>
                      <w:color w:val="00B050"/>
                      <w:sz w:val="21"/>
                      <w:szCs w:val="21"/>
                      <w:highlight w:val="none"/>
                    </w:rPr>
                    <w:t>达标</w:t>
                  </w:r>
                </w:p>
              </w:tc>
            </w:tr>
            <w:tr w14:paraId="4FE511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2" w:type="pct"/>
                  <w:vMerge w:val="continue"/>
                  <w:noWrap w:val="0"/>
                  <w:vAlign w:val="center"/>
                </w:tcPr>
                <w:p w14:paraId="5CC9D326">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00B050"/>
                      <w:sz w:val="21"/>
                      <w:szCs w:val="21"/>
                      <w:highlight w:val="none"/>
                    </w:rPr>
                  </w:pPr>
                </w:p>
              </w:tc>
              <w:tc>
                <w:tcPr>
                  <w:tcW w:w="1728" w:type="pct"/>
                  <w:noWrap w:val="0"/>
                  <w:vAlign w:val="center"/>
                </w:tcPr>
                <w:p w14:paraId="7CC77F2D">
                  <w:pPr>
                    <w:keepNext w:val="0"/>
                    <w:keepLines w:val="0"/>
                    <w:pageBreakBefore w:val="0"/>
                    <w:widowControl w:val="0"/>
                    <w:suppressLineNumbers w:val="0"/>
                    <w:tabs>
                      <w:tab w:val="left" w:pos="5327"/>
                      <w:tab w:val="left" w:pos="6326"/>
                      <w:tab w:val="left" w:pos="7230"/>
                      <w:tab w:val="left" w:pos="9301"/>
                    </w:tabs>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00B050"/>
                      <w:spacing w:val="0"/>
                      <w:kern w:val="0"/>
                      <w:sz w:val="21"/>
                      <w:szCs w:val="21"/>
                      <w:highlight w:val="none"/>
                      <w:lang w:val="en-US" w:eastAsia="zh-CN" w:bidi="ar-SA"/>
                    </w:rPr>
                  </w:pPr>
                  <w:r>
                    <w:rPr>
                      <w:rFonts w:hint="default" w:ascii="Times New Roman" w:hAnsi="Times New Roman" w:eastAsia="宋体" w:cs="Times New Roman"/>
                      <w:b w:val="0"/>
                      <w:bCs/>
                      <w:color w:val="00B050"/>
                      <w:spacing w:val="0"/>
                      <w:kern w:val="0"/>
                      <w:sz w:val="21"/>
                      <w:szCs w:val="21"/>
                      <w:lang w:val="en-US" w:eastAsia="zh-CN" w:bidi="ar-SA"/>
                    </w:rPr>
                    <w:t>95%日平均质量浓度</w:t>
                  </w:r>
                </w:p>
              </w:tc>
              <w:tc>
                <w:tcPr>
                  <w:tcW w:w="727" w:type="pct"/>
                  <w:noWrap w:val="0"/>
                  <w:vAlign w:val="center"/>
                </w:tcPr>
                <w:p w14:paraId="00570A51">
                  <w:pPr>
                    <w:keepNext w:val="0"/>
                    <w:keepLines w:val="0"/>
                    <w:widowControl w:val="0"/>
                    <w:suppressLineNumbers w:val="0"/>
                    <w:bidi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b w:val="0"/>
                      <w:bCs/>
                      <w:color w:val="00B050"/>
                      <w:spacing w:val="0"/>
                      <w:kern w:val="2"/>
                      <w:sz w:val="21"/>
                      <w:szCs w:val="21"/>
                      <w:highlight w:val="none"/>
                      <w:lang w:val="en-US" w:eastAsia="zh-CN" w:bidi="ar-SA"/>
                    </w:rPr>
                  </w:pPr>
                  <w:r>
                    <w:rPr>
                      <w:rFonts w:hint="default" w:ascii="Times New Roman" w:hAnsi="Times New Roman" w:eastAsia="宋体" w:cs="Times New Roman"/>
                      <w:bCs w:val="0"/>
                      <w:color w:val="00B050"/>
                      <w:spacing w:val="0"/>
                      <w:kern w:val="2"/>
                      <w:sz w:val="21"/>
                      <w:szCs w:val="21"/>
                      <w:highlight w:val="none"/>
                      <w:lang w:val="en-US" w:eastAsia="zh-CN" w:bidi="ar-SA"/>
                    </w:rPr>
                    <w:t>48</w:t>
                  </w:r>
                </w:p>
              </w:tc>
              <w:tc>
                <w:tcPr>
                  <w:tcW w:w="664" w:type="pct"/>
                  <w:noWrap w:val="0"/>
                  <w:vAlign w:val="center"/>
                </w:tcPr>
                <w:p w14:paraId="26E2093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color w:val="00B050"/>
                      <w:sz w:val="21"/>
                      <w:szCs w:val="21"/>
                      <w:highlight w:val="none"/>
                    </w:rPr>
                  </w:pPr>
                  <w:r>
                    <w:rPr>
                      <w:rFonts w:hint="default" w:ascii="Times New Roman" w:hAnsi="Times New Roman" w:eastAsia="宋体" w:cs="Times New Roman"/>
                      <w:b w:val="0"/>
                      <w:bCs/>
                      <w:color w:val="00B050"/>
                      <w:sz w:val="21"/>
                      <w:szCs w:val="21"/>
                    </w:rPr>
                    <w:t>75</w:t>
                  </w:r>
                </w:p>
              </w:tc>
              <w:tc>
                <w:tcPr>
                  <w:tcW w:w="689" w:type="pct"/>
                  <w:noWrap w:val="0"/>
                  <w:vAlign w:val="center"/>
                </w:tcPr>
                <w:p w14:paraId="113145B7">
                  <w:pPr>
                    <w:keepNext w:val="0"/>
                    <w:keepLines w:val="0"/>
                    <w:widowControl w:val="0"/>
                    <w:suppressLineNumbers w:val="0"/>
                    <w:bidi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b w:val="0"/>
                      <w:bCs/>
                      <w:color w:val="00B050"/>
                      <w:spacing w:val="0"/>
                      <w:kern w:val="2"/>
                      <w:sz w:val="21"/>
                      <w:szCs w:val="21"/>
                      <w:highlight w:val="none"/>
                      <w:lang w:val="en-US" w:eastAsia="zh-CN" w:bidi="ar-SA"/>
                    </w:rPr>
                  </w:pPr>
                  <w:r>
                    <w:rPr>
                      <w:rFonts w:hint="default" w:ascii="Times New Roman" w:hAnsi="Times New Roman" w:eastAsia="宋体" w:cs="Times New Roman"/>
                      <w:bCs w:val="0"/>
                      <w:color w:val="00B050"/>
                      <w:spacing w:val="0"/>
                      <w:kern w:val="2"/>
                      <w:sz w:val="21"/>
                      <w:szCs w:val="21"/>
                      <w:highlight w:val="none"/>
                      <w:lang w:val="en-US" w:eastAsia="zh-CN" w:bidi="ar-SA"/>
                    </w:rPr>
                    <w:t>64.00%</w:t>
                  </w:r>
                </w:p>
              </w:tc>
              <w:tc>
                <w:tcPr>
                  <w:tcW w:w="678" w:type="pct"/>
                  <w:noWrap w:val="0"/>
                  <w:vAlign w:val="center"/>
                </w:tcPr>
                <w:p w14:paraId="004F5F5D">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00B050"/>
                      <w:sz w:val="21"/>
                      <w:szCs w:val="21"/>
                      <w:highlight w:val="none"/>
                    </w:rPr>
                  </w:pPr>
                  <w:r>
                    <w:rPr>
                      <w:rFonts w:hint="default" w:ascii="Times New Roman" w:hAnsi="Times New Roman" w:eastAsia="宋体" w:cs="Times New Roman"/>
                      <w:b w:val="0"/>
                      <w:bCs/>
                      <w:color w:val="00B050"/>
                      <w:sz w:val="21"/>
                      <w:szCs w:val="21"/>
                      <w:highlight w:val="none"/>
                    </w:rPr>
                    <w:t>达标</w:t>
                  </w:r>
                </w:p>
              </w:tc>
            </w:tr>
            <w:tr w14:paraId="64676D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2" w:type="pct"/>
                  <w:noWrap w:val="0"/>
                  <w:vAlign w:val="center"/>
                </w:tcPr>
                <w:p w14:paraId="6C98B2C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00B050"/>
                      <w:sz w:val="21"/>
                      <w:szCs w:val="21"/>
                      <w:highlight w:val="none"/>
                    </w:rPr>
                  </w:pPr>
                  <w:r>
                    <w:rPr>
                      <w:rFonts w:hint="default" w:ascii="Times New Roman" w:hAnsi="Times New Roman" w:eastAsia="宋体" w:cs="Times New Roman"/>
                      <w:b w:val="0"/>
                      <w:bCs/>
                      <w:color w:val="00B050"/>
                      <w:sz w:val="21"/>
                      <w:szCs w:val="21"/>
                      <w:highlight w:val="none"/>
                    </w:rPr>
                    <w:t>CO</w:t>
                  </w:r>
                </w:p>
              </w:tc>
              <w:tc>
                <w:tcPr>
                  <w:tcW w:w="1728" w:type="pct"/>
                  <w:noWrap w:val="0"/>
                  <w:vAlign w:val="center"/>
                </w:tcPr>
                <w:p w14:paraId="0C919E69">
                  <w:pPr>
                    <w:keepNext w:val="0"/>
                    <w:keepLines w:val="0"/>
                    <w:pageBreakBefore w:val="0"/>
                    <w:widowControl w:val="0"/>
                    <w:suppressLineNumbers w:val="0"/>
                    <w:tabs>
                      <w:tab w:val="left" w:pos="5327"/>
                      <w:tab w:val="left" w:pos="6326"/>
                      <w:tab w:val="left" w:pos="7230"/>
                      <w:tab w:val="left" w:pos="9301"/>
                    </w:tabs>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00B050"/>
                      <w:spacing w:val="0"/>
                      <w:kern w:val="0"/>
                      <w:sz w:val="21"/>
                      <w:szCs w:val="21"/>
                      <w:highlight w:val="none"/>
                      <w:lang w:val="en-US" w:eastAsia="zh-CN" w:bidi="ar-SA"/>
                    </w:rPr>
                  </w:pPr>
                  <w:r>
                    <w:rPr>
                      <w:rFonts w:hint="default" w:ascii="Times New Roman" w:hAnsi="Times New Roman" w:eastAsia="宋体" w:cs="Times New Roman"/>
                      <w:b w:val="0"/>
                      <w:bCs/>
                      <w:color w:val="00B050"/>
                      <w:spacing w:val="0"/>
                      <w:kern w:val="0"/>
                      <w:sz w:val="21"/>
                      <w:szCs w:val="21"/>
                      <w:lang w:val="en-US" w:eastAsia="zh-CN" w:bidi="ar-SA"/>
                    </w:rPr>
                    <w:t>95%日平均质量浓度</w:t>
                  </w:r>
                </w:p>
              </w:tc>
              <w:tc>
                <w:tcPr>
                  <w:tcW w:w="727" w:type="pct"/>
                  <w:noWrap w:val="0"/>
                  <w:vAlign w:val="center"/>
                </w:tcPr>
                <w:p w14:paraId="5DBD6317">
                  <w:pPr>
                    <w:keepNext w:val="0"/>
                    <w:keepLines w:val="0"/>
                    <w:widowControl w:val="0"/>
                    <w:suppressLineNumbers w:val="0"/>
                    <w:bidi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b w:val="0"/>
                      <w:bCs/>
                      <w:color w:val="00B050"/>
                      <w:spacing w:val="0"/>
                      <w:kern w:val="2"/>
                      <w:sz w:val="21"/>
                      <w:szCs w:val="21"/>
                      <w:lang w:val="en-US" w:eastAsia="zh-CN" w:bidi="ar-SA"/>
                    </w:rPr>
                  </w:pPr>
                  <w:r>
                    <w:rPr>
                      <w:rFonts w:hint="default" w:ascii="Times New Roman" w:hAnsi="Times New Roman" w:eastAsia="宋体" w:cs="Times New Roman"/>
                      <w:bCs w:val="0"/>
                      <w:color w:val="00B050"/>
                      <w:spacing w:val="0"/>
                      <w:kern w:val="2"/>
                      <w:sz w:val="21"/>
                      <w:szCs w:val="21"/>
                      <w:highlight w:val="none"/>
                      <w:lang w:val="en-US" w:eastAsia="zh-CN" w:bidi="ar-SA"/>
                    </w:rPr>
                    <w:t>1200</w:t>
                  </w:r>
                </w:p>
              </w:tc>
              <w:tc>
                <w:tcPr>
                  <w:tcW w:w="664" w:type="pct"/>
                  <w:noWrap w:val="0"/>
                  <w:vAlign w:val="center"/>
                </w:tcPr>
                <w:p w14:paraId="40B3ADD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color w:val="00B050"/>
                      <w:sz w:val="21"/>
                      <w:szCs w:val="21"/>
                      <w:lang w:val="en-US" w:eastAsia="zh-CN"/>
                    </w:rPr>
                  </w:pPr>
                  <w:r>
                    <w:rPr>
                      <w:rFonts w:hint="default" w:ascii="Times New Roman" w:hAnsi="Times New Roman" w:eastAsia="宋体" w:cs="Times New Roman"/>
                      <w:b w:val="0"/>
                      <w:bCs/>
                      <w:color w:val="00B050"/>
                      <w:sz w:val="21"/>
                      <w:szCs w:val="21"/>
                      <w:lang w:val="en-US" w:eastAsia="zh-CN"/>
                    </w:rPr>
                    <w:t>4000</w:t>
                  </w:r>
                </w:p>
              </w:tc>
              <w:tc>
                <w:tcPr>
                  <w:tcW w:w="689" w:type="pct"/>
                  <w:noWrap w:val="0"/>
                  <w:vAlign w:val="center"/>
                </w:tcPr>
                <w:p w14:paraId="019E11A7">
                  <w:pPr>
                    <w:keepNext w:val="0"/>
                    <w:keepLines w:val="0"/>
                    <w:widowControl w:val="0"/>
                    <w:suppressLineNumbers w:val="0"/>
                    <w:bidi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b w:val="0"/>
                      <w:bCs/>
                      <w:color w:val="00B050"/>
                      <w:spacing w:val="0"/>
                      <w:kern w:val="2"/>
                      <w:sz w:val="21"/>
                      <w:szCs w:val="21"/>
                      <w:lang w:val="en-US" w:eastAsia="zh-CN" w:bidi="ar-SA"/>
                    </w:rPr>
                  </w:pPr>
                  <w:r>
                    <w:rPr>
                      <w:rFonts w:hint="default" w:ascii="Times New Roman" w:hAnsi="Times New Roman" w:eastAsia="宋体" w:cs="Times New Roman"/>
                      <w:bCs w:val="0"/>
                      <w:color w:val="00B050"/>
                      <w:spacing w:val="0"/>
                      <w:kern w:val="2"/>
                      <w:sz w:val="21"/>
                      <w:szCs w:val="21"/>
                      <w:highlight w:val="none"/>
                      <w:lang w:val="en-US" w:eastAsia="zh-CN" w:bidi="ar-SA"/>
                    </w:rPr>
                    <w:t>30.00%</w:t>
                  </w:r>
                </w:p>
              </w:tc>
              <w:tc>
                <w:tcPr>
                  <w:tcW w:w="678" w:type="pct"/>
                  <w:noWrap w:val="0"/>
                  <w:vAlign w:val="center"/>
                </w:tcPr>
                <w:p w14:paraId="48CAEDC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00B050"/>
                      <w:sz w:val="21"/>
                      <w:szCs w:val="21"/>
                      <w:highlight w:val="none"/>
                      <w:lang w:val="en-US" w:eastAsia="zh-CN"/>
                    </w:rPr>
                  </w:pPr>
                  <w:r>
                    <w:rPr>
                      <w:rFonts w:hint="default" w:ascii="Times New Roman" w:hAnsi="Times New Roman" w:eastAsia="宋体" w:cs="Times New Roman"/>
                      <w:b w:val="0"/>
                      <w:bCs/>
                      <w:color w:val="00B050"/>
                      <w:sz w:val="21"/>
                      <w:szCs w:val="21"/>
                      <w:highlight w:val="none"/>
                      <w:lang w:val="en-US" w:eastAsia="zh-CN"/>
                    </w:rPr>
                    <w:t>达标</w:t>
                  </w:r>
                </w:p>
              </w:tc>
            </w:tr>
            <w:tr w14:paraId="584668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2" w:type="pct"/>
                  <w:noWrap w:val="0"/>
                  <w:vAlign w:val="center"/>
                </w:tcPr>
                <w:p w14:paraId="6B776C5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00B050"/>
                      <w:sz w:val="21"/>
                      <w:szCs w:val="21"/>
                      <w:highlight w:val="none"/>
                    </w:rPr>
                  </w:pPr>
                  <w:r>
                    <w:rPr>
                      <w:rFonts w:hint="default" w:ascii="Times New Roman" w:hAnsi="Times New Roman" w:eastAsia="宋体" w:cs="Times New Roman"/>
                      <w:b w:val="0"/>
                      <w:bCs/>
                      <w:color w:val="00B050"/>
                      <w:sz w:val="21"/>
                      <w:szCs w:val="21"/>
                      <w:highlight w:val="none"/>
                    </w:rPr>
                    <w:t>O</w:t>
                  </w:r>
                  <w:r>
                    <w:rPr>
                      <w:rFonts w:hint="default" w:ascii="Times New Roman" w:hAnsi="Times New Roman" w:eastAsia="宋体" w:cs="Times New Roman"/>
                      <w:b w:val="0"/>
                      <w:bCs/>
                      <w:color w:val="00B050"/>
                      <w:sz w:val="21"/>
                      <w:szCs w:val="21"/>
                      <w:highlight w:val="none"/>
                      <w:vertAlign w:val="subscript"/>
                    </w:rPr>
                    <w:t>3</w:t>
                  </w:r>
                </w:p>
              </w:tc>
              <w:tc>
                <w:tcPr>
                  <w:tcW w:w="1728" w:type="pct"/>
                  <w:noWrap w:val="0"/>
                  <w:vAlign w:val="center"/>
                </w:tcPr>
                <w:p w14:paraId="4995355E">
                  <w:pPr>
                    <w:keepNext w:val="0"/>
                    <w:keepLines w:val="0"/>
                    <w:pageBreakBefore w:val="0"/>
                    <w:widowControl w:val="0"/>
                    <w:suppressLineNumbers w:val="0"/>
                    <w:tabs>
                      <w:tab w:val="left" w:pos="5327"/>
                      <w:tab w:val="left" w:pos="6326"/>
                      <w:tab w:val="left" w:pos="7230"/>
                      <w:tab w:val="left" w:pos="9301"/>
                    </w:tabs>
                    <w:kinsoku/>
                    <w:wordWrap/>
                    <w:overflowPunct/>
                    <w:topLinePunct/>
                    <w:autoSpaceDE/>
                    <w:autoSpaceDN/>
                    <w:bidi w:val="0"/>
                    <w:adjustRightInd w:val="0"/>
                    <w:snapToGrid w:val="0"/>
                    <w:spacing w:before="0" w:beforeAutospacing="0" w:after="0" w:afterAutospacing="0" w:line="320" w:lineRule="exact"/>
                    <w:ind w:left="0" w:leftChars="0" w:right="0" w:firstLine="0" w:firstLineChars="0"/>
                    <w:jc w:val="center"/>
                    <w:textAlignment w:val="auto"/>
                    <w:rPr>
                      <w:rFonts w:hint="default" w:ascii="Times New Roman" w:hAnsi="Times New Roman" w:eastAsia="宋体" w:cs="Times New Roman"/>
                      <w:b w:val="0"/>
                      <w:bCs/>
                      <w:color w:val="00B050"/>
                      <w:spacing w:val="0"/>
                      <w:kern w:val="0"/>
                      <w:sz w:val="21"/>
                      <w:szCs w:val="21"/>
                      <w:highlight w:val="none"/>
                      <w:lang w:val="en-US" w:eastAsia="zh-CN" w:bidi="ar-SA"/>
                    </w:rPr>
                  </w:pPr>
                  <w:r>
                    <w:rPr>
                      <w:rFonts w:hint="default" w:ascii="Times New Roman" w:hAnsi="Times New Roman" w:eastAsia="宋体" w:cs="Times New Roman"/>
                      <w:b w:val="0"/>
                      <w:bCs/>
                      <w:color w:val="00B050"/>
                      <w:spacing w:val="0"/>
                      <w:kern w:val="0"/>
                      <w:sz w:val="21"/>
                      <w:szCs w:val="21"/>
                      <w:lang w:val="en-US" w:eastAsia="zh-CN" w:bidi="ar-SA"/>
                    </w:rPr>
                    <w:t>90%日最大8小时平均质量浓度</w:t>
                  </w:r>
                </w:p>
              </w:tc>
              <w:tc>
                <w:tcPr>
                  <w:tcW w:w="727" w:type="pct"/>
                  <w:noWrap w:val="0"/>
                  <w:vAlign w:val="center"/>
                </w:tcPr>
                <w:p w14:paraId="0186E65B">
                  <w:pPr>
                    <w:keepNext w:val="0"/>
                    <w:keepLines w:val="0"/>
                    <w:widowControl w:val="0"/>
                    <w:suppressLineNumbers w:val="0"/>
                    <w:bidi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b w:val="0"/>
                      <w:bCs/>
                      <w:color w:val="00B050"/>
                      <w:spacing w:val="0"/>
                      <w:kern w:val="2"/>
                      <w:sz w:val="21"/>
                      <w:szCs w:val="21"/>
                      <w:lang w:val="en-US" w:eastAsia="zh-CN" w:bidi="ar-SA"/>
                    </w:rPr>
                  </w:pPr>
                  <w:r>
                    <w:rPr>
                      <w:rFonts w:hint="default" w:ascii="Times New Roman" w:hAnsi="Times New Roman" w:eastAsia="宋体" w:cs="Times New Roman"/>
                      <w:bCs w:val="0"/>
                      <w:color w:val="00B050"/>
                      <w:spacing w:val="0"/>
                      <w:kern w:val="2"/>
                      <w:sz w:val="21"/>
                      <w:szCs w:val="21"/>
                      <w:highlight w:val="none"/>
                      <w:lang w:val="en-US" w:eastAsia="zh-CN" w:bidi="ar-SA"/>
                    </w:rPr>
                    <w:t>116</w:t>
                  </w:r>
                </w:p>
              </w:tc>
              <w:tc>
                <w:tcPr>
                  <w:tcW w:w="664" w:type="pct"/>
                  <w:noWrap w:val="0"/>
                  <w:vAlign w:val="center"/>
                </w:tcPr>
                <w:p w14:paraId="6A044E9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color w:val="00B050"/>
                      <w:sz w:val="21"/>
                      <w:szCs w:val="21"/>
                    </w:rPr>
                  </w:pPr>
                  <w:r>
                    <w:rPr>
                      <w:rFonts w:hint="default" w:ascii="Times New Roman" w:hAnsi="Times New Roman" w:eastAsia="宋体" w:cs="Times New Roman"/>
                      <w:b w:val="0"/>
                      <w:bCs/>
                      <w:color w:val="00B050"/>
                      <w:sz w:val="21"/>
                      <w:szCs w:val="21"/>
                    </w:rPr>
                    <w:t>160</w:t>
                  </w:r>
                </w:p>
              </w:tc>
              <w:tc>
                <w:tcPr>
                  <w:tcW w:w="689" w:type="pct"/>
                  <w:noWrap w:val="0"/>
                  <w:vAlign w:val="center"/>
                </w:tcPr>
                <w:p w14:paraId="44ECB46E">
                  <w:pPr>
                    <w:keepNext w:val="0"/>
                    <w:keepLines w:val="0"/>
                    <w:widowControl w:val="0"/>
                    <w:suppressLineNumbers w:val="0"/>
                    <w:bidi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b w:val="0"/>
                      <w:bCs/>
                      <w:color w:val="00B050"/>
                      <w:spacing w:val="0"/>
                      <w:kern w:val="2"/>
                      <w:sz w:val="21"/>
                      <w:szCs w:val="21"/>
                      <w:lang w:val="en-US" w:eastAsia="zh-CN" w:bidi="ar-SA"/>
                    </w:rPr>
                  </w:pPr>
                  <w:r>
                    <w:rPr>
                      <w:rFonts w:hint="default" w:ascii="Times New Roman" w:hAnsi="Times New Roman" w:eastAsia="宋体" w:cs="Times New Roman"/>
                      <w:bCs w:val="0"/>
                      <w:color w:val="00B050"/>
                      <w:spacing w:val="0"/>
                      <w:kern w:val="2"/>
                      <w:sz w:val="21"/>
                      <w:szCs w:val="21"/>
                      <w:highlight w:val="none"/>
                      <w:lang w:val="en-US" w:eastAsia="zh-CN" w:bidi="ar-SA"/>
                    </w:rPr>
                    <w:t>58.00%</w:t>
                  </w:r>
                </w:p>
              </w:tc>
              <w:tc>
                <w:tcPr>
                  <w:tcW w:w="678" w:type="pct"/>
                  <w:noWrap w:val="0"/>
                  <w:vAlign w:val="center"/>
                </w:tcPr>
                <w:p w14:paraId="2C86C8E1">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00B050"/>
                      <w:sz w:val="21"/>
                      <w:szCs w:val="21"/>
                      <w:highlight w:val="none"/>
                    </w:rPr>
                  </w:pPr>
                  <w:r>
                    <w:rPr>
                      <w:rFonts w:hint="default" w:ascii="Times New Roman" w:hAnsi="Times New Roman" w:eastAsia="宋体" w:cs="Times New Roman"/>
                      <w:b w:val="0"/>
                      <w:bCs/>
                      <w:color w:val="00B050"/>
                      <w:sz w:val="21"/>
                      <w:szCs w:val="21"/>
                      <w:highlight w:val="none"/>
                    </w:rPr>
                    <w:t>达标</w:t>
                  </w:r>
                </w:p>
              </w:tc>
            </w:tr>
          </w:tbl>
          <w:p w14:paraId="61A4E3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right="0" w:firstLine="420"/>
              <w:textAlignment w:val="auto"/>
              <w:rPr>
                <w:rFonts w:hint="default" w:ascii="Times New Roman" w:hAnsi="Times New Roman" w:eastAsia="宋体" w:cs="Times New Roman"/>
                <w:bCs/>
                <w:color w:val="00B050"/>
                <w:sz w:val="21"/>
                <w:szCs w:val="21"/>
              </w:rPr>
            </w:pPr>
            <w:r>
              <w:rPr>
                <w:rFonts w:hint="default" w:ascii="Times New Roman" w:hAnsi="Times New Roman" w:eastAsia="宋体" w:cs="Times New Roman"/>
                <w:bCs/>
                <w:color w:val="00B050"/>
                <w:sz w:val="21"/>
                <w:szCs w:val="21"/>
              </w:rPr>
              <w:t>根据上表所示：202</w:t>
            </w:r>
            <w:r>
              <w:rPr>
                <w:rFonts w:hint="eastAsia" w:ascii="Times New Roman" w:hAnsi="Times New Roman" w:eastAsia="宋体" w:cs="Times New Roman"/>
                <w:bCs/>
                <w:color w:val="00B050"/>
                <w:sz w:val="21"/>
                <w:szCs w:val="21"/>
                <w:lang w:val="en-US" w:eastAsia="zh-CN"/>
              </w:rPr>
              <w:t>3</w:t>
            </w:r>
            <w:r>
              <w:rPr>
                <w:rFonts w:hint="default" w:ascii="Times New Roman" w:hAnsi="Times New Roman" w:eastAsia="宋体" w:cs="Times New Roman"/>
                <w:bCs/>
                <w:color w:val="00B050"/>
                <w:sz w:val="21"/>
                <w:szCs w:val="21"/>
              </w:rPr>
              <w:t>年通海县环境空气</w:t>
            </w:r>
            <w:r>
              <w:rPr>
                <w:rFonts w:hint="default" w:ascii="Times New Roman" w:hAnsi="Times New Roman" w:eastAsia="宋体" w:cs="Times New Roman"/>
                <w:color w:val="00B050"/>
                <w:kern w:val="0"/>
                <w:sz w:val="21"/>
                <w:szCs w:val="21"/>
              </w:rPr>
              <w:t>PM</w:t>
            </w:r>
            <w:r>
              <w:rPr>
                <w:rFonts w:hint="default" w:ascii="Times New Roman" w:hAnsi="Times New Roman" w:eastAsia="宋体" w:cs="Times New Roman"/>
                <w:color w:val="00B050"/>
                <w:kern w:val="0"/>
                <w:sz w:val="21"/>
                <w:szCs w:val="21"/>
                <w:vertAlign w:val="subscript"/>
              </w:rPr>
              <w:t>10</w:t>
            </w:r>
            <w:r>
              <w:rPr>
                <w:rFonts w:hint="default" w:ascii="Times New Roman" w:hAnsi="Times New Roman" w:eastAsia="宋体" w:cs="Times New Roman"/>
                <w:color w:val="00B050"/>
                <w:kern w:val="0"/>
                <w:sz w:val="21"/>
                <w:szCs w:val="21"/>
              </w:rPr>
              <w:t>、PM</w:t>
            </w:r>
            <w:r>
              <w:rPr>
                <w:rFonts w:hint="default" w:ascii="Times New Roman" w:hAnsi="Times New Roman" w:eastAsia="宋体" w:cs="Times New Roman"/>
                <w:color w:val="00B050"/>
                <w:kern w:val="0"/>
                <w:sz w:val="21"/>
                <w:szCs w:val="21"/>
                <w:vertAlign w:val="subscript"/>
              </w:rPr>
              <w:t>2.5</w:t>
            </w:r>
            <w:r>
              <w:rPr>
                <w:rFonts w:hint="default" w:ascii="Times New Roman" w:hAnsi="Times New Roman" w:eastAsia="宋体" w:cs="Times New Roman"/>
                <w:color w:val="00B050"/>
                <w:kern w:val="0"/>
                <w:sz w:val="21"/>
                <w:szCs w:val="21"/>
              </w:rPr>
              <w:t>、SO</w:t>
            </w:r>
            <w:r>
              <w:rPr>
                <w:rFonts w:hint="default" w:ascii="Times New Roman" w:hAnsi="Times New Roman" w:eastAsia="宋体" w:cs="Times New Roman"/>
                <w:color w:val="00B050"/>
                <w:kern w:val="0"/>
                <w:sz w:val="21"/>
                <w:szCs w:val="21"/>
                <w:vertAlign w:val="subscript"/>
              </w:rPr>
              <w:t>2</w:t>
            </w:r>
            <w:r>
              <w:rPr>
                <w:rFonts w:hint="default" w:ascii="Times New Roman" w:hAnsi="Times New Roman" w:eastAsia="宋体" w:cs="Times New Roman"/>
                <w:color w:val="00B050"/>
                <w:kern w:val="0"/>
                <w:sz w:val="21"/>
                <w:szCs w:val="21"/>
              </w:rPr>
              <w:t>、NO</w:t>
            </w:r>
            <w:r>
              <w:rPr>
                <w:rFonts w:hint="default" w:ascii="Times New Roman" w:hAnsi="Times New Roman" w:eastAsia="宋体" w:cs="Times New Roman"/>
                <w:color w:val="00B050"/>
                <w:kern w:val="0"/>
                <w:sz w:val="21"/>
                <w:szCs w:val="21"/>
                <w:vertAlign w:val="subscript"/>
              </w:rPr>
              <w:t>2</w:t>
            </w:r>
            <w:r>
              <w:rPr>
                <w:rFonts w:hint="default" w:ascii="Times New Roman" w:hAnsi="Times New Roman" w:eastAsia="宋体" w:cs="Times New Roman"/>
                <w:color w:val="00B050"/>
                <w:kern w:val="0"/>
                <w:sz w:val="21"/>
                <w:szCs w:val="21"/>
              </w:rPr>
              <w:t>、CO、O</w:t>
            </w:r>
            <w:r>
              <w:rPr>
                <w:rFonts w:hint="default" w:ascii="Times New Roman" w:hAnsi="Times New Roman" w:eastAsia="宋体" w:cs="Times New Roman"/>
                <w:color w:val="00B050"/>
                <w:kern w:val="0"/>
                <w:sz w:val="21"/>
                <w:szCs w:val="21"/>
                <w:vertAlign w:val="subscript"/>
              </w:rPr>
              <w:t>3</w:t>
            </w:r>
            <w:r>
              <w:rPr>
                <w:rFonts w:hint="default" w:ascii="Times New Roman" w:hAnsi="Times New Roman" w:eastAsia="宋体" w:cs="Times New Roman"/>
                <w:bCs/>
                <w:color w:val="00B050"/>
                <w:sz w:val="21"/>
                <w:szCs w:val="21"/>
              </w:rPr>
              <w:t>均能满足要求</w:t>
            </w:r>
            <w:r>
              <w:rPr>
                <w:rFonts w:hint="eastAsia" w:ascii="Times New Roman" w:hAnsi="Times New Roman" w:eastAsia="宋体" w:cs="Times New Roman"/>
                <w:bCs/>
                <w:color w:val="00B050"/>
                <w:sz w:val="21"/>
                <w:szCs w:val="21"/>
              </w:rPr>
              <w:t>《环境空气质量标准》（GB3095-2012）及其2018年修改单二级标准</w:t>
            </w:r>
            <w:r>
              <w:rPr>
                <w:rFonts w:hint="default" w:ascii="Times New Roman" w:hAnsi="Times New Roman" w:eastAsia="宋体" w:cs="Times New Roman"/>
                <w:bCs/>
                <w:color w:val="00B050"/>
                <w:sz w:val="21"/>
                <w:szCs w:val="21"/>
              </w:rPr>
              <w:t>，因此项目区域可判定为达标区。</w:t>
            </w:r>
          </w:p>
          <w:p w14:paraId="0E902A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firstLineChars="200"/>
              <w:jc w:val="both"/>
              <w:textAlignment w:val="auto"/>
              <w:rPr>
                <w:rFonts w:hint="default" w:ascii="Times New Roman" w:hAnsi="Times New Roman" w:eastAsia="宋体" w:cs="Times New Roman"/>
                <w:b/>
                <w:bCs w:val="0"/>
                <w:color w:val="000000" w:themeColor="text1"/>
                <w:kern w:val="2"/>
                <w:sz w:val="21"/>
                <w:szCs w:val="21"/>
                <w:lang w:val="en-US" w:eastAsia="zh-CN" w:bidi="ar"/>
              </w:rPr>
            </w:pPr>
            <w:r>
              <w:rPr>
                <w:rFonts w:hint="default" w:ascii="Times New Roman" w:hAnsi="Times New Roman" w:eastAsia="宋体" w:cs="Times New Roman"/>
                <w:b/>
                <w:bCs w:val="0"/>
                <w:color w:val="000000" w:themeColor="text1"/>
                <w:kern w:val="2"/>
                <w:sz w:val="21"/>
                <w:szCs w:val="21"/>
                <w:lang w:val="en-US" w:eastAsia="zh-CN" w:bidi="ar"/>
              </w:rPr>
              <w:t>（2）其他污染因子、特征污染因子环境质量现状</w:t>
            </w:r>
          </w:p>
          <w:p w14:paraId="1E9B03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Cs/>
                <w:color w:val="000000" w:themeColor="text1"/>
                <w:sz w:val="21"/>
                <w:szCs w:val="21"/>
                <w:lang w:val="en-US"/>
              </w:rPr>
            </w:pPr>
            <w:r>
              <w:rPr>
                <w:rFonts w:hint="default" w:ascii="Times New Roman" w:hAnsi="Times New Roman" w:eastAsia="宋体" w:cs="Times New Roman"/>
                <w:bCs/>
                <w:color w:val="000000" w:themeColor="text1"/>
                <w:kern w:val="2"/>
                <w:sz w:val="21"/>
                <w:szCs w:val="21"/>
                <w:lang w:val="en-US" w:eastAsia="zh-CN" w:bidi="ar"/>
              </w:rPr>
              <w:t>项目特征污染物TSP引用</w:t>
            </w:r>
            <w:bookmarkStart w:id="11" w:name="OLE_LINK6"/>
            <w:r>
              <w:rPr>
                <w:rFonts w:hint="default" w:ascii="Times New Roman" w:hAnsi="Times New Roman" w:eastAsia="宋体" w:cs="Times New Roman"/>
                <w:bCs/>
                <w:color w:val="00B050"/>
                <w:kern w:val="2"/>
                <w:sz w:val="21"/>
                <w:szCs w:val="21"/>
                <w:lang w:val="en-US" w:eastAsia="zh-CN" w:bidi="ar"/>
              </w:rPr>
              <w:t>云南省通海博大塑胶工贸有限公司</w:t>
            </w:r>
            <w:bookmarkEnd w:id="11"/>
            <w:r>
              <w:rPr>
                <w:rFonts w:hint="default" w:ascii="Times New Roman" w:hAnsi="Times New Roman" w:eastAsia="宋体" w:cs="Times New Roman"/>
                <w:bCs/>
                <w:color w:val="00B050"/>
                <w:kern w:val="2"/>
                <w:sz w:val="21"/>
                <w:szCs w:val="21"/>
                <w:lang w:val="en-US" w:eastAsia="zh-CN" w:bidi="ar"/>
              </w:rPr>
              <w:t>委托玉溪华恒环境科技有限公司于2023年07月01日-2023年07月04日对《年产3000万套泡沫塑料包装箱生产线建设项目监测报告》中的检测数据，该监测点位位于玉溪市通海产业园区朝阳路9号</w:t>
            </w:r>
            <w:r>
              <w:rPr>
                <w:rFonts w:hint="default" w:ascii="Times New Roman" w:hAnsi="Times New Roman" w:eastAsia="宋体" w:cs="Times New Roman"/>
                <w:color w:val="00B050"/>
                <w:kern w:val="2"/>
                <w:sz w:val="21"/>
                <w:szCs w:val="21"/>
                <w:lang w:val="en-US" w:eastAsia="zh-CN" w:bidi="ar"/>
              </w:rPr>
              <w:t>。</w:t>
            </w:r>
            <w:r>
              <w:rPr>
                <w:rFonts w:hint="default" w:ascii="Times New Roman" w:hAnsi="Times New Roman" w:eastAsia="宋体" w:cs="Times New Roman"/>
                <w:bCs/>
                <w:color w:val="00B050"/>
                <w:kern w:val="2"/>
                <w:sz w:val="21"/>
                <w:szCs w:val="21"/>
                <w:lang w:val="en-US" w:eastAsia="zh-CN" w:bidi="ar"/>
              </w:rPr>
              <w:t>本项目引用的环境空气质量监测数据在3年内，监测点位位于本项目</w:t>
            </w:r>
            <w:r>
              <w:rPr>
                <w:rFonts w:hint="eastAsia" w:cs="Times New Roman"/>
                <w:bCs/>
                <w:color w:val="00B050"/>
                <w:kern w:val="2"/>
                <w:sz w:val="21"/>
                <w:szCs w:val="21"/>
                <w:lang w:val="en-US" w:eastAsia="zh-CN" w:bidi="ar"/>
              </w:rPr>
              <w:t>东北</w:t>
            </w:r>
            <w:r>
              <w:rPr>
                <w:rFonts w:hint="default" w:ascii="Times New Roman" w:hAnsi="Times New Roman" w:eastAsia="宋体" w:cs="Times New Roman"/>
                <w:bCs/>
                <w:color w:val="00B050"/>
                <w:kern w:val="2"/>
                <w:sz w:val="21"/>
                <w:szCs w:val="21"/>
                <w:lang w:val="en-US" w:eastAsia="zh-CN" w:bidi="ar"/>
              </w:rPr>
              <w:t>侧约</w:t>
            </w:r>
            <w:r>
              <w:rPr>
                <w:rFonts w:hint="eastAsia" w:cs="Times New Roman"/>
                <w:bCs/>
                <w:color w:val="00B050"/>
                <w:kern w:val="2"/>
                <w:sz w:val="21"/>
                <w:szCs w:val="21"/>
                <w:lang w:val="en-US" w:eastAsia="zh-CN" w:bidi="ar"/>
              </w:rPr>
              <w:t>1.38k</w:t>
            </w:r>
            <w:r>
              <w:rPr>
                <w:rFonts w:hint="default" w:ascii="Times New Roman" w:hAnsi="Times New Roman" w:eastAsia="宋体" w:cs="Times New Roman"/>
                <w:bCs/>
                <w:color w:val="00B050"/>
                <w:kern w:val="2"/>
                <w:sz w:val="21"/>
                <w:szCs w:val="21"/>
                <w:lang w:val="en-US" w:eastAsia="zh-CN" w:bidi="ar"/>
              </w:rPr>
              <w:t>m处，满足要求。监测结果如下表：</w:t>
            </w:r>
          </w:p>
          <w:p w14:paraId="52F71B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val="0"/>
                <w:color w:val="00B050"/>
                <w:sz w:val="21"/>
                <w:szCs w:val="21"/>
                <w:lang w:val="en-US"/>
              </w:rPr>
            </w:pPr>
            <w:r>
              <w:rPr>
                <w:rFonts w:hint="default" w:ascii="Times New Roman" w:hAnsi="Times New Roman" w:eastAsia="宋体" w:cs="Times New Roman"/>
                <w:b/>
                <w:bCs w:val="0"/>
                <w:color w:val="00B050"/>
                <w:kern w:val="2"/>
                <w:sz w:val="21"/>
                <w:szCs w:val="21"/>
                <w:lang w:val="en-US" w:eastAsia="zh-CN" w:bidi="ar"/>
              </w:rPr>
              <w:t>表3-</w:t>
            </w:r>
            <w:r>
              <w:rPr>
                <w:rFonts w:hint="eastAsia" w:cs="Times New Roman"/>
                <w:b/>
                <w:bCs w:val="0"/>
                <w:color w:val="00B050"/>
                <w:kern w:val="2"/>
                <w:sz w:val="21"/>
                <w:szCs w:val="21"/>
                <w:lang w:val="en-US" w:eastAsia="zh-CN" w:bidi="ar"/>
              </w:rPr>
              <w:t>2</w:t>
            </w:r>
            <w:r>
              <w:rPr>
                <w:rFonts w:hint="default" w:ascii="Times New Roman" w:hAnsi="Times New Roman" w:eastAsia="宋体" w:cs="Times New Roman"/>
                <w:b/>
                <w:bCs w:val="0"/>
                <w:color w:val="00B050"/>
                <w:kern w:val="2"/>
                <w:sz w:val="21"/>
                <w:szCs w:val="21"/>
                <w:lang w:val="en-US" w:eastAsia="zh-CN" w:bidi="ar"/>
              </w:rPr>
              <w:t xml:space="preserve">  TSP污染物环境质量现状监测结果表   单位：ug/m</w:t>
            </w:r>
            <w:r>
              <w:rPr>
                <w:rFonts w:hint="default" w:ascii="Times New Roman" w:hAnsi="Times New Roman" w:eastAsia="宋体" w:cs="Times New Roman"/>
                <w:b/>
                <w:bCs w:val="0"/>
                <w:color w:val="00B050"/>
                <w:kern w:val="2"/>
                <w:sz w:val="21"/>
                <w:szCs w:val="21"/>
                <w:vertAlign w:val="superscript"/>
                <w:lang w:val="en-US" w:eastAsia="zh-CN" w:bidi="ar"/>
              </w:rPr>
              <w:t>3</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730"/>
              <w:gridCol w:w="738"/>
              <w:gridCol w:w="609"/>
              <w:gridCol w:w="702"/>
              <w:gridCol w:w="821"/>
              <w:gridCol w:w="1025"/>
              <w:gridCol w:w="766"/>
              <w:gridCol w:w="692"/>
              <w:gridCol w:w="727"/>
            </w:tblGrid>
            <w:tr w14:paraId="02DED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vMerge w:val="restart"/>
                  <w:vAlign w:val="center"/>
                </w:tcPr>
                <w:p w14:paraId="7B47D6C5">
                  <w:pPr>
                    <w:pStyle w:val="154"/>
                    <w:keepNext w:val="0"/>
                    <w:keepLines w:val="0"/>
                    <w:pageBreakBefore w:val="0"/>
                    <w:widowControl w:val="0"/>
                    <w:suppressLineNumbers w:val="0"/>
                    <w:kinsoku/>
                    <w:wordWrap/>
                    <w:overflowPunct/>
                    <w:topLinePunct w:val="0"/>
                    <w:autoSpaceDE/>
                    <w:autoSpaceDN/>
                    <w:bidi w:val="0"/>
                    <w:adjustRightInd w:val="0"/>
                    <w:spacing w:before="0" w:beforeLines="0" w:beforeAutospacing="0" w:after="0" w:afterLines="0" w:afterAutospacing="0" w:line="240" w:lineRule="auto"/>
                    <w:ind w:left="0" w:right="0" w:firstLine="0" w:firstLineChars="0"/>
                    <w:textAlignment w:val="auto"/>
                    <w:rPr>
                      <w:rFonts w:hint="default" w:ascii="Times New Roman" w:hAnsi="Times New Roman" w:cs="Times New Roman" w:eastAsiaTheme="minorEastAsia"/>
                      <w:color w:val="00B050"/>
                      <w:sz w:val="21"/>
                      <w:szCs w:val="21"/>
                    </w:rPr>
                  </w:pPr>
                  <w:r>
                    <w:rPr>
                      <w:rFonts w:hint="default" w:ascii="Times New Roman" w:hAnsi="Times New Roman" w:cs="Times New Roman" w:eastAsiaTheme="minorEastAsia"/>
                      <w:color w:val="00B050"/>
                      <w:sz w:val="21"/>
                      <w:szCs w:val="21"/>
                    </w:rPr>
                    <w:t>监测点位</w:t>
                  </w:r>
                </w:p>
              </w:tc>
              <w:tc>
                <w:tcPr>
                  <w:tcW w:w="912" w:type="pct"/>
                  <w:gridSpan w:val="2"/>
                  <w:vAlign w:val="center"/>
                </w:tcPr>
                <w:p w14:paraId="0E073B9B">
                  <w:pPr>
                    <w:pStyle w:val="154"/>
                    <w:keepNext w:val="0"/>
                    <w:keepLines w:val="0"/>
                    <w:pageBreakBefore w:val="0"/>
                    <w:widowControl w:val="0"/>
                    <w:suppressLineNumbers w:val="0"/>
                    <w:kinsoku/>
                    <w:wordWrap/>
                    <w:overflowPunct/>
                    <w:topLinePunct w:val="0"/>
                    <w:autoSpaceDE/>
                    <w:autoSpaceDN/>
                    <w:bidi w:val="0"/>
                    <w:adjustRightInd w:val="0"/>
                    <w:spacing w:before="0" w:beforeLines="0" w:beforeAutospacing="0" w:after="0" w:afterLines="0" w:afterAutospacing="0" w:line="240" w:lineRule="auto"/>
                    <w:ind w:left="0" w:right="0" w:firstLine="0" w:firstLineChars="0"/>
                    <w:textAlignment w:val="auto"/>
                    <w:rPr>
                      <w:rFonts w:hint="default" w:ascii="Times New Roman" w:hAnsi="Times New Roman" w:cs="Times New Roman" w:eastAsiaTheme="minorEastAsia"/>
                      <w:color w:val="00B050"/>
                      <w:sz w:val="21"/>
                      <w:szCs w:val="21"/>
                    </w:rPr>
                  </w:pPr>
                  <w:r>
                    <w:rPr>
                      <w:rFonts w:hint="default" w:ascii="Times New Roman" w:hAnsi="Times New Roman" w:cs="Times New Roman" w:eastAsiaTheme="minorEastAsia"/>
                      <w:color w:val="00B050"/>
                      <w:sz w:val="21"/>
                      <w:szCs w:val="21"/>
                    </w:rPr>
                    <w:t>监测点坐标</w:t>
                  </w:r>
                </w:p>
              </w:tc>
              <w:tc>
                <w:tcPr>
                  <w:tcW w:w="378" w:type="pct"/>
                  <w:vMerge w:val="restart"/>
                  <w:vAlign w:val="center"/>
                </w:tcPr>
                <w:p w14:paraId="46865C7C">
                  <w:pPr>
                    <w:pStyle w:val="154"/>
                    <w:keepNext w:val="0"/>
                    <w:keepLines w:val="0"/>
                    <w:pageBreakBefore w:val="0"/>
                    <w:widowControl w:val="0"/>
                    <w:suppressLineNumbers w:val="0"/>
                    <w:kinsoku/>
                    <w:wordWrap/>
                    <w:overflowPunct/>
                    <w:topLinePunct w:val="0"/>
                    <w:autoSpaceDE/>
                    <w:autoSpaceDN/>
                    <w:bidi w:val="0"/>
                    <w:adjustRightInd w:val="0"/>
                    <w:spacing w:before="0" w:beforeLines="0" w:beforeAutospacing="0" w:after="0" w:afterLines="0" w:afterAutospacing="0" w:line="240" w:lineRule="auto"/>
                    <w:ind w:left="0" w:right="0" w:firstLine="0" w:firstLineChars="0"/>
                    <w:textAlignment w:val="auto"/>
                    <w:rPr>
                      <w:rFonts w:hint="default" w:ascii="Times New Roman" w:hAnsi="Times New Roman" w:cs="Times New Roman" w:eastAsiaTheme="minorEastAsia"/>
                      <w:color w:val="00B050"/>
                      <w:sz w:val="21"/>
                      <w:szCs w:val="21"/>
                    </w:rPr>
                  </w:pPr>
                  <w:r>
                    <w:rPr>
                      <w:rFonts w:hint="default" w:ascii="Times New Roman" w:hAnsi="Times New Roman" w:cs="Times New Roman" w:eastAsiaTheme="minorEastAsia"/>
                      <w:color w:val="00B050"/>
                      <w:sz w:val="21"/>
                      <w:szCs w:val="21"/>
                    </w:rPr>
                    <w:t>污染物</w:t>
                  </w:r>
                </w:p>
              </w:tc>
              <w:tc>
                <w:tcPr>
                  <w:tcW w:w="436" w:type="pct"/>
                  <w:vMerge w:val="restart"/>
                  <w:vAlign w:val="center"/>
                </w:tcPr>
                <w:p w14:paraId="2B96DD36">
                  <w:pPr>
                    <w:pStyle w:val="154"/>
                    <w:keepNext w:val="0"/>
                    <w:keepLines w:val="0"/>
                    <w:pageBreakBefore w:val="0"/>
                    <w:widowControl w:val="0"/>
                    <w:suppressLineNumbers w:val="0"/>
                    <w:kinsoku/>
                    <w:wordWrap/>
                    <w:overflowPunct/>
                    <w:topLinePunct w:val="0"/>
                    <w:autoSpaceDE/>
                    <w:autoSpaceDN/>
                    <w:bidi w:val="0"/>
                    <w:adjustRightInd w:val="0"/>
                    <w:spacing w:before="0" w:beforeLines="0" w:beforeAutospacing="0" w:after="0" w:afterLines="0" w:afterAutospacing="0" w:line="240" w:lineRule="auto"/>
                    <w:ind w:left="0" w:right="0" w:firstLine="0" w:firstLineChars="0"/>
                    <w:textAlignment w:val="auto"/>
                    <w:rPr>
                      <w:rFonts w:hint="default" w:ascii="Times New Roman" w:hAnsi="Times New Roman" w:cs="Times New Roman" w:eastAsiaTheme="minorEastAsia"/>
                      <w:color w:val="00B050"/>
                      <w:sz w:val="21"/>
                      <w:szCs w:val="21"/>
                    </w:rPr>
                  </w:pPr>
                  <w:r>
                    <w:rPr>
                      <w:rFonts w:hint="default" w:ascii="Times New Roman" w:hAnsi="Times New Roman" w:cs="Times New Roman" w:eastAsiaTheme="minorEastAsia"/>
                      <w:color w:val="00B050"/>
                      <w:sz w:val="21"/>
                      <w:szCs w:val="21"/>
                    </w:rPr>
                    <w:t>平均时间</w:t>
                  </w:r>
                </w:p>
              </w:tc>
              <w:tc>
                <w:tcPr>
                  <w:tcW w:w="510" w:type="pct"/>
                  <w:vMerge w:val="restart"/>
                  <w:vAlign w:val="center"/>
                </w:tcPr>
                <w:p w14:paraId="55B12420">
                  <w:pPr>
                    <w:pStyle w:val="154"/>
                    <w:keepNext w:val="0"/>
                    <w:keepLines w:val="0"/>
                    <w:pageBreakBefore w:val="0"/>
                    <w:widowControl w:val="0"/>
                    <w:suppressLineNumbers w:val="0"/>
                    <w:kinsoku/>
                    <w:wordWrap/>
                    <w:overflowPunct/>
                    <w:topLinePunct w:val="0"/>
                    <w:autoSpaceDE/>
                    <w:autoSpaceDN/>
                    <w:bidi w:val="0"/>
                    <w:adjustRightInd w:val="0"/>
                    <w:spacing w:before="0" w:beforeLines="0" w:beforeAutospacing="0" w:after="0" w:afterLines="0" w:afterAutospacing="0" w:line="240" w:lineRule="auto"/>
                    <w:ind w:left="0" w:right="0" w:firstLine="0" w:firstLineChars="0"/>
                    <w:textAlignment w:val="auto"/>
                    <w:rPr>
                      <w:rFonts w:hint="default" w:ascii="Times New Roman" w:hAnsi="Times New Roman" w:cs="Times New Roman" w:eastAsiaTheme="minorEastAsia"/>
                      <w:color w:val="00B050"/>
                      <w:sz w:val="21"/>
                      <w:szCs w:val="21"/>
                    </w:rPr>
                  </w:pPr>
                  <w:r>
                    <w:rPr>
                      <w:rFonts w:hint="default" w:ascii="Times New Roman" w:hAnsi="Times New Roman" w:cs="Times New Roman" w:eastAsiaTheme="minorEastAsia"/>
                      <w:color w:val="00B050"/>
                      <w:sz w:val="21"/>
                      <w:szCs w:val="21"/>
                    </w:rPr>
                    <w:t>评价标准/(μg/m</w:t>
                  </w:r>
                  <w:r>
                    <w:rPr>
                      <w:rFonts w:hint="default" w:ascii="Times New Roman" w:hAnsi="Times New Roman" w:cs="Times New Roman" w:eastAsiaTheme="minorEastAsia"/>
                      <w:color w:val="00B050"/>
                      <w:sz w:val="21"/>
                      <w:szCs w:val="21"/>
                      <w:vertAlign w:val="superscript"/>
                    </w:rPr>
                    <w:t>3</w:t>
                  </w:r>
                  <w:r>
                    <w:rPr>
                      <w:rFonts w:hint="default" w:ascii="Times New Roman" w:hAnsi="Times New Roman" w:cs="Times New Roman" w:eastAsiaTheme="minorEastAsia"/>
                      <w:color w:val="00B050"/>
                      <w:sz w:val="21"/>
                      <w:szCs w:val="21"/>
                    </w:rPr>
                    <w:t>)</w:t>
                  </w:r>
                </w:p>
              </w:tc>
              <w:tc>
                <w:tcPr>
                  <w:tcW w:w="637" w:type="pct"/>
                  <w:vMerge w:val="restart"/>
                  <w:vAlign w:val="center"/>
                </w:tcPr>
                <w:p w14:paraId="07C3D2B8">
                  <w:pPr>
                    <w:pStyle w:val="154"/>
                    <w:keepNext w:val="0"/>
                    <w:keepLines w:val="0"/>
                    <w:pageBreakBefore w:val="0"/>
                    <w:widowControl w:val="0"/>
                    <w:suppressLineNumbers w:val="0"/>
                    <w:kinsoku/>
                    <w:wordWrap/>
                    <w:overflowPunct/>
                    <w:topLinePunct w:val="0"/>
                    <w:autoSpaceDE/>
                    <w:autoSpaceDN/>
                    <w:bidi w:val="0"/>
                    <w:adjustRightInd w:val="0"/>
                    <w:spacing w:before="0" w:beforeLines="0" w:beforeAutospacing="0" w:after="0" w:afterLines="0" w:afterAutospacing="0" w:line="240" w:lineRule="auto"/>
                    <w:ind w:left="0" w:right="0" w:firstLine="0" w:firstLineChars="0"/>
                    <w:textAlignment w:val="auto"/>
                    <w:rPr>
                      <w:rFonts w:hint="default" w:ascii="Times New Roman" w:hAnsi="Times New Roman" w:cs="Times New Roman" w:eastAsiaTheme="minorEastAsia"/>
                      <w:color w:val="00B050"/>
                      <w:sz w:val="21"/>
                      <w:szCs w:val="21"/>
                    </w:rPr>
                  </w:pPr>
                  <w:r>
                    <w:rPr>
                      <w:rFonts w:hint="default" w:ascii="Times New Roman" w:hAnsi="Times New Roman" w:cs="Times New Roman" w:eastAsiaTheme="minorEastAsia"/>
                      <w:color w:val="00B050"/>
                      <w:sz w:val="21"/>
                      <w:szCs w:val="21"/>
                    </w:rPr>
                    <w:t>监测浓度范围/(μg/m</w:t>
                  </w:r>
                  <w:r>
                    <w:rPr>
                      <w:rFonts w:hint="default" w:ascii="Times New Roman" w:hAnsi="Times New Roman" w:cs="Times New Roman" w:eastAsiaTheme="minorEastAsia"/>
                      <w:color w:val="00B050"/>
                      <w:sz w:val="21"/>
                      <w:szCs w:val="21"/>
                      <w:vertAlign w:val="superscript"/>
                    </w:rPr>
                    <w:t>3</w:t>
                  </w:r>
                  <w:r>
                    <w:rPr>
                      <w:rFonts w:hint="default" w:ascii="Times New Roman" w:hAnsi="Times New Roman" w:cs="Times New Roman" w:eastAsiaTheme="minorEastAsia"/>
                      <w:color w:val="00B050"/>
                      <w:sz w:val="21"/>
                      <w:szCs w:val="21"/>
                    </w:rPr>
                    <w:t>)</w:t>
                  </w:r>
                </w:p>
              </w:tc>
              <w:tc>
                <w:tcPr>
                  <w:tcW w:w="476" w:type="pct"/>
                  <w:vMerge w:val="restart"/>
                  <w:vAlign w:val="center"/>
                </w:tcPr>
                <w:p w14:paraId="7E779051">
                  <w:pPr>
                    <w:pStyle w:val="154"/>
                    <w:keepNext w:val="0"/>
                    <w:keepLines w:val="0"/>
                    <w:pageBreakBefore w:val="0"/>
                    <w:widowControl w:val="0"/>
                    <w:suppressLineNumbers w:val="0"/>
                    <w:kinsoku/>
                    <w:wordWrap/>
                    <w:overflowPunct/>
                    <w:topLinePunct w:val="0"/>
                    <w:autoSpaceDE/>
                    <w:autoSpaceDN/>
                    <w:bidi w:val="0"/>
                    <w:adjustRightInd w:val="0"/>
                    <w:spacing w:before="0" w:beforeLines="0" w:beforeAutospacing="0" w:after="0" w:afterLines="0" w:afterAutospacing="0" w:line="240" w:lineRule="auto"/>
                    <w:ind w:left="0" w:right="0" w:firstLine="0" w:firstLineChars="0"/>
                    <w:textAlignment w:val="auto"/>
                    <w:rPr>
                      <w:rFonts w:hint="default" w:ascii="Times New Roman" w:hAnsi="Times New Roman" w:cs="Times New Roman" w:eastAsiaTheme="minorEastAsia"/>
                      <w:color w:val="00B050"/>
                      <w:sz w:val="21"/>
                      <w:szCs w:val="21"/>
                    </w:rPr>
                  </w:pPr>
                  <w:r>
                    <w:rPr>
                      <w:rFonts w:hint="default" w:ascii="Times New Roman" w:hAnsi="Times New Roman" w:cs="Times New Roman" w:eastAsiaTheme="minorEastAsia"/>
                      <w:color w:val="00B050"/>
                      <w:sz w:val="21"/>
                      <w:szCs w:val="21"/>
                    </w:rPr>
                    <w:t>最大浓度占标率/%</w:t>
                  </w:r>
                </w:p>
              </w:tc>
              <w:tc>
                <w:tcPr>
                  <w:tcW w:w="430" w:type="pct"/>
                  <w:vMerge w:val="restart"/>
                  <w:vAlign w:val="center"/>
                </w:tcPr>
                <w:p w14:paraId="4BE86B76">
                  <w:pPr>
                    <w:pStyle w:val="154"/>
                    <w:keepNext w:val="0"/>
                    <w:keepLines w:val="0"/>
                    <w:pageBreakBefore w:val="0"/>
                    <w:widowControl w:val="0"/>
                    <w:suppressLineNumbers w:val="0"/>
                    <w:kinsoku/>
                    <w:wordWrap/>
                    <w:overflowPunct/>
                    <w:topLinePunct w:val="0"/>
                    <w:autoSpaceDE/>
                    <w:autoSpaceDN/>
                    <w:bidi w:val="0"/>
                    <w:adjustRightInd w:val="0"/>
                    <w:spacing w:before="0" w:beforeLines="0" w:beforeAutospacing="0" w:after="0" w:afterLines="0" w:afterAutospacing="0" w:line="240" w:lineRule="auto"/>
                    <w:ind w:left="0" w:right="0" w:firstLine="0" w:firstLineChars="0"/>
                    <w:textAlignment w:val="auto"/>
                    <w:rPr>
                      <w:rFonts w:hint="default" w:ascii="Times New Roman" w:hAnsi="Times New Roman" w:cs="Times New Roman" w:eastAsiaTheme="minorEastAsia"/>
                      <w:color w:val="00B050"/>
                      <w:sz w:val="21"/>
                      <w:szCs w:val="21"/>
                    </w:rPr>
                  </w:pPr>
                  <w:r>
                    <w:rPr>
                      <w:rFonts w:hint="default" w:ascii="Times New Roman" w:hAnsi="Times New Roman" w:cs="Times New Roman" w:eastAsiaTheme="minorEastAsia"/>
                      <w:color w:val="00B050"/>
                      <w:sz w:val="21"/>
                      <w:szCs w:val="21"/>
                    </w:rPr>
                    <w:t>超标率/%</w:t>
                  </w:r>
                </w:p>
              </w:tc>
              <w:tc>
                <w:tcPr>
                  <w:tcW w:w="452" w:type="pct"/>
                  <w:vMerge w:val="restart"/>
                  <w:vAlign w:val="center"/>
                </w:tcPr>
                <w:p w14:paraId="2E6F6768">
                  <w:pPr>
                    <w:pStyle w:val="154"/>
                    <w:keepNext w:val="0"/>
                    <w:keepLines w:val="0"/>
                    <w:pageBreakBefore w:val="0"/>
                    <w:widowControl w:val="0"/>
                    <w:suppressLineNumbers w:val="0"/>
                    <w:kinsoku/>
                    <w:wordWrap/>
                    <w:overflowPunct/>
                    <w:topLinePunct w:val="0"/>
                    <w:autoSpaceDE/>
                    <w:autoSpaceDN/>
                    <w:bidi w:val="0"/>
                    <w:adjustRightInd w:val="0"/>
                    <w:spacing w:before="0" w:beforeLines="0" w:beforeAutospacing="0" w:after="0" w:afterLines="0" w:afterAutospacing="0" w:line="240" w:lineRule="auto"/>
                    <w:ind w:left="0" w:right="0" w:firstLine="0" w:firstLineChars="0"/>
                    <w:textAlignment w:val="auto"/>
                    <w:rPr>
                      <w:rFonts w:hint="default" w:ascii="Times New Roman" w:hAnsi="Times New Roman" w:cs="Times New Roman" w:eastAsiaTheme="minorEastAsia"/>
                      <w:color w:val="00B050"/>
                      <w:sz w:val="21"/>
                      <w:szCs w:val="21"/>
                    </w:rPr>
                  </w:pPr>
                  <w:r>
                    <w:rPr>
                      <w:rFonts w:hint="default" w:ascii="Times New Roman" w:hAnsi="Times New Roman" w:cs="Times New Roman" w:eastAsiaTheme="minorEastAsia"/>
                      <w:color w:val="00B050"/>
                      <w:sz w:val="21"/>
                      <w:szCs w:val="21"/>
                    </w:rPr>
                    <w:t>达标情况</w:t>
                  </w:r>
                </w:p>
              </w:tc>
            </w:tr>
            <w:tr w14:paraId="590A7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vMerge w:val="continue"/>
                  <w:vAlign w:val="center"/>
                </w:tcPr>
                <w:p w14:paraId="3ACEF36D">
                  <w:pPr>
                    <w:pStyle w:val="154"/>
                    <w:keepNext w:val="0"/>
                    <w:keepLines w:val="0"/>
                    <w:pageBreakBefore w:val="0"/>
                    <w:widowControl w:val="0"/>
                    <w:suppressLineNumbers w:val="0"/>
                    <w:kinsoku/>
                    <w:wordWrap/>
                    <w:overflowPunct/>
                    <w:topLinePunct w:val="0"/>
                    <w:autoSpaceDE/>
                    <w:autoSpaceDN/>
                    <w:bidi w:val="0"/>
                    <w:adjustRightInd w:val="0"/>
                    <w:spacing w:before="0" w:beforeLines="0" w:beforeAutospacing="0" w:after="0" w:afterLines="0" w:afterAutospacing="0" w:line="240" w:lineRule="auto"/>
                    <w:ind w:left="0" w:right="0" w:firstLine="0" w:firstLineChars="0"/>
                    <w:textAlignment w:val="auto"/>
                    <w:rPr>
                      <w:rFonts w:hint="default" w:ascii="Times New Roman" w:hAnsi="Times New Roman" w:cs="Times New Roman" w:eastAsiaTheme="minorEastAsia"/>
                      <w:color w:val="00B050"/>
                      <w:sz w:val="21"/>
                      <w:szCs w:val="21"/>
                    </w:rPr>
                  </w:pPr>
                </w:p>
              </w:tc>
              <w:tc>
                <w:tcPr>
                  <w:tcW w:w="453" w:type="pct"/>
                  <w:vAlign w:val="center"/>
                </w:tcPr>
                <w:p w14:paraId="305D6954">
                  <w:pPr>
                    <w:pStyle w:val="154"/>
                    <w:keepNext w:val="0"/>
                    <w:keepLines w:val="0"/>
                    <w:pageBreakBefore w:val="0"/>
                    <w:widowControl w:val="0"/>
                    <w:suppressLineNumbers w:val="0"/>
                    <w:kinsoku/>
                    <w:wordWrap/>
                    <w:overflowPunct/>
                    <w:topLinePunct w:val="0"/>
                    <w:autoSpaceDE/>
                    <w:autoSpaceDN/>
                    <w:bidi w:val="0"/>
                    <w:adjustRightInd w:val="0"/>
                    <w:spacing w:before="0" w:beforeLines="0" w:beforeAutospacing="0" w:after="0" w:afterLines="0" w:afterAutospacing="0" w:line="240" w:lineRule="auto"/>
                    <w:ind w:left="0" w:right="0" w:firstLine="0" w:firstLineChars="0"/>
                    <w:textAlignment w:val="auto"/>
                    <w:rPr>
                      <w:rFonts w:hint="default" w:ascii="Times New Roman" w:hAnsi="Times New Roman" w:cs="Times New Roman" w:eastAsiaTheme="minorEastAsia"/>
                      <w:color w:val="00B050"/>
                      <w:sz w:val="21"/>
                      <w:szCs w:val="21"/>
                    </w:rPr>
                  </w:pPr>
                  <w:r>
                    <w:rPr>
                      <w:rFonts w:hint="default" w:ascii="Times New Roman" w:hAnsi="Times New Roman" w:cs="Times New Roman" w:eastAsiaTheme="minorEastAsia"/>
                      <w:color w:val="00B050"/>
                      <w:sz w:val="21"/>
                      <w:szCs w:val="21"/>
                    </w:rPr>
                    <w:t>经度</w:t>
                  </w:r>
                </w:p>
              </w:tc>
              <w:tc>
                <w:tcPr>
                  <w:tcW w:w="458" w:type="pct"/>
                  <w:vAlign w:val="center"/>
                </w:tcPr>
                <w:p w14:paraId="0A9E85FF">
                  <w:pPr>
                    <w:pStyle w:val="154"/>
                    <w:keepNext w:val="0"/>
                    <w:keepLines w:val="0"/>
                    <w:pageBreakBefore w:val="0"/>
                    <w:widowControl w:val="0"/>
                    <w:suppressLineNumbers w:val="0"/>
                    <w:kinsoku/>
                    <w:wordWrap/>
                    <w:overflowPunct/>
                    <w:topLinePunct w:val="0"/>
                    <w:autoSpaceDE/>
                    <w:autoSpaceDN/>
                    <w:bidi w:val="0"/>
                    <w:adjustRightInd w:val="0"/>
                    <w:spacing w:before="0" w:beforeLines="0" w:beforeAutospacing="0" w:after="0" w:afterLines="0" w:afterAutospacing="0" w:line="240" w:lineRule="auto"/>
                    <w:ind w:left="0" w:right="0" w:firstLine="0" w:firstLineChars="0"/>
                    <w:textAlignment w:val="auto"/>
                    <w:rPr>
                      <w:rFonts w:hint="default" w:ascii="Times New Roman" w:hAnsi="Times New Roman" w:cs="Times New Roman" w:eastAsiaTheme="minorEastAsia"/>
                      <w:color w:val="00B050"/>
                      <w:sz w:val="21"/>
                      <w:szCs w:val="21"/>
                    </w:rPr>
                  </w:pPr>
                  <w:r>
                    <w:rPr>
                      <w:rFonts w:hint="default" w:ascii="Times New Roman" w:hAnsi="Times New Roman" w:cs="Times New Roman" w:eastAsiaTheme="minorEastAsia"/>
                      <w:color w:val="00B050"/>
                      <w:sz w:val="21"/>
                      <w:szCs w:val="21"/>
                    </w:rPr>
                    <w:t>纬度</w:t>
                  </w:r>
                </w:p>
              </w:tc>
              <w:tc>
                <w:tcPr>
                  <w:tcW w:w="378" w:type="pct"/>
                  <w:vMerge w:val="continue"/>
                  <w:vAlign w:val="center"/>
                </w:tcPr>
                <w:p w14:paraId="7E87503D">
                  <w:pPr>
                    <w:pStyle w:val="154"/>
                    <w:keepNext w:val="0"/>
                    <w:keepLines w:val="0"/>
                    <w:pageBreakBefore w:val="0"/>
                    <w:widowControl w:val="0"/>
                    <w:suppressLineNumbers w:val="0"/>
                    <w:kinsoku/>
                    <w:wordWrap/>
                    <w:overflowPunct/>
                    <w:topLinePunct w:val="0"/>
                    <w:autoSpaceDE/>
                    <w:autoSpaceDN/>
                    <w:bidi w:val="0"/>
                    <w:adjustRightInd w:val="0"/>
                    <w:spacing w:before="0" w:beforeLines="0" w:beforeAutospacing="0" w:after="0" w:afterLines="0" w:afterAutospacing="0" w:line="240" w:lineRule="auto"/>
                    <w:ind w:left="0" w:right="0" w:firstLine="0" w:firstLineChars="0"/>
                    <w:textAlignment w:val="auto"/>
                    <w:rPr>
                      <w:rFonts w:hint="default" w:ascii="Times New Roman" w:hAnsi="Times New Roman" w:cs="Times New Roman" w:eastAsiaTheme="minorEastAsia"/>
                      <w:color w:val="00B050"/>
                      <w:sz w:val="21"/>
                      <w:szCs w:val="21"/>
                    </w:rPr>
                  </w:pPr>
                </w:p>
              </w:tc>
              <w:tc>
                <w:tcPr>
                  <w:tcW w:w="436" w:type="pct"/>
                  <w:vMerge w:val="continue"/>
                  <w:vAlign w:val="center"/>
                </w:tcPr>
                <w:p w14:paraId="281E34BD">
                  <w:pPr>
                    <w:pStyle w:val="154"/>
                    <w:keepNext w:val="0"/>
                    <w:keepLines w:val="0"/>
                    <w:pageBreakBefore w:val="0"/>
                    <w:widowControl w:val="0"/>
                    <w:suppressLineNumbers w:val="0"/>
                    <w:kinsoku/>
                    <w:wordWrap/>
                    <w:overflowPunct/>
                    <w:topLinePunct w:val="0"/>
                    <w:autoSpaceDE/>
                    <w:autoSpaceDN/>
                    <w:bidi w:val="0"/>
                    <w:adjustRightInd w:val="0"/>
                    <w:spacing w:before="0" w:beforeLines="0" w:beforeAutospacing="0" w:after="0" w:afterLines="0" w:afterAutospacing="0" w:line="240" w:lineRule="auto"/>
                    <w:ind w:left="0" w:right="0" w:firstLine="0" w:firstLineChars="0"/>
                    <w:textAlignment w:val="auto"/>
                    <w:rPr>
                      <w:rFonts w:hint="default" w:ascii="Times New Roman" w:hAnsi="Times New Roman" w:cs="Times New Roman" w:eastAsiaTheme="minorEastAsia"/>
                      <w:color w:val="00B050"/>
                      <w:sz w:val="21"/>
                      <w:szCs w:val="21"/>
                    </w:rPr>
                  </w:pPr>
                </w:p>
              </w:tc>
              <w:tc>
                <w:tcPr>
                  <w:tcW w:w="510" w:type="pct"/>
                  <w:vMerge w:val="continue"/>
                  <w:vAlign w:val="center"/>
                </w:tcPr>
                <w:p w14:paraId="29DA04D0">
                  <w:pPr>
                    <w:pStyle w:val="154"/>
                    <w:keepNext w:val="0"/>
                    <w:keepLines w:val="0"/>
                    <w:pageBreakBefore w:val="0"/>
                    <w:widowControl w:val="0"/>
                    <w:suppressLineNumbers w:val="0"/>
                    <w:kinsoku/>
                    <w:wordWrap/>
                    <w:overflowPunct/>
                    <w:topLinePunct w:val="0"/>
                    <w:autoSpaceDE/>
                    <w:autoSpaceDN/>
                    <w:bidi w:val="0"/>
                    <w:adjustRightInd w:val="0"/>
                    <w:spacing w:before="0" w:beforeLines="0" w:beforeAutospacing="0" w:after="0" w:afterLines="0" w:afterAutospacing="0" w:line="240" w:lineRule="auto"/>
                    <w:ind w:left="0" w:right="0" w:firstLine="0" w:firstLineChars="0"/>
                    <w:textAlignment w:val="auto"/>
                    <w:rPr>
                      <w:rFonts w:hint="default" w:ascii="Times New Roman" w:hAnsi="Times New Roman" w:cs="Times New Roman" w:eastAsiaTheme="minorEastAsia"/>
                      <w:color w:val="00B050"/>
                      <w:sz w:val="21"/>
                      <w:szCs w:val="21"/>
                    </w:rPr>
                  </w:pPr>
                </w:p>
              </w:tc>
              <w:tc>
                <w:tcPr>
                  <w:tcW w:w="637" w:type="pct"/>
                  <w:vMerge w:val="continue"/>
                  <w:vAlign w:val="center"/>
                </w:tcPr>
                <w:p w14:paraId="2BF76459">
                  <w:pPr>
                    <w:pStyle w:val="154"/>
                    <w:keepNext w:val="0"/>
                    <w:keepLines w:val="0"/>
                    <w:pageBreakBefore w:val="0"/>
                    <w:widowControl w:val="0"/>
                    <w:suppressLineNumbers w:val="0"/>
                    <w:kinsoku/>
                    <w:wordWrap/>
                    <w:overflowPunct/>
                    <w:topLinePunct w:val="0"/>
                    <w:autoSpaceDE/>
                    <w:autoSpaceDN/>
                    <w:bidi w:val="0"/>
                    <w:adjustRightInd w:val="0"/>
                    <w:spacing w:before="0" w:beforeLines="0" w:beforeAutospacing="0" w:after="0" w:afterLines="0" w:afterAutospacing="0" w:line="240" w:lineRule="auto"/>
                    <w:ind w:left="0" w:right="0" w:firstLine="0" w:firstLineChars="0"/>
                    <w:textAlignment w:val="auto"/>
                    <w:rPr>
                      <w:rFonts w:hint="default" w:ascii="Times New Roman" w:hAnsi="Times New Roman" w:cs="Times New Roman" w:eastAsiaTheme="minorEastAsia"/>
                      <w:color w:val="00B050"/>
                      <w:sz w:val="21"/>
                      <w:szCs w:val="21"/>
                    </w:rPr>
                  </w:pPr>
                </w:p>
              </w:tc>
              <w:tc>
                <w:tcPr>
                  <w:tcW w:w="476" w:type="pct"/>
                  <w:vMerge w:val="continue"/>
                  <w:vAlign w:val="center"/>
                </w:tcPr>
                <w:p w14:paraId="4CD17A6E">
                  <w:pPr>
                    <w:pStyle w:val="154"/>
                    <w:keepNext w:val="0"/>
                    <w:keepLines w:val="0"/>
                    <w:pageBreakBefore w:val="0"/>
                    <w:widowControl w:val="0"/>
                    <w:suppressLineNumbers w:val="0"/>
                    <w:kinsoku/>
                    <w:wordWrap/>
                    <w:overflowPunct/>
                    <w:topLinePunct w:val="0"/>
                    <w:autoSpaceDE/>
                    <w:autoSpaceDN/>
                    <w:bidi w:val="0"/>
                    <w:adjustRightInd w:val="0"/>
                    <w:spacing w:before="0" w:beforeLines="0" w:beforeAutospacing="0" w:after="0" w:afterLines="0" w:afterAutospacing="0" w:line="240" w:lineRule="auto"/>
                    <w:ind w:left="0" w:right="0" w:firstLine="0" w:firstLineChars="0"/>
                    <w:textAlignment w:val="auto"/>
                    <w:rPr>
                      <w:rFonts w:hint="default" w:ascii="Times New Roman" w:hAnsi="Times New Roman" w:cs="Times New Roman" w:eastAsiaTheme="minorEastAsia"/>
                      <w:color w:val="FF00FF"/>
                      <w:sz w:val="21"/>
                      <w:szCs w:val="21"/>
                    </w:rPr>
                  </w:pPr>
                </w:p>
              </w:tc>
              <w:tc>
                <w:tcPr>
                  <w:tcW w:w="430" w:type="pct"/>
                  <w:vMerge w:val="continue"/>
                  <w:vAlign w:val="center"/>
                </w:tcPr>
                <w:p w14:paraId="1B52AE79">
                  <w:pPr>
                    <w:pStyle w:val="154"/>
                    <w:keepNext w:val="0"/>
                    <w:keepLines w:val="0"/>
                    <w:pageBreakBefore w:val="0"/>
                    <w:widowControl w:val="0"/>
                    <w:suppressLineNumbers w:val="0"/>
                    <w:kinsoku/>
                    <w:wordWrap/>
                    <w:overflowPunct/>
                    <w:topLinePunct w:val="0"/>
                    <w:autoSpaceDE/>
                    <w:autoSpaceDN/>
                    <w:bidi w:val="0"/>
                    <w:adjustRightInd w:val="0"/>
                    <w:spacing w:before="0" w:beforeLines="0" w:beforeAutospacing="0" w:after="0" w:afterLines="0" w:afterAutospacing="0" w:line="240" w:lineRule="auto"/>
                    <w:ind w:left="0" w:right="0" w:firstLine="0" w:firstLineChars="0"/>
                    <w:textAlignment w:val="auto"/>
                    <w:rPr>
                      <w:rFonts w:hint="default" w:ascii="Times New Roman" w:hAnsi="Times New Roman" w:cs="Times New Roman" w:eastAsiaTheme="minorEastAsia"/>
                      <w:color w:val="FF00FF"/>
                      <w:sz w:val="21"/>
                      <w:szCs w:val="21"/>
                    </w:rPr>
                  </w:pPr>
                </w:p>
              </w:tc>
              <w:tc>
                <w:tcPr>
                  <w:tcW w:w="452" w:type="pct"/>
                  <w:vMerge w:val="continue"/>
                  <w:vAlign w:val="center"/>
                </w:tcPr>
                <w:p w14:paraId="4DFC09A2">
                  <w:pPr>
                    <w:pStyle w:val="23"/>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FF00FF"/>
                      <w:sz w:val="21"/>
                      <w:szCs w:val="21"/>
                    </w:rPr>
                  </w:pPr>
                </w:p>
              </w:tc>
            </w:tr>
            <w:tr w14:paraId="19DB9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vAlign w:val="center"/>
                </w:tcPr>
                <w:p w14:paraId="01618CA8">
                  <w:pPr>
                    <w:pStyle w:val="154"/>
                    <w:keepNext w:val="0"/>
                    <w:keepLines w:val="0"/>
                    <w:pageBreakBefore w:val="0"/>
                    <w:widowControl w:val="0"/>
                    <w:suppressLineNumbers w:val="0"/>
                    <w:kinsoku/>
                    <w:wordWrap/>
                    <w:overflowPunct/>
                    <w:topLinePunct w:val="0"/>
                    <w:autoSpaceDE/>
                    <w:autoSpaceDN/>
                    <w:bidi w:val="0"/>
                    <w:adjustRightInd w:val="0"/>
                    <w:spacing w:before="0" w:beforeLines="0" w:beforeAutospacing="0" w:after="0" w:afterLines="0" w:afterAutospacing="0" w:line="240" w:lineRule="auto"/>
                    <w:ind w:left="0" w:right="0" w:firstLine="0" w:firstLineChars="0"/>
                    <w:textAlignment w:val="auto"/>
                    <w:rPr>
                      <w:rFonts w:hint="default" w:ascii="Times New Roman" w:hAnsi="Times New Roman" w:cs="Times New Roman" w:eastAsiaTheme="minorEastAsia"/>
                      <w:color w:val="00B050"/>
                      <w:sz w:val="21"/>
                      <w:szCs w:val="21"/>
                    </w:rPr>
                  </w:pPr>
                  <w:r>
                    <w:rPr>
                      <w:rFonts w:hint="default" w:ascii="Times New Roman" w:hAnsi="Times New Roman" w:cs="Times New Roman" w:eastAsiaTheme="minorEastAsia"/>
                      <w:color w:val="00B050"/>
                      <w:sz w:val="21"/>
                      <w:szCs w:val="21"/>
                    </w:rPr>
                    <w:t>项目区</w:t>
                  </w:r>
                  <w:r>
                    <w:rPr>
                      <w:rFonts w:hint="default" w:ascii="Times New Roman" w:hAnsi="Times New Roman" w:cs="Times New Roman" w:eastAsiaTheme="minorEastAsia"/>
                      <w:color w:val="00B050"/>
                      <w:sz w:val="21"/>
                      <w:szCs w:val="21"/>
                      <w:lang w:val="en-US" w:eastAsia="zh-CN"/>
                    </w:rPr>
                    <w:t>东</w:t>
                  </w:r>
                  <w:r>
                    <w:rPr>
                      <w:rFonts w:hint="default" w:ascii="Times New Roman" w:hAnsi="Times New Roman" w:cs="Times New Roman" w:eastAsiaTheme="minorEastAsia"/>
                      <w:color w:val="00B050"/>
                      <w:sz w:val="21"/>
                      <w:szCs w:val="21"/>
                    </w:rPr>
                    <w:t>北侧约</w:t>
                  </w:r>
                  <w:r>
                    <w:rPr>
                      <w:rFonts w:hint="default" w:ascii="Times New Roman" w:hAnsi="Times New Roman" w:cs="Times New Roman" w:eastAsiaTheme="minorEastAsia"/>
                      <w:color w:val="00B050"/>
                      <w:sz w:val="21"/>
                      <w:szCs w:val="21"/>
                      <w:lang w:val="en-US" w:eastAsia="zh-CN"/>
                    </w:rPr>
                    <w:t>1.38k</w:t>
                  </w:r>
                  <w:r>
                    <w:rPr>
                      <w:rFonts w:hint="default" w:ascii="Times New Roman" w:hAnsi="Times New Roman" w:cs="Times New Roman" w:eastAsiaTheme="minorEastAsia"/>
                      <w:color w:val="00B050"/>
                      <w:sz w:val="21"/>
                      <w:szCs w:val="21"/>
                    </w:rPr>
                    <w:t>m处</w:t>
                  </w:r>
                </w:p>
              </w:tc>
              <w:tc>
                <w:tcPr>
                  <w:tcW w:w="453" w:type="pct"/>
                  <w:vAlign w:val="center"/>
                </w:tcPr>
                <w:p w14:paraId="21FF1C77">
                  <w:pPr>
                    <w:pStyle w:val="154"/>
                    <w:keepNext w:val="0"/>
                    <w:keepLines w:val="0"/>
                    <w:pageBreakBefore w:val="0"/>
                    <w:widowControl w:val="0"/>
                    <w:suppressLineNumbers w:val="0"/>
                    <w:kinsoku/>
                    <w:wordWrap/>
                    <w:overflowPunct/>
                    <w:topLinePunct w:val="0"/>
                    <w:autoSpaceDE/>
                    <w:autoSpaceDN/>
                    <w:bidi w:val="0"/>
                    <w:adjustRightInd w:val="0"/>
                    <w:spacing w:before="0" w:beforeLines="0" w:beforeAutospacing="0" w:after="0" w:afterLines="0" w:afterAutospacing="0" w:line="240" w:lineRule="auto"/>
                    <w:ind w:left="0" w:right="0" w:firstLine="0" w:firstLineChars="0"/>
                    <w:textAlignment w:val="auto"/>
                    <w:rPr>
                      <w:rFonts w:hint="default" w:ascii="Times New Roman" w:hAnsi="Times New Roman" w:cs="Times New Roman" w:eastAsiaTheme="minorEastAsia"/>
                      <w:color w:val="00B050"/>
                      <w:sz w:val="21"/>
                      <w:szCs w:val="21"/>
                    </w:rPr>
                  </w:pPr>
                  <w:r>
                    <w:rPr>
                      <w:rFonts w:hint="default" w:ascii="Times New Roman" w:hAnsi="Times New Roman" w:cs="Times New Roman" w:eastAsiaTheme="minorEastAsia"/>
                      <w:color w:val="00B050"/>
                      <w:sz w:val="21"/>
                      <w:szCs w:val="21"/>
                    </w:rPr>
                    <w:t>102.776402</w:t>
                  </w:r>
                </w:p>
              </w:tc>
              <w:tc>
                <w:tcPr>
                  <w:tcW w:w="458" w:type="pct"/>
                  <w:vAlign w:val="center"/>
                </w:tcPr>
                <w:p w14:paraId="6F2C8E86">
                  <w:pPr>
                    <w:pStyle w:val="154"/>
                    <w:keepNext w:val="0"/>
                    <w:keepLines w:val="0"/>
                    <w:pageBreakBefore w:val="0"/>
                    <w:widowControl w:val="0"/>
                    <w:suppressLineNumbers w:val="0"/>
                    <w:kinsoku/>
                    <w:wordWrap/>
                    <w:overflowPunct/>
                    <w:topLinePunct w:val="0"/>
                    <w:autoSpaceDE/>
                    <w:autoSpaceDN/>
                    <w:bidi w:val="0"/>
                    <w:adjustRightInd w:val="0"/>
                    <w:spacing w:before="0" w:beforeLines="0" w:beforeAutospacing="0" w:after="0" w:afterLines="0" w:afterAutospacing="0" w:line="240" w:lineRule="auto"/>
                    <w:ind w:left="0" w:right="0" w:firstLine="0" w:firstLineChars="0"/>
                    <w:textAlignment w:val="auto"/>
                    <w:rPr>
                      <w:rFonts w:hint="default" w:ascii="Times New Roman" w:hAnsi="Times New Roman" w:cs="Times New Roman" w:eastAsiaTheme="minorEastAsia"/>
                      <w:color w:val="00B050"/>
                      <w:sz w:val="21"/>
                      <w:szCs w:val="21"/>
                    </w:rPr>
                  </w:pPr>
                  <w:bookmarkStart w:id="12" w:name="OLE_LINK2"/>
                  <w:r>
                    <w:rPr>
                      <w:rFonts w:hint="default" w:ascii="Times New Roman" w:hAnsi="Times New Roman" w:cs="Times New Roman" w:eastAsiaTheme="minorEastAsia"/>
                      <w:color w:val="00B050"/>
                      <w:sz w:val="21"/>
                      <w:szCs w:val="21"/>
                    </w:rPr>
                    <w:t>24</w:t>
                  </w:r>
                  <w:bookmarkEnd w:id="12"/>
                  <w:r>
                    <w:rPr>
                      <w:rFonts w:hint="default" w:ascii="Times New Roman" w:hAnsi="Times New Roman" w:cs="Times New Roman" w:eastAsiaTheme="minorEastAsia"/>
                      <w:color w:val="00B050"/>
                      <w:sz w:val="21"/>
                      <w:szCs w:val="21"/>
                    </w:rPr>
                    <w:t>.093264</w:t>
                  </w:r>
                </w:p>
              </w:tc>
              <w:tc>
                <w:tcPr>
                  <w:tcW w:w="378" w:type="pct"/>
                  <w:vAlign w:val="center"/>
                </w:tcPr>
                <w:p w14:paraId="1B64A69D">
                  <w:pPr>
                    <w:pStyle w:val="154"/>
                    <w:keepNext w:val="0"/>
                    <w:keepLines w:val="0"/>
                    <w:pageBreakBefore w:val="0"/>
                    <w:widowControl w:val="0"/>
                    <w:suppressLineNumbers w:val="0"/>
                    <w:kinsoku/>
                    <w:wordWrap/>
                    <w:overflowPunct/>
                    <w:topLinePunct w:val="0"/>
                    <w:autoSpaceDE/>
                    <w:autoSpaceDN/>
                    <w:bidi w:val="0"/>
                    <w:adjustRightInd w:val="0"/>
                    <w:spacing w:before="0" w:beforeLines="0" w:beforeAutospacing="0" w:after="0" w:afterLines="0" w:afterAutospacing="0" w:line="240" w:lineRule="auto"/>
                    <w:ind w:left="0" w:right="0" w:firstLine="0" w:firstLineChars="0"/>
                    <w:textAlignment w:val="auto"/>
                    <w:rPr>
                      <w:rFonts w:hint="default" w:ascii="Times New Roman" w:hAnsi="Times New Roman" w:cs="Times New Roman" w:eastAsiaTheme="minorEastAsia"/>
                      <w:color w:val="00B050"/>
                      <w:sz w:val="21"/>
                      <w:szCs w:val="21"/>
                    </w:rPr>
                  </w:pPr>
                  <w:r>
                    <w:rPr>
                      <w:rFonts w:hint="default" w:ascii="Times New Roman" w:hAnsi="Times New Roman" w:cs="Times New Roman" w:eastAsiaTheme="minorEastAsia"/>
                      <w:color w:val="00B050"/>
                      <w:sz w:val="21"/>
                      <w:szCs w:val="21"/>
                    </w:rPr>
                    <w:t>TSP</w:t>
                  </w:r>
                </w:p>
              </w:tc>
              <w:tc>
                <w:tcPr>
                  <w:tcW w:w="436" w:type="pct"/>
                  <w:vAlign w:val="center"/>
                </w:tcPr>
                <w:p w14:paraId="7F58994B">
                  <w:pPr>
                    <w:pStyle w:val="154"/>
                    <w:keepNext w:val="0"/>
                    <w:keepLines w:val="0"/>
                    <w:pageBreakBefore w:val="0"/>
                    <w:widowControl w:val="0"/>
                    <w:suppressLineNumbers w:val="0"/>
                    <w:kinsoku/>
                    <w:wordWrap/>
                    <w:overflowPunct/>
                    <w:topLinePunct w:val="0"/>
                    <w:autoSpaceDE/>
                    <w:autoSpaceDN/>
                    <w:bidi w:val="0"/>
                    <w:adjustRightInd w:val="0"/>
                    <w:spacing w:before="0" w:beforeLines="0" w:beforeAutospacing="0" w:after="0" w:afterLines="0" w:afterAutospacing="0" w:line="240" w:lineRule="auto"/>
                    <w:ind w:left="0" w:right="0" w:firstLine="0" w:firstLineChars="0"/>
                    <w:textAlignment w:val="auto"/>
                    <w:rPr>
                      <w:rFonts w:hint="default" w:ascii="Times New Roman" w:hAnsi="Times New Roman" w:cs="Times New Roman" w:eastAsiaTheme="minorEastAsia"/>
                      <w:color w:val="00B050"/>
                      <w:sz w:val="21"/>
                      <w:szCs w:val="21"/>
                    </w:rPr>
                  </w:pPr>
                  <w:r>
                    <w:rPr>
                      <w:rFonts w:hint="default" w:ascii="Times New Roman" w:hAnsi="Times New Roman" w:cs="Times New Roman" w:eastAsiaTheme="minorEastAsia"/>
                      <w:color w:val="00B050"/>
                      <w:sz w:val="21"/>
                      <w:szCs w:val="21"/>
                    </w:rPr>
                    <w:t>24h</w:t>
                  </w:r>
                </w:p>
              </w:tc>
              <w:tc>
                <w:tcPr>
                  <w:tcW w:w="510" w:type="pct"/>
                  <w:vAlign w:val="center"/>
                </w:tcPr>
                <w:p w14:paraId="04FDBE4C">
                  <w:pPr>
                    <w:pStyle w:val="154"/>
                    <w:keepNext w:val="0"/>
                    <w:keepLines w:val="0"/>
                    <w:pageBreakBefore w:val="0"/>
                    <w:widowControl w:val="0"/>
                    <w:suppressLineNumbers w:val="0"/>
                    <w:kinsoku/>
                    <w:wordWrap/>
                    <w:overflowPunct/>
                    <w:topLinePunct w:val="0"/>
                    <w:autoSpaceDE/>
                    <w:autoSpaceDN/>
                    <w:bidi w:val="0"/>
                    <w:adjustRightInd w:val="0"/>
                    <w:spacing w:before="0" w:beforeLines="0" w:beforeAutospacing="0" w:after="0" w:afterLines="0" w:afterAutospacing="0" w:line="240" w:lineRule="auto"/>
                    <w:ind w:left="0" w:right="0" w:firstLine="0" w:firstLineChars="0"/>
                    <w:textAlignment w:val="auto"/>
                    <w:rPr>
                      <w:rFonts w:hint="default" w:ascii="Times New Roman" w:hAnsi="Times New Roman" w:cs="Times New Roman" w:eastAsiaTheme="minorEastAsia"/>
                      <w:color w:val="00B050"/>
                      <w:sz w:val="21"/>
                      <w:szCs w:val="21"/>
                    </w:rPr>
                  </w:pPr>
                  <w:r>
                    <w:rPr>
                      <w:rFonts w:hint="default" w:ascii="Times New Roman" w:hAnsi="Times New Roman" w:cs="Times New Roman" w:eastAsiaTheme="minorEastAsia"/>
                      <w:color w:val="00B050"/>
                      <w:sz w:val="21"/>
                      <w:szCs w:val="21"/>
                    </w:rPr>
                    <w:t>300</w:t>
                  </w:r>
                </w:p>
              </w:tc>
              <w:tc>
                <w:tcPr>
                  <w:tcW w:w="637" w:type="pct"/>
                  <w:vAlign w:val="center"/>
                </w:tcPr>
                <w:p w14:paraId="157A1A64">
                  <w:pPr>
                    <w:pStyle w:val="154"/>
                    <w:keepNext w:val="0"/>
                    <w:keepLines w:val="0"/>
                    <w:pageBreakBefore w:val="0"/>
                    <w:widowControl w:val="0"/>
                    <w:suppressLineNumbers w:val="0"/>
                    <w:kinsoku/>
                    <w:wordWrap/>
                    <w:overflowPunct/>
                    <w:topLinePunct w:val="0"/>
                    <w:autoSpaceDE/>
                    <w:autoSpaceDN/>
                    <w:bidi w:val="0"/>
                    <w:adjustRightInd w:val="0"/>
                    <w:spacing w:before="0" w:beforeLines="0" w:beforeAutospacing="0" w:after="0" w:afterLines="0" w:afterAutospacing="0" w:line="240" w:lineRule="auto"/>
                    <w:ind w:left="0" w:right="0" w:firstLine="0" w:firstLineChars="0"/>
                    <w:textAlignment w:val="auto"/>
                    <w:rPr>
                      <w:rFonts w:hint="default" w:ascii="Times New Roman" w:hAnsi="Times New Roman" w:cs="Times New Roman" w:eastAsiaTheme="minorEastAsia"/>
                      <w:color w:val="00B050"/>
                      <w:sz w:val="21"/>
                      <w:szCs w:val="21"/>
                    </w:rPr>
                  </w:pPr>
                  <w:r>
                    <w:rPr>
                      <w:rFonts w:hint="default" w:ascii="Times New Roman" w:hAnsi="Times New Roman" w:cs="Times New Roman" w:eastAsiaTheme="minorEastAsia"/>
                      <w:color w:val="00B050"/>
                      <w:sz w:val="21"/>
                      <w:szCs w:val="21"/>
                    </w:rPr>
                    <w:t>158~167</w:t>
                  </w:r>
                </w:p>
              </w:tc>
              <w:tc>
                <w:tcPr>
                  <w:tcW w:w="476" w:type="pct"/>
                  <w:vAlign w:val="center"/>
                </w:tcPr>
                <w:p w14:paraId="08532B53">
                  <w:pPr>
                    <w:pStyle w:val="154"/>
                    <w:keepNext w:val="0"/>
                    <w:keepLines w:val="0"/>
                    <w:pageBreakBefore w:val="0"/>
                    <w:widowControl w:val="0"/>
                    <w:suppressLineNumbers w:val="0"/>
                    <w:kinsoku/>
                    <w:wordWrap/>
                    <w:overflowPunct/>
                    <w:topLinePunct w:val="0"/>
                    <w:autoSpaceDE/>
                    <w:autoSpaceDN/>
                    <w:bidi w:val="0"/>
                    <w:adjustRightInd w:val="0"/>
                    <w:spacing w:before="0" w:beforeLines="0" w:beforeAutospacing="0" w:after="0" w:afterLines="0" w:afterAutospacing="0" w:line="240" w:lineRule="auto"/>
                    <w:ind w:left="0" w:right="0" w:firstLine="0" w:firstLineChars="0"/>
                    <w:textAlignment w:val="auto"/>
                    <w:rPr>
                      <w:rFonts w:hint="default" w:ascii="Times New Roman" w:hAnsi="Times New Roman" w:cs="Times New Roman" w:eastAsiaTheme="minorEastAsia"/>
                      <w:color w:val="00B050"/>
                      <w:sz w:val="21"/>
                      <w:szCs w:val="21"/>
                    </w:rPr>
                  </w:pPr>
                  <w:r>
                    <w:rPr>
                      <w:rFonts w:hint="default" w:ascii="Times New Roman" w:hAnsi="Times New Roman" w:cs="Times New Roman" w:eastAsiaTheme="minorEastAsia"/>
                      <w:color w:val="00B050"/>
                      <w:sz w:val="21"/>
                      <w:szCs w:val="21"/>
                    </w:rPr>
                    <w:t>55.7</w:t>
                  </w:r>
                </w:p>
              </w:tc>
              <w:tc>
                <w:tcPr>
                  <w:tcW w:w="430" w:type="pct"/>
                  <w:vAlign w:val="center"/>
                </w:tcPr>
                <w:p w14:paraId="79B1BD15">
                  <w:pPr>
                    <w:pStyle w:val="154"/>
                    <w:keepNext w:val="0"/>
                    <w:keepLines w:val="0"/>
                    <w:pageBreakBefore w:val="0"/>
                    <w:widowControl w:val="0"/>
                    <w:suppressLineNumbers w:val="0"/>
                    <w:kinsoku/>
                    <w:wordWrap/>
                    <w:overflowPunct/>
                    <w:topLinePunct w:val="0"/>
                    <w:autoSpaceDE/>
                    <w:autoSpaceDN/>
                    <w:bidi w:val="0"/>
                    <w:adjustRightInd w:val="0"/>
                    <w:spacing w:before="0" w:beforeLines="0" w:beforeAutospacing="0" w:after="0" w:afterLines="0" w:afterAutospacing="0" w:line="240" w:lineRule="auto"/>
                    <w:ind w:left="0" w:right="0" w:firstLine="0" w:firstLineChars="0"/>
                    <w:textAlignment w:val="auto"/>
                    <w:rPr>
                      <w:rFonts w:hint="default" w:ascii="Times New Roman" w:hAnsi="Times New Roman" w:cs="Times New Roman" w:eastAsiaTheme="minorEastAsia"/>
                      <w:color w:val="00B050"/>
                      <w:sz w:val="21"/>
                      <w:szCs w:val="21"/>
                    </w:rPr>
                  </w:pPr>
                  <w:r>
                    <w:rPr>
                      <w:rFonts w:hint="default" w:ascii="Times New Roman" w:hAnsi="Times New Roman" w:cs="Times New Roman" w:eastAsiaTheme="minorEastAsia"/>
                      <w:color w:val="00B050"/>
                      <w:sz w:val="21"/>
                      <w:szCs w:val="21"/>
                    </w:rPr>
                    <w:t>0</w:t>
                  </w:r>
                </w:p>
              </w:tc>
              <w:tc>
                <w:tcPr>
                  <w:tcW w:w="452" w:type="pct"/>
                  <w:vAlign w:val="center"/>
                </w:tcPr>
                <w:p w14:paraId="32AFB5BB">
                  <w:pPr>
                    <w:pStyle w:val="154"/>
                    <w:keepNext w:val="0"/>
                    <w:keepLines w:val="0"/>
                    <w:pageBreakBefore w:val="0"/>
                    <w:widowControl w:val="0"/>
                    <w:suppressLineNumbers w:val="0"/>
                    <w:kinsoku/>
                    <w:wordWrap/>
                    <w:overflowPunct/>
                    <w:topLinePunct w:val="0"/>
                    <w:autoSpaceDE/>
                    <w:autoSpaceDN/>
                    <w:bidi w:val="0"/>
                    <w:adjustRightInd w:val="0"/>
                    <w:spacing w:before="0" w:beforeLines="0" w:beforeAutospacing="0" w:after="0" w:afterLines="0" w:afterAutospacing="0" w:line="240" w:lineRule="auto"/>
                    <w:ind w:left="0" w:right="0" w:firstLine="0" w:firstLineChars="0"/>
                    <w:textAlignment w:val="auto"/>
                    <w:rPr>
                      <w:rFonts w:hint="default" w:ascii="Times New Roman" w:hAnsi="Times New Roman" w:cs="Times New Roman" w:eastAsiaTheme="minorEastAsia"/>
                      <w:color w:val="00B050"/>
                      <w:sz w:val="21"/>
                      <w:szCs w:val="21"/>
                    </w:rPr>
                  </w:pPr>
                  <w:r>
                    <w:rPr>
                      <w:rFonts w:hint="default" w:ascii="Times New Roman" w:hAnsi="Times New Roman" w:cs="Times New Roman" w:eastAsiaTheme="minorEastAsia"/>
                      <w:color w:val="00B050"/>
                      <w:sz w:val="21"/>
                      <w:szCs w:val="21"/>
                    </w:rPr>
                    <w:t>达标</w:t>
                  </w:r>
                </w:p>
              </w:tc>
            </w:tr>
          </w:tbl>
          <w:p w14:paraId="28987F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Cs/>
                <w:color w:val="000000" w:themeColor="text1"/>
                <w:sz w:val="21"/>
                <w:szCs w:val="21"/>
                <w:lang w:val="en-US"/>
              </w:rPr>
            </w:pPr>
            <w:r>
              <w:rPr>
                <w:rFonts w:hint="default" w:ascii="Times New Roman" w:hAnsi="Times New Roman" w:eastAsia="宋体" w:cs="Times New Roman"/>
                <w:bCs/>
                <w:color w:val="000000" w:themeColor="text1"/>
                <w:kern w:val="2"/>
                <w:sz w:val="21"/>
                <w:szCs w:val="21"/>
                <w:lang w:val="en-US" w:eastAsia="zh-CN" w:bidi="ar"/>
              </w:rPr>
              <w:t>由表3-</w:t>
            </w:r>
            <w:r>
              <w:rPr>
                <w:rFonts w:hint="eastAsia" w:cs="Times New Roman"/>
                <w:bCs/>
                <w:color w:val="000000" w:themeColor="text1"/>
                <w:kern w:val="2"/>
                <w:sz w:val="21"/>
                <w:szCs w:val="21"/>
                <w:lang w:val="en-US" w:eastAsia="zh-CN" w:bidi="ar"/>
              </w:rPr>
              <w:t>2</w:t>
            </w:r>
            <w:r>
              <w:rPr>
                <w:rFonts w:hint="default" w:ascii="Times New Roman" w:hAnsi="Times New Roman" w:eastAsia="宋体" w:cs="Times New Roman"/>
                <w:bCs/>
                <w:color w:val="000000" w:themeColor="text1"/>
                <w:kern w:val="2"/>
                <w:sz w:val="21"/>
                <w:szCs w:val="21"/>
                <w:lang w:val="en-US" w:eastAsia="zh-CN" w:bidi="ar"/>
              </w:rPr>
              <w:t>可以看出，区域TSP能达到《环境空气质量标准》（GB3095-2012）</w:t>
            </w:r>
            <w:r>
              <w:rPr>
                <w:rFonts w:hint="default" w:ascii="Times New Roman" w:hAnsi="Times New Roman" w:eastAsia="宋体" w:cs="Times New Roman"/>
                <w:color w:val="000000" w:themeColor="text1"/>
                <w:kern w:val="2"/>
                <w:sz w:val="21"/>
                <w:szCs w:val="21"/>
                <w:lang w:val="en-US" w:eastAsia="zh-CN" w:bidi="ar"/>
              </w:rPr>
              <w:t>及2018年修改单中的</w:t>
            </w:r>
            <w:r>
              <w:rPr>
                <w:rFonts w:hint="default" w:ascii="Times New Roman" w:hAnsi="Times New Roman" w:eastAsia="宋体" w:cs="Times New Roman"/>
                <w:bCs/>
                <w:color w:val="000000" w:themeColor="text1"/>
                <w:kern w:val="2"/>
                <w:sz w:val="21"/>
                <w:szCs w:val="21"/>
                <w:lang w:val="en-US" w:eastAsia="zh-CN" w:bidi="ar"/>
              </w:rPr>
              <w:t>二级标准。</w:t>
            </w:r>
          </w:p>
          <w:p w14:paraId="4C94AE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2、地表水环境质量现状</w:t>
            </w:r>
          </w:p>
          <w:p w14:paraId="3D8F8C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color w:val="000000" w:themeColor="text1"/>
                <w:kern w:val="2"/>
                <w:sz w:val="21"/>
                <w:szCs w:val="21"/>
                <w:lang w:val="en-US" w:eastAsia="zh-CN" w:bidi="ar"/>
              </w:rPr>
            </w:pPr>
            <w:r>
              <w:rPr>
                <w:rFonts w:hint="default" w:ascii="Times New Roman" w:hAnsi="Times New Roman" w:eastAsia="宋体" w:cs="Times New Roman"/>
                <w:bCs/>
                <w:color w:val="000000" w:themeColor="text1"/>
                <w:kern w:val="2"/>
                <w:sz w:val="21"/>
                <w:szCs w:val="21"/>
                <w:lang w:val="zh-CN" w:eastAsia="zh-CN" w:bidi="ar"/>
              </w:rPr>
              <w:t>本项目地表径流为</w:t>
            </w:r>
            <w:r>
              <w:rPr>
                <w:rFonts w:hint="eastAsia" w:ascii="Times New Roman" w:hAnsi="Times New Roman" w:eastAsia="宋体" w:cs="Times New Roman"/>
                <w:bCs/>
                <w:color w:val="000000" w:themeColor="text1"/>
                <w:kern w:val="2"/>
                <w:sz w:val="21"/>
                <w:szCs w:val="21"/>
                <w:lang w:val="en-US" w:eastAsia="zh-CN" w:bidi="ar"/>
              </w:rPr>
              <w:t>北</w:t>
            </w:r>
            <w:r>
              <w:rPr>
                <w:rFonts w:hint="default" w:ascii="Times New Roman" w:hAnsi="Times New Roman" w:eastAsia="宋体" w:cs="Times New Roman"/>
                <w:bCs/>
                <w:color w:val="000000" w:themeColor="text1"/>
                <w:kern w:val="2"/>
                <w:sz w:val="21"/>
                <w:szCs w:val="21"/>
                <w:lang w:val="en-US" w:eastAsia="zh-CN" w:bidi="ar"/>
              </w:rPr>
              <w:t>侧</w:t>
            </w:r>
            <w:r>
              <w:rPr>
                <w:rFonts w:hint="default" w:ascii="Times New Roman" w:hAnsi="Times New Roman" w:eastAsia="宋体" w:cs="Times New Roman"/>
                <w:bCs/>
                <w:color w:val="000000" w:themeColor="text1"/>
                <w:kern w:val="2"/>
                <w:sz w:val="21"/>
                <w:szCs w:val="21"/>
                <w:lang w:val="zh-CN" w:eastAsia="zh-CN" w:bidi="ar"/>
              </w:rPr>
              <w:t>约</w:t>
            </w:r>
            <w:r>
              <w:rPr>
                <w:rFonts w:hint="eastAsia" w:ascii="Times New Roman" w:hAnsi="Times New Roman" w:eastAsia="宋体" w:cs="Times New Roman"/>
                <w:bCs/>
                <w:color w:val="000000" w:themeColor="text1"/>
                <w:kern w:val="2"/>
                <w:sz w:val="21"/>
                <w:szCs w:val="21"/>
                <w:lang w:val="en-US" w:eastAsia="zh-CN" w:bidi="ar"/>
              </w:rPr>
              <w:t>165</w:t>
            </w:r>
            <w:r>
              <w:rPr>
                <w:rFonts w:hint="default" w:ascii="Times New Roman" w:hAnsi="Times New Roman" w:eastAsia="宋体" w:cs="Times New Roman"/>
                <w:bCs/>
                <w:color w:val="000000" w:themeColor="text1"/>
                <w:kern w:val="2"/>
                <w:sz w:val="21"/>
                <w:szCs w:val="21"/>
                <w:lang w:val="zh-CN" w:eastAsia="zh-CN" w:bidi="ar"/>
              </w:rPr>
              <w:t>m处的里山大沟，里山大沟在高大乡柿花树村汇入库南河，库南河在高大乡</w:t>
            </w:r>
            <w:r>
              <w:rPr>
                <w:rFonts w:hint="default" w:ascii="Times New Roman" w:hAnsi="Times New Roman" w:eastAsia="宋体" w:cs="Times New Roman"/>
                <w:bCs/>
                <w:color w:val="000000" w:themeColor="text1"/>
                <w:kern w:val="2"/>
                <w:sz w:val="21"/>
                <w:szCs w:val="21"/>
                <w:lang w:val="en-US" w:eastAsia="zh-CN" w:bidi="ar"/>
              </w:rPr>
              <w:t>由东北向南</w:t>
            </w:r>
            <w:r>
              <w:rPr>
                <w:rFonts w:hint="default" w:ascii="Times New Roman" w:hAnsi="Times New Roman" w:eastAsia="宋体" w:cs="Times New Roman"/>
                <w:bCs/>
                <w:color w:val="000000" w:themeColor="text1"/>
                <w:kern w:val="2"/>
                <w:sz w:val="21"/>
                <w:szCs w:val="21"/>
                <w:lang w:val="zh-CN" w:eastAsia="zh-CN" w:bidi="ar"/>
              </w:rPr>
              <w:t>汇入曲江，曲江最终汇入南盘江。</w:t>
            </w:r>
            <w:r>
              <w:rPr>
                <w:rFonts w:hint="default" w:ascii="Times New Roman" w:hAnsi="Times New Roman" w:eastAsia="宋体" w:cs="Times New Roman"/>
                <w:color w:val="000000" w:themeColor="text1"/>
                <w:kern w:val="2"/>
                <w:sz w:val="21"/>
                <w:szCs w:val="21"/>
                <w:lang w:val="en-US" w:eastAsia="zh-CN" w:bidi="ar"/>
              </w:rPr>
              <w:t>根据《云南省水功能区划》（第二版，2014年修订），曲江峨山-华宁保留区区段2030年的水质目标为Ⅲ类水，地表水水质执行《地表水环境质量标准》（GB3838-2002）III类水质标准要求。</w:t>
            </w:r>
          </w:p>
          <w:p w14:paraId="5C745E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jc w:val="both"/>
              <w:textAlignment w:val="auto"/>
              <w:rPr>
                <w:rFonts w:hint="default" w:ascii="Times New Roman" w:hAnsi="Times New Roman" w:eastAsia="宋体" w:cs="Times New Roman"/>
                <w:bCs/>
                <w:color w:val="000000" w:themeColor="text1"/>
                <w:sz w:val="21"/>
                <w:szCs w:val="21"/>
                <w:lang w:val="zh-CN" w:eastAsia="zh-CN"/>
              </w:rPr>
            </w:pPr>
            <w:r>
              <w:rPr>
                <w:rFonts w:hint="default" w:ascii="Times New Roman" w:hAnsi="Times New Roman" w:eastAsia="宋体" w:cs="Times New Roman"/>
                <w:bCs/>
                <w:color w:val="000000" w:themeColor="text1"/>
                <w:kern w:val="2"/>
                <w:sz w:val="21"/>
                <w:szCs w:val="21"/>
                <w:lang w:val="zh-CN" w:eastAsia="zh-CN" w:bidi="ar"/>
              </w:rPr>
              <w:t>由于里山大沟未设置省控或国控监测断面，因此本次评价</w:t>
            </w:r>
            <w:r>
              <w:rPr>
                <w:rFonts w:hint="default" w:ascii="Times New Roman" w:hAnsi="Times New Roman" w:eastAsia="宋体" w:cs="Times New Roman"/>
                <w:bCs/>
                <w:color w:val="00B050"/>
                <w:kern w:val="2"/>
                <w:sz w:val="21"/>
                <w:szCs w:val="21"/>
                <w:lang w:val="zh-CN" w:eastAsia="zh-CN" w:bidi="ar"/>
              </w:rPr>
              <w:t>引用云南通海顺明锌业有限责任公司《年产50万吨金属制品生产线升级改造项目环境影响报告书》委托云南环绿环境检测技术有限公司对里山大沟距离本项目最近的监测点数据进行评价，监测时间为2023年03月16日～2024年03月18日，监测点位位于本项目区</w:t>
            </w:r>
            <w:r>
              <w:rPr>
                <w:rFonts w:hint="eastAsia" w:cs="Times New Roman"/>
                <w:bCs/>
                <w:color w:val="00B050"/>
                <w:kern w:val="2"/>
                <w:sz w:val="21"/>
                <w:szCs w:val="21"/>
                <w:lang w:val="en-US" w:eastAsia="zh-CN" w:bidi="ar"/>
              </w:rPr>
              <w:t>西北侧195</w:t>
            </w:r>
            <w:r>
              <w:rPr>
                <w:rFonts w:hint="default" w:ascii="Times New Roman" w:hAnsi="Times New Roman" w:eastAsia="宋体" w:cs="Times New Roman"/>
                <w:bCs/>
                <w:color w:val="00B050"/>
                <w:kern w:val="2"/>
                <w:sz w:val="21"/>
                <w:szCs w:val="21"/>
                <w:lang w:val="zh-CN" w:eastAsia="zh-CN" w:bidi="ar"/>
              </w:rPr>
              <w:t>m处</w:t>
            </w:r>
            <w:r>
              <w:rPr>
                <w:rFonts w:hint="eastAsia" w:cs="Times New Roman"/>
                <w:bCs/>
                <w:color w:val="00B050"/>
                <w:kern w:val="2"/>
                <w:sz w:val="21"/>
                <w:szCs w:val="21"/>
                <w:lang w:val="zh-CN" w:eastAsia="zh-CN" w:bidi="ar"/>
              </w:rPr>
              <w:t>，</w:t>
            </w:r>
            <w:r>
              <w:rPr>
                <w:rFonts w:hint="eastAsia" w:cs="Times New Roman"/>
                <w:bCs/>
                <w:color w:val="00B050"/>
                <w:kern w:val="2"/>
                <w:sz w:val="21"/>
                <w:szCs w:val="21"/>
                <w:lang w:val="en-US" w:eastAsia="zh-CN" w:bidi="ar"/>
              </w:rPr>
              <w:t>属于项目区上游</w:t>
            </w:r>
            <w:r>
              <w:rPr>
                <w:rFonts w:hint="default" w:ascii="Times New Roman" w:hAnsi="Times New Roman" w:eastAsia="宋体" w:cs="Times New Roman"/>
                <w:bCs/>
                <w:color w:val="00B050"/>
                <w:kern w:val="2"/>
                <w:sz w:val="21"/>
                <w:szCs w:val="21"/>
                <w:lang w:val="zh-CN" w:eastAsia="zh-CN" w:bidi="ar"/>
              </w:rPr>
              <w:t>，</w:t>
            </w:r>
            <w:r>
              <w:rPr>
                <w:rFonts w:hint="default" w:ascii="Times New Roman" w:hAnsi="Times New Roman" w:eastAsia="宋体" w:cs="Times New Roman"/>
                <w:bCs/>
                <w:color w:val="000000" w:themeColor="text1"/>
                <w:kern w:val="2"/>
                <w:sz w:val="21"/>
                <w:szCs w:val="21"/>
                <w:lang w:val="zh-CN" w:eastAsia="zh-CN" w:bidi="ar"/>
              </w:rPr>
              <w:t>水质</w:t>
            </w:r>
            <w:r>
              <w:rPr>
                <w:rFonts w:hint="eastAsia" w:cs="Times New Roman"/>
                <w:bCs/>
                <w:color w:val="000000" w:themeColor="text1"/>
                <w:kern w:val="2"/>
                <w:sz w:val="21"/>
                <w:szCs w:val="21"/>
                <w:lang w:val="en-US" w:eastAsia="zh-CN" w:bidi="ar"/>
              </w:rPr>
              <w:t>现状</w:t>
            </w:r>
            <w:r>
              <w:rPr>
                <w:rFonts w:hint="default" w:ascii="Times New Roman" w:hAnsi="Times New Roman" w:eastAsia="宋体" w:cs="Times New Roman"/>
                <w:bCs/>
                <w:color w:val="000000" w:themeColor="text1"/>
                <w:kern w:val="2"/>
                <w:sz w:val="21"/>
                <w:szCs w:val="21"/>
                <w:lang w:val="zh-CN" w:eastAsia="zh-CN" w:bidi="ar"/>
              </w:rPr>
              <w:t>监测结果如下表所示：</w:t>
            </w:r>
          </w:p>
          <w:p w14:paraId="797318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val="0"/>
                <w:color w:val="000000" w:themeColor="text1"/>
                <w:sz w:val="21"/>
                <w:szCs w:val="21"/>
                <w:lang w:val="en-US"/>
              </w:rPr>
            </w:pPr>
            <w:r>
              <w:rPr>
                <w:rFonts w:hint="default" w:ascii="Times New Roman" w:hAnsi="Times New Roman" w:eastAsia="宋体" w:cs="Times New Roman"/>
                <w:b/>
                <w:bCs w:val="0"/>
                <w:color w:val="000000" w:themeColor="text1"/>
                <w:kern w:val="2"/>
                <w:sz w:val="21"/>
                <w:szCs w:val="21"/>
                <w:lang w:val="en-US" w:eastAsia="zh-CN" w:bidi="ar"/>
              </w:rPr>
              <w:t>表3-</w:t>
            </w:r>
            <w:r>
              <w:rPr>
                <w:rFonts w:hint="eastAsia" w:cs="Times New Roman"/>
                <w:b/>
                <w:bCs w:val="0"/>
                <w:color w:val="000000" w:themeColor="text1"/>
                <w:kern w:val="2"/>
                <w:sz w:val="21"/>
                <w:szCs w:val="21"/>
                <w:lang w:val="en-US" w:eastAsia="zh-CN" w:bidi="ar"/>
              </w:rPr>
              <w:t>3</w:t>
            </w:r>
            <w:r>
              <w:rPr>
                <w:rFonts w:hint="default" w:ascii="Times New Roman" w:hAnsi="Times New Roman" w:eastAsia="宋体" w:cs="Times New Roman"/>
                <w:b/>
                <w:bCs w:val="0"/>
                <w:color w:val="000000" w:themeColor="text1"/>
                <w:kern w:val="2"/>
                <w:sz w:val="21"/>
                <w:szCs w:val="21"/>
                <w:lang w:val="en-US" w:eastAsia="zh-CN" w:bidi="ar"/>
              </w:rPr>
              <w:t xml:space="preserve">  里山大沟水质现状监测数据一览表  单位：mg/L（pH无量纲）</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5"/>
              <w:gridCol w:w="1407"/>
              <w:gridCol w:w="1322"/>
              <w:gridCol w:w="1446"/>
              <w:gridCol w:w="1029"/>
              <w:gridCol w:w="950"/>
            </w:tblGrid>
            <w:tr w14:paraId="33A5A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72" w:type="pct"/>
                  <w:noWrap w:val="0"/>
                  <w:vAlign w:val="center"/>
                </w:tcPr>
                <w:p w14:paraId="04A35AE7">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点位名称</w:t>
                  </w:r>
                </w:p>
              </w:tc>
              <w:tc>
                <w:tcPr>
                  <w:tcW w:w="2596" w:type="pct"/>
                  <w:gridSpan w:val="3"/>
                  <w:noWrap w:val="0"/>
                  <w:vAlign w:val="center"/>
                </w:tcPr>
                <w:p w14:paraId="3AD2EE5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本</w:t>
                  </w:r>
                  <w:r>
                    <w:rPr>
                      <w:rFonts w:hint="default" w:ascii="Times New Roman" w:hAnsi="Times New Roman" w:eastAsia="宋体" w:cs="Times New Roman"/>
                      <w:b w:val="0"/>
                      <w:bCs w:val="0"/>
                      <w:color w:val="00B050"/>
                      <w:kern w:val="2"/>
                      <w:sz w:val="21"/>
                      <w:szCs w:val="21"/>
                      <w:lang w:val="en-US" w:eastAsia="zh-CN" w:bidi="ar-SA"/>
                    </w:rPr>
                    <w:t>项目区西北侧195m处</w:t>
                  </w:r>
                </w:p>
              </w:tc>
              <w:tc>
                <w:tcPr>
                  <w:tcW w:w="640" w:type="pct"/>
                  <w:vMerge w:val="restart"/>
                  <w:noWrap w:val="0"/>
                  <w:vAlign w:val="center"/>
                </w:tcPr>
                <w:p w14:paraId="61C0732D">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标准</w:t>
                  </w:r>
                </w:p>
              </w:tc>
              <w:tc>
                <w:tcPr>
                  <w:tcW w:w="590" w:type="pct"/>
                  <w:vMerge w:val="restart"/>
                  <w:noWrap w:val="0"/>
                  <w:vAlign w:val="center"/>
                </w:tcPr>
                <w:p w14:paraId="00C69F0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达标情况</w:t>
                  </w:r>
                </w:p>
              </w:tc>
            </w:tr>
            <w:tr w14:paraId="101EE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72" w:type="pct"/>
                  <w:noWrap w:val="0"/>
                  <w:vAlign w:val="center"/>
                </w:tcPr>
                <w:p w14:paraId="42FC4D61">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采样日期</w:t>
                  </w:r>
                </w:p>
              </w:tc>
              <w:tc>
                <w:tcPr>
                  <w:tcW w:w="875" w:type="pct"/>
                  <w:noWrap w:val="0"/>
                  <w:vAlign w:val="center"/>
                </w:tcPr>
                <w:p w14:paraId="05DCCF8A">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2024/3/16</w:t>
                  </w:r>
                </w:p>
              </w:tc>
              <w:tc>
                <w:tcPr>
                  <w:tcW w:w="822" w:type="pct"/>
                  <w:noWrap w:val="0"/>
                  <w:vAlign w:val="center"/>
                </w:tcPr>
                <w:p w14:paraId="43D614D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2024/3/17</w:t>
                  </w:r>
                </w:p>
              </w:tc>
              <w:tc>
                <w:tcPr>
                  <w:tcW w:w="898" w:type="pct"/>
                  <w:noWrap w:val="0"/>
                  <w:vAlign w:val="center"/>
                </w:tcPr>
                <w:p w14:paraId="37982FD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2024/3/18</w:t>
                  </w:r>
                </w:p>
              </w:tc>
              <w:tc>
                <w:tcPr>
                  <w:tcW w:w="640" w:type="pct"/>
                  <w:vMerge w:val="continue"/>
                  <w:noWrap w:val="0"/>
                  <w:vAlign w:val="center"/>
                </w:tcPr>
                <w:p w14:paraId="1FBB7DBD">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p>
              </w:tc>
              <w:tc>
                <w:tcPr>
                  <w:tcW w:w="590" w:type="pct"/>
                  <w:vMerge w:val="continue"/>
                  <w:noWrap w:val="0"/>
                  <w:vAlign w:val="center"/>
                </w:tcPr>
                <w:p w14:paraId="773BAB1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p>
              </w:tc>
            </w:tr>
            <w:tr w14:paraId="03A77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72" w:type="pct"/>
                  <w:noWrap w:val="0"/>
                  <w:vAlign w:val="center"/>
                </w:tcPr>
                <w:p w14:paraId="470D156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水温（℃）</w:t>
                  </w:r>
                </w:p>
              </w:tc>
              <w:tc>
                <w:tcPr>
                  <w:tcW w:w="875" w:type="pct"/>
                  <w:noWrap w:val="0"/>
                  <w:vAlign w:val="center"/>
                </w:tcPr>
                <w:p w14:paraId="7280889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17.1</w:t>
                  </w:r>
                </w:p>
              </w:tc>
              <w:tc>
                <w:tcPr>
                  <w:tcW w:w="822" w:type="pct"/>
                  <w:noWrap w:val="0"/>
                  <w:vAlign w:val="center"/>
                </w:tcPr>
                <w:p w14:paraId="1B9B492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17.4</w:t>
                  </w:r>
                </w:p>
              </w:tc>
              <w:tc>
                <w:tcPr>
                  <w:tcW w:w="898" w:type="pct"/>
                  <w:noWrap w:val="0"/>
                  <w:vAlign w:val="center"/>
                </w:tcPr>
                <w:p w14:paraId="02993341">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17.6</w:t>
                  </w:r>
                </w:p>
              </w:tc>
              <w:tc>
                <w:tcPr>
                  <w:tcW w:w="640" w:type="pct"/>
                  <w:noWrap w:val="0"/>
                  <w:vAlign w:val="center"/>
                </w:tcPr>
                <w:p w14:paraId="11D3704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w:t>
                  </w:r>
                </w:p>
              </w:tc>
              <w:tc>
                <w:tcPr>
                  <w:tcW w:w="590" w:type="pct"/>
                  <w:noWrap w:val="0"/>
                  <w:vAlign w:val="center"/>
                </w:tcPr>
                <w:p w14:paraId="6AF88860">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w:t>
                  </w:r>
                </w:p>
              </w:tc>
            </w:tr>
            <w:tr w14:paraId="7D24C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72" w:type="pct"/>
                  <w:noWrap w:val="0"/>
                  <w:vAlign w:val="center"/>
                </w:tcPr>
                <w:p w14:paraId="42AB0596">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pH值（无量纲）</w:t>
                  </w:r>
                </w:p>
              </w:tc>
              <w:tc>
                <w:tcPr>
                  <w:tcW w:w="875" w:type="pct"/>
                  <w:noWrap w:val="0"/>
                  <w:vAlign w:val="center"/>
                </w:tcPr>
                <w:p w14:paraId="36E30A76">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7.5</w:t>
                  </w:r>
                </w:p>
              </w:tc>
              <w:tc>
                <w:tcPr>
                  <w:tcW w:w="822" w:type="pct"/>
                  <w:noWrap w:val="0"/>
                  <w:vAlign w:val="center"/>
                </w:tcPr>
                <w:p w14:paraId="347E296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7.4</w:t>
                  </w:r>
                </w:p>
              </w:tc>
              <w:tc>
                <w:tcPr>
                  <w:tcW w:w="898" w:type="pct"/>
                  <w:noWrap w:val="0"/>
                  <w:vAlign w:val="center"/>
                </w:tcPr>
                <w:p w14:paraId="596C55C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7.5</w:t>
                  </w:r>
                </w:p>
              </w:tc>
              <w:tc>
                <w:tcPr>
                  <w:tcW w:w="640" w:type="pct"/>
                  <w:noWrap w:val="0"/>
                  <w:vAlign w:val="center"/>
                </w:tcPr>
                <w:p w14:paraId="0AEDCFE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6~9</w:t>
                  </w:r>
                </w:p>
              </w:tc>
              <w:tc>
                <w:tcPr>
                  <w:tcW w:w="590" w:type="pct"/>
                  <w:noWrap w:val="0"/>
                  <w:vAlign w:val="center"/>
                </w:tcPr>
                <w:p w14:paraId="0FC9779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达标</w:t>
                  </w:r>
                </w:p>
              </w:tc>
            </w:tr>
            <w:tr w14:paraId="17FF1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72" w:type="pct"/>
                  <w:noWrap w:val="0"/>
                  <w:vAlign w:val="center"/>
                </w:tcPr>
                <w:p w14:paraId="2926688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溶解氧</w:t>
                  </w:r>
                </w:p>
              </w:tc>
              <w:tc>
                <w:tcPr>
                  <w:tcW w:w="875" w:type="pct"/>
                  <w:noWrap w:val="0"/>
                  <w:vAlign w:val="center"/>
                </w:tcPr>
                <w:p w14:paraId="23F6360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4.4</w:t>
                  </w:r>
                </w:p>
              </w:tc>
              <w:tc>
                <w:tcPr>
                  <w:tcW w:w="822" w:type="pct"/>
                  <w:noWrap w:val="0"/>
                  <w:vAlign w:val="center"/>
                </w:tcPr>
                <w:p w14:paraId="00C4111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4.2</w:t>
                  </w:r>
                </w:p>
              </w:tc>
              <w:tc>
                <w:tcPr>
                  <w:tcW w:w="898" w:type="pct"/>
                  <w:noWrap w:val="0"/>
                  <w:vAlign w:val="center"/>
                </w:tcPr>
                <w:p w14:paraId="085F9AD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4.0</w:t>
                  </w:r>
                </w:p>
              </w:tc>
              <w:tc>
                <w:tcPr>
                  <w:tcW w:w="640" w:type="pct"/>
                  <w:noWrap w:val="0"/>
                  <w:vAlign w:val="center"/>
                </w:tcPr>
                <w:p w14:paraId="5A6B652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≥5</w:t>
                  </w:r>
                </w:p>
              </w:tc>
              <w:tc>
                <w:tcPr>
                  <w:tcW w:w="590" w:type="pct"/>
                  <w:noWrap w:val="0"/>
                  <w:vAlign w:val="center"/>
                </w:tcPr>
                <w:p w14:paraId="3773A56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超</w:t>
                  </w:r>
                  <w:r>
                    <w:rPr>
                      <w:rFonts w:hint="default" w:ascii="Times New Roman" w:hAnsi="Times New Roman" w:eastAsia="宋体" w:cs="Times New Roman"/>
                      <w:b w:val="0"/>
                      <w:bCs w:val="0"/>
                      <w:color w:val="00B050"/>
                      <w:kern w:val="2"/>
                      <w:sz w:val="21"/>
                      <w:szCs w:val="21"/>
                      <w:lang w:val="en-US" w:eastAsia="zh-CN" w:bidi="ar-SA"/>
                    </w:rPr>
                    <w:t>标</w:t>
                  </w:r>
                </w:p>
              </w:tc>
            </w:tr>
            <w:tr w14:paraId="54652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72" w:type="pct"/>
                  <w:noWrap w:val="0"/>
                  <w:vAlign w:val="center"/>
                </w:tcPr>
                <w:p w14:paraId="24936FD7">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悬浮物</w:t>
                  </w:r>
                </w:p>
              </w:tc>
              <w:tc>
                <w:tcPr>
                  <w:tcW w:w="875" w:type="pct"/>
                  <w:noWrap w:val="0"/>
                  <w:vAlign w:val="center"/>
                </w:tcPr>
                <w:p w14:paraId="7258C760">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8</w:t>
                  </w:r>
                </w:p>
              </w:tc>
              <w:tc>
                <w:tcPr>
                  <w:tcW w:w="822" w:type="pct"/>
                  <w:noWrap w:val="0"/>
                  <w:vAlign w:val="center"/>
                </w:tcPr>
                <w:p w14:paraId="659F80B8">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9</w:t>
                  </w:r>
                </w:p>
              </w:tc>
              <w:tc>
                <w:tcPr>
                  <w:tcW w:w="898" w:type="pct"/>
                  <w:noWrap w:val="0"/>
                  <w:vAlign w:val="center"/>
                </w:tcPr>
                <w:p w14:paraId="3E8D67F0">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8</w:t>
                  </w:r>
                </w:p>
              </w:tc>
              <w:tc>
                <w:tcPr>
                  <w:tcW w:w="640" w:type="pct"/>
                  <w:noWrap w:val="0"/>
                  <w:vAlign w:val="center"/>
                </w:tcPr>
                <w:p w14:paraId="226F9ABD">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w:t>
                  </w:r>
                </w:p>
              </w:tc>
              <w:tc>
                <w:tcPr>
                  <w:tcW w:w="590" w:type="pct"/>
                  <w:noWrap w:val="0"/>
                  <w:vAlign w:val="center"/>
                </w:tcPr>
                <w:p w14:paraId="669E1E41">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w:t>
                  </w:r>
                </w:p>
              </w:tc>
            </w:tr>
            <w:tr w14:paraId="18196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72" w:type="pct"/>
                  <w:noWrap w:val="0"/>
                  <w:vAlign w:val="center"/>
                </w:tcPr>
                <w:p w14:paraId="0BACAA6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化学需氧量</w:t>
                  </w:r>
                </w:p>
              </w:tc>
              <w:tc>
                <w:tcPr>
                  <w:tcW w:w="875" w:type="pct"/>
                  <w:noWrap w:val="0"/>
                  <w:vAlign w:val="center"/>
                </w:tcPr>
                <w:p w14:paraId="35F2A92A">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58</w:t>
                  </w:r>
                </w:p>
              </w:tc>
              <w:tc>
                <w:tcPr>
                  <w:tcW w:w="822" w:type="pct"/>
                  <w:noWrap w:val="0"/>
                  <w:vAlign w:val="center"/>
                </w:tcPr>
                <w:p w14:paraId="1E4FC75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59</w:t>
                  </w:r>
                </w:p>
              </w:tc>
              <w:tc>
                <w:tcPr>
                  <w:tcW w:w="898" w:type="pct"/>
                  <w:noWrap w:val="0"/>
                  <w:vAlign w:val="center"/>
                </w:tcPr>
                <w:p w14:paraId="066C4B4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57</w:t>
                  </w:r>
                </w:p>
              </w:tc>
              <w:tc>
                <w:tcPr>
                  <w:tcW w:w="640" w:type="pct"/>
                  <w:noWrap w:val="0"/>
                  <w:vAlign w:val="center"/>
                </w:tcPr>
                <w:p w14:paraId="480B9DAA">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≤20</w:t>
                  </w:r>
                </w:p>
              </w:tc>
              <w:tc>
                <w:tcPr>
                  <w:tcW w:w="590" w:type="pct"/>
                  <w:noWrap w:val="0"/>
                  <w:vAlign w:val="center"/>
                </w:tcPr>
                <w:p w14:paraId="0720686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超</w:t>
                  </w:r>
                  <w:r>
                    <w:rPr>
                      <w:rFonts w:hint="default" w:ascii="Times New Roman" w:hAnsi="Times New Roman" w:eastAsia="宋体" w:cs="Times New Roman"/>
                      <w:b w:val="0"/>
                      <w:bCs w:val="0"/>
                      <w:color w:val="00B050"/>
                      <w:kern w:val="2"/>
                      <w:sz w:val="21"/>
                      <w:szCs w:val="21"/>
                      <w:lang w:val="en-US" w:eastAsia="zh-CN" w:bidi="ar-SA"/>
                    </w:rPr>
                    <w:t>标</w:t>
                  </w:r>
                </w:p>
              </w:tc>
            </w:tr>
            <w:tr w14:paraId="49FA4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72" w:type="pct"/>
                  <w:noWrap w:val="0"/>
                  <w:vAlign w:val="center"/>
                </w:tcPr>
                <w:p w14:paraId="4A75C75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五日生化需氧量</w:t>
                  </w:r>
                </w:p>
              </w:tc>
              <w:tc>
                <w:tcPr>
                  <w:tcW w:w="875" w:type="pct"/>
                  <w:noWrap w:val="0"/>
                  <w:vAlign w:val="center"/>
                </w:tcPr>
                <w:p w14:paraId="295D1E1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12.8</w:t>
                  </w:r>
                </w:p>
              </w:tc>
              <w:tc>
                <w:tcPr>
                  <w:tcW w:w="822" w:type="pct"/>
                  <w:noWrap w:val="0"/>
                  <w:vAlign w:val="center"/>
                </w:tcPr>
                <w:p w14:paraId="2C7B5D4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13.0</w:t>
                  </w:r>
                </w:p>
              </w:tc>
              <w:tc>
                <w:tcPr>
                  <w:tcW w:w="898" w:type="pct"/>
                  <w:noWrap w:val="0"/>
                  <w:vAlign w:val="center"/>
                </w:tcPr>
                <w:p w14:paraId="1219808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12.6</w:t>
                  </w:r>
                </w:p>
              </w:tc>
              <w:tc>
                <w:tcPr>
                  <w:tcW w:w="640" w:type="pct"/>
                  <w:noWrap w:val="0"/>
                  <w:vAlign w:val="center"/>
                </w:tcPr>
                <w:p w14:paraId="71C38A7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≤4</w:t>
                  </w:r>
                </w:p>
              </w:tc>
              <w:tc>
                <w:tcPr>
                  <w:tcW w:w="590" w:type="pct"/>
                  <w:noWrap w:val="0"/>
                  <w:vAlign w:val="center"/>
                </w:tcPr>
                <w:p w14:paraId="7FE2ADF6">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超</w:t>
                  </w:r>
                  <w:r>
                    <w:rPr>
                      <w:rFonts w:hint="default" w:ascii="Times New Roman" w:hAnsi="Times New Roman" w:eastAsia="宋体" w:cs="Times New Roman"/>
                      <w:b w:val="0"/>
                      <w:bCs w:val="0"/>
                      <w:color w:val="00B050"/>
                      <w:kern w:val="2"/>
                      <w:sz w:val="21"/>
                      <w:szCs w:val="21"/>
                      <w:lang w:val="en-US" w:eastAsia="zh-CN" w:bidi="ar-SA"/>
                    </w:rPr>
                    <w:t>标</w:t>
                  </w:r>
                </w:p>
              </w:tc>
            </w:tr>
            <w:tr w14:paraId="5C1B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72" w:type="pct"/>
                  <w:noWrap w:val="0"/>
                  <w:vAlign w:val="center"/>
                </w:tcPr>
                <w:p w14:paraId="03AD911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氨氮</w:t>
                  </w:r>
                </w:p>
              </w:tc>
              <w:tc>
                <w:tcPr>
                  <w:tcW w:w="875" w:type="pct"/>
                  <w:noWrap w:val="0"/>
                  <w:vAlign w:val="center"/>
                </w:tcPr>
                <w:p w14:paraId="6296009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4.82</w:t>
                  </w:r>
                </w:p>
              </w:tc>
              <w:tc>
                <w:tcPr>
                  <w:tcW w:w="822" w:type="pct"/>
                  <w:noWrap w:val="0"/>
                  <w:vAlign w:val="center"/>
                </w:tcPr>
                <w:p w14:paraId="0A8373B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4.80</w:t>
                  </w:r>
                </w:p>
              </w:tc>
              <w:tc>
                <w:tcPr>
                  <w:tcW w:w="898" w:type="pct"/>
                  <w:noWrap w:val="0"/>
                  <w:vAlign w:val="center"/>
                </w:tcPr>
                <w:p w14:paraId="1D2A0A0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4.84</w:t>
                  </w:r>
                </w:p>
              </w:tc>
              <w:tc>
                <w:tcPr>
                  <w:tcW w:w="640" w:type="pct"/>
                  <w:noWrap w:val="0"/>
                  <w:vAlign w:val="center"/>
                </w:tcPr>
                <w:p w14:paraId="170E4DA8">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≤1.0</w:t>
                  </w:r>
                </w:p>
              </w:tc>
              <w:tc>
                <w:tcPr>
                  <w:tcW w:w="590" w:type="pct"/>
                  <w:noWrap w:val="0"/>
                  <w:vAlign w:val="center"/>
                </w:tcPr>
                <w:p w14:paraId="7F9EA54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超</w:t>
                  </w:r>
                  <w:r>
                    <w:rPr>
                      <w:rFonts w:hint="default" w:ascii="Times New Roman" w:hAnsi="Times New Roman" w:eastAsia="宋体" w:cs="Times New Roman"/>
                      <w:b w:val="0"/>
                      <w:bCs w:val="0"/>
                      <w:color w:val="00B050"/>
                      <w:kern w:val="2"/>
                      <w:sz w:val="21"/>
                      <w:szCs w:val="21"/>
                      <w:lang w:val="en-US" w:eastAsia="zh-CN" w:bidi="ar-SA"/>
                    </w:rPr>
                    <w:t>标</w:t>
                  </w:r>
                </w:p>
              </w:tc>
            </w:tr>
            <w:tr w14:paraId="2F119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72" w:type="pct"/>
                  <w:noWrap w:val="0"/>
                  <w:vAlign w:val="center"/>
                </w:tcPr>
                <w:p w14:paraId="6E557AC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总磷</w:t>
                  </w:r>
                </w:p>
              </w:tc>
              <w:tc>
                <w:tcPr>
                  <w:tcW w:w="875" w:type="pct"/>
                  <w:noWrap w:val="0"/>
                  <w:vAlign w:val="center"/>
                </w:tcPr>
                <w:p w14:paraId="18B34276">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0.62</w:t>
                  </w:r>
                </w:p>
              </w:tc>
              <w:tc>
                <w:tcPr>
                  <w:tcW w:w="822" w:type="pct"/>
                  <w:noWrap w:val="0"/>
                  <w:vAlign w:val="center"/>
                </w:tcPr>
                <w:p w14:paraId="2176D62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0.60</w:t>
                  </w:r>
                </w:p>
              </w:tc>
              <w:tc>
                <w:tcPr>
                  <w:tcW w:w="898" w:type="pct"/>
                  <w:noWrap w:val="0"/>
                  <w:vAlign w:val="center"/>
                </w:tcPr>
                <w:p w14:paraId="56131AD6">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0.61</w:t>
                  </w:r>
                </w:p>
              </w:tc>
              <w:tc>
                <w:tcPr>
                  <w:tcW w:w="640" w:type="pct"/>
                  <w:noWrap w:val="0"/>
                  <w:vAlign w:val="center"/>
                </w:tcPr>
                <w:p w14:paraId="32C7985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≤0.2</w:t>
                  </w:r>
                </w:p>
              </w:tc>
              <w:tc>
                <w:tcPr>
                  <w:tcW w:w="590" w:type="pct"/>
                  <w:noWrap w:val="0"/>
                  <w:vAlign w:val="center"/>
                </w:tcPr>
                <w:p w14:paraId="2D119646">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超</w:t>
                  </w:r>
                  <w:r>
                    <w:rPr>
                      <w:rFonts w:hint="default" w:ascii="Times New Roman" w:hAnsi="Times New Roman" w:eastAsia="宋体" w:cs="Times New Roman"/>
                      <w:b w:val="0"/>
                      <w:bCs w:val="0"/>
                      <w:color w:val="00B050"/>
                      <w:kern w:val="2"/>
                      <w:sz w:val="21"/>
                      <w:szCs w:val="21"/>
                      <w:lang w:val="en-US" w:eastAsia="zh-CN" w:bidi="ar-SA"/>
                    </w:rPr>
                    <w:t>标</w:t>
                  </w:r>
                </w:p>
              </w:tc>
            </w:tr>
            <w:tr w14:paraId="1ACF4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72" w:type="pct"/>
                  <w:noWrap w:val="0"/>
                  <w:vAlign w:val="center"/>
                </w:tcPr>
                <w:p w14:paraId="27542B28">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石油类</w:t>
                  </w:r>
                </w:p>
              </w:tc>
              <w:tc>
                <w:tcPr>
                  <w:tcW w:w="875" w:type="pct"/>
                  <w:noWrap w:val="0"/>
                  <w:vAlign w:val="center"/>
                </w:tcPr>
                <w:p w14:paraId="75B553A1">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0.01L</w:t>
                  </w:r>
                </w:p>
              </w:tc>
              <w:tc>
                <w:tcPr>
                  <w:tcW w:w="822" w:type="pct"/>
                  <w:noWrap w:val="0"/>
                  <w:vAlign w:val="center"/>
                </w:tcPr>
                <w:p w14:paraId="6AF5021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0.01L</w:t>
                  </w:r>
                </w:p>
              </w:tc>
              <w:tc>
                <w:tcPr>
                  <w:tcW w:w="898" w:type="pct"/>
                  <w:noWrap w:val="0"/>
                  <w:vAlign w:val="center"/>
                </w:tcPr>
                <w:p w14:paraId="32B38E7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0.01L</w:t>
                  </w:r>
                </w:p>
              </w:tc>
              <w:tc>
                <w:tcPr>
                  <w:tcW w:w="640" w:type="pct"/>
                  <w:noWrap w:val="0"/>
                  <w:vAlign w:val="center"/>
                </w:tcPr>
                <w:p w14:paraId="0DCAC1C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≤0.05</w:t>
                  </w:r>
                </w:p>
              </w:tc>
              <w:tc>
                <w:tcPr>
                  <w:tcW w:w="590" w:type="pct"/>
                  <w:noWrap w:val="0"/>
                  <w:vAlign w:val="center"/>
                </w:tcPr>
                <w:p w14:paraId="1826627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达标</w:t>
                  </w:r>
                </w:p>
              </w:tc>
            </w:tr>
            <w:tr w14:paraId="535F4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72" w:type="pct"/>
                  <w:noWrap w:val="0"/>
                  <w:vAlign w:val="center"/>
                </w:tcPr>
                <w:p w14:paraId="216F771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粪大肠菌群（MPN/L）</w:t>
                  </w:r>
                </w:p>
              </w:tc>
              <w:tc>
                <w:tcPr>
                  <w:tcW w:w="875" w:type="pct"/>
                  <w:noWrap w:val="0"/>
                  <w:vAlign w:val="center"/>
                </w:tcPr>
                <w:p w14:paraId="2ED988D1">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2.4×104</w:t>
                  </w:r>
                </w:p>
              </w:tc>
              <w:tc>
                <w:tcPr>
                  <w:tcW w:w="822" w:type="pct"/>
                  <w:noWrap w:val="0"/>
                  <w:vAlign w:val="center"/>
                </w:tcPr>
                <w:p w14:paraId="7263E188">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2.5×104</w:t>
                  </w:r>
                </w:p>
              </w:tc>
              <w:tc>
                <w:tcPr>
                  <w:tcW w:w="898" w:type="pct"/>
                  <w:noWrap w:val="0"/>
                  <w:vAlign w:val="center"/>
                </w:tcPr>
                <w:p w14:paraId="743A984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2.4×104</w:t>
                  </w:r>
                </w:p>
              </w:tc>
              <w:tc>
                <w:tcPr>
                  <w:tcW w:w="640" w:type="pct"/>
                  <w:noWrap w:val="0"/>
                  <w:vAlign w:val="center"/>
                </w:tcPr>
                <w:p w14:paraId="1F0C8FE1">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≤10000</w:t>
                  </w:r>
                </w:p>
              </w:tc>
              <w:tc>
                <w:tcPr>
                  <w:tcW w:w="590" w:type="pct"/>
                  <w:noWrap w:val="0"/>
                  <w:vAlign w:val="center"/>
                </w:tcPr>
                <w:p w14:paraId="436D8D61">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超</w:t>
                  </w:r>
                  <w:r>
                    <w:rPr>
                      <w:rFonts w:hint="default" w:ascii="Times New Roman" w:hAnsi="Times New Roman" w:eastAsia="宋体" w:cs="Times New Roman"/>
                      <w:b w:val="0"/>
                      <w:bCs w:val="0"/>
                      <w:color w:val="00B050"/>
                      <w:kern w:val="2"/>
                      <w:sz w:val="21"/>
                      <w:szCs w:val="21"/>
                      <w:lang w:val="en-US" w:eastAsia="zh-CN" w:bidi="ar-SA"/>
                    </w:rPr>
                    <w:t>标</w:t>
                  </w:r>
                </w:p>
              </w:tc>
            </w:tr>
            <w:tr w14:paraId="4A86C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72" w:type="pct"/>
                  <w:noWrap w:val="0"/>
                  <w:vAlign w:val="center"/>
                </w:tcPr>
                <w:p w14:paraId="1CD20218">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高锰酸盐指数</w:t>
                  </w:r>
                </w:p>
              </w:tc>
              <w:tc>
                <w:tcPr>
                  <w:tcW w:w="875" w:type="pct"/>
                  <w:noWrap w:val="0"/>
                  <w:vAlign w:val="center"/>
                </w:tcPr>
                <w:p w14:paraId="5DCE8F31">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12.9</w:t>
                  </w:r>
                </w:p>
              </w:tc>
              <w:tc>
                <w:tcPr>
                  <w:tcW w:w="822" w:type="pct"/>
                  <w:noWrap w:val="0"/>
                  <w:vAlign w:val="center"/>
                </w:tcPr>
                <w:p w14:paraId="18B7995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13.1</w:t>
                  </w:r>
                </w:p>
              </w:tc>
              <w:tc>
                <w:tcPr>
                  <w:tcW w:w="898" w:type="pct"/>
                  <w:noWrap w:val="0"/>
                  <w:vAlign w:val="center"/>
                </w:tcPr>
                <w:p w14:paraId="408AADEA">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12.7</w:t>
                  </w:r>
                </w:p>
              </w:tc>
              <w:tc>
                <w:tcPr>
                  <w:tcW w:w="640" w:type="pct"/>
                  <w:noWrap w:val="0"/>
                  <w:vAlign w:val="center"/>
                </w:tcPr>
                <w:p w14:paraId="60C3086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≤6</w:t>
                  </w:r>
                </w:p>
              </w:tc>
              <w:tc>
                <w:tcPr>
                  <w:tcW w:w="590" w:type="pct"/>
                  <w:noWrap w:val="0"/>
                  <w:vAlign w:val="center"/>
                </w:tcPr>
                <w:p w14:paraId="613A4D61">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超</w:t>
                  </w:r>
                  <w:r>
                    <w:rPr>
                      <w:rFonts w:hint="default" w:ascii="Times New Roman" w:hAnsi="Times New Roman" w:eastAsia="宋体" w:cs="Times New Roman"/>
                      <w:b w:val="0"/>
                      <w:bCs w:val="0"/>
                      <w:color w:val="00B050"/>
                      <w:kern w:val="2"/>
                      <w:sz w:val="21"/>
                      <w:szCs w:val="21"/>
                      <w:lang w:val="en-US" w:eastAsia="zh-CN" w:bidi="ar-SA"/>
                    </w:rPr>
                    <w:t>标</w:t>
                  </w:r>
                </w:p>
              </w:tc>
            </w:tr>
            <w:tr w14:paraId="0FFA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1172" w:type="pct"/>
                  <w:noWrap w:val="0"/>
                  <w:vAlign w:val="center"/>
                </w:tcPr>
                <w:p w14:paraId="0611110D">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阴离子表面活性剂</w:t>
                  </w:r>
                </w:p>
              </w:tc>
              <w:tc>
                <w:tcPr>
                  <w:tcW w:w="875" w:type="pct"/>
                  <w:noWrap w:val="0"/>
                  <w:vAlign w:val="center"/>
                </w:tcPr>
                <w:p w14:paraId="2A50F880">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0.156</w:t>
                  </w:r>
                </w:p>
              </w:tc>
              <w:tc>
                <w:tcPr>
                  <w:tcW w:w="822" w:type="pct"/>
                  <w:noWrap w:val="0"/>
                  <w:vAlign w:val="center"/>
                </w:tcPr>
                <w:p w14:paraId="6076017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0.154</w:t>
                  </w:r>
                </w:p>
              </w:tc>
              <w:tc>
                <w:tcPr>
                  <w:tcW w:w="898" w:type="pct"/>
                  <w:noWrap w:val="0"/>
                  <w:vAlign w:val="center"/>
                </w:tcPr>
                <w:p w14:paraId="56D8D230">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0.152</w:t>
                  </w:r>
                </w:p>
              </w:tc>
              <w:tc>
                <w:tcPr>
                  <w:tcW w:w="640" w:type="pct"/>
                  <w:noWrap w:val="0"/>
                  <w:vAlign w:val="center"/>
                </w:tcPr>
                <w:p w14:paraId="2FC4F63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≤0.2</w:t>
                  </w:r>
                </w:p>
              </w:tc>
              <w:tc>
                <w:tcPr>
                  <w:tcW w:w="590" w:type="pct"/>
                  <w:noWrap w:val="0"/>
                  <w:vAlign w:val="center"/>
                </w:tcPr>
                <w:p w14:paraId="114FA27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达标</w:t>
                  </w:r>
                </w:p>
              </w:tc>
            </w:tr>
            <w:tr w14:paraId="7E5F0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72" w:type="pct"/>
                  <w:noWrap w:val="0"/>
                  <w:vAlign w:val="center"/>
                </w:tcPr>
                <w:p w14:paraId="084B8B7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砷</w:t>
                  </w:r>
                </w:p>
              </w:tc>
              <w:tc>
                <w:tcPr>
                  <w:tcW w:w="875" w:type="pct"/>
                  <w:noWrap w:val="0"/>
                  <w:vAlign w:val="center"/>
                </w:tcPr>
                <w:p w14:paraId="4BB2CCB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0.0052</w:t>
                  </w:r>
                </w:p>
              </w:tc>
              <w:tc>
                <w:tcPr>
                  <w:tcW w:w="822" w:type="pct"/>
                  <w:noWrap w:val="0"/>
                  <w:vAlign w:val="center"/>
                </w:tcPr>
                <w:p w14:paraId="460713F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0.0054</w:t>
                  </w:r>
                </w:p>
              </w:tc>
              <w:tc>
                <w:tcPr>
                  <w:tcW w:w="898" w:type="pct"/>
                  <w:noWrap w:val="0"/>
                  <w:vAlign w:val="center"/>
                </w:tcPr>
                <w:p w14:paraId="17A2F7F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0.0051</w:t>
                  </w:r>
                </w:p>
              </w:tc>
              <w:tc>
                <w:tcPr>
                  <w:tcW w:w="640" w:type="pct"/>
                  <w:noWrap w:val="0"/>
                  <w:vAlign w:val="center"/>
                </w:tcPr>
                <w:p w14:paraId="627DAD77">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≤0.01</w:t>
                  </w:r>
                </w:p>
              </w:tc>
              <w:tc>
                <w:tcPr>
                  <w:tcW w:w="590" w:type="pct"/>
                  <w:noWrap w:val="0"/>
                  <w:vAlign w:val="center"/>
                </w:tcPr>
                <w:p w14:paraId="3620372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达标</w:t>
                  </w:r>
                </w:p>
              </w:tc>
            </w:tr>
            <w:tr w14:paraId="7B62F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72" w:type="pct"/>
                  <w:noWrap w:val="0"/>
                  <w:vAlign w:val="center"/>
                </w:tcPr>
                <w:p w14:paraId="050A896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铁</w:t>
                  </w:r>
                </w:p>
              </w:tc>
              <w:tc>
                <w:tcPr>
                  <w:tcW w:w="875" w:type="pct"/>
                  <w:noWrap w:val="0"/>
                  <w:vAlign w:val="center"/>
                </w:tcPr>
                <w:p w14:paraId="7C51463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0.11</w:t>
                  </w:r>
                </w:p>
              </w:tc>
              <w:tc>
                <w:tcPr>
                  <w:tcW w:w="822" w:type="pct"/>
                  <w:noWrap w:val="0"/>
                  <w:vAlign w:val="center"/>
                </w:tcPr>
                <w:p w14:paraId="0107E9CA">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0.12</w:t>
                  </w:r>
                </w:p>
              </w:tc>
              <w:tc>
                <w:tcPr>
                  <w:tcW w:w="898" w:type="pct"/>
                  <w:noWrap w:val="0"/>
                  <w:vAlign w:val="center"/>
                </w:tcPr>
                <w:p w14:paraId="5EFD51BD">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0.11</w:t>
                  </w:r>
                </w:p>
              </w:tc>
              <w:tc>
                <w:tcPr>
                  <w:tcW w:w="640" w:type="pct"/>
                  <w:noWrap w:val="0"/>
                  <w:vAlign w:val="center"/>
                </w:tcPr>
                <w:p w14:paraId="6BF521C8">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≤0.3</w:t>
                  </w:r>
                </w:p>
              </w:tc>
              <w:tc>
                <w:tcPr>
                  <w:tcW w:w="590" w:type="pct"/>
                  <w:noWrap w:val="0"/>
                  <w:vAlign w:val="center"/>
                </w:tcPr>
                <w:p w14:paraId="0472E08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达标</w:t>
                  </w:r>
                </w:p>
              </w:tc>
            </w:tr>
            <w:tr w14:paraId="7A51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72" w:type="pct"/>
                  <w:noWrap w:val="0"/>
                  <w:vAlign w:val="center"/>
                </w:tcPr>
                <w:p w14:paraId="38677C86">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锌</w:t>
                  </w:r>
                </w:p>
              </w:tc>
              <w:tc>
                <w:tcPr>
                  <w:tcW w:w="875" w:type="pct"/>
                  <w:noWrap w:val="0"/>
                  <w:vAlign w:val="center"/>
                </w:tcPr>
                <w:p w14:paraId="1E1FF0F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0.014</w:t>
                  </w:r>
                </w:p>
              </w:tc>
              <w:tc>
                <w:tcPr>
                  <w:tcW w:w="822" w:type="pct"/>
                  <w:noWrap w:val="0"/>
                  <w:vAlign w:val="center"/>
                </w:tcPr>
                <w:p w14:paraId="7DCD417D">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0.014</w:t>
                  </w:r>
                </w:p>
              </w:tc>
              <w:tc>
                <w:tcPr>
                  <w:tcW w:w="898" w:type="pct"/>
                  <w:noWrap w:val="0"/>
                  <w:vAlign w:val="center"/>
                </w:tcPr>
                <w:p w14:paraId="5958C2E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0.014</w:t>
                  </w:r>
                </w:p>
              </w:tc>
              <w:tc>
                <w:tcPr>
                  <w:tcW w:w="640" w:type="pct"/>
                  <w:noWrap w:val="0"/>
                  <w:vAlign w:val="center"/>
                </w:tcPr>
                <w:p w14:paraId="1005C7D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≤1.0</w:t>
                  </w:r>
                </w:p>
              </w:tc>
              <w:tc>
                <w:tcPr>
                  <w:tcW w:w="590" w:type="pct"/>
                  <w:noWrap w:val="0"/>
                  <w:vAlign w:val="center"/>
                </w:tcPr>
                <w:p w14:paraId="36B8129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达标</w:t>
                  </w:r>
                </w:p>
              </w:tc>
            </w:tr>
            <w:tr w14:paraId="52EEC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72" w:type="pct"/>
                  <w:noWrap w:val="0"/>
                  <w:vAlign w:val="center"/>
                </w:tcPr>
                <w:p w14:paraId="542BCA5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六价铬</w:t>
                  </w:r>
                </w:p>
              </w:tc>
              <w:tc>
                <w:tcPr>
                  <w:tcW w:w="875" w:type="pct"/>
                  <w:noWrap w:val="0"/>
                  <w:vAlign w:val="center"/>
                </w:tcPr>
                <w:p w14:paraId="391698C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0.004L</w:t>
                  </w:r>
                </w:p>
              </w:tc>
              <w:tc>
                <w:tcPr>
                  <w:tcW w:w="822" w:type="pct"/>
                  <w:noWrap w:val="0"/>
                  <w:vAlign w:val="center"/>
                </w:tcPr>
                <w:p w14:paraId="13406F7D">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0.004L</w:t>
                  </w:r>
                </w:p>
              </w:tc>
              <w:tc>
                <w:tcPr>
                  <w:tcW w:w="898" w:type="pct"/>
                  <w:noWrap w:val="0"/>
                  <w:vAlign w:val="center"/>
                </w:tcPr>
                <w:p w14:paraId="17901EF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0.004L</w:t>
                  </w:r>
                </w:p>
              </w:tc>
              <w:tc>
                <w:tcPr>
                  <w:tcW w:w="640" w:type="pct"/>
                  <w:noWrap w:val="0"/>
                  <w:vAlign w:val="center"/>
                </w:tcPr>
                <w:p w14:paraId="45974B3D">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≤0.05</w:t>
                  </w:r>
                </w:p>
              </w:tc>
              <w:tc>
                <w:tcPr>
                  <w:tcW w:w="590" w:type="pct"/>
                  <w:noWrap w:val="0"/>
                  <w:vAlign w:val="center"/>
                </w:tcPr>
                <w:p w14:paraId="704A322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达标</w:t>
                  </w:r>
                </w:p>
              </w:tc>
            </w:tr>
            <w:tr w14:paraId="6FC05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72" w:type="pct"/>
                  <w:noWrap w:val="0"/>
                  <w:vAlign w:val="center"/>
                </w:tcPr>
                <w:p w14:paraId="1AE35698">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挥发酚</w:t>
                  </w:r>
                </w:p>
              </w:tc>
              <w:tc>
                <w:tcPr>
                  <w:tcW w:w="875" w:type="pct"/>
                  <w:noWrap w:val="0"/>
                  <w:vAlign w:val="center"/>
                </w:tcPr>
                <w:p w14:paraId="5917A0A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0.0003L</w:t>
                  </w:r>
                </w:p>
              </w:tc>
              <w:tc>
                <w:tcPr>
                  <w:tcW w:w="822" w:type="pct"/>
                  <w:noWrap w:val="0"/>
                  <w:vAlign w:val="center"/>
                </w:tcPr>
                <w:p w14:paraId="7FA08EE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0.0003L</w:t>
                  </w:r>
                </w:p>
              </w:tc>
              <w:tc>
                <w:tcPr>
                  <w:tcW w:w="898" w:type="pct"/>
                  <w:noWrap w:val="0"/>
                  <w:vAlign w:val="center"/>
                </w:tcPr>
                <w:p w14:paraId="6CB8B7D0">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0.0003L</w:t>
                  </w:r>
                </w:p>
              </w:tc>
              <w:tc>
                <w:tcPr>
                  <w:tcW w:w="640" w:type="pct"/>
                  <w:noWrap w:val="0"/>
                  <w:vAlign w:val="center"/>
                </w:tcPr>
                <w:p w14:paraId="586A6BF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≤0.005</w:t>
                  </w:r>
                </w:p>
              </w:tc>
              <w:tc>
                <w:tcPr>
                  <w:tcW w:w="590" w:type="pct"/>
                  <w:noWrap w:val="0"/>
                  <w:vAlign w:val="center"/>
                </w:tcPr>
                <w:p w14:paraId="41BA5BB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达标</w:t>
                  </w:r>
                </w:p>
              </w:tc>
            </w:tr>
            <w:tr w14:paraId="30530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72" w:type="pct"/>
                  <w:noWrap w:val="0"/>
                  <w:vAlign w:val="center"/>
                </w:tcPr>
                <w:p w14:paraId="17CCEB87">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氰化物</w:t>
                  </w:r>
                </w:p>
              </w:tc>
              <w:tc>
                <w:tcPr>
                  <w:tcW w:w="875" w:type="pct"/>
                  <w:noWrap w:val="0"/>
                  <w:vAlign w:val="center"/>
                </w:tcPr>
                <w:p w14:paraId="11E2ADE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0.004L</w:t>
                  </w:r>
                </w:p>
              </w:tc>
              <w:tc>
                <w:tcPr>
                  <w:tcW w:w="822" w:type="pct"/>
                  <w:noWrap w:val="0"/>
                  <w:vAlign w:val="center"/>
                </w:tcPr>
                <w:p w14:paraId="3AE18FB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0.004L</w:t>
                  </w:r>
                </w:p>
              </w:tc>
              <w:tc>
                <w:tcPr>
                  <w:tcW w:w="898" w:type="pct"/>
                  <w:noWrap w:val="0"/>
                  <w:vAlign w:val="center"/>
                </w:tcPr>
                <w:p w14:paraId="54979BF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0.004L</w:t>
                  </w:r>
                </w:p>
              </w:tc>
              <w:tc>
                <w:tcPr>
                  <w:tcW w:w="640" w:type="pct"/>
                  <w:noWrap w:val="0"/>
                  <w:vAlign w:val="center"/>
                </w:tcPr>
                <w:p w14:paraId="42C710DA">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≤0.02</w:t>
                  </w:r>
                </w:p>
              </w:tc>
              <w:tc>
                <w:tcPr>
                  <w:tcW w:w="590" w:type="pct"/>
                  <w:noWrap w:val="0"/>
                  <w:vAlign w:val="center"/>
                </w:tcPr>
                <w:p w14:paraId="04022D2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达标</w:t>
                  </w:r>
                </w:p>
              </w:tc>
            </w:tr>
            <w:tr w14:paraId="3376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72" w:type="pct"/>
                  <w:noWrap w:val="0"/>
                  <w:vAlign w:val="center"/>
                </w:tcPr>
                <w:p w14:paraId="459FC05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硫化物</w:t>
                  </w:r>
                </w:p>
              </w:tc>
              <w:tc>
                <w:tcPr>
                  <w:tcW w:w="875" w:type="pct"/>
                  <w:noWrap w:val="0"/>
                  <w:vAlign w:val="center"/>
                </w:tcPr>
                <w:p w14:paraId="3D7C34B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0.01L</w:t>
                  </w:r>
                </w:p>
              </w:tc>
              <w:tc>
                <w:tcPr>
                  <w:tcW w:w="822" w:type="pct"/>
                  <w:noWrap w:val="0"/>
                  <w:vAlign w:val="center"/>
                </w:tcPr>
                <w:p w14:paraId="4D69C8D7">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0.01L</w:t>
                  </w:r>
                </w:p>
              </w:tc>
              <w:tc>
                <w:tcPr>
                  <w:tcW w:w="898" w:type="pct"/>
                  <w:noWrap w:val="0"/>
                  <w:vAlign w:val="center"/>
                </w:tcPr>
                <w:p w14:paraId="78DC1F36">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0.01L</w:t>
                  </w:r>
                </w:p>
              </w:tc>
              <w:tc>
                <w:tcPr>
                  <w:tcW w:w="640" w:type="pct"/>
                  <w:noWrap w:val="0"/>
                  <w:vAlign w:val="center"/>
                </w:tcPr>
                <w:p w14:paraId="2A00AD1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≤250</w:t>
                  </w:r>
                </w:p>
              </w:tc>
              <w:tc>
                <w:tcPr>
                  <w:tcW w:w="590" w:type="pct"/>
                  <w:noWrap w:val="0"/>
                  <w:vAlign w:val="center"/>
                </w:tcPr>
                <w:p w14:paraId="227DF73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达标</w:t>
                  </w:r>
                </w:p>
              </w:tc>
            </w:tr>
          </w:tbl>
          <w:p w14:paraId="3BEC73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atLeast"/>
              <w:ind w:left="0" w:right="0" w:firstLine="480"/>
              <w:jc w:val="both"/>
              <w:textAlignment w:val="auto"/>
              <w:rPr>
                <w:rFonts w:hint="default" w:ascii="Times New Roman" w:hAnsi="Times New Roman" w:eastAsia="宋体" w:cs="Times New Roman"/>
                <w:bCs/>
                <w:color w:val="000000" w:themeColor="text1"/>
                <w:sz w:val="21"/>
                <w:szCs w:val="21"/>
                <w:lang w:val="zh-CN" w:eastAsia="zh-CN"/>
              </w:rPr>
            </w:pPr>
            <w:r>
              <w:rPr>
                <w:rFonts w:hint="default" w:ascii="Times New Roman" w:hAnsi="Times New Roman" w:eastAsia="宋体" w:cs="Times New Roman"/>
                <w:bCs/>
                <w:color w:val="000000" w:themeColor="text1"/>
                <w:kern w:val="2"/>
                <w:sz w:val="21"/>
                <w:szCs w:val="21"/>
                <w:lang w:val="zh-CN" w:eastAsia="zh-CN" w:bidi="ar"/>
              </w:rPr>
              <w:t>从监测结果可见，里山大沟现状水质未达到《地表水环境质量标准》（GB3838－2002）Ⅲ类标准要求，超标因子包括溶解氧、化学需氧量、五日生化需氧量、氨氮、总磷、粪大肠菌群、高锰酸钾指数，超标原因主要是由于上游农业面源、农村面源未设置集中治理措施排放导致。</w:t>
            </w:r>
          </w:p>
          <w:p w14:paraId="1673B2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atLeast"/>
              <w:ind w:left="0" w:right="0" w:firstLine="480"/>
              <w:jc w:val="both"/>
              <w:textAlignment w:val="auto"/>
              <w:rPr>
                <w:rFonts w:hint="eastAsia" w:ascii="Times New Roman" w:hAnsi="Times New Roman" w:eastAsia="宋体" w:cs="Times New Roman"/>
                <w:bCs/>
                <w:color w:val="00B050"/>
                <w:kern w:val="2"/>
                <w:sz w:val="21"/>
                <w:szCs w:val="21"/>
                <w:lang w:val="en-US" w:eastAsia="zh-CN" w:bidi="ar"/>
              </w:rPr>
            </w:pPr>
            <w:r>
              <w:rPr>
                <w:rFonts w:hint="default" w:ascii="Times New Roman" w:hAnsi="Times New Roman" w:eastAsia="宋体" w:cs="Times New Roman"/>
                <w:bCs/>
                <w:color w:val="00B050"/>
                <w:kern w:val="2"/>
                <w:sz w:val="21"/>
                <w:szCs w:val="21"/>
                <w:lang w:val="en-US" w:eastAsia="zh-CN" w:bidi="ar"/>
              </w:rPr>
              <w:t>距离本项目最近的曲江例行监测断面为曲江大河上的马脖子电站断面（市控断面），位于项目区西南侧约</w:t>
            </w:r>
            <w:r>
              <w:rPr>
                <w:rFonts w:hint="eastAsia" w:ascii="Times New Roman" w:hAnsi="Times New Roman" w:eastAsia="宋体" w:cs="Times New Roman"/>
                <w:bCs/>
                <w:color w:val="00B050"/>
                <w:kern w:val="2"/>
                <w:sz w:val="21"/>
                <w:szCs w:val="21"/>
                <w:lang w:val="en-US" w:eastAsia="zh-CN" w:bidi="ar"/>
              </w:rPr>
              <w:t>9.32</w:t>
            </w:r>
            <w:r>
              <w:rPr>
                <w:rFonts w:hint="default" w:ascii="Times New Roman" w:hAnsi="Times New Roman" w:eastAsia="宋体" w:cs="Times New Roman"/>
                <w:bCs/>
                <w:color w:val="00B050"/>
                <w:kern w:val="2"/>
                <w:sz w:val="21"/>
                <w:szCs w:val="21"/>
                <w:lang w:val="en-US" w:eastAsia="zh-CN" w:bidi="ar"/>
              </w:rPr>
              <w:t>km处，本次现状评价</w:t>
            </w:r>
            <w:r>
              <w:rPr>
                <w:rFonts w:hint="eastAsia" w:ascii="Times New Roman" w:hAnsi="Times New Roman" w:eastAsia="宋体" w:cs="Times New Roman"/>
                <w:bCs/>
                <w:color w:val="00B050"/>
                <w:kern w:val="2"/>
                <w:sz w:val="21"/>
                <w:szCs w:val="21"/>
                <w:lang w:val="en-US" w:eastAsia="zh-CN" w:bidi="ar"/>
              </w:rPr>
              <w:t>通海县环境监测站2023年7月、2022年4月对曲江市控断面（马脖子电站）的监测数据，具体监测结果如下表所示：</w:t>
            </w:r>
          </w:p>
          <w:p w14:paraId="108885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b/>
                <w:bCs w:val="0"/>
                <w:color w:val="00B050"/>
                <w:kern w:val="2"/>
                <w:sz w:val="21"/>
                <w:szCs w:val="21"/>
                <w:lang w:val="en-US" w:eastAsia="zh-CN" w:bidi="ar"/>
              </w:rPr>
            </w:pPr>
            <w:r>
              <w:rPr>
                <w:rFonts w:hint="eastAsia" w:ascii="Times New Roman" w:hAnsi="Times New Roman" w:eastAsia="宋体" w:cs="Times New Roman"/>
                <w:b/>
                <w:bCs w:val="0"/>
                <w:color w:val="00B050"/>
                <w:kern w:val="2"/>
                <w:sz w:val="21"/>
                <w:szCs w:val="21"/>
                <w:lang w:val="en-US" w:eastAsia="zh-CN" w:bidi="ar"/>
              </w:rPr>
              <w:t>表3-</w:t>
            </w:r>
            <w:r>
              <w:rPr>
                <w:rFonts w:hint="eastAsia" w:cs="Times New Roman"/>
                <w:b/>
                <w:bCs w:val="0"/>
                <w:color w:val="00B050"/>
                <w:kern w:val="2"/>
                <w:sz w:val="21"/>
                <w:szCs w:val="21"/>
                <w:lang w:val="en-US" w:eastAsia="zh-CN" w:bidi="ar"/>
              </w:rPr>
              <w:t>4</w:t>
            </w:r>
            <w:r>
              <w:rPr>
                <w:rFonts w:hint="eastAsia" w:ascii="Times New Roman" w:hAnsi="Times New Roman" w:eastAsia="宋体" w:cs="Times New Roman"/>
                <w:b/>
                <w:bCs w:val="0"/>
                <w:color w:val="00B050"/>
                <w:kern w:val="2"/>
                <w:sz w:val="21"/>
                <w:szCs w:val="21"/>
                <w:lang w:val="en-US" w:eastAsia="zh-CN" w:bidi="ar"/>
              </w:rPr>
              <w:t xml:space="preserve">   曲江马脖子市控断面例行监测结果</w:t>
            </w:r>
          </w:p>
          <w:tbl>
            <w:tblPr>
              <w:tblStyle w:val="43"/>
              <w:tblW w:w="81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692"/>
              <w:gridCol w:w="880"/>
              <w:gridCol w:w="1226"/>
              <w:gridCol w:w="1127"/>
              <w:gridCol w:w="1190"/>
              <w:gridCol w:w="1051"/>
              <w:gridCol w:w="992"/>
            </w:tblGrid>
            <w:tr w14:paraId="11099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13" w:hRule="exact"/>
                <w:jc w:val="center"/>
              </w:trPr>
              <w:tc>
                <w:tcPr>
                  <w:tcW w:w="2572" w:type="dxa"/>
                  <w:gridSpan w:val="2"/>
                  <w:vMerge w:val="restart"/>
                  <w:tcBorders>
                    <w:tl2br w:val="single" w:color="000000" w:sz="6" w:space="0"/>
                  </w:tcBorders>
                  <w:noWrap w:val="0"/>
                  <w:vAlign w:val="center"/>
                </w:tcPr>
                <w:p w14:paraId="6286433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right"/>
                    <w:textAlignment w:val="auto"/>
                    <w:rPr>
                      <w:rFonts w:hint="default" w:ascii="Times New Roman" w:hAnsi="Times New Roman" w:eastAsia="宋体" w:cs="Times New Roman"/>
                      <w:b w:val="0"/>
                      <w:bCs w:val="0"/>
                      <w:color w:val="00B050"/>
                      <w:kern w:val="0"/>
                      <w:sz w:val="21"/>
                      <w:szCs w:val="21"/>
                    </w:rPr>
                  </w:pPr>
                  <w:r>
                    <w:rPr>
                      <w:rFonts w:hint="default" w:ascii="Times New Roman" w:hAnsi="Times New Roman" w:eastAsia="宋体" w:cs="Times New Roman"/>
                      <w:b w:val="0"/>
                      <w:bCs w:val="0"/>
                      <w:color w:val="00B050"/>
                      <w:kern w:val="0"/>
                      <w:sz w:val="21"/>
                      <w:szCs w:val="21"/>
                    </w:rPr>
                    <w:t>断面名称</w:t>
                  </w:r>
                </w:p>
                <w:p w14:paraId="1345AC6A">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宋体" w:cs="Times New Roman"/>
                      <w:b w:val="0"/>
                      <w:bCs w:val="0"/>
                      <w:color w:val="00B050"/>
                      <w:kern w:val="0"/>
                      <w:sz w:val="21"/>
                      <w:szCs w:val="21"/>
                    </w:rPr>
                  </w:pPr>
                  <w:r>
                    <w:rPr>
                      <w:rFonts w:hint="default" w:ascii="Times New Roman" w:hAnsi="Times New Roman" w:eastAsia="宋体" w:cs="Times New Roman"/>
                      <w:b w:val="0"/>
                      <w:bCs w:val="0"/>
                      <w:color w:val="00B050"/>
                      <w:kern w:val="0"/>
                      <w:sz w:val="21"/>
                      <w:szCs w:val="21"/>
                    </w:rPr>
                    <w:t>监测项目</w:t>
                  </w:r>
                </w:p>
              </w:tc>
              <w:tc>
                <w:tcPr>
                  <w:tcW w:w="2353" w:type="dxa"/>
                  <w:gridSpan w:val="2"/>
                  <w:tcBorders>
                    <w:tl2br w:val="nil"/>
                    <w:tr2bl w:val="nil"/>
                  </w:tcBorders>
                  <w:noWrap w:val="0"/>
                  <w:vAlign w:val="center"/>
                </w:tcPr>
                <w:p w14:paraId="5051F59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B050"/>
                      <w:kern w:val="0"/>
                      <w:sz w:val="21"/>
                      <w:szCs w:val="21"/>
                      <w:lang w:eastAsia="zh-CN"/>
                    </w:rPr>
                  </w:pPr>
                  <w:r>
                    <w:rPr>
                      <w:rFonts w:hint="eastAsia" w:ascii="Times New Roman" w:hAnsi="Times New Roman" w:eastAsia="宋体" w:cs="Times New Roman"/>
                      <w:b w:val="0"/>
                      <w:bCs w:val="0"/>
                      <w:color w:val="00B050"/>
                      <w:kern w:val="0"/>
                      <w:sz w:val="21"/>
                      <w:szCs w:val="21"/>
                      <w:lang w:eastAsia="zh-CN"/>
                    </w:rPr>
                    <w:t>马脖子</w:t>
                  </w:r>
                  <w:r>
                    <w:rPr>
                      <w:rFonts w:hint="eastAsia" w:ascii="Times New Roman" w:hAnsi="Times New Roman" w:eastAsia="宋体" w:cs="Times New Roman"/>
                      <w:b w:val="0"/>
                      <w:bCs w:val="0"/>
                      <w:color w:val="00B050"/>
                      <w:kern w:val="0"/>
                      <w:sz w:val="21"/>
                      <w:szCs w:val="21"/>
                      <w:lang w:val="en-US" w:eastAsia="zh-CN"/>
                    </w:rPr>
                    <w:t>电站断面</w:t>
                  </w:r>
                </w:p>
              </w:tc>
              <w:tc>
                <w:tcPr>
                  <w:tcW w:w="1190" w:type="dxa"/>
                  <w:vMerge w:val="restart"/>
                  <w:tcBorders>
                    <w:tl2br w:val="nil"/>
                    <w:tr2bl w:val="nil"/>
                  </w:tcBorders>
                  <w:noWrap w:val="0"/>
                  <w:vAlign w:val="center"/>
                </w:tcPr>
                <w:p w14:paraId="2B8537E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0"/>
                      <w:sz w:val="21"/>
                      <w:szCs w:val="21"/>
                    </w:rPr>
                  </w:pPr>
                  <w:r>
                    <w:rPr>
                      <w:rFonts w:hint="default" w:ascii="Times New Roman" w:hAnsi="Times New Roman" w:eastAsia="方正仿宋_GBK" w:cs="Times New Roman"/>
                      <w:b w:val="0"/>
                      <w:bCs w:val="0"/>
                      <w:color w:val="00B050"/>
                      <w:sz w:val="21"/>
                      <w:szCs w:val="21"/>
                    </w:rPr>
                    <w:t>Ⅲ</w:t>
                  </w:r>
                  <w:r>
                    <w:rPr>
                      <w:rFonts w:hint="default" w:ascii="Times New Roman" w:hAnsi="Times New Roman" w:eastAsia="宋体" w:cs="Times New Roman"/>
                      <w:b w:val="0"/>
                      <w:bCs w:val="0"/>
                      <w:color w:val="00B050"/>
                      <w:sz w:val="21"/>
                      <w:szCs w:val="21"/>
                    </w:rPr>
                    <w:t>类水标准</w:t>
                  </w:r>
                </w:p>
              </w:tc>
              <w:tc>
                <w:tcPr>
                  <w:tcW w:w="1051" w:type="dxa"/>
                  <w:vMerge w:val="restart"/>
                  <w:tcBorders>
                    <w:tl2br w:val="nil"/>
                    <w:tr2bl w:val="nil"/>
                  </w:tcBorders>
                  <w:noWrap w:val="0"/>
                  <w:vAlign w:val="center"/>
                </w:tcPr>
                <w:p w14:paraId="3BA81CA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B050"/>
                      <w:sz w:val="21"/>
                      <w:szCs w:val="21"/>
                      <w:lang w:eastAsia="zh-CN"/>
                    </w:rPr>
                  </w:pPr>
                  <w:r>
                    <w:rPr>
                      <w:rFonts w:hint="eastAsia" w:ascii="Times New Roman" w:hAnsi="Times New Roman" w:eastAsia="宋体" w:cs="Times New Roman"/>
                      <w:b w:val="0"/>
                      <w:bCs w:val="0"/>
                      <w:color w:val="00B050"/>
                      <w:sz w:val="21"/>
                      <w:szCs w:val="21"/>
                      <w:lang w:eastAsia="zh-CN"/>
                    </w:rPr>
                    <w:t>标准指数</w:t>
                  </w:r>
                </w:p>
              </w:tc>
              <w:tc>
                <w:tcPr>
                  <w:tcW w:w="992" w:type="dxa"/>
                  <w:vMerge w:val="restart"/>
                  <w:tcBorders>
                    <w:tl2br w:val="nil"/>
                    <w:tr2bl w:val="nil"/>
                  </w:tcBorders>
                  <w:noWrap w:val="0"/>
                  <w:vAlign w:val="center"/>
                </w:tcPr>
                <w:p w14:paraId="23D6A998">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0"/>
                      <w:sz w:val="21"/>
                      <w:szCs w:val="21"/>
                    </w:rPr>
                  </w:pPr>
                  <w:r>
                    <w:rPr>
                      <w:rFonts w:hint="default" w:ascii="Times New Roman" w:hAnsi="Times New Roman" w:eastAsia="宋体" w:cs="Times New Roman"/>
                      <w:b w:val="0"/>
                      <w:bCs w:val="0"/>
                      <w:color w:val="00B050"/>
                      <w:sz w:val="21"/>
                      <w:szCs w:val="21"/>
                    </w:rPr>
                    <w:t>评价结果</w:t>
                  </w:r>
                </w:p>
              </w:tc>
            </w:tr>
            <w:tr w14:paraId="22D90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13" w:hRule="exact"/>
                <w:jc w:val="center"/>
              </w:trPr>
              <w:tc>
                <w:tcPr>
                  <w:tcW w:w="2572" w:type="dxa"/>
                  <w:gridSpan w:val="2"/>
                  <w:vMerge w:val="continue"/>
                  <w:tcBorders>
                    <w:tl2br w:val="nil"/>
                    <w:tr2bl w:val="nil"/>
                  </w:tcBorders>
                  <w:noWrap w:val="0"/>
                  <w:vAlign w:val="center"/>
                </w:tcPr>
                <w:p w14:paraId="5AFB0D8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sz w:val="21"/>
                      <w:szCs w:val="21"/>
                    </w:rPr>
                  </w:pPr>
                </w:p>
              </w:tc>
              <w:tc>
                <w:tcPr>
                  <w:tcW w:w="1226" w:type="dxa"/>
                  <w:tcBorders>
                    <w:tl2br w:val="nil"/>
                    <w:tr2bl w:val="nil"/>
                  </w:tcBorders>
                  <w:noWrap w:val="0"/>
                  <w:vAlign w:val="center"/>
                </w:tcPr>
                <w:p w14:paraId="2EA179D8">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0"/>
                      <w:sz w:val="21"/>
                      <w:szCs w:val="21"/>
                      <w:lang w:val="en-US" w:eastAsia="zh-CN"/>
                    </w:rPr>
                  </w:pPr>
                  <w:r>
                    <w:rPr>
                      <w:rFonts w:hint="eastAsia" w:ascii="Times New Roman" w:hAnsi="Times New Roman" w:eastAsia="宋体" w:cs="Times New Roman"/>
                      <w:b w:val="0"/>
                      <w:bCs w:val="0"/>
                      <w:color w:val="00B050"/>
                      <w:kern w:val="0"/>
                      <w:sz w:val="21"/>
                      <w:szCs w:val="21"/>
                      <w:lang w:val="en-US" w:eastAsia="zh-CN"/>
                    </w:rPr>
                    <w:t>2023年</w:t>
                  </w:r>
                </w:p>
              </w:tc>
              <w:tc>
                <w:tcPr>
                  <w:tcW w:w="1127" w:type="dxa"/>
                  <w:tcBorders>
                    <w:tl2br w:val="nil"/>
                    <w:tr2bl w:val="nil"/>
                  </w:tcBorders>
                  <w:noWrap w:val="0"/>
                  <w:vAlign w:val="center"/>
                </w:tcPr>
                <w:p w14:paraId="0F9D0B5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0"/>
                      <w:sz w:val="21"/>
                      <w:szCs w:val="21"/>
                      <w:lang w:val="en-US" w:eastAsia="zh-CN"/>
                    </w:rPr>
                  </w:pPr>
                  <w:r>
                    <w:rPr>
                      <w:rFonts w:hint="eastAsia" w:ascii="Times New Roman" w:hAnsi="Times New Roman" w:eastAsia="宋体" w:cs="Times New Roman"/>
                      <w:b w:val="0"/>
                      <w:bCs w:val="0"/>
                      <w:color w:val="00B050"/>
                      <w:kern w:val="0"/>
                      <w:sz w:val="21"/>
                      <w:szCs w:val="21"/>
                      <w:lang w:val="en-US" w:eastAsia="zh-CN"/>
                    </w:rPr>
                    <w:t>2022年</w:t>
                  </w:r>
                </w:p>
              </w:tc>
              <w:tc>
                <w:tcPr>
                  <w:tcW w:w="1190" w:type="dxa"/>
                  <w:vMerge w:val="continue"/>
                  <w:tcBorders>
                    <w:tl2br w:val="nil"/>
                    <w:tr2bl w:val="nil"/>
                  </w:tcBorders>
                  <w:noWrap w:val="0"/>
                  <w:vAlign w:val="center"/>
                </w:tcPr>
                <w:p w14:paraId="70AFEB4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B050"/>
                      <w:kern w:val="0"/>
                      <w:sz w:val="21"/>
                      <w:szCs w:val="21"/>
                      <w:lang w:eastAsia="zh-CN"/>
                    </w:rPr>
                  </w:pPr>
                </w:p>
              </w:tc>
              <w:tc>
                <w:tcPr>
                  <w:tcW w:w="1051" w:type="dxa"/>
                  <w:vMerge w:val="continue"/>
                  <w:tcBorders>
                    <w:tl2br w:val="nil"/>
                    <w:tr2bl w:val="nil"/>
                  </w:tcBorders>
                  <w:noWrap w:val="0"/>
                  <w:vAlign w:val="center"/>
                </w:tcPr>
                <w:p w14:paraId="34FEBDA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B050"/>
                      <w:kern w:val="0"/>
                      <w:sz w:val="21"/>
                      <w:szCs w:val="21"/>
                      <w:lang w:eastAsia="zh-CN"/>
                    </w:rPr>
                  </w:pPr>
                </w:p>
              </w:tc>
              <w:tc>
                <w:tcPr>
                  <w:tcW w:w="992" w:type="dxa"/>
                  <w:vMerge w:val="continue"/>
                  <w:tcBorders>
                    <w:tl2br w:val="nil"/>
                    <w:tr2bl w:val="nil"/>
                  </w:tcBorders>
                  <w:noWrap w:val="0"/>
                  <w:vAlign w:val="center"/>
                </w:tcPr>
                <w:p w14:paraId="329FC3C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B050"/>
                      <w:kern w:val="0"/>
                      <w:sz w:val="21"/>
                      <w:szCs w:val="21"/>
                      <w:lang w:eastAsia="zh-CN"/>
                    </w:rPr>
                  </w:pPr>
                </w:p>
              </w:tc>
            </w:tr>
            <w:tr w14:paraId="79BB9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13" w:hRule="exact"/>
                <w:jc w:val="center"/>
              </w:trPr>
              <w:tc>
                <w:tcPr>
                  <w:tcW w:w="1692" w:type="dxa"/>
                  <w:tcBorders>
                    <w:tl2br w:val="nil"/>
                    <w:tr2bl w:val="nil"/>
                  </w:tcBorders>
                  <w:noWrap w:val="0"/>
                  <w:vAlign w:val="center"/>
                </w:tcPr>
                <w:p w14:paraId="006FD7E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pH</w:t>
                  </w:r>
                </w:p>
              </w:tc>
              <w:tc>
                <w:tcPr>
                  <w:tcW w:w="880" w:type="dxa"/>
                  <w:tcBorders>
                    <w:tl2br w:val="nil"/>
                    <w:tr2bl w:val="nil"/>
                  </w:tcBorders>
                  <w:noWrap w:val="0"/>
                  <w:vAlign w:val="center"/>
                </w:tcPr>
                <w:p w14:paraId="3A8EA3DD">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无量纲</w:t>
                  </w:r>
                </w:p>
              </w:tc>
              <w:tc>
                <w:tcPr>
                  <w:tcW w:w="1226" w:type="dxa"/>
                  <w:tcBorders>
                    <w:tl2br w:val="nil"/>
                    <w:tr2bl w:val="nil"/>
                  </w:tcBorders>
                  <w:noWrap w:val="0"/>
                  <w:vAlign w:val="center"/>
                </w:tcPr>
                <w:p w14:paraId="6828D548">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7.6</w:t>
                  </w:r>
                </w:p>
              </w:tc>
              <w:tc>
                <w:tcPr>
                  <w:tcW w:w="1127" w:type="dxa"/>
                  <w:tcBorders>
                    <w:tl2br w:val="nil"/>
                    <w:tr2bl w:val="nil"/>
                  </w:tcBorders>
                  <w:noWrap w:val="0"/>
                  <w:vAlign w:val="center"/>
                </w:tcPr>
                <w:p w14:paraId="1CAEDAF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B050"/>
                      <w:kern w:val="0"/>
                      <w:sz w:val="21"/>
                      <w:szCs w:val="21"/>
                      <w:lang w:val="en-US" w:eastAsia="zh-CN" w:bidi="ar-SA"/>
                    </w:rPr>
                  </w:pPr>
                  <w:r>
                    <w:rPr>
                      <w:rFonts w:hint="eastAsia" w:ascii="Times New Roman" w:hAnsi="Times New Roman" w:eastAsia="宋体" w:cs="Times New Roman"/>
                      <w:b w:val="0"/>
                      <w:bCs w:val="0"/>
                      <w:color w:val="00B050"/>
                      <w:kern w:val="0"/>
                      <w:sz w:val="21"/>
                      <w:szCs w:val="21"/>
                      <w:lang w:val="en-US" w:eastAsia="zh-CN"/>
                    </w:rPr>
                    <w:t>7.32</w:t>
                  </w:r>
                </w:p>
              </w:tc>
              <w:tc>
                <w:tcPr>
                  <w:tcW w:w="1190" w:type="dxa"/>
                  <w:tcBorders>
                    <w:tl2br w:val="nil"/>
                    <w:tr2bl w:val="nil"/>
                  </w:tcBorders>
                  <w:noWrap w:val="0"/>
                  <w:vAlign w:val="center"/>
                </w:tcPr>
                <w:p w14:paraId="1E5A21A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6-9</w:t>
                  </w:r>
                </w:p>
              </w:tc>
              <w:tc>
                <w:tcPr>
                  <w:tcW w:w="1051" w:type="dxa"/>
                  <w:tcBorders>
                    <w:tl2br w:val="nil"/>
                    <w:tr2bl w:val="nil"/>
                  </w:tcBorders>
                  <w:noWrap w:val="0"/>
                  <w:vAlign w:val="center"/>
                </w:tcPr>
                <w:p w14:paraId="153F7D4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0.3</w:t>
                  </w:r>
                </w:p>
              </w:tc>
              <w:tc>
                <w:tcPr>
                  <w:tcW w:w="992" w:type="dxa"/>
                  <w:tcBorders>
                    <w:tl2br w:val="nil"/>
                    <w:tr2bl w:val="nil"/>
                  </w:tcBorders>
                  <w:noWrap w:val="0"/>
                  <w:vAlign w:val="center"/>
                </w:tcPr>
                <w:p w14:paraId="09C10B37">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达标</w:t>
                  </w:r>
                </w:p>
              </w:tc>
            </w:tr>
            <w:tr w14:paraId="6DB47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13" w:hRule="exact"/>
                <w:jc w:val="center"/>
              </w:trPr>
              <w:tc>
                <w:tcPr>
                  <w:tcW w:w="1692" w:type="dxa"/>
                  <w:tcBorders>
                    <w:tl2br w:val="nil"/>
                    <w:tr2bl w:val="nil"/>
                  </w:tcBorders>
                  <w:noWrap w:val="0"/>
                  <w:vAlign w:val="center"/>
                </w:tcPr>
                <w:p w14:paraId="7456E4F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溶解氧</w:t>
                  </w:r>
                </w:p>
              </w:tc>
              <w:tc>
                <w:tcPr>
                  <w:tcW w:w="880" w:type="dxa"/>
                  <w:tcBorders>
                    <w:tl2br w:val="nil"/>
                    <w:tr2bl w:val="nil"/>
                  </w:tcBorders>
                  <w:noWrap w:val="0"/>
                  <w:vAlign w:val="center"/>
                </w:tcPr>
                <w:p w14:paraId="5DC8F71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mg/L</w:t>
                  </w:r>
                </w:p>
              </w:tc>
              <w:tc>
                <w:tcPr>
                  <w:tcW w:w="1226" w:type="dxa"/>
                  <w:tcBorders>
                    <w:tl2br w:val="nil"/>
                    <w:tr2bl w:val="nil"/>
                  </w:tcBorders>
                  <w:noWrap w:val="0"/>
                  <w:vAlign w:val="center"/>
                </w:tcPr>
                <w:p w14:paraId="03FE5FE0">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5.13</w:t>
                  </w:r>
                </w:p>
              </w:tc>
              <w:tc>
                <w:tcPr>
                  <w:tcW w:w="1127" w:type="dxa"/>
                  <w:tcBorders>
                    <w:tl2br w:val="nil"/>
                    <w:tr2bl w:val="nil"/>
                  </w:tcBorders>
                  <w:noWrap w:val="0"/>
                  <w:vAlign w:val="center"/>
                </w:tcPr>
                <w:p w14:paraId="3CF9EE6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B050"/>
                      <w:kern w:val="0"/>
                      <w:sz w:val="21"/>
                      <w:szCs w:val="21"/>
                      <w:lang w:val="en-US" w:eastAsia="zh-CN" w:bidi="ar-SA"/>
                    </w:rPr>
                  </w:pPr>
                  <w:r>
                    <w:rPr>
                      <w:rFonts w:hint="eastAsia" w:ascii="Times New Roman" w:hAnsi="Times New Roman" w:eastAsia="宋体" w:cs="Times New Roman"/>
                      <w:b w:val="0"/>
                      <w:bCs w:val="0"/>
                      <w:color w:val="00B050"/>
                      <w:kern w:val="0"/>
                      <w:sz w:val="21"/>
                      <w:szCs w:val="21"/>
                      <w:lang w:val="en-US" w:eastAsia="zh-CN"/>
                    </w:rPr>
                    <w:t>6.74</w:t>
                  </w:r>
                </w:p>
              </w:tc>
              <w:tc>
                <w:tcPr>
                  <w:tcW w:w="1190" w:type="dxa"/>
                  <w:tcBorders>
                    <w:tl2br w:val="nil"/>
                    <w:tr2bl w:val="nil"/>
                  </w:tcBorders>
                  <w:noWrap w:val="0"/>
                  <w:vAlign w:val="center"/>
                </w:tcPr>
                <w:p w14:paraId="2DD64E6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w:t>
                  </w:r>
                  <w:r>
                    <w:rPr>
                      <w:rFonts w:hint="eastAsia" w:ascii="Times New Roman" w:hAnsi="Times New Roman" w:eastAsia="宋体" w:cs="Times New Roman"/>
                      <w:b w:val="0"/>
                      <w:bCs w:val="0"/>
                      <w:color w:val="00B050"/>
                      <w:kern w:val="2"/>
                      <w:sz w:val="21"/>
                      <w:szCs w:val="21"/>
                      <w:lang w:val="en-US" w:eastAsia="zh-CN" w:bidi="ar-SA"/>
                    </w:rPr>
                    <w:t>5</w:t>
                  </w:r>
                </w:p>
              </w:tc>
              <w:tc>
                <w:tcPr>
                  <w:tcW w:w="1051" w:type="dxa"/>
                  <w:tcBorders>
                    <w:tl2br w:val="nil"/>
                    <w:tr2bl w:val="nil"/>
                  </w:tcBorders>
                  <w:noWrap w:val="0"/>
                  <w:vAlign w:val="center"/>
                </w:tcPr>
                <w:p w14:paraId="01E6CBB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0.97</w:t>
                  </w:r>
                </w:p>
              </w:tc>
              <w:tc>
                <w:tcPr>
                  <w:tcW w:w="992" w:type="dxa"/>
                  <w:tcBorders>
                    <w:tl2br w:val="nil"/>
                    <w:tr2bl w:val="nil"/>
                  </w:tcBorders>
                  <w:noWrap w:val="0"/>
                  <w:vAlign w:val="center"/>
                </w:tcPr>
                <w:p w14:paraId="3016D03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达标</w:t>
                  </w:r>
                </w:p>
              </w:tc>
            </w:tr>
            <w:tr w14:paraId="2B99C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13" w:hRule="exact"/>
                <w:jc w:val="center"/>
              </w:trPr>
              <w:tc>
                <w:tcPr>
                  <w:tcW w:w="1692" w:type="dxa"/>
                  <w:tcBorders>
                    <w:tl2br w:val="nil"/>
                    <w:tr2bl w:val="nil"/>
                  </w:tcBorders>
                  <w:noWrap w:val="0"/>
                  <w:vAlign w:val="center"/>
                </w:tcPr>
                <w:p w14:paraId="235273D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高锰酸盐指数</w:t>
                  </w:r>
                </w:p>
              </w:tc>
              <w:tc>
                <w:tcPr>
                  <w:tcW w:w="880" w:type="dxa"/>
                  <w:tcBorders>
                    <w:tl2br w:val="nil"/>
                    <w:tr2bl w:val="nil"/>
                  </w:tcBorders>
                  <w:noWrap w:val="0"/>
                  <w:vAlign w:val="center"/>
                </w:tcPr>
                <w:p w14:paraId="61B863C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mg/L</w:t>
                  </w:r>
                </w:p>
              </w:tc>
              <w:tc>
                <w:tcPr>
                  <w:tcW w:w="1226" w:type="dxa"/>
                  <w:tcBorders>
                    <w:tl2br w:val="nil"/>
                    <w:tr2bl w:val="nil"/>
                  </w:tcBorders>
                  <w:noWrap w:val="0"/>
                  <w:vAlign w:val="center"/>
                </w:tcPr>
                <w:p w14:paraId="0E8ACE7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3.5</w:t>
                  </w:r>
                </w:p>
              </w:tc>
              <w:tc>
                <w:tcPr>
                  <w:tcW w:w="1127" w:type="dxa"/>
                  <w:tcBorders>
                    <w:tl2br w:val="nil"/>
                    <w:tr2bl w:val="nil"/>
                  </w:tcBorders>
                  <w:noWrap w:val="0"/>
                  <w:vAlign w:val="center"/>
                </w:tcPr>
                <w:p w14:paraId="304D548D">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B050"/>
                      <w:kern w:val="0"/>
                      <w:sz w:val="21"/>
                      <w:szCs w:val="21"/>
                      <w:lang w:val="en-US" w:eastAsia="zh-CN" w:bidi="ar-SA"/>
                    </w:rPr>
                  </w:pPr>
                  <w:r>
                    <w:rPr>
                      <w:rFonts w:hint="eastAsia" w:ascii="Times New Roman" w:hAnsi="Times New Roman" w:eastAsia="宋体" w:cs="Times New Roman"/>
                      <w:b w:val="0"/>
                      <w:bCs w:val="0"/>
                      <w:color w:val="00B050"/>
                      <w:kern w:val="0"/>
                      <w:sz w:val="21"/>
                      <w:szCs w:val="21"/>
                      <w:lang w:val="en-US" w:eastAsia="zh-CN"/>
                    </w:rPr>
                    <w:t>3.5</w:t>
                  </w:r>
                </w:p>
              </w:tc>
              <w:tc>
                <w:tcPr>
                  <w:tcW w:w="1190" w:type="dxa"/>
                  <w:tcBorders>
                    <w:tl2br w:val="nil"/>
                    <w:tr2bl w:val="nil"/>
                  </w:tcBorders>
                  <w:noWrap w:val="0"/>
                  <w:vAlign w:val="center"/>
                </w:tcPr>
                <w:p w14:paraId="6213A5B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w:t>
                  </w:r>
                  <w:r>
                    <w:rPr>
                      <w:rFonts w:hint="eastAsia" w:ascii="Times New Roman" w:hAnsi="Times New Roman" w:eastAsia="宋体" w:cs="Times New Roman"/>
                      <w:b w:val="0"/>
                      <w:bCs w:val="0"/>
                      <w:color w:val="00B050"/>
                      <w:kern w:val="2"/>
                      <w:sz w:val="21"/>
                      <w:szCs w:val="21"/>
                      <w:lang w:val="en-US" w:eastAsia="zh-CN" w:bidi="ar-SA"/>
                    </w:rPr>
                    <w:t>6</w:t>
                  </w:r>
                </w:p>
              </w:tc>
              <w:tc>
                <w:tcPr>
                  <w:tcW w:w="1051" w:type="dxa"/>
                  <w:tcBorders>
                    <w:tl2br w:val="nil"/>
                    <w:tr2bl w:val="nil"/>
                  </w:tcBorders>
                  <w:noWrap w:val="0"/>
                  <w:vAlign w:val="center"/>
                </w:tcPr>
                <w:p w14:paraId="242AFDD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0.58</w:t>
                  </w:r>
                </w:p>
              </w:tc>
              <w:tc>
                <w:tcPr>
                  <w:tcW w:w="992" w:type="dxa"/>
                  <w:tcBorders>
                    <w:tl2br w:val="nil"/>
                    <w:tr2bl w:val="nil"/>
                  </w:tcBorders>
                  <w:noWrap w:val="0"/>
                  <w:vAlign w:val="center"/>
                </w:tcPr>
                <w:p w14:paraId="5700593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达标</w:t>
                  </w:r>
                </w:p>
              </w:tc>
            </w:tr>
            <w:tr w14:paraId="2C3F8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13" w:hRule="exact"/>
                <w:jc w:val="center"/>
              </w:trPr>
              <w:tc>
                <w:tcPr>
                  <w:tcW w:w="1692" w:type="dxa"/>
                  <w:tcBorders>
                    <w:tl2br w:val="nil"/>
                    <w:tr2bl w:val="nil"/>
                  </w:tcBorders>
                  <w:noWrap w:val="0"/>
                  <w:vAlign w:val="center"/>
                </w:tcPr>
                <w:p w14:paraId="07C66DC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五日生化需氧量</w:t>
                  </w:r>
                </w:p>
              </w:tc>
              <w:tc>
                <w:tcPr>
                  <w:tcW w:w="880" w:type="dxa"/>
                  <w:tcBorders>
                    <w:tl2br w:val="nil"/>
                    <w:tr2bl w:val="nil"/>
                  </w:tcBorders>
                  <w:noWrap w:val="0"/>
                  <w:vAlign w:val="center"/>
                </w:tcPr>
                <w:p w14:paraId="45EB741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mg/L</w:t>
                  </w:r>
                </w:p>
              </w:tc>
              <w:tc>
                <w:tcPr>
                  <w:tcW w:w="1226" w:type="dxa"/>
                  <w:tcBorders>
                    <w:tl2br w:val="nil"/>
                    <w:tr2bl w:val="nil"/>
                  </w:tcBorders>
                  <w:noWrap w:val="0"/>
                  <w:vAlign w:val="center"/>
                </w:tcPr>
                <w:p w14:paraId="3ADCB430">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3.2</w:t>
                  </w:r>
                </w:p>
              </w:tc>
              <w:tc>
                <w:tcPr>
                  <w:tcW w:w="1127" w:type="dxa"/>
                  <w:tcBorders>
                    <w:tl2br w:val="nil"/>
                    <w:tr2bl w:val="nil"/>
                  </w:tcBorders>
                  <w:noWrap w:val="0"/>
                  <w:vAlign w:val="center"/>
                </w:tcPr>
                <w:p w14:paraId="303DF7A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B050"/>
                      <w:kern w:val="0"/>
                      <w:sz w:val="21"/>
                      <w:szCs w:val="21"/>
                      <w:lang w:val="en-US" w:eastAsia="zh-CN" w:bidi="ar-SA"/>
                    </w:rPr>
                  </w:pPr>
                  <w:r>
                    <w:rPr>
                      <w:rFonts w:hint="eastAsia" w:ascii="Times New Roman" w:hAnsi="Times New Roman" w:eastAsia="宋体" w:cs="Times New Roman"/>
                      <w:b w:val="0"/>
                      <w:bCs w:val="0"/>
                      <w:color w:val="00B050"/>
                      <w:kern w:val="0"/>
                      <w:sz w:val="21"/>
                      <w:szCs w:val="21"/>
                      <w:lang w:val="en-US" w:eastAsia="zh-CN"/>
                    </w:rPr>
                    <w:t>2.1</w:t>
                  </w:r>
                </w:p>
              </w:tc>
              <w:tc>
                <w:tcPr>
                  <w:tcW w:w="1190" w:type="dxa"/>
                  <w:tcBorders>
                    <w:tl2br w:val="nil"/>
                    <w:tr2bl w:val="nil"/>
                  </w:tcBorders>
                  <w:noWrap w:val="0"/>
                  <w:vAlign w:val="center"/>
                </w:tcPr>
                <w:p w14:paraId="2FB38A6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w:t>
                  </w:r>
                  <w:r>
                    <w:rPr>
                      <w:rFonts w:hint="eastAsia" w:ascii="Times New Roman" w:hAnsi="Times New Roman" w:eastAsia="宋体" w:cs="Times New Roman"/>
                      <w:b w:val="0"/>
                      <w:bCs w:val="0"/>
                      <w:color w:val="00B050"/>
                      <w:kern w:val="2"/>
                      <w:sz w:val="21"/>
                      <w:szCs w:val="21"/>
                      <w:lang w:val="en-US" w:eastAsia="zh-CN" w:bidi="ar-SA"/>
                    </w:rPr>
                    <w:t>4</w:t>
                  </w:r>
                </w:p>
              </w:tc>
              <w:tc>
                <w:tcPr>
                  <w:tcW w:w="1051" w:type="dxa"/>
                  <w:tcBorders>
                    <w:tl2br w:val="nil"/>
                    <w:tr2bl w:val="nil"/>
                  </w:tcBorders>
                  <w:noWrap w:val="0"/>
                  <w:vAlign w:val="center"/>
                </w:tcPr>
                <w:p w14:paraId="7173576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0.8</w:t>
                  </w:r>
                </w:p>
              </w:tc>
              <w:tc>
                <w:tcPr>
                  <w:tcW w:w="992" w:type="dxa"/>
                  <w:tcBorders>
                    <w:tl2br w:val="nil"/>
                    <w:tr2bl w:val="nil"/>
                  </w:tcBorders>
                  <w:noWrap w:val="0"/>
                  <w:vAlign w:val="center"/>
                </w:tcPr>
                <w:p w14:paraId="0FF1D58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达标</w:t>
                  </w:r>
                </w:p>
              </w:tc>
            </w:tr>
            <w:tr w14:paraId="7C12B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13" w:hRule="exact"/>
                <w:jc w:val="center"/>
              </w:trPr>
              <w:tc>
                <w:tcPr>
                  <w:tcW w:w="1692" w:type="dxa"/>
                  <w:tcBorders>
                    <w:tl2br w:val="nil"/>
                    <w:tr2bl w:val="nil"/>
                  </w:tcBorders>
                  <w:noWrap w:val="0"/>
                  <w:vAlign w:val="center"/>
                </w:tcPr>
                <w:p w14:paraId="2B68BFC7">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氨氮</w:t>
                  </w:r>
                </w:p>
              </w:tc>
              <w:tc>
                <w:tcPr>
                  <w:tcW w:w="880" w:type="dxa"/>
                  <w:tcBorders>
                    <w:tl2br w:val="nil"/>
                    <w:tr2bl w:val="nil"/>
                  </w:tcBorders>
                  <w:noWrap w:val="0"/>
                  <w:vAlign w:val="center"/>
                </w:tcPr>
                <w:p w14:paraId="0304E06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mg/L</w:t>
                  </w:r>
                </w:p>
              </w:tc>
              <w:tc>
                <w:tcPr>
                  <w:tcW w:w="1226" w:type="dxa"/>
                  <w:tcBorders>
                    <w:tl2br w:val="nil"/>
                    <w:tr2bl w:val="nil"/>
                  </w:tcBorders>
                  <w:noWrap w:val="0"/>
                  <w:vAlign w:val="center"/>
                </w:tcPr>
                <w:p w14:paraId="2B6CF87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0.789</w:t>
                  </w:r>
                </w:p>
              </w:tc>
              <w:tc>
                <w:tcPr>
                  <w:tcW w:w="1127" w:type="dxa"/>
                  <w:tcBorders>
                    <w:tl2br w:val="nil"/>
                    <w:tr2bl w:val="nil"/>
                  </w:tcBorders>
                  <w:noWrap w:val="0"/>
                  <w:vAlign w:val="center"/>
                </w:tcPr>
                <w:p w14:paraId="1813015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B050"/>
                      <w:kern w:val="0"/>
                      <w:sz w:val="21"/>
                      <w:szCs w:val="21"/>
                      <w:lang w:val="en-US" w:eastAsia="zh-CN" w:bidi="ar-SA"/>
                    </w:rPr>
                  </w:pPr>
                  <w:r>
                    <w:rPr>
                      <w:rFonts w:hint="eastAsia" w:ascii="Times New Roman" w:hAnsi="Times New Roman" w:eastAsia="宋体" w:cs="Times New Roman"/>
                      <w:b w:val="0"/>
                      <w:bCs w:val="0"/>
                      <w:color w:val="00B050"/>
                      <w:kern w:val="0"/>
                      <w:sz w:val="21"/>
                      <w:szCs w:val="21"/>
                      <w:lang w:val="en-US" w:eastAsia="zh-CN"/>
                    </w:rPr>
                    <w:t>0.07</w:t>
                  </w:r>
                </w:p>
              </w:tc>
              <w:tc>
                <w:tcPr>
                  <w:tcW w:w="1190" w:type="dxa"/>
                  <w:tcBorders>
                    <w:tl2br w:val="nil"/>
                    <w:tr2bl w:val="nil"/>
                  </w:tcBorders>
                  <w:noWrap w:val="0"/>
                  <w:vAlign w:val="center"/>
                </w:tcPr>
                <w:p w14:paraId="11B4E4B0">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≤1.</w:t>
                  </w:r>
                  <w:r>
                    <w:rPr>
                      <w:rFonts w:hint="eastAsia" w:ascii="Times New Roman" w:hAnsi="Times New Roman" w:eastAsia="宋体" w:cs="Times New Roman"/>
                      <w:b w:val="0"/>
                      <w:bCs w:val="0"/>
                      <w:color w:val="00B050"/>
                      <w:kern w:val="2"/>
                      <w:sz w:val="21"/>
                      <w:szCs w:val="21"/>
                      <w:lang w:val="en-US" w:eastAsia="zh-CN" w:bidi="ar-SA"/>
                    </w:rPr>
                    <w:t>0</w:t>
                  </w:r>
                </w:p>
              </w:tc>
              <w:tc>
                <w:tcPr>
                  <w:tcW w:w="1051" w:type="dxa"/>
                  <w:tcBorders>
                    <w:tl2br w:val="nil"/>
                    <w:tr2bl w:val="nil"/>
                  </w:tcBorders>
                  <w:noWrap w:val="0"/>
                  <w:vAlign w:val="center"/>
                </w:tcPr>
                <w:p w14:paraId="6C0496DA">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0.789</w:t>
                  </w:r>
                </w:p>
              </w:tc>
              <w:tc>
                <w:tcPr>
                  <w:tcW w:w="992" w:type="dxa"/>
                  <w:tcBorders>
                    <w:tl2br w:val="nil"/>
                    <w:tr2bl w:val="nil"/>
                  </w:tcBorders>
                  <w:noWrap w:val="0"/>
                  <w:vAlign w:val="center"/>
                </w:tcPr>
                <w:p w14:paraId="64080ADD">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达标</w:t>
                  </w:r>
                </w:p>
              </w:tc>
            </w:tr>
            <w:tr w14:paraId="2CD6B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13" w:hRule="exact"/>
                <w:jc w:val="center"/>
              </w:trPr>
              <w:tc>
                <w:tcPr>
                  <w:tcW w:w="1692" w:type="dxa"/>
                  <w:tcBorders>
                    <w:tl2br w:val="nil"/>
                    <w:tr2bl w:val="nil"/>
                  </w:tcBorders>
                  <w:noWrap w:val="0"/>
                  <w:vAlign w:val="center"/>
                </w:tcPr>
                <w:p w14:paraId="27230CF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石油类</w:t>
                  </w:r>
                </w:p>
              </w:tc>
              <w:tc>
                <w:tcPr>
                  <w:tcW w:w="880" w:type="dxa"/>
                  <w:tcBorders>
                    <w:tl2br w:val="nil"/>
                    <w:tr2bl w:val="nil"/>
                  </w:tcBorders>
                  <w:noWrap w:val="0"/>
                  <w:vAlign w:val="center"/>
                </w:tcPr>
                <w:p w14:paraId="6C18B45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mg/L</w:t>
                  </w:r>
                </w:p>
              </w:tc>
              <w:tc>
                <w:tcPr>
                  <w:tcW w:w="1226" w:type="dxa"/>
                  <w:tcBorders>
                    <w:tl2br w:val="nil"/>
                    <w:tr2bl w:val="nil"/>
                  </w:tcBorders>
                  <w:noWrap w:val="0"/>
                  <w:vAlign w:val="center"/>
                </w:tcPr>
                <w:p w14:paraId="26537F80">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0.03</w:t>
                  </w:r>
                </w:p>
              </w:tc>
              <w:tc>
                <w:tcPr>
                  <w:tcW w:w="1127" w:type="dxa"/>
                  <w:tcBorders>
                    <w:tl2br w:val="nil"/>
                    <w:tr2bl w:val="nil"/>
                  </w:tcBorders>
                  <w:noWrap w:val="0"/>
                  <w:vAlign w:val="center"/>
                </w:tcPr>
                <w:p w14:paraId="31D1887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B050"/>
                      <w:kern w:val="0"/>
                      <w:sz w:val="21"/>
                      <w:szCs w:val="21"/>
                      <w:lang w:val="en-US" w:eastAsia="zh-CN" w:bidi="ar-SA"/>
                    </w:rPr>
                  </w:pPr>
                  <w:r>
                    <w:rPr>
                      <w:rFonts w:hint="eastAsia" w:ascii="Times New Roman" w:hAnsi="Times New Roman" w:eastAsia="宋体" w:cs="Times New Roman"/>
                      <w:b w:val="0"/>
                      <w:bCs w:val="0"/>
                      <w:color w:val="00B050"/>
                      <w:kern w:val="0"/>
                      <w:sz w:val="21"/>
                      <w:szCs w:val="21"/>
                      <w:lang w:val="en-US" w:eastAsia="zh-CN"/>
                    </w:rPr>
                    <w:t>0.03</w:t>
                  </w:r>
                </w:p>
              </w:tc>
              <w:tc>
                <w:tcPr>
                  <w:tcW w:w="1190" w:type="dxa"/>
                  <w:tcBorders>
                    <w:tl2br w:val="nil"/>
                    <w:tr2bl w:val="nil"/>
                  </w:tcBorders>
                  <w:noWrap w:val="0"/>
                  <w:vAlign w:val="center"/>
                </w:tcPr>
                <w:p w14:paraId="6AB81FF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w:t>
                  </w:r>
                  <w:r>
                    <w:rPr>
                      <w:rFonts w:hint="eastAsia" w:ascii="Times New Roman" w:hAnsi="Times New Roman" w:eastAsia="宋体" w:cs="Times New Roman"/>
                      <w:b w:val="0"/>
                      <w:bCs w:val="0"/>
                      <w:color w:val="00B050"/>
                      <w:kern w:val="2"/>
                      <w:sz w:val="21"/>
                      <w:szCs w:val="21"/>
                      <w:lang w:val="en-US" w:eastAsia="zh-CN" w:bidi="ar-SA"/>
                    </w:rPr>
                    <w:t>0</w:t>
                  </w:r>
                  <w:r>
                    <w:rPr>
                      <w:rFonts w:hint="default" w:ascii="Times New Roman" w:hAnsi="Times New Roman" w:eastAsia="宋体" w:cs="Times New Roman"/>
                      <w:b w:val="0"/>
                      <w:bCs w:val="0"/>
                      <w:color w:val="00B050"/>
                      <w:kern w:val="2"/>
                      <w:sz w:val="21"/>
                      <w:szCs w:val="21"/>
                      <w:lang w:val="en-US" w:eastAsia="zh-CN" w:bidi="ar-SA"/>
                    </w:rPr>
                    <w:t>5</w:t>
                  </w:r>
                </w:p>
              </w:tc>
              <w:tc>
                <w:tcPr>
                  <w:tcW w:w="1051" w:type="dxa"/>
                  <w:tcBorders>
                    <w:tl2br w:val="nil"/>
                    <w:tr2bl w:val="nil"/>
                  </w:tcBorders>
                  <w:noWrap w:val="0"/>
                  <w:vAlign w:val="center"/>
                </w:tcPr>
                <w:p w14:paraId="3150627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0.6</w:t>
                  </w:r>
                </w:p>
              </w:tc>
              <w:tc>
                <w:tcPr>
                  <w:tcW w:w="992" w:type="dxa"/>
                  <w:tcBorders>
                    <w:tl2br w:val="nil"/>
                    <w:tr2bl w:val="nil"/>
                  </w:tcBorders>
                  <w:noWrap w:val="0"/>
                  <w:vAlign w:val="center"/>
                </w:tcPr>
                <w:p w14:paraId="5D363911">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达标</w:t>
                  </w:r>
                </w:p>
              </w:tc>
            </w:tr>
            <w:tr w14:paraId="0EAF9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13" w:hRule="exact"/>
                <w:jc w:val="center"/>
              </w:trPr>
              <w:tc>
                <w:tcPr>
                  <w:tcW w:w="1692" w:type="dxa"/>
                  <w:tcBorders>
                    <w:tl2br w:val="nil"/>
                    <w:tr2bl w:val="nil"/>
                  </w:tcBorders>
                  <w:noWrap w:val="0"/>
                  <w:vAlign w:val="center"/>
                </w:tcPr>
                <w:p w14:paraId="2D33830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挥发酚</w:t>
                  </w:r>
                </w:p>
              </w:tc>
              <w:tc>
                <w:tcPr>
                  <w:tcW w:w="880" w:type="dxa"/>
                  <w:tcBorders>
                    <w:tl2br w:val="nil"/>
                    <w:tr2bl w:val="nil"/>
                  </w:tcBorders>
                  <w:noWrap w:val="0"/>
                  <w:vAlign w:val="center"/>
                </w:tcPr>
                <w:p w14:paraId="1DB8F21A">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mg/L</w:t>
                  </w:r>
                </w:p>
              </w:tc>
              <w:tc>
                <w:tcPr>
                  <w:tcW w:w="1226" w:type="dxa"/>
                  <w:tcBorders>
                    <w:tl2br w:val="nil"/>
                    <w:tr2bl w:val="nil"/>
                  </w:tcBorders>
                  <w:noWrap w:val="0"/>
                  <w:vAlign w:val="center"/>
                </w:tcPr>
                <w:p w14:paraId="7C7DEA8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0.001L</w:t>
                  </w:r>
                </w:p>
              </w:tc>
              <w:tc>
                <w:tcPr>
                  <w:tcW w:w="1127" w:type="dxa"/>
                  <w:tcBorders>
                    <w:tl2br w:val="nil"/>
                    <w:tr2bl w:val="nil"/>
                  </w:tcBorders>
                  <w:noWrap w:val="0"/>
                  <w:vAlign w:val="center"/>
                </w:tcPr>
                <w:p w14:paraId="3976377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B050"/>
                      <w:kern w:val="0"/>
                      <w:sz w:val="21"/>
                      <w:szCs w:val="21"/>
                      <w:lang w:val="en-US" w:eastAsia="zh-CN" w:bidi="ar-SA"/>
                    </w:rPr>
                  </w:pPr>
                  <w:r>
                    <w:rPr>
                      <w:rFonts w:hint="eastAsia" w:ascii="Times New Roman" w:hAnsi="Times New Roman" w:eastAsia="宋体" w:cs="Times New Roman"/>
                      <w:b w:val="0"/>
                      <w:bCs w:val="0"/>
                      <w:color w:val="00B050"/>
                      <w:kern w:val="0"/>
                      <w:sz w:val="21"/>
                      <w:szCs w:val="21"/>
                      <w:lang w:val="en-US" w:eastAsia="zh-CN"/>
                    </w:rPr>
                    <w:t>0.001L</w:t>
                  </w:r>
                </w:p>
              </w:tc>
              <w:tc>
                <w:tcPr>
                  <w:tcW w:w="1190" w:type="dxa"/>
                  <w:tcBorders>
                    <w:tl2br w:val="nil"/>
                    <w:tr2bl w:val="nil"/>
                  </w:tcBorders>
                  <w:noWrap w:val="0"/>
                  <w:vAlign w:val="center"/>
                </w:tcPr>
                <w:p w14:paraId="38B37FE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≤0.0</w:t>
                  </w:r>
                  <w:r>
                    <w:rPr>
                      <w:rFonts w:hint="eastAsia" w:ascii="Times New Roman" w:hAnsi="Times New Roman" w:eastAsia="宋体" w:cs="Times New Roman"/>
                      <w:b w:val="0"/>
                      <w:bCs w:val="0"/>
                      <w:color w:val="00B050"/>
                      <w:kern w:val="2"/>
                      <w:sz w:val="21"/>
                      <w:szCs w:val="21"/>
                      <w:lang w:val="en-US" w:eastAsia="zh-CN" w:bidi="ar-SA"/>
                    </w:rPr>
                    <w:t>05</w:t>
                  </w:r>
                </w:p>
              </w:tc>
              <w:tc>
                <w:tcPr>
                  <w:tcW w:w="1051" w:type="dxa"/>
                  <w:tcBorders>
                    <w:tl2br w:val="nil"/>
                    <w:tr2bl w:val="nil"/>
                  </w:tcBorders>
                  <w:noWrap w:val="0"/>
                  <w:vAlign w:val="center"/>
                </w:tcPr>
                <w:p w14:paraId="6853006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w:t>
                  </w:r>
                </w:p>
              </w:tc>
              <w:tc>
                <w:tcPr>
                  <w:tcW w:w="992" w:type="dxa"/>
                  <w:tcBorders>
                    <w:tl2br w:val="nil"/>
                    <w:tr2bl w:val="nil"/>
                  </w:tcBorders>
                  <w:noWrap w:val="0"/>
                  <w:vAlign w:val="center"/>
                </w:tcPr>
                <w:p w14:paraId="7007195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达标</w:t>
                  </w:r>
                </w:p>
              </w:tc>
            </w:tr>
            <w:tr w14:paraId="36718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13" w:hRule="exact"/>
                <w:jc w:val="center"/>
              </w:trPr>
              <w:tc>
                <w:tcPr>
                  <w:tcW w:w="1692" w:type="dxa"/>
                  <w:tcBorders>
                    <w:tl2br w:val="nil"/>
                    <w:tr2bl w:val="nil"/>
                  </w:tcBorders>
                  <w:noWrap w:val="0"/>
                  <w:vAlign w:val="center"/>
                </w:tcPr>
                <w:p w14:paraId="446F539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汞</w:t>
                  </w:r>
                </w:p>
              </w:tc>
              <w:tc>
                <w:tcPr>
                  <w:tcW w:w="880" w:type="dxa"/>
                  <w:tcBorders>
                    <w:tl2br w:val="nil"/>
                    <w:tr2bl w:val="nil"/>
                  </w:tcBorders>
                  <w:noWrap w:val="0"/>
                  <w:vAlign w:val="center"/>
                </w:tcPr>
                <w:p w14:paraId="5205AE17">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mg/L</w:t>
                  </w:r>
                </w:p>
              </w:tc>
              <w:tc>
                <w:tcPr>
                  <w:tcW w:w="1226" w:type="dxa"/>
                  <w:tcBorders>
                    <w:tl2br w:val="nil"/>
                    <w:tr2bl w:val="nil"/>
                  </w:tcBorders>
                  <w:noWrap w:val="0"/>
                  <w:vAlign w:val="center"/>
                </w:tcPr>
                <w:p w14:paraId="29CCE42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0.00004L</w:t>
                  </w:r>
                </w:p>
              </w:tc>
              <w:tc>
                <w:tcPr>
                  <w:tcW w:w="1127" w:type="dxa"/>
                  <w:tcBorders>
                    <w:tl2br w:val="nil"/>
                    <w:tr2bl w:val="nil"/>
                  </w:tcBorders>
                  <w:noWrap w:val="0"/>
                  <w:vAlign w:val="center"/>
                </w:tcPr>
                <w:p w14:paraId="00025E8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B050"/>
                      <w:kern w:val="0"/>
                      <w:sz w:val="21"/>
                      <w:szCs w:val="21"/>
                      <w:lang w:val="en-US" w:eastAsia="zh-CN" w:bidi="ar-SA"/>
                    </w:rPr>
                  </w:pPr>
                  <w:r>
                    <w:rPr>
                      <w:rFonts w:hint="eastAsia" w:ascii="Times New Roman" w:hAnsi="Times New Roman" w:eastAsia="宋体" w:cs="Times New Roman"/>
                      <w:b w:val="0"/>
                      <w:bCs w:val="0"/>
                      <w:color w:val="00B050"/>
                      <w:kern w:val="0"/>
                      <w:sz w:val="21"/>
                      <w:szCs w:val="21"/>
                      <w:lang w:val="en-US" w:eastAsia="zh-CN"/>
                    </w:rPr>
                    <w:t>0.00004L</w:t>
                  </w:r>
                </w:p>
              </w:tc>
              <w:tc>
                <w:tcPr>
                  <w:tcW w:w="1190" w:type="dxa"/>
                  <w:tcBorders>
                    <w:tl2br w:val="nil"/>
                    <w:tr2bl w:val="nil"/>
                  </w:tcBorders>
                  <w:noWrap w:val="0"/>
                  <w:vAlign w:val="center"/>
                </w:tcPr>
                <w:p w14:paraId="5F2A378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≤0.00</w:t>
                  </w:r>
                  <w:r>
                    <w:rPr>
                      <w:rFonts w:hint="eastAsia" w:ascii="Times New Roman" w:hAnsi="Times New Roman" w:eastAsia="宋体" w:cs="Times New Roman"/>
                      <w:b w:val="0"/>
                      <w:bCs w:val="0"/>
                      <w:color w:val="00B050"/>
                      <w:kern w:val="2"/>
                      <w:sz w:val="21"/>
                      <w:szCs w:val="21"/>
                      <w:lang w:val="en-US" w:eastAsia="zh-CN" w:bidi="ar-SA"/>
                    </w:rPr>
                    <w:t>0</w:t>
                  </w:r>
                  <w:r>
                    <w:rPr>
                      <w:rFonts w:hint="default" w:ascii="Times New Roman" w:hAnsi="Times New Roman" w:eastAsia="宋体" w:cs="Times New Roman"/>
                      <w:b w:val="0"/>
                      <w:bCs w:val="0"/>
                      <w:color w:val="00B050"/>
                      <w:kern w:val="2"/>
                      <w:sz w:val="21"/>
                      <w:szCs w:val="21"/>
                      <w:lang w:val="en-US" w:eastAsia="zh-CN" w:bidi="ar-SA"/>
                    </w:rPr>
                    <w:t>1</w:t>
                  </w:r>
                </w:p>
              </w:tc>
              <w:tc>
                <w:tcPr>
                  <w:tcW w:w="1051" w:type="dxa"/>
                  <w:tcBorders>
                    <w:tl2br w:val="nil"/>
                    <w:tr2bl w:val="nil"/>
                  </w:tcBorders>
                  <w:noWrap w:val="0"/>
                  <w:vAlign w:val="center"/>
                </w:tcPr>
                <w:p w14:paraId="715F021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w:t>
                  </w:r>
                </w:p>
              </w:tc>
              <w:tc>
                <w:tcPr>
                  <w:tcW w:w="992" w:type="dxa"/>
                  <w:tcBorders>
                    <w:tl2br w:val="nil"/>
                    <w:tr2bl w:val="nil"/>
                  </w:tcBorders>
                  <w:noWrap w:val="0"/>
                  <w:vAlign w:val="center"/>
                </w:tcPr>
                <w:p w14:paraId="345662E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达标</w:t>
                  </w:r>
                </w:p>
              </w:tc>
            </w:tr>
            <w:tr w14:paraId="19423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13" w:hRule="exact"/>
                <w:jc w:val="center"/>
              </w:trPr>
              <w:tc>
                <w:tcPr>
                  <w:tcW w:w="1692" w:type="dxa"/>
                  <w:tcBorders>
                    <w:tl2br w:val="nil"/>
                    <w:tr2bl w:val="nil"/>
                  </w:tcBorders>
                  <w:noWrap w:val="0"/>
                  <w:vAlign w:val="center"/>
                </w:tcPr>
                <w:p w14:paraId="52547DFA">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铅</w:t>
                  </w:r>
                </w:p>
              </w:tc>
              <w:tc>
                <w:tcPr>
                  <w:tcW w:w="880" w:type="dxa"/>
                  <w:tcBorders>
                    <w:tl2br w:val="nil"/>
                    <w:tr2bl w:val="nil"/>
                  </w:tcBorders>
                  <w:noWrap w:val="0"/>
                  <w:vAlign w:val="center"/>
                </w:tcPr>
                <w:p w14:paraId="5856D15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mg/L</w:t>
                  </w:r>
                </w:p>
              </w:tc>
              <w:tc>
                <w:tcPr>
                  <w:tcW w:w="1226" w:type="dxa"/>
                  <w:tcBorders>
                    <w:tl2br w:val="nil"/>
                    <w:tr2bl w:val="nil"/>
                  </w:tcBorders>
                  <w:noWrap w:val="0"/>
                  <w:vAlign w:val="center"/>
                </w:tcPr>
                <w:p w14:paraId="50B2F02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0.00009L</w:t>
                  </w:r>
                </w:p>
              </w:tc>
              <w:tc>
                <w:tcPr>
                  <w:tcW w:w="1127" w:type="dxa"/>
                  <w:tcBorders>
                    <w:tl2br w:val="nil"/>
                    <w:tr2bl w:val="nil"/>
                  </w:tcBorders>
                  <w:noWrap w:val="0"/>
                  <w:vAlign w:val="center"/>
                </w:tcPr>
                <w:p w14:paraId="22511D7A">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B050"/>
                      <w:kern w:val="0"/>
                      <w:sz w:val="21"/>
                      <w:szCs w:val="21"/>
                      <w:lang w:val="en-US" w:eastAsia="zh-CN" w:bidi="ar-SA"/>
                    </w:rPr>
                  </w:pPr>
                  <w:r>
                    <w:rPr>
                      <w:rFonts w:hint="eastAsia" w:ascii="Times New Roman" w:hAnsi="Times New Roman" w:eastAsia="宋体" w:cs="Times New Roman"/>
                      <w:b w:val="0"/>
                      <w:bCs w:val="0"/>
                      <w:color w:val="00B050"/>
                      <w:kern w:val="0"/>
                      <w:sz w:val="21"/>
                      <w:szCs w:val="21"/>
                      <w:lang w:val="en-US" w:eastAsia="zh-CN"/>
                    </w:rPr>
                    <w:t>0.00009L</w:t>
                  </w:r>
                </w:p>
              </w:tc>
              <w:tc>
                <w:tcPr>
                  <w:tcW w:w="1190" w:type="dxa"/>
                  <w:tcBorders>
                    <w:tl2br w:val="nil"/>
                    <w:tr2bl w:val="nil"/>
                  </w:tcBorders>
                  <w:noWrap w:val="0"/>
                  <w:vAlign w:val="center"/>
                </w:tcPr>
                <w:p w14:paraId="293F80CA">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≤0.05</w:t>
                  </w:r>
                </w:p>
              </w:tc>
              <w:tc>
                <w:tcPr>
                  <w:tcW w:w="1051" w:type="dxa"/>
                  <w:tcBorders>
                    <w:tl2br w:val="nil"/>
                    <w:tr2bl w:val="nil"/>
                  </w:tcBorders>
                  <w:noWrap w:val="0"/>
                  <w:vAlign w:val="center"/>
                </w:tcPr>
                <w:p w14:paraId="4DC7E6F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w:t>
                  </w:r>
                </w:p>
              </w:tc>
              <w:tc>
                <w:tcPr>
                  <w:tcW w:w="992" w:type="dxa"/>
                  <w:tcBorders>
                    <w:tl2br w:val="nil"/>
                    <w:tr2bl w:val="nil"/>
                  </w:tcBorders>
                  <w:noWrap w:val="0"/>
                  <w:vAlign w:val="center"/>
                </w:tcPr>
                <w:p w14:paraId="5B582C17">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达标</w:t>
                  </w:r>
                </w:p>
              </w:tc>
            </w:tr>
            <w:tr w14:paraId="1E9AE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13" w:hRule="exact"/>
                <w:jc w:val="center"/>
              </w:trPr>
              <w:tc>
                <w:tcPr>
                  <w:tcW w:w="1692" w:type="dxa"/>
                  <w:tcBorders>
                    <w:tl2br w:val="nil"/>
                    <w:tr2bl w:val="nil"/>
                  </w:tcBorders>
                  <w:noWrap w:val="0"/>
                  <w:vAlign w:val="center"/>
                </w:tcPr>
                <w:p w14:paraId="7586049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化学需氧量</w:t>
                  </w:r>
                </w:p>
              </w:tc>
              <w:tc>
                <w:tcPr>
                  <w:tcW w:w="880" w:type="dxa"/>
                  <w:tcBorders>
                    <w:tl2br w:val="nil"/>
                    <w:tr2bl w:val="nil"/>
                  </w:tcBorders>
                  <w:noWrap w:val="0"/>
                  <w:vAlign w:val="center"/>
                </w:tcPr>
                <w:p w14:paraId="145DCBB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mg/L</w:t>
                  </w:r>
                </w:p>
              </w:tc>
              <w:tc>
                <w:tcPr>
                  <w:tcW w:w="1226" w:type="dxa"/>
                  <w:tcBorders>
                    <w:tl2br w:val="nil"/>
                    <w:tr2bl w:val="nil"/>
                  </w:tcBorders>
                  <w:noWrap w:val="0"/>
                  <w:vAlign w:val="center"/>
                </w:tcPr>
                <w:p w14:paraId="319F0C4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17</w:t>
                  </w:r>
                </w:p>
              </w:tc>
              <w:tc>
                <w:tcPr>
                  <w:tcW w:w="1127" w:type="dxa"/>
                  <w:tcBorders>
                    <w:tl2br w:val="nil"/>
                    <w:tr2bl w:val="nil"/>
                  </w:tcBorders>
                  <w:noWrap w:val="0"/>
                  <w:vAlign w:val="center"/>
                </w:tcPr>
                <w:p w14:paraId="523FD34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B050"/>
                      <w:kern w:val="0"/>
                      <w:sz w:val="21"/>
                      <w:szCs w:val="21"/>
                      <w:lang w:val="en-US" w:eastAsia="zh-CN" w:bidi="ar-SA"/>
                    </w:rPr>
                  </w:pPr>
                  <w:r>
                    <w:rPr>
                      <w:rFonts w:hint="eastAsia" w:ascii="Times New Roman" w:hAnsi="Times New Roman" w:eastAsia="宋体" w:cs="Times New Roman"/>
                      <w:b w:val="0"/>
                      <w:bCs w:val="0"/>
                      <w:color w:val="00B050"/>
                      <w:kern w:val="0"/>
                      <w:sz w:val="21"/>
                      <w:szCs w:val="21"/>
                      <w:lang w:val="en-US" w:eastAsia="zh-CN"/>
                    </w:rPr>
                    <w:t>13</w:t>
                  </w:r>
                </w:p>
              </w:tc>
              <w:tc>
                <w:tcPr>
                  <w:tcW w:w="1190" w:type="dxa"/>
                  <w:tcBorders>
                    <w:tl2br w:val="nil"/>
                    <w:tr2bl w:val="nil"/>
                  </w:tcBorders>
                  <w:noWrap w:val="0"/>
                  <w:vAlign w:val="center"/>
                </w:tcPr>
                <w:p w14:paraId="0AF64596">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w:t>
                  </w:r>
                  <w:r>
                    <w:rPr>
                      <w:rFonts w:hint="eastAsia" w:ascii="Times New Roman" w:hAnsi="Times New Roman" w:eastAsia="宋体" w:cs="Times New Roman"/>
                      <w:b w:val="0"/>
                      <w:bCs w:val="0"/>
                      <w:color w:val="00B050"/>
                      <w:kern w:val="2"/>
                      <w:sz w:val="21"/>
                      <w:szCs w:val="21"/>
                      <w:lang w:val="en-US" w:eastAsia="zh-CN" w:bidi="ar-SA"/>
                    </w:rPr>
                    <w:t>20</w:t>
                  </w:r>
                </w:p>
              </w:tc>
              <w:tc>
                <w:tcPr>
                  <w:tcW w:w="1051" w:type="dxa"/>
                  <w:tcBorders>
                    <w:tl2br w:val="nil"/>
                    <w:tr2bl w:val="nil"/>
                  </w:tcBorders>
                  <w:noWrap w:val="0"/>
                  <w:vAlign w:val="center"/>
                </w:tcPr>
                <w:p w14:paraId="0D429FF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0.85</w:t>
                  </w:r>
                </w:p>
              </w:tc>
              <w:tc>
                <w:tcPr>
                  <w:tcW w:w="992" w:type="dxa"/>
                  <w:tcBorders>
                    <w:tl2br w:val="nil"/>
                    <w:tr2bl w:val="nil"/>
                  </w:tcBorders>
                  <w:noWrap w:val="0"/>
                  <w:vAlign w:val="center"/>
                </w:tcPr>
                <w:p w14:paraId="6468898D">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达标</w:t>
                  </w:r>
                </w:p>
              </w:tc>
            </w:tr>
            <w:tr w14:paraId="08F65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13" w:hRule="exact"/>
                <w:jc w:val="center"/>
              </w:trPr>
              <w:tc>
                <w:tcPr>
                  <w:tcW w:w="1692" w:type="dxa"/>
                  <w:tcBorders>
                    <w:tl2br w:val="nil"/>
                    <w:tr2bl w:val="nil"/>
                  </w:tcBorders>
                  <w:noWrap w:val="0"/>
                  <w:vAlign w:val="center"/>
                </w:tcPr>
                <w:p w14:paraId="13A5D191">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总磷</w:t>
                  </w:r>
                </w:p>
              </w:tc>
              <w:tc>
                <w:tcPr>
                  <w:tcW w:w="880" w:type="dxa"/>
                  <w:tcBorders>
                    <w:tl2br w:val="nil"/>
                    <w:tr2bl w:val="nil"/>
                  </w:tcBorders>
                  <w:noWrap w:val="0"/>
                  <w:vAlign w:val="center"/>
                </w:tcPr>
                <w:p w14:paraId="5B62E50A">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mg/L</w:t>
                  </w:r>
                </w:p>
              </w:tc>
              <w:tc>
                <w:tcPr>
                  <w:tcW w:w="1226" w:type="dxa"/>
                  <w:tcBorders>
                    <w:tl2br w:val="nil"/>
                    <w:tr2bl w:val="nil"/>
                  </w:tcBorders>
                  <w:noWrap w:val="0"/>
                  <w:vAlign w:val="center"/>
                </w:tcPr>
                <w:p w14:paraId="760772C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0.12</w:t>
                  </w:r>
                </w:p>
              </w:tc>
              <w:tc>
                <w:tcPr>
                  <w:tcW w:w="1127" w:type="dxa"/>
                  <w:tcBorders>
                    <w:tl2br w:val="nil"/>
                    <w:tr2bl w:val="nil"/>
                  </w:tcBorders>
                  <w:noWrap w:val="0"/>
                  <w:vAlign w:val="center"/>
                </w:tcPr>
                <w:p w14:paraId="6FEDD2F6">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B050"/>
                      <w:kern w:val="0"/>
                      <w:sz w:val="21"/>
                      <w:szCs w:val="21"/>
                      <w:lang w:val="en-US" w:eastAsia="zh-CN" w:bidi="ar-SA"/>
                    </w:rPr>
                  </w:pPr>
                  <w:r>
                    <w:rPr>
                      <w:rFonts w:hint="eastAsia" w:ascii="Times New Roman" w:hAnsi="Times New Roman" w:eastAsia="宋体" w:cs="Times New Roman"/>
                      <w:b w:val="0"/>
                      <w:bCs w:val="0"/>
                      <w:color w:val="00B050"/>
                      <w:kern w:val="0"/>
                      <w:sz w:val="21"/>
                      <w:szCs w:val="21"/>
                      <w:lang w:val="en-US" w:eastAsia="zh-CN"/>
                    </w:rPr>
                    <w:t>0.1</w:t>
                  </w:r>
                </w:p>
              </w:tc>
              <w:tc>
                <w:tcPr>
                  <w:tcW w:w="1190" w:type="dxa"/>
                  <w:tcBorders>
                    <w:tl2br w:val="nil"/>
                    <w:tr2bl w:val="nil"/>
                  </w:tcBorders>
                  <w:noWrap w:val="0"/>
                  <w:vAlign w:val="center"/>
                </w:tcPr>
                <w:p w14:paraId="17266B30">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w:t>
                  </w:r>
                  <w:r>
                    <w:rPr>
                      <w:rFonts w:hint="eastAsia" w:ascii="Times New Roman" w:hAnsi="Times New Roman" w:eastAsia="宋体" w:cs="Times New Roman"/>
                      <w:b w:val="0"/>
                      <w:bCs w:val="0"/>
                      <w:color w:val="00B050"/>
                      <w:kern w:val="2"/>
                      <w:sz w:val="21"/>
                      <w:szCs w:val="21"/>
                      <w:lang w:val="en-US" w:eastAsia="zh-CN" w:bidi="ar-SA"/>
                    </w:rPr>
                    <w:t>2</w:t>
                  </w:r>
                </w:p>
              </w:tc>
              <w:tc>
                <w:tcPr>
                  <w:tcW w:w="1051" w:type="dxa"/>
                  <w:tcBorders>
                    <w:tl2br w:val="nil"/>
                    <w:tr2bl w:val="nil"/>
                  </w:tcBorders>
                  <w:noWrap w:val="0"/>
                  <w:vAlign w:val="center"/>
                </w:tcPr>
                <w:p w14:paraId="3E1EDDE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0.6</w:t>
                  </w:r>
                </w:p>
              </w:tc>
              <w:tc>
                <w:tcPr>
                  <w:tcW w:w="992" w:type="dxa"/>
                  <w:tcBorders>
                    <w:tl2br w:val="nil"/>
                    <w:tr2bl w:val="nil"/>
                  </w:tcBorders>
                  <w:noWrap w:val="0"/>
                  <w:vAlign w:val="center"/>
                </w:tcPr>
                <w:p w14:paraId="70EA063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达标</w:t>
                  </w:r>
                </w:p>
              </w:tc>
            </w:tr>
            <w:tr w14:paraId="37E67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13" w:hRule="exact"/>
                <w:jc w:val="center"/>
              </w:trPr>
              <w:tc>
                <w:tcPr>
                  <w:tcW w:w="1692" w:type="dxa"/>
                  <w:tcBorders>
                    <w:tl2br w:val="nil"/>
                    <w:tr2bl w:val="nil"/>
                  </w:tcBorders>
                  <w:noWrap w:val="0"/>
                  <w:vAlign w:val="center"/>
                </w:tcPr>
                <w:p w14:paraId="0A0654F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铜</w:t>
                  </w:r>
                </w:p>
              </w:tc>
              <w:tc>
                <w:tcPr>
                  <w:tcW w:w="880" w:type="dxa"/>
                  <w:tcBorders>
                    <w:tl2br w:val="nil"/>
                    <w:tr2bl w:val="nil"/>
                  </w:tcBorders>
                  <w:noWrap w:val="0"/>
                  <w:vAlign w:val="center"/>
                </w:tcPr>
                <w:p w14:paraId="0071EAD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mg/L</w:t>
                  </w:r>
                </w:p>
              </w:tc>
              <w:tc>
                <w:tcPr>
                  <w:tcW w:w="1226" w:type="dxa"/>
                  <w:tcBorders>
                    <w:tl2br w:val="nil"/>
                    <w:tr2bl w:val="nil"/>
                  </w:tcBorders>
                  <w:noWrap w:val="0"/>
                  <w:vAlign w:val="center"/>
                </w:tcPr>
                <w:p w14:paraId="291C248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0.006L</w:t>
                  </w:r>
                </w:p>
              </w:tc>
              <w:tc>
                <w:tcPr>
                  <w:tcW w:w="1127" w:type="dxa"/>
                  <w:tcBorders>
                    <w:tl2br w:val="nil"/>
                    <w:tr2bl w:val="nil"/>
                  </w:tcBorders>
                  <w:noWrap w:val="0"/>
                  <w:vAlign w:val="center"/>
                </w:tcPr>
                <w:p w14:paraId="7B01C40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B050"/>
                      <w:kern w:val="0"/>
                      <w:sz w:val="21"/>
                      <w:szCs w:val="21"/>
                      <w:lang w:val="en-US" w:eastAsia="zh-CN" w:bidi="ar-SA"/>
                    </w:rPr>
                  </w:pPr>
                  <w:r>
                    <w:rPr>
                      <w:rFonts w:hint="eastAsia" w:ascii="Times New Roman" w:hAnsi="Times New Roman" w:eastAsia="宋体" w:cs="Times New Roman"/>
                      <w:b w:val="0"/>
                      <w:bCs w:val="0"/>
                      <w:color w:val="00B050"/>
                      <w:kern w:val="0"/>
                      <w:sz w:val="21"/>
                      <w:szCs w:val="21"/>
                      <w:lang w:val="en-US" w:eastAsia="zh-CN"/>
                    </w:rPr>
                    <w:t>0.006L</w:t>
                  </w:r>
                </w:p>
              </w:tc>
              <w:tc>
                <w:tcPr>
                  <w:tcW w:w="1190" w:type="dxa"/>
                  <w:tcBorders>
                    <w:tl2br w:val="nil"/>
                    <w:tr2bl w:val="nil"/>
                  </w:tcBorders>
                  <w:noWrap w:val="0"/>
                  <w:vAlign w:val="center"/>
                </w:tcPr>
                <w:p w14:paraId="560A782D">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≤1.0</w:t>
                  </w:r>
                </w:p>
              </w:tc>
              <w:tc>
                <w:tcPr>
                  <w:tcW w:w="1051" w:type="dxa"/>
                  <w:tcBorders>
                    <w:tl2br w:val="nil"/>
                    <w:tr2bl w:val="nil"/>
                  </w:tcBorders>
                  <w:noWrap w:val="0"/>
                  <w:vAlign w:val="center"/>
                </w:tcPr>
                <w:p w14:paraId="18706C6A">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w:t>
                  </w:r>
                </w:p>
              </w:tc>
              <w:tc>
                <w:tcPr>
                  <w:tcW w:w="992" w:type="dxa"/>
                  <w:tcBorders>
                    <w:tl2br w:val="nil"/>
                    <w:tr2bl w:val="nil"/>
                  </w:tcBorders>
                  <w:noWrap w:val="0"/>
                  <w:vAlign w:val="center"/>
                </w:tcPr>
                <w:p w14:paraId="18DD637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达标</w:t>
                  </w:r>
                </w:p>
              </w:tc>
            </w:tr>
            <w:tr w14:paraId="41119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13" w:hRule="exact"/>
                <w:jc w:val="center"/>
              </w:trPr>
              <w:tc>
                <w:tcPr>
                  <w:tcW w:w="1692" w:type="dxa"/>
                  <w:tcBorders>
                    <w:tl2br w:val="nil"/>
                    <w:tr2bl w:val="nil"/>
                  </w:tcBorders>
                  <w:noWrap w:val="0"/>
                  <w:vAlign w:val="center"/>
                </w:tcPr>
                <w:p w14:paraId="7678DDE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锌</w:t>
                  </w:r>
                </w:p>
              </w:tc>
              <w:tc>
                <w:tcPr>
                  <w:tcW w:w="880" w:type="dxa"/>
                  <w:tcBorders>
                    <w:tl2br w:val="nil"/>
                    <w:tr2bl w:val="nil"/>
                  </w:tcBorders>
                  <w:noWrap w:val="0"/>
                  <w:vAlign w:val="center"/>
                </w:tcPr>
                <w:p w14:paraId="533A0AB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mg/L</w:t>
                  </w:r>
                </w:p>
              </w:tc>
              <w:tc>
                <w:tcPr>
                  <w:tcW w:w="1226" w:type="dxa"/>
                  <w:tcBorders>
                    <w:tl2br w:val="nil"/>
                    <w:tr2bl w:val="nil"/>
                  </w:tcBorders>
                  <w:noWrap w:val="0"/>
                  <w:vAlign w:val="center"/>
                </w:tcPr>
                <w:p w14:paraId="5314789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0.004L</w:t>
                  </w:r>
                </w:p>
              </w:tc>
              <w:tc>
                <w:tcPr>
                  <w:tcW w:w="1127" w:type="dxa"/>
                  <w:tcBorders>
                    <w:tl2br w:val="nil"/>
                    <w:tr2bl w:val="nil"/>
                  </w:tcBorders>
                  <w:noWrap w:val="0"/>
                  <w:vAlign w:val="center"/>
                </w:tcPr>
                <w:p w14:paraId="54366D3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B050"/>
                      <w:kern w:val="0"/>
                      <w:sz w:val="21"/>
                      <w:szCs w:val="21"/>
                      <w:lang w:val="en-US" w:eastAsia="zh-CN" w:bidi="ar-SA"/>
                    </w:rPr>
                  </w:pPr>
                  <w:r>
                    <w:rPr>
                      <w:rFonts w:hint="eastAsia" w:ascii="Times New Roman" w:hAnsi="Times New Roman" w:eastAsia="宋体" w:cs="Times New Roman"/>
                      <w:b w:val="0"/>
                      <w:bCs w:val="0"/>
                      <w:color w:val="00B050"/>
                      <w:kern w:val="0"/>
                      <w:sz w:val="21"/>
                      <w:szCs w:val="21"/>
                      <w:lang w:val="en-US" w:eastAsia="zh-CN"/>
                    </w:rPr>
                    <w:t>0.004L</w:t>
                  </w:r>
                </w:p>
              </w:tc>
              <w:tc>
                <w:tcPr>
                  <w:tcW w:w="1190" w:type="dxa"/>
                  <w:tcBorders>
                    <w:tl2br w:val="nil"/>
                    <w:tr2bl w:val="nil"/>
                  </w:tcBorders>
                  <w:noWrap w:val="0"/>
                  <w:vAlign w:val="center"/>
                </w:tcPr>
                <w:p w14:paraId="008109D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w:t>
                  </w:r>
                  <w:r>
                    <w:rPr>
                      <w:rFonts w:hint="eastAsia" w:ascii="Times New Roman" w:hAnsi="Times New Roman" w:eastAsia="宋体" w:cs="Times New Roman"/>
                      <w:b w:val="0"/>
                      <w:bCs w:val="0"/>
                      <w:color w:val="00B050"/>
                      <w:kern w:val="2"/>
                      <w:sz w:val="21"/>
                      <w:szCs w:val="21"/>
                      <w:lang w:val="en-US" w:eastAsia="zh-CN" w:bidi="ar-SA"/>
                    </w:rPr>
                    <w:t>1</w:t>
                  </w:r>
                  <w:r>
                    <w:rPr>
                      <w:rFonts w:hint="default" w:ascii="Times New Roman" w:hAnsi="Times New Roman" w:eastAsia="宋体" w:cs="Times New Roman"/>
                      <w:b w:val="0"/>
                      <w:bCs w:val="0"/>
                      <w:color w:val="00B050"/>
                      <w:kern w:val="2"/>
                      <w:sz w:val="21"/>
                      <w:szCs w:val="21"/>
                      <w:lang w:val="en-US" w:eastAsia="zh-CN" w:bidi="ar-SA"/>
                    </w:rPr>
                    <w:t>.0</w:t>
                  </w:r>
                </w:p>
              </w:tc>
              <w:tc>
                <w:tcPr>
                  <w:tcW w:w="1051" w:type="dxa"/>
                  <w:tcBorders>
                    <w:tl2br w:val="nil"/>
                    <w:tr2bl w:val="nil"/>
                  </w:tcBorders>
                  <w:noWrap w:val="0"/>
                  <w:vAlign w:val="center"/>
                </w:tcPr>
                <w:p w14:paraId="7610EDD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w:t>
                  </w:r>
                </w:p>
              </w:tc>
              <w:tc>
                <w:tcPr>
                  <w:tcW w:w="992" w:type="dxa"/>
                  <w:tcBorders>
                    <w:tl2br w:val="nil"/>
                    <w:tr2bl w:val="nil"/>
                  </w:tcBorders>
                  <w:noWrap w:val="0"/>
                  <w:vAlign w:val="center"/>
                </w:tcPr>
                <w:p w14:paraId="7A0297B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达标</w:t>
                  </w:r>
                </w:p>
              </w:tc>
            </w:tr>
            <w:tr w14:paraId="43EAD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13" w:hRule="exact"/>
                <w:jc w:val="center"/>
              </w:trPr>
              <w:tc>
                <w:tcPr>
                  <w:tcW w:w="1692" w:type="dxa"/>
                  <w:tcBorders>
                    <w:tl2br w:val="nil"/>
                    <w:tr2bl w:val="nil"/>
                  </w:tcBorders>
                  <w:noWrap w:val="0"/>
                  <w:vAlign w:val="center"/>
                </w:tcPr>
                <w:p w14:paraId="0BABEEC0">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氟化物</w:t>
                  </w:r>
                </w:p>
              </w:tc>
              <w:tc>
                <w:tcPr>
                  <w:tcW w:w="880" w:type="dxa"/>
                  <w:tcBorders>
                    <w:tl2br w:val="nil"/>
                    <w:tr2bl w:val="nil"/>
                  </w:tcBorders>
                  <w:noWrap w:val="0"/>
                  <w:vAlign w:val="center"/>
                </w:tcPr>
                <w:p w14:paraId="263F7F3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mg/L</w:t>
                  </w:r>
                </w:p>
              </w:tc>
              <w:tc>
                <w:tcPr>
                  <w:tcW w:w="1226" w:type="dxa"/>
                  <w:tcBorders>
                    <w:tl2br w:val="nil"/>
                    <w:tr2bl w:val="nil"/>
                  </w:tcBorders>
                  <w:noWrap w:val="0"/>
                  <w:vAlign w:val="center"/>
                </w:tcPr>
                <w:p w14:paraId="5B1A5218">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0.52</w:t>
                  </w:r>
                </w:p>
              </w:tc>
              <w:tc>
                <w:tcPr>
                  <w:tcW w:w="1127" w:type="dxa"/>
                  <w:tcBorders>
                    <w:tl2br w:val="nil"/>
                    <w:tr2bl w:val="nil"/>
                  </w:tcBorders>
                  <w:noWrap w:val="0"/>
                  <w:vAlign w:val="center"/>
                </w:tcPr>
                <w:p w14:paraId="1AFDF6A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B050"/>
                      <w:kern w:val="0"/>
                      <w:sz w:val="21"/>
                      <w:szCs w:val="21"/>
                      <w:lang w:val="en-US" w:eastAsia="zh-CN" w:bidi="ar-SA"/>
                    </w:rPr>
                  </w:pPr>
                  <w:r>
                    <w:rPr>
                      <w:rFonts w:hint="eastAsia" w:ascii="Times New Roman" w:hAnsi="Times New Roman" w:eastAsia="宋体" w:cs="Times New Roman"/>
                      <w:b w:val="0"/>
                      <w:bCs w:val="0"/>
                      <w:color w:val="00B050"/>
                      <w:kern w:val="0"/>
                      <w:sz w:val="21"/>
                      <w:szCs w:val="21"/>
                      <w:lang w:val="en-US" w:eastAsia="zh-CN"/>
                    </w:rPr>
                    <w:t>0.5</w:t>
                  </w:r>
                </w:p>
              </w:tc>
              <w:tc>
                <w:tcPr>
                  <w:tcW w:w="1190" w:type="dxa"/>
                  <w:tcBorders>
                    <w:tl2br w:val="nil"/>
                    <w:tr2bl w:val="nil"/>
                  </w:tcBorders>
                  <w:noWrap w:val="0"/>
                  <w:vAlign w:val="center"/>
                </w:tcPr>
                <w:p w14:paraId="5649722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≤1.</w:t>
                  </w:r>
                  <w:r>
                    <w:rPr>
                      <w:rFonts w:hint="eastAsia" w:ascii="Times New Roman" w:hAnsi="Times New Roman" w:eastAsia="宋体" w:cs="Times New Roman"/>
                      <w:b w:val="0"/>
                      <w:bCs w:val="0"/>
                      <w:color w:val="00B050"/>
                      <w:kern w:val="2"/>
                      <w:sz w:val="21"/>
                      <w:szCs w:val="21"/>
                      <w:lang w:val="en-US" w:eastAsia="zh-CN" w:bidi="ar-SA"/>
                    </w:rPr>
                    <w:t>0</w:t>
                  </w:r>
                </w:p>
              </w:tc>
              <w:tc>
                <w:tcPr>
                  <w:tcW w:w="1051" w:type="dxa"/>
                  <w:tcBorders>
                    <w:tl2br w:val="nil"/>
                    <w:tr2bl w:val="nil"/>
                  </w:tcBorders>
                  <w:noWrap w:val="0"/>
                  <w:vAlign w:val="center"/>
                </w:tcPr>
                <w:p w14:paraId="5E3B643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0.52</w:t>
                  </w:r>
                </w:p>
              </w:tc>
              <w:tc>
                <w:tcPr>
                  <w:tcW w:w="992" w:type="dxa"/>
                  <w:tcBorders>
                    <w:tl2br w:val="nil"/>
                    <w:tr2bl w:val="nil"/>
                  </w:tcBorders>
                  <w:noWrap w:val="0"/>
                  <w:vAlign w:val="center"/>
                </w:tcPr>
                <w:p w14:paraId="21444AA8">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达标</w:t>
                  </w:r>
                </w:p>
              </w:tc>
            </w:tr>
            <w:tr w14:paraId="2BC1E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13" w:hRule="exact"/>
                <w:jc w:val="center"/>
              </w:trPr>
              <w:tc>
                <w:tcPr>
                  <w:tcW w:w="1692" w:type="dxa"/>
                  <w:tcBorders>
                    <w:tl2br w:val="nil"/>
                    <w:tr2bl w:val="nil"/>
                  </w:tcBorders>
                  <w:noWrap w:val="0"/>
                  <w:vAlign w:val="center"/>
                </w:tcPr>
                <w:p w14:paraId="2A80834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硒</w:t>
                  </w:r>
                </w:p>
              </w:tc>
              <w:tc>
                <w:tcPr>
                  <w:tcW w:w="880" w:type="dxa"/>
                  <w:tcBorders>
                    <w:tl2br w:val="nil"/>
                    <w:tr2bl w:val="nil"/>
                  </w:tcBorders>
                  <w:noWrap w:val="0"/>
                  <w:vAlign w:val="center"/>
                </w:tcPr>
                <w:p w14:paraId="492F124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mg/L</w:t>
                  </w:r>
                </w:p>
              </w:tc>
              <w:tc>
                <w:tcPr>
                  <w:tcW w:w="1226" w:type="dxa"/>
                  <w:tcBorders>
                    <w:tl2br w:val="nil"/>
                    <w:tr2bl w:val="nil"/>
                  </w:tcBorders>
                  <w:noWrap w:val="0"/>
                  <w:vAlign w:val="center"/>
                </w:tcPr>
                <w:p w14:paraId="2FBF0D41">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0.0004L</w:t>
                  </w:r>
                </w:p>
              </w:tc>
              <w:tc>
                <w:tcPr>
                  <w:tcW w:w="1127" w:type="dxa"/>
                  <w:tcBorders>
                    <w:tl2br w:val="nil"/>
                    <w:tr2bl w:val="nil"/>
                  </w:tcBorders>
                  <w:noWrap w:val="0"/>
                  <w:vAlign w:val="center"/>
                </w:tcPr>
                <w:p w14:paraId="560CEE37">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B050"/>
                      <w:kern w:val="0"/>
                      <w:sz w:val="21"/>
                      <w:szCs w:val="21"/>
                      <w:lang w:val="en-US" w:eastAsia="zh-CN" w:bidi="ar-SA"/>
                    </w:rPr>
                  </w:pPr>
                  <w:r>
                    <w:rPr>
                      <w:rFonts w:hint="eastAsia" w:ascii="Times New Roman" w:hAnsi="Times New Roman" w:eastAsia="宋体" w:cs="Times New Roman"/>
                      <w:b w:val="0"/>
                      <w:bCs w:val="0"/>
                      <w:color w:val="00B050"/>
                      <w:kern w:val="0"/>
                      <w:sz w:val="21"/>
                      <w:szCs w:val="21"/>
                      <w:lang w:val="en-US" w:eastAsia="zh-CN"/>
                    </w:rPr>
                    <w:t>0.0004L</w:t>
                  </w:r>
                </w:p>
              </w:tc>
              <w:tc>
                <w:tcPr>
                  <w:tcW w:w="1190" w:type="dxa"/>
                  <w:tcBorders>
                    <w:tl2br w:val="nil"/>
                    <w:tr2bl w:val="nil"/>
                  </w:tcBorders>
                  <w:noWrap w:val="0"/>
                  <w:vAlign w:val="center"/>
                </w:tcPr>
                <w:p w14:paraId="08484D11">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≤0.0</w:t>
                  </w:r>
                  <w:r>
                    <w:rPr>
                      <w:rFonts w:hint="eastAsia" w:ascii="Times New Roman" w:hAnsi="Times New Roman" w:eastAsia="宋体" w:cs="Times New Roman"/>
                      <w:b w:val="0"/>
                      <w:bCs w:val="0"/>
                      <w:color w:val="00B050"/>
                      <w:kern w:val="2"/>
                      <w:sz w:val="21"/>
                      <w:szCs w:val="21"/>
                      <w:lang w:val="en-US" w:eastAsia="zh-CN" w:bidi="ar-SA"/>
                    </w:rPr>
                    <w:t>1</w:t>
                  </w:r>
                </w:p>
              </w:tc>
              <w:tc>
                <w:tcPr>
                  <w:tcW w:w="1051" w:type="dxa"/>
                  <w:tcBorders>
                    <w:tl2br w:val="nil"/>
                    <w:tr2bl w:val="nil"/>
                  </w:tcBorders>
                  <w:noWrap w:val="0"/>
                  <w:vAlign w:val="center"/>
                </w:tcPr>
                <w:p w14:paraId="0AD8C37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w:t>
                  </w:r>
                </w:p>
              </w:tc>
              <w:tc>
                <w:tcPr>
                  <w:tcW w:w="992" w:type="dxa"/>
                  <w:tcBorders>
                    <w:tl2br w:val="nil"/>
                    <w:tr2bl w:val="nil"/>
                  </w:tcBorders>
                  <w:noWrap w:val="0"/>
                  <w:vAlign w:val="center"/>
                </w:tcPr>
                <w:p w14:paraId="35122CC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达标</w:t>
                  </w:r>
                </w:p>
              </w:tc>
            </w:tr>
            <w:tr w14:paraId="2D9AB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13" w:hRule="exact"/>
                <w:jc w:val="center"/>
              </w:trPr>
              <w:tc>
                <w:tcPr>
                  <w:tcW w:w="1692" w:type="dxa"/>
                  <w:tcBorders>
                    <w:tl2br w:val="nil"/>
                    <w:tr2bl w:val="nil"/>
                  </w:tcBorders>
                  <w:noWrap w:val="0"/>
                  <w:vAlign w:val="center"/>
                </w:tcPr>
                <w:p w14:paraId="6A05FA4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砷</w:t>
                  </w:r>
                </w:p>
              </w:tc>
              <w:tc>
                <w:tcPr>
                  <w:tcW w:w="880" w:type="dxa"/>
                  <w:tcBorders>
                    <w:tl2br w:val="nil"/>
                    <w:tr2bl w:val="nil"/>
                  </w:tcBorders>
                  <w:noWrap w:val="0"/>
                  <w:vAlign w:val="center"/>
                </w:tcPr>
                <w:p w14:paraId="056EA34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mg/L</w:t>
                  </w:r>
                </w:p>
              </w:tc>
              <w:tc>
                <w:tcPr>
                  <w:tcW w:w="1226" w:type="dxa"/>
                  <w:tcBorders>
                    <w:tl2br w:val="nil"/>
                    <w:tr2bl w:val="nil"/>
                  </w:tcBorders>
                  <w:noWrap w:val="0"/>
                  <w:vAlign w:val="center"/>
                </w:tcPr>
                <w:p w14:paraId="509BB48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0.0022</w:t>
                  </w:r>
                </w:p>
              </w:tc>
              <w:tc>
                <w:tcPr>
                  <w:tcW w:w="1127" w:type="dxa"/>
                  <w:tcBorders>
                    <w:tl2br w:val="nil"/>
                    <w:tr2bl w:val="nil"/>
                  </w:tcBorders>
                  <w:noWrap w:val="0"/>
                  <w:vAlign w:val="center"/>
                </w:tcPr>
                <w:p w14:paraId="19BFC0F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B050"/>
                      <w:kern w:val="0"/>
                      <w:sz w:val="21"/>
                      <w:szCs w:val="21"/>
                      <w:lang w:val="en-US" w:eastAsia="zh-CN" w:bidi="ar-SA"/>
                    </w:rPr>
                  </w:pPr>
                  <w:r>
                    <w:rPr>
                      <w:rFonts w:hint="eastAsia" w:ascii="Times New Roman" w:hAnsi="Times New Roman" w:eastAsia="宋体" w:cs="Times New Roman"/>
                      <w:b w:val="0"/>
                      <w:bCs w:val="0"/>
                      <w:color w:val="00B050"/>
                      <w:kern w:val="0"/>
                      <w:sz w:val="21"/>
                      <w:szCs w:val="21"/>
                      <w:lang w:val="en-US" w:eastAsia="zh-CN"/>
                    </w:rPr>
                    <w:t>0.0015</w:t>
                  </w:r>
                </w:p>
              </w:tc>
              <w:tc>
                <w:tcPr>
                  <w:tcW w:w="1190" w:type="dxa"/>
                  <w:tcBorders>
                    <w:tl2br w:val="nil"/>
                    <w:tr2bl w:val="nil"/>
                  </w:tcBorders>
                  <w:noWrap w:val="0"/>
                  <w:vAlign w:val="center"/>
                </w:tcPr>
                <w:p w14:paraId="5C23B35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w:t>
                  </w:r>
                  <w:r>
                    <w:rPr>
                      <w:rFonts w:hint="eastAsia" w:ascii="Times New Roman" w:hAnsi="Times New Roman" w:eastAsia="宋体" w:cs="Times New Roman"/>
                      <w:b w:val="0"/>
                      <w:bCs w:val="0"/>
                      <w:color w:val="00B050"/>
                      <w:kern w:val="2"/>
                      <w:sz w:val="21"/>
                      <w:szCs w:val="21"/>
                      <w:lang w:val="en-US" w:eastAsia="zh-CN" w:bidi="ar-SA"/>
                    </w:rPr>
                    <w:t>05</w:t>
                  </w:r>
                </w:p>
              </w:tc>
              <w:tc>
                <w:tcPr>
                  <w:tcW w:w="1051" w:type="dxa"/>
                  <w:tcBorders>
                    <w:tl2br w:val="nil"/>
                    <w:tr2bl w:val="nil"/>
                  </w:tcBorders>
                  <w:noWrap w:val="0"/>
                  <w:vAlign w:val="center"/>
                </w:tcPr>
                <w:p w14:paraId="7426CE18">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0.04</w:t>
                  </w:r>
                </w:p>
              </w:tc>
              <w:tc>
                <w:tcPr>
                  <w:tcW w:w="992" w:type="dxa"/>
                  <w:tcBorders>
                    <w:tl2br w:val="nil"/>
                    <w:tr2bl w:val="nil"/>
                  </w:tcBorders>
                  <w:noWrap w:val="0"/>
                  <w:vAlign w:val="center"/>
                </w:tcPr>
                <w:p w14:paraId="1FEB599D">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达标</w:t>
                  </w:r>
                </w:p>
              </w:tc>
            </w:tr>
            <w:tr w14:paraId="2E09D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13" w:hRule="exact"/>
                <w:jc w:val="center"/>
              </w:trPr>
              <w:tc>
                <w:tcPr>
                  <w:tcW w:w="1692" w:type="dxa"/>
                  <w:tcBorders>
                    <w:tl2br w:val="nil"/>
                    <w:tr2bl w:val="nil"/>
                  </w:tcBorders>
                  <w:noWrap w:val="0"/>
                  <w:vAlign w:val="center"/>
                </w:tcPr>
                <w:p w14:paraId="2BE4E63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镉</w:t>
                  </w:r>
                </w:p>
              </w:tc>
              <w:tc>
                <w:tcPr>
                  <w:tcW w:w="880" w:type="dxa"/>
                  <w:tcBorders>
                    <w:tl2br w:val="nil"/>
                    <w:tr2bl w:val="nil"/>
                  </w:tcBorders>
                  <w:noWrap w:val="0"/>
                  <w:vAlign w:val="center"/>
                </w:tcPr>
                <w:p w14:paraId="1140757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mg/L</w:t>
                  </w:r>
                </w:p>
              </w:tc>
              <w:tc>
                <w:tcPr>
                  <w:tcW w:w="1226" w:type="dxa"/>
                  <w:tcBorders>
                    <w:tl2br w:val="nil"/>
                    <w:tr2bl w:val="nil"/>
                  </w:tcBorders>
                  <w:noWrap w:val="0"/>
                  <w:vAlign w:val="center"/>
                </w:tcPr>
                <w:p w14:paraId="0BE3BEB8">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0.00005L</w:t>
                  </w:r>
                </w:p>
              </w:tc>
              <w:tc>
                <w:tcPr>
                  <w:tcW w:w="1127" w:type="dxa"/>
                  <w:tcBorders>
                    <w:tl2br w:val="nil"/>
                    <w:tr2bl w:val="nil"/>
                  </w:tcBorders>
                  <w:noWrap w:val="0"/>
                  <w:vAlign w:val="center"/>
                </w:tcPr>
                <w:p w14:paraId="24ED3D98">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B050"/>
                      <w:kern w:val="0"/>
                      <w:sz w:val="21"/>
                      <w:szCs w:val="21"/>
                      <w:lang w:val="en-US" w:eastAsia="zh-CN" w:bidi="ar-SA"/>
                    </w:rPr>
                  </w:pPr>
                  <w:r>
                    <w:rPr>
                      <w:rFonts w:hint="eastAsia" w:ascii="Times New Roman" w:hAnsi="Times New Roman" w:eastAsia="宋体" w:cs="Times New Roman"/>
                      <w:b w:val="0"/>
                      <w:bCs w:val="0"/>
                      <w:color w:val="00B050"/>
                      <w:kern w:val="0"/>
                      <w:sz w:val="21"/>
                      <w:szCs w:val="21"/>
                      <w:lang w:val="en-US" w:eastAsia="zh-CN"/>
                    </w:rPr>
                    <w:t>0.00005L</w:t>
                  </w:r>
                </w:p>
              </w:tc>
              <w:tc>
                <w:tcPr>
                  <w:tcW w:w="1190" w:type="dxa"/>
                  <w:tcBorders>
                    <w:tl2br w:val="nil"/>
                    <w:tr2bl w:val="nil"/>
                  </w:tcBorders>
                  <w:noWrap w:val="0"/>
                  <w:vAlign w:val="center"/>
                </w:tcPr>
                <w:p w14:paraId="1C40C8E6">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≤0.005</w:t>
                  </w:r>
                </w:p>
              </w:tc>
              <w:tc>
                <w:tcPr>
                  <w:tcW w:w="1051" w:type="dxa"/>
                  <w:tcBorders>
                    <w:tl2br w:val="nil"/>
                    <w:tr2bl w:val="nil"/>
                  </w:tcBorders>
                  <w:noWrap w:val="0"/>
                  <w:vAlign w:val="center"/>
                </w:tcPr>
                <w:p w14:paraId="72CCFB7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w:t>
                  </w:r>
                </w:p>
              </w:tc>
              <w:tc>
                <w:tcPr>
                  <w:tcW w:w="992" w:type="dxa"/>
                  <w:tcBorders>
                    <w:tl2br w:val="nil"/>
                    <w:tr2bl w:val="nil"/>
                  </w:tcBorders>
                  <w:noWrap w:val="0"/>
                  <w:vAlign w:val="center"/>
                </w:tcPr>
                <w:p w14:paraId="25CB25F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达标</w:t>
                  </w:r>
                </w:p>
              </w:tc>
            </w:tr>
            <w:tr w14:paraId="5B17C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13" w:hRule="exact"/>
                <w:jc w:val="center"/>
              </w:trPr>
              <w:tc>
                <w:tcPr>
                  <w:tcW w:w="1692" w:type="dxa"/>
                  <w:tcBorders>
                    <w:tl2br w:val="nil"/>
                    <w:tr2bl w:val="nil"/>
                  </w:tcBorders>
                  <w:noWrap w:val="0"/>
                  <w:vAlign w:val="center"/>
                </w:tcPr>
                <w:p w14:paraId="3A9F5E3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六价铬</w:t>
                  </w:r>
                </w:p>
              </w:tc>
              <w:tc>
                <w:tcPr>
                  <w:tcW w:w="880" w:type="dxa"/>
                  <w:tcBorders>
                    <w:tl2br w:val="nil"/>
                    <w:tr2bl w:val="nil"/>
                  </w:tcBorders>
                  <w:noWrap w:val="0"/>
                  <w:vAlign w:val="center"/>
                </w:tcPr>
                <w:p w14:paraId="47D0C67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mg/L</w:t>
                  </w:r>
                </w:p>
              </w:tc>
              <w:tc>
                <w:tcPr>
                  <w:tcW w:w="1226" w:type="dxa"/>
                  <w:tcBorders>
                    <w:tl2br w:val="nil"/>
                    <w:tr2bl w:val="nil"/>
                  </w:tcBorders>
                  <w:noWrap w:val="0"/>
                  <w:vAlign w:val="center"/>
                </w:tcPr>
                <w:p w14:paraId="4C8C869D">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0.004L</w:t>
                  </w:r>
                </w:p>
              </w:tc>
              <w:tc>
                <w:tcPr>
                  <w:tcW w:w="1127" w:type="dxa"/>
                  <w:tcBorders>
                    <w:tl2br w:val="nil"/>
                    <w:tr2bl w:val="nil"/>
                  </w:tcBorders>
                  <w:noWrap w:val="0"/>
                  <w:vAlign w:val="center"/>
                </w:tcPr>
                <w:p w14:paraId="78018F0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B050"/>
                      <w:kern w:val="0"/>
                      <w:sz w:val="21"/>
                      <w:szCs w:val="21"/>
                      <w:lang w:val="en-US" w:eastAsia="zh-CN" w:bidi="ar-SA"/>
                    </w:rPr>
                  </w:pPr>
                  <w:r>
                    <w:rPr>
                      <w:rFonts w:hint="eastAsia" w:ascii="Times New Roman" w:hAnsi="Times New Roman" w:eastAsia="宋体" w:cs="Times New Roman"/>
                      <w:b w:val="0"/>
                      <w:bCs w:val="0"/>
                      <w:color w:val="00B050"/>
                      <w:kern w:val="0"/>
                      <w:sz w:val="21"/>
                      <w:szCs w:val="21"/>
                      <w:lang w:val="en-US" w:eastAsia="zh-CN"/>
                    </w:rPr>
                    <w:t>0.004L</w:t>
                  </w:r>
                </w:p>
              </w:tc>
              <w:tc>
                <w:tcPr>
                  <w:tcW w:w="1190" w:type="dxa"/>
                  <w:tcBorders>
                    <w:tl2br w:val="nil"/>
                    <w:tr2bl w:val="nil"/>
                  </w:tcBorders>
                  <w:noWrap w:val="0"/>
                  <w:vAlign w:val="center"/>
                </w:tcPr>
                <w:p w14:paraId="3F524EE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≤0.05</w:t>
                  </w:r>
                </w:p>
              </w:tc>
              <w:tc>
                <w:tcPr>
                  <w:tcW w:w="1051" w:type="dxa"/>
                  <w:tcBorders>
                    <w:tl2br w:val="nil"/>
                    <w:tr2bl w:val="nil"/>
                  </w:tcBorders>
                  <w:noWrap w:val="0"/>
                  <w:vAlign w:val="center"/>
                </w:tcPr>
                <w:p w14:paraId="3A2257C0">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w:t>
                  </w:r>
                </w:p>
              </w:tc>
              <w:tc>
                <w:tcPr>
                  <w:tcW w:w="992" w:type="dxa"/>
                  <w:tcBorders>
                    <w:tl2br w:val="nil"/>
                    <w:tr2bl w:val="nil"/>
                  </w:tcBorders>
                  <w:noWrap w:val="0"/>
                  <w:vAlign w:val="center"/>
                </w:tcPr>
                <w:p w14:paraId="0AB9C79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达标</w:t>
                  </w:r>
                </w:p>
              </w:tc>
            </w:tr>
            <w:tr w14:paraId="59DD7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13" w:hRule="exact"/>
                <w:jc w:val="center"/>
              </w:trPr>
              <w:tc>
                <w:tcPr>
                  <w:tcW w:w="1692" w:type="dxa"/>
                  <w:tcBorders>
                    <w:tl2br w:val="nil"/>
                    <w:tr2bl w:val="nil"/>
                  </w:tcBorders>
                  <w:noWrap w:val="0"/>
                  <w:vAlign w:val="center"/>
                </w:tcPr>
                <w:p w14:paraId="77D83D4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氰化物</w:t>
                  </w:r>
                </w:p>
              </w:tc>
              <w:tc>
                <w:tcPr>
                  <w:tcW w:w="880" w:type="dxa"/>
                  <w:tcBorders>
                    <w:tl2br w:val="nil"/>
                    <w:tr2bl w:val="nil"/>
                  </w:tcBorders>
                  <w:noWrap w:val="0"/>
                  <w:vAlign w:val="center"/>
                </w:tcPr>
                <w:p w14:paraId="11298E5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mg/L</w:t>
                  </w:r>
                </w:p>
              </w:tc>
              <w:tc>
                <w:tcPr>
                  <w:tcW w:w="1226" w:type="dxa"/>
                  <w:tcBorders>
                    <w:tl2br w:val="nil"/>
                    <w:tr2bl w:val="nil"/>
                  </w:tcBorders>
                  <w:noWrap w:val="0"/>
                  <w:vAlign w:val="center"/>
                </w:tcPr>
                <w:p w14:paraId="2D65912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0.0005L</w:t>
                  </w:r>
                </w:p>
              </w:tc>
              <w:tc>
                <w:tcPr>
                  <w:tcW w:w="1127" w:type="dxa"/>
                  <w:tcBorders>
                    <w:tl2br w:val="nil"/>
                    <w:tr2bl w:val="nil"/>
                  </w:tcBorders>
                  <w:noWrap w:val="0"/>
                  <w:vAlign w:val="center"/>
                </w:tcPr>
                <w:p w14:paraId="549E7FA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B050"/>
                      <w:kern w:val="0"/>
                      <w:sz w:val="21"/>
                      <w:szCs w:val="21"/>
                      <w:lang w:val="en-US" w:eastAsia="zh-CN" w:bidi="ar-SA"/>
                    </w:rPr>
                  </w:pPr>
                  <w:r>
                    <w:rPr>
                      <w:rFonts w:hint="eastAsia" w:ascii="Times New Roman" w:hAnsi="Times New Roman" w:eastAsia="宋体" w:cs="Times New Roman"/>
                      <w:b w:val="0"/>
                      <w:bCs w:val="0"/>
                      <w:color w:val="00B050"/>
                      <w:kern w:val="0"/>
                      <w:sz w:val="21"/>
                      <w:szCs w:val="21"/>
                      <w:lang w:val="en-US" w:eastAsia="zh-CN"/>
                    </w:rPr>
                    <w:t>0.0005</w:t>
                  </w:r>
                </w:p>
              </w:tc>
              <w:tc>
                <w:tcPr>
                  <w:tcW w:w="1190" w:type="dxa"/>
                  <w:tcBorders>
                    <w:tl2br w:val="nil"/>
                    <w:tr2bl w:val="nil"/>
                  </w:tcBorders>
                  <w:noWrap w:val="0"/>
                  <w:vAlign w:val="center"/>
                </w:tcPr>
                <w:p w14:paraId="4ED478E1">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≤0.2</w:t>
                  </w:r>
                </w:p>
              </w:tc>
              <w:tc>
                <w:tcPr>
                  <w:tcW w:w="1051" w:type="dxa"/>
                  <w:tcBorders>
                    <w:tl2br w:val="nil"/>
                    <w:tr2bl w:val="nil"/>
                  </w:tcBorders>
                  <w:noWrap w:val="0"/>
                  <w:vAlign w:val="center"/>
                </w:tcPr>
                <w:p w14:paraId="3F1D8D86">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p>
              </w:tc>
              <w:tc>
                <w:tcPr>
                  <w:tcW w:w="992" w:type="dxa"/>
                  <w:tcBorders>
                    <w:tl2br w:val="nil"/>
                    <w:tr2bl w:val="nil"/>
                  </w:tcBorders>
                  <w:noWrap w:val="0"/>
                  <w:vAlign w:val="center"/>
                </w:tcPr>
                <w:p w14:paraId="6C978A58">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达标</w:t>
                  </w:r>
                </w:p>
              </w:tc>
            </w:tr>
            <w:tr w14:paraId="243E2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13" w:hRule="exact"/>
                <w:jc w:val="center"/>
              </w:trPr>
              <w:tc>
                <w:tcPr>
                  <w:tcW w:w="1692" w:type="dxa"/>
                  <w:tcBorders>
                    <w:tl2br w:val="nil"/>
                    <w:tr2bl w:val="nil"/>
                  </w:tcBorders>
                  <w:noWrap w:val="0"/>
                  <w:vAlign w:val="center"/>
                </w:tcPr>
                <w:p w14:paraId="7DE29E7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阴离子表面活性剂</w:t>
                  </w:r>
                </w:p>
              </w:tc>
              <w:tc>
                <w:tcPr>
                  <w:tcW w:w="880" w:type="dxa"/>
                  <w:tcBorders>
                    <w:tl2br w:val="nil"/>
                    <w:tr2bl w:val="nil"/>
                  </w:tcBorders>
                  <w:noWrap w:val="0"/>
                  <w:vAlign w:val="center"/>
                </w:tcPr>
                <w:p w14:paraId="12ED9887">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mg/L</w:t>
                  </w:r>
                </w:p>
              </w:tc>
              <w:tc>
                <w:tcPr>
                  <w:tcW w:w="1226" w:type="dxa"/>
                  <w:tcBorders>
                    <w:tl2br w:val="nil"/>
                    <w:tr2bl w:val="nil"/>
                  </w:tcBorders>
                  <w:noWrap w:val="0"/>
                  <w:vAlign w:val="center"/>
                </w:tcPr>
                <w:p w14:paraId="6027D807">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0.016</w:t>
                  </w:r>
                </w:p>
              </w:tc>
              <w:tc>
                <w:tcPr>
                  <w:tcW w:w="1127" w:type="dxa"/>
                  <w:tcBorders>
                    <w:tl2br w:val="nil"/>
                    <w:tr2bl w:val="nil"/>
                  </w:tcBorders>
                  <w:noWrap w:val="0"/>
                  <w:vAlign w:val="center"/>
                </w:tcPr>
                <w:p w14:paraId="573A0946">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B050"/>
                      <w:kern w:val="0"/>
                      <w:sz w:val="21"/>
                      <w:szCs w:val="21"/>
                      <w:lang w:val="en-US" w:eastAsia="zh-CN" w:bidi="ar-SA"/>
                    </w:rPr>
                  </w:pPr>
                  <w:r>
                    <w:rPr>
                      <w:rFonts w:hint="eastAsia" w:ascii="Times New Roman" w:hAnsi="Times New Roman" w:eastAsia="宋体" w:cs="Times New Roman"/>
                      <w:b w:val="0"/>
                      <w:bCs w:val="0"/>
                      <w:color w:val="00B050"/>
                      <w:kern w:val="0"/>
                      <w:sz w:val="21"/>
                      <w:szCs w:val="21"/>
                      <w:lang w:val="en-US" w:eastAsia="zh-CN"/>
                    </w:rPr>
                    <w:t>0.022</w:t>
                  </w:r>
                </w:p>
              </w:tc>
              <w:tc>
                <w:tcPr>
                  <w:tcW w:w="1190" w:type="dxa"/>
                  <w:tcBorders>
                    <w:tl2br w:val="nil"/>
                    <w:tr2bl w:val="nil"/>
                  </w:tcBorders>
                  <w:noWrap w:val="0"/>
                  <w:vAlign w:val="center"/>
                </w:tcPr>
                <w:p w14:paraId="5D463D0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w:t>
                  </w:r>
                  <w:r>
                    <w:rPr>
                      <w:rFonts w:hint="eastAsia" w:ascii="Times New Roman" w:hAnsi="Times New Roman" w:eastAsia="宋体" w:cs="Times New Roman"/>
                      <w:b w:val="0"/>
                      <w:bCs w:val="0"/>
                      <w:color w:val="00B050"/>
                      <w:kern w:val="2"/>
                      <w:sz w:val="21"/>
                      <w:szCs w:val="21"/>
                      <w:lang w:val="en-US" w:eastAsia="zh-CN" w:bidi="ar-SA"/>
                    </w:rPr>
                    <w:t>2</w:t>
                  </w:r>
                </w:p>
              </w:tc>
              <w:tc>
                <w:tcPr>
                  <w:tcW w:w="1051" w:type="dxa"/>
                  <w:tcBorders>
                    <w:tl2br w:val="nil"/>
                    <w:tr2bl w:val="nil"/>
                  </w:tcBorders>
                  <w:noWrap w:val="0"/>
                  <w:vAlign w:val="center"/>
                </w:tcPr>
                <w:p w14:paraId="5ED211D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0.08</w:t>
                  </w:r>
                </w:p>
              </w:tc>
              <w:tc>
                <w:tcPr>
                  <w:tcW w:w="992" w:type="dxa"/>
                  <w:tcBorders>
                    <w:tl2br w:val="nil"/>
                    <w:tr2bl w:val="nil"/>
                  </w:tcBorders>
                  <w:noWrap w:val="0"/>
                  <w:vAlign w:val="center"/>
                </w:tcPr>
                <w:p w14:paraId="79117B7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达标</w:t>
                  </w:r>
                </w:p>
              </w:tc>
            </w:tr>
            <w:tr w14:paraId="47702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42" w:hRule="exact"/>
                <w:jc w:val="center"/>
              </w:trPr>
              <w:tc>
                <w:tcPr>
                  <w:tcW w:w="1692" w:type="dxa"/>
                  <w:tcBorders>
                    <w:tl2br w:val="nil"/>
                    <w:tr2bl w:val="nil"/>
                  </w:tcBorders>
                  <w:noWrap w:val="0"/>
                  <w:vAlign w:val="center"/>
                </w:tcPr>
                <w:p w14:paraId="7ED1269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硫化物</w:t>
                  </w:r>
                </w:p>
              </w:tc>
              <w:tc>
                <w:tcPr>
                  <w:tcW w:w="880" w:type="dxa"/>
                  <w:tcBorders>
                    <w:tl2br w:val="nil"/>
                    <w:tr2bl w:val="nil"/>
                  </w:tcBorders>
                  <w:noWrap w:val="0"/>
                  <w:vAlign w:val="center"/>
                </w:tcPr>
                <w:p w14:paraId="70F02D4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mg/L</w:t>
                  </w:r>
                </w:p>
              </w:tc>
              <w:tc>
                <w:tcPr>
                  <w:tcW w:w="1226" w:type="dxa"/>
                  <w:tcBorders>
                    <w:tl2br w:val="nil"/>
                    <w:tr2bl w:val="nil"/>
                  </w:tcBorders>
                  <w:noWrap w:val="0"/>
                  <w:vAlign w:val="center"/>
                </w:tcPr>
                <w:p w14:paraId="4D9A903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0.016L</w:t>
                  </w:r>
                </w:p>
              </w:tc>
              <w:tc>
                <w:tcPr>
                  <w:tcW w:w="1127" w:type="dxa"/>
                  <w:tcBorders>
                    <w:tl2br w:val="nil"/>
                    <w:tr2bl w:val="nil"/>
                  </w:tcBorders>
                  <w:noWrap w:val="0"/>
                  <w:vAlign w:val="center"/>
                </w:tcPr>
                <w:p w14:paraId="61D32AB7">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B050"/>
                      <w:kern w:val="0"/>
                      <w:sz w:val="21"/>
                      <w:szCs w:val="21"/>
                      <w:lang w:val="en-US" w:eastAsia="zh-CN" w:bidi="ar-SA"/>
                    </w:rPr>
                  </w:pPr>
                  <w:r>
                    <w:rPr>
                      <w:rFonts w:hint="eastAsia" w:ascii="Times New Roman" w:hAnsi="Times New Roman" w:eastAsia="宋体" w:cs="Times New Roman"/>
                      <w:b w:val="0"/>
                      <w:bCs w:val="0"/>
                      <w:color w:val="00B050"/>
                      <w:kern w:val="0"/>
                      <w:sz w:val="21"/>
                      <w:szCs w:val="21"/>
                      <w:lang w:val="en-US" w:eastAsia="zh-CN"/>
                    </w:rPr>
                    <w:t>0.016L</w:t>
                  </w:r>
                </w:p>
              </w:tc>
              <w:tc>
                <w:tcPr>
                  <w:tcW w:w="1190" w:type="dxa"/>
                  <w:tcBorders>
                    <w:tl2br w:val="nil"/>
                    <w:tr2bl w:val="nil"/>
                  </w:tcBorders>
                  <w:noWrap w:val="0"/>
                  <w:vAlign w:val="center"/>
                </w:tcPr>
                <w:p w14:paraId="4940E510">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≤0.</w:t>
                  </w:r>
                  <w:r>
                    <w:rPr>
                      <w:rFonts w:hint="eastAsia" w:ascii="Times New Roman" w:hAnsi="Times New Roman" w:eastAsia="宋体" w:cs="Times New Roman"/>
                      <w:b w:val="0"/>
                      <w:bCs w:val="0"/>
                      <w:color w:val="00B050"/>
                      <w:kern w:val="2"/>
                      <w:sz w:val="21"/>
                      <w:szCs w:val="21"/>
                      <w:lang w:val="en-US" w:eastAsia="zh-CN" w:bidi="ar-SA"/>
                    </w:rPr>
                    <w:t>2</w:t>
                  </w:r>
                </w:p>
              </w:tc>
              <w:tc>
                <w:tcPr>
                  <w:tcW w:w="1051" w:type="dxa"/>
                  <w:tcBorders>
                    <w:tl2br w:val="nil"/>
                    <w:tr2bl w:val="nil"/>
                  </w:tcBorders>
                  <w:noWrap w:val="0"/>
                  <w:vAlign w:val="center"/>
                </w:tcPr>
                <w:p w14:paraId="68A2FD9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B050"/>
                      <w:kern w:val="2"/>
                      <w:sz w:val="21"/>
                      <w:szCs w:val="21"/>
                      <w:lang w:val="en-US" w:eastAsia="zh-CN" w:bidi="ar-SA"/>
                    </w:rPr>
                  </w:pPr>
                  <w:r>
                    <w:rPr>
                      <w:rFonts w:hint="eastAsia" w:ascii="Times New Roman" w:hAnsi="Times New Roman" w:eastAsia="宋体" w:cs="Times New Roman"/>
                      <w:b w:val="0"/>
                      <w:bCs w:val="0"/>
                      <w:color w:val="00B050"/>
                      <w:kern w:val="2"/>
                      <w:sz w:val="21"/>
                      <w:szCs w:val="21"/>
                      <w:lang w:val="en-US" w:eastAsia="zh-CN" w:bidi="ar-SA"/>
                    </w:rPr>
                    <w:t>/</w:t>
                  </w:r>
                </w:p>
              </w:tc>
              <w:tc>
                <w:tcPr>
                  <w:tcW w:w="992" w:type="dxa"/>
                  <w:tcBorders>
                    <w:tl2br w:val="nil"/>
                    <w:tr2bl w:val="nil"/>
                  </w:tcBorders>
                  <w:noWrap w:val="0"/>
                  <w:vAlign w:val="center"/>
                </w:tcPr>
                <w:p w14:paraId="6179FAF6">
                  <w:pPr>
                    <w:keepNext w:val="0"/>
                    <w:keepLines w:val="0"/>
                    <w:pageBreakBefore w:val="0"/>
                    <w:widowControl w:val="0"/>
                    <w:suppressLineNumbers w:val="0"/>
                    <w:kinsoku/>
                    <w:wordWrap/>
                    <w:overflowPunct/>
                    <w:topLinePunct/>
                    <w:autoSpaceDE/>
                    <w:autoSpaceDN/>
                    <w:bidi w:val="0"/>
                    <w:adjustRightInd w:val="0"/>
                    <w:snapToGrid w:val="0"/>
                    <w:spacing w:before="0" w:beforeAutospacing="0" w:after="12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B050"/>
                      <w:kern w:val="2"/>
                      <w:sz w:val="21"/>
                      <w:szCs w:val="21"/>
                      <w:lang w:val="en-US" w:eastAsia="zh-CN" w:bidi="ar-SA"/>
                    </w:rPr>
                  </w:pPr>
                  <w:r>
                    <w:rPr>
                      <w:rFonts w:hint="default" w:ascii="Times New Roman" w:hAnsi="Times New Roman" w:eastAsia="宋体" w:cs="Times New Roman"/>
                      <w:b w:val="0"/>
                      <w:bCs w:val="0"/>
                      <w:color w:val="00B050"/>
                      <w:kern w:val="2"/>
                      <w:sz w:val="21"/>
                      <w:szCs w:val="21"/>
                      <w:lang w:val="en-US" w:eastAsia="zh-CN" w:bidi="ar-SA"/>
                    </w:rPr>
                    <w:t>达标</w:t>
                  </w:r>
                </w:p>
              </w:tc>
            </w:tr>
          </w:tbl>
          <w:p w14:paraId="222CA7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atLeast"/>
              <w:ind w:left="0" w:right="0" w:firstLine="420"/>
              <w:textAlignment w:val="auto"/>
              <w:rPr>
                <w:rFonts w:hint="eastAsia" w:ascii="Times New Roman" w:hAnsi="Times New Roman" w:eastAsia="宋体" w:cs="Times New Roman"/>
                <w:bCs/>
                <w:color w:val="00B050"/>
                <w:kern w:val="2"/>
                <w:sz w:val="21"/>
                <w:szCs w:val="21"/>
                <w:lang w:val="zh-CN" w:eastAsia="zh-CN" w:bidi="ar"/>
              </w:rPr>
            </w:pPr>
            <w:r>
              <w:rPr>
                <w:rFonts w:hint="default" w:ascii="Times New Roman" w:hAnsi="Times New Roman" w:eastAsia="宋体" w:cs="Times New Roman"/>
                <w:bCs/>
                <w:color w:val="00B050"/>
                <w:kern w:val="2"/>
                <w:sz w:val="21"/>
                <w:szCs w:val="21"/>
                <w:lang w:val="en-US" w:eastAsia="zh-CN" w:bidi="ar"/>
              </w:rPr>
              <w:t>根据以上监测数据，曲江大河地表水质量能达到《地表水环境质量标准》（GB3838-2002）的III类标准</w:t>
            </w:r>
            <w:r>
              <w:rPr>
                <w:rFonts w:hint="eastAsia" w:ascii="Times New Roman" w:hAnsi="Times New Roman" w:eastAsia="宋体" w:cs="Times New Roman"/>
                <w:bCs/>
                <w:color w:val="00B050"/>
                <w:kern w:val="2"/>
                <w:sz w:val="21"/>
                <w:szCs w:val="21"/>
                <w:lang w:val="en-US" w:eastAsia="zh-CN" w:bidi="ar"/>
              </w:rPr>
              <w:t>。</w:t>
            </w:r>
          </w:p>
          <w:p w14:paraId="4E273F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atLeast"/>
              <w:ind w:left="0" w:righ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3、声环境</w:t>
            </w:r>
          </w:p>
          <w:p w14:paraId="2D49AC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atLeas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Cs/>
                <w:color w:val="000000" w:themeColor="text1"/>
                <w:kern w:val="2"/>
                <w:sz w:val="21"/>
                <w:szCs w:val="21"/>
                <w:lang w:val="en-US" w:eastAsia="zh-CN" w:bidi="ar"/>
              </w:rPr>
              <w:t>本项目位于</w:t>
            </w:r>
            <w:r>
              <w:rPr>
                <w:rFonts w:hint="default" w:ascii="Times New Roman" w:hAnsi="Times New Roman" w:eastAsia="宋体" w:cs="Times New Roman"/>
                <w:bCs/>
                <w:color w:val="000000" w:themeColor="text1"/>
                <w:kern w:val="2"/>
                <w:sz w:val="21"/>
                <w:szCs w:val="21"/>
                <w:lang w:val="zh-CN" w:eastAsia="zh-CN" w:bidi="ar"/>
              </w:rPr>
              <w:t>通海县五金机电特色园区里山片区</w:t>
            </w:r>
            <w:r>
              <w:rPr>
                <w:rFonts w:hint="default" w:ascii="Times New Roman" w:hAnsi="Times New Roman" w:eastAsia="宋体" w:cs="Times New Roman"/>
                <w:bCs/>
                <w:color w:val="000000" w:themeColor="text1"/>
                <w:kern w:val="2"/>
                <w:sz w:val="21"/>
                <w:szCs w:val="21"/>
                <w:lang w:val="en-US" w:eastAsia="zh-CN" w:bidi="ar"/>
              </w:rPr>
              <w:t>，项目所在区域声环境质量执行《声环境质量标准》（GB3096-2008）3类区域标准限值</w:t>
            </w:r>
            <w:r>
              <w:rPr>
                <w:rFonts w:hint="default" w:ascii="Times New Roman" w:hAnsi="Times New Roman" w:eastAsia="宋体" w:cs="Times New Roman"/>
                <w:color w:val="000000" w:themeColor="text1"/>
                <w:sz w:val="21"/>
                <w:szCs w:val="21"/>
              </w:rPr>
              <w:t>。</w:t>
            </w:r>
          </w:p>
          <w:p w14:paraId="5A360A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atLeas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根据《建设项目环境影响报告表编制技术指南》污染影响类（试行），项目厂界外周边50米范围内存在声环境保护目标的建设项目，应监测保护目标声环境质量环境现状并评价达标情况。本项目厂界周边50米范围内无声环境保护目标，故无需进行声环境质量现状监测。</w:t>
            </w:r>
          </w:p>
          <w:p w14:paraId="38388D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atLeast"/>
              <w:ind w:left="0" w:righ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4、生态环境</w:t>
            </w:r>
          </w:p>
          <w:p w14:paraId="60ADF5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atLeast"/>
              <w:ind w:left="0" w:right="0" w:firstLine="420" w:firstLineChars="200"/>
              <w:jc w:val="both"/>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Cs/>
                <w:color w:val="000000" w:themeColor="text1"/>
                <w:kern w:val="2"/>
                <w:sz w:val="21"/>
                <w:szCs w:val="21"/>
                <w:lang w:val="en-US" w:eastAsia="zh-CN" w:bidi="ar"/>
              </w:rPr>
              <w:t>项目厂址位于里山工业园区，根据现场踏勘，该工业园区已成为开发程度较高的工业聚集区，</w:t>
            </w:r>
            <w:r>
              <w:rPr>
                <w:rFonts w:hint="default" w:ascii="Times New Roman" w:hAnsi="Times New Roman" w:eastAsia="宋体" w:cs="Times New Roman"/>
                <w:color w:val="000000" w:themeColor="text1"/>
                <w:kern w:val="0"/>
                <w:sz w:val="21"/>
                <w:szCs w:val="21"/>
                <w:lang w:bidi="ar"/>
              </w:rPr>
              <w:t>项目区域内植物仅有杂草，</w:t>
            </w:r>
            <w:r>
              <w:rPr>
                <w:rFonts w:hint="default" w:ascii="Times New Roman" w:hAnsi="Times New Roman" w:eastAsia="宋体" w:cs="Times New Roman"/>
                <w:color w:val="000000" w:themeColor="text1"/>
                <w:sz w:val="21"/>
                <w:szCs w:val="21"/>
              </w:rPr>
              <w:t>地带性植被已不存在，生物多样性不丰富，</w:t>
            </w:r>
            <w:r>
              <w:rPr>
                <w:rFonts w:hint="eastAsia" w:ascii="Times New Roman" w:hAnsi="Times New Roman" w:eastAsia="宋体" w:cs="Times New Roman"/>
                <w:color w:val="000000" w:themeColor="text1"/>
                <w:sz w:val="21"/>
                <w:szCs w:val="21"/>
                <w:lang w:val="en-US" w:eastAsia="zh-CN"/>
              </w:rPr>
              <w:t>厂界500m范围</w:t>
            </w:r>
            <w:r>
              <w:rPr>
                <w:rFonts w:hint="default" w:ascii="Times New Roman" w:hAnsi="Times New Roman" w:eastAsia="宋体" w:cs="Times New Roman"/>
                <w:color w:val="000000" w:themeColor="text1"/>
                <w:sz w:val="21"/>
                <w:szCs w:val="21"/>
              </w:rPr>
              <w:t>内</w:t>
            </w:r>
            <w:r>
              <w:rPr>
                <w:rFonts w:hint="eastAsia" w:ascii="Times New Roman" w:hAnsi="Times New Roman" w:eastAsia="宋体" w:cs="Times New Roman"/>
                <w:color w:val="000000" w:themeColor="text1"/>
                <w:sz w:val="21"/>
                <w:szCs w:val="21"/>
                <w:lang w:val="en-US" w:eastAsia="zh-CN"/>
              </w:rPr>
              <w:t>生态环境一般</w:t>
            </w:r>
            <w:r>
              <w:rPr>
                <w:rFonts w:hint="default" w:ascii="Times New Roman" w:hAnsi="Times New Roman" w:eastAsia="宋体" w:cs="Times New Roman"/>
                <w:color w:val="000000" w:themeColor="text1"/>
                <w:sz w:val="21"/>
                <w:szCs w:val="21"/>
              </w:rPr>
              <w:t>。</w:t>
            </w:r>
          </w:p>
        </w:tc>
      </w:tr>
      <w:tr w14:paraId="71ED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noWrap w:val="0"/>
            <w:vAlign w:val="center"/>
          </w:tcPr>
          <w:p w14:paraId="6D52AC5E">
            <w:pPr>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环境保护目标</w:t>
            </w:r>
          </w:p>
        </w:tc>
        <w:tc>
          <w:tcPr>
            <w:tcW w:w="8268" w:type="dxa"/>
            <w:noWrap w:val="0"/>
            <w:vAlign w:val="top"/>
          </w:tcPr>
          <w:p w14:paraId="6EDF2A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1、大气环境保护目标</w:t>
            </w:r>
          </w:p>
          <w:p w14:paraId="6F22DA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根据《建设项目环境影响报告表编制技术指南（污染影响类）》（试行），确定本次大气环境评价范围主要为项目周边500m范围内的敏感点，根据现</w:t>
            </w:r>
            <w:r>
              <w:rPr>
                <w:rFonts w:hint="eastAsia" w:ascii="Times New Roman" w:hAnsi="Times New Roman" w:eastAsia="宋体" w:cs="Times New Roman"/>
                <w:color w:val="000000" w:themeColor="text1"/>
                <w:sz w:val="21"/>
                <w:szCs w:val="21"/>
                <w:lang w:val="en-US" w:eastAsia="zh-CN"/>
              </w:rPr>
              <w:t>场</w:t>
            </w:r>
            <w:r>
              <w:rPr>
                <w:rFonts w:hint="default" w:ascii="Times New Roman" w:hAnsi="Times New Roman" w:eastAsia="宋体" w:cs="Times New Roman"/>
                <w:color w:val="000000" w:themeColor="text1"/>
                <w:sz w:val="21"/>
                <w:szCs w:val="21"/>
              </w:rPr>
              <w:t>调查，</w:t>
            </w:r>
            <w:r>
              <w:rPr>
                <w:rFonts w:hint="eastAsia" w:ascii="Times New Roman" w:hAnsi="Times New Roman" w:eastAsia="宋体" w:cs="Times New Roman"/>
                <w:color w:val="000000" w:themeColor="text1"/>
                <w:sz w:val="21"/>
                <w:szCs w:val="21"/>
                <w:lang w:val="en-US" w:eastAsia="zh-CN"/>
              </w:rPr>
              <w:t>敏感点为</w:t>
            </w:r>
            <w:r>
              <w:rPr>
                <w:rFonts w:hint="default" w:ascii="Times New Roman" w:hAnsi="Times New Roman" w:eastAsia="宋体" w:cs="Times New Roman"/>
                <w:color w:val="000000" w:themeColor="text1"/>
                <w:sz w:val="21"/>
                <w:szCs w:val="21"/>
              </w:rPr>
              <w:t>西北侧</w:t>
            </w:r>
            <w:r>
              <w:rPr>
                <w:rFonts w:hint="eastAsia" w:ascii="Times New Roman" w:hAnsi="Times New Roman" w:eastAsia="宋体" w:cs="Times New Roman"/>
                <w:color w:val="000000" w:themeColor="text1"/>
                <w:sz w:val="21"/>
                <w:szCs w:val="21"/>
                <w:lang w:val="en-US" w:eastAsia="zh-CN"/>
              </w:rPr>
              <w:t>270</w:t>
            </w:r>
            <w:r>
              <w:rPr>
                <w:rFonts w:hint="default" w:ascii="Times New Roman" w:hAnsi="Times New Roman" w:eastAsia="宋体" w:cs="Times New Roman"/>
                <w:color w:val="000000" w:themeColor="text1"/>
                <w:sz w:val="21"/>
                <w:szCs w:val="21"/>
              </w:rPr>
              <w:t>m处的</w:t>
            </w:r>
            <w:r>
              <w:rPr>
                <w:rFonts w:hint="eastAsia" w:ascii="Times New Roman" w:hAnsi="Times New Roman" w:eastAsia="宋体" w:cs="Times New Roman"/>
                <w:color w:val="000000" w:themeColor="text1"/>
                <w:sz w:val="21"/>
                <w:szCs w:val="21"/>
                <w:lang w:val="en-US" w:eastAsia="zh-CN"/>
              </w:rPr>
              <w:t>落江冲散户；按</w:t>
            </w:r>
            <w:r>
              <w:rPr>
                <w:rFonts w:hint="default" w:ascii="Times New Roman" w:hAnsi="Times New Roman" w:eastAsia="宋体" w:cs="Times New Roman"/>
                <w:color w:val="000000" w:themeColor="text1"/>
                <w:sz w:val="21"/>
                <w:szCs w:val="21"/>
              </w:rPr>
              <w:t>《环境空气质量标准》（GB3095-2012）及2018年修改单中的二级标准</w:t>
            </w:r>
            <w:r>
              <w:rPr>
                <w:rFonts w:hint="eastAsia" w:ascii="Times New Roman" w:hAnsi="Times New Roman" w:eastAsia="宋体" w:cs="Times New Roman"/>
                <w:color w:val="000000" w:themeColor="text1"/>
                <w:sz w:val="21"/>
                <w:szCs w:val="21"/>
                <w:lang w:val="en-US" w:eastAsia="zh-CN"/>
              </w:rPr>
              <w:t>保护。</w:t>
            </w:r>
          </w:p>
          <w:p w14:paraId="1A4C9F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2、声环境保护目标</w:t>
            </w:r>
          </w:p>
          <w:p w14:paraId="07CA0F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根据《建设项目环境影响报告表编制技术指南（污染影响类）》（试行），确定本次</w:t>
            </w:r>
            <w:r>
              <w:rPr>
                <w:rFonts w:hint="eastAsia" w:ascii="Times New Roman" w:hAnsi="Times New Roman" w:eastAsia="宋体" w:cs="Times New Roman"/>
                <w:color w:val="000000" w:themeColor="text1"/>
                <w:sz w:val="21"/>
                <w:szCs w:val="21"/>
                <w:lang w:val="en-US" w:eastAsia="zh-CN"/>
              </w:rPr>
              <w:t>声</w:t>
            </w:r>
            <w:r>
              <w:rPr>
                <w:rFonts w:hint="default" w:ascii="Times New Roman" w:hAnsi="Times New Roman" w:eastAsia="宋体" w:cs="Times New Roman"/>
                <w:color w:val="000000" w:themeColor="text1"/>
                <w:sz w:val="21"/>
                <w:szCs w:val="21"/>
              </w:rPr>
              <w:t>环境评价范围主要为项目周边50m范围内的敏感点，项目厂界外50米无声环境保护目标。</w:t>
            </w:r>
          </w:p>
          <w:p w14:paraId="450F93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3、地表水保护目标</w:t>
            </w:r>
          </w:p>
          <w:p w14:paraId="0D416D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本项目地表水环境保护目标为里山大沟，地表水水质执行《地表水环境质量标准》（GB3838-2002）III类标准要求。</w:t>
            </w:r>
          </w:p>
          <w:p w14:paraId="52E4E9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项目保护目标见下表3-</w:t>
            </w:r>
            <w:r>
              <w:rPr>
                <w:rFonts w:hint="eastAsia" w:cs="Times New Roman"/>
                <w:color w:val="000000" w:themeColor="text1"/>
                <w:sz w:val="21"/>
                <w:szCs w:val="21"/>
                <w:lang w:val="en-US" w:eastAsia="zh-CN"/>
              </w:rPr>
              <w:t>5</w:t>
            </w:r>
            <w:r>
              <w:rPr>
                <w:rFonts w:hint="default" w:ascii="Times New Roman" w:hAnsi="Times New Roman" w:eastAsia="宋体" w:cs="Times New Roman"/>
                <w:color w:val="000000" w:themeColor="text1"/>
                <w:sz w:val="21"/>
                <w:szCs w:val="21"/>
              </w:rPr>
              <w:t>。</w:t>
            </w:r>
          </w:p>
          <w:p w14:paraId="1F2719E8">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表3-</w:t>
            </w:r>
            <w:r>
              <w:rPr>
                <w:rFonts w:hint="eastAsia" w:cs="Times New Roman"/>
                <w:color w:val="000000" w:themeColor="text1"/>
                <w:sz w:val="21"/>
                <w:szCs w:val="21"/>
                <w:lang w:val="en-US" w:eastAsia="zh-CN"/>
              </w:rPr>
              <w:t>5</w:t>
            </w:r>
            <w:r>
              <w:rPr>
                <w:rFonts w:hint="default" w:ascii="Times New Roman" w:hAnsi="Times New Roman" w:eastAsia="宋体" w:cs="Times New Roman"/>
                <w:color w:val="000000" w:themeColor="text1"/>
                <w:sz w:val="21"/>
                <w:szCs w:val="21"/>
              </w:rPr>
              <w:t xml:space="preserve">  项目环境地表水保护目标表</w:t>
            </w:r>
          </w:p>
          <w:tbl>
            <w:tblPr>
              <w:tblStyle w:val="43"/>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071"/>
              <w:gridCol w:w="744"/>
              <w:gridCol w:w="1236"/>
              <w:gridCol w:w="1380"/>
              <w:gridCol w:w="2797"/>
            </w:tblGrid>
            <w:tr w14:paraId="765EB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99" w:type="pct"/>
                  <w:noWrap w:val="0"/>
                  <w:vAlign w:val="center"/>
                </w:tcPr>
                <w:p w14:paraId="59D97D23">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环境要素</w:t>
                  </w:r>
                </w:p>
              </w:tc>
              <w:tc>
                <w:tcPr>
                  <w:tcW w:w="666" w:type="pct"/>
                  <w:noWrap w:val="0"/>
                  <w:vAlign w:val="center"/>
                </w:tcPr>
                <w:p w14:paraId="195BEA7B">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敏感点</w:t>
                  </w:r>
                </w:p>
              </w:tc>
              <w:tc>
                <w:tcPr>
                  <w:tcW w:w="463" w:type="pct"/>
                  <w:noWrap w:val="0"/>
                  <w:vAlign w:val="center"/>
                </w:tcPr>
                <w:p w14:paraId="6905029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方位</w:t>
                  </w:r>
                </w:p>
              </w:tc>
              <w:tc>
                <w:tcPr>
                  <w:tcW w:w="769" w:type="pct"/>
                  <w:noWrap w:val="0"/>
                  <w:vAlign w:val="center"/>
                </w:tcPr>
                <w:p w14:paraId="1FF9392B">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厂界距离</w:t>
                  </w:r>
                </w:p>
              </w:tc>
              <w:tc>
                <w:tcPr>
                  <w:tcW w:w="859" w:type="pct"/>
                  <w:noWrap w:val="0"/>
                  <w:vAlign w:val="center"/>
                </w:tcPr>
                <w:p w14:paraId="6C3ECB78">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eastAsia" w:ascii="Times New Roman" w:hAnsi="Times New Roman" w:eastAsia="宋体" w:cs="Times New Roman"/>
                      <w:b/>
                      <w:bCs/>
                      <w:color w:val="000000" w:themeColor="text1"/>
                      <w:sz w:val="21"/>
                      <w:szCs w:val="21"/>
                      <w:lang w:val="en-US" w:eastAsia="zh-CN"/>
                    </w:rPr>
                  </w:pPr>
                  <w:r>
                    <w:rPr>
                      <w:rFonts w:hint="default" w:ascii="Times New Roman" w:hAnsi="Times New Roman" w:eastAsia="宋体" w:cs="Times New Roman"/>
                      <w:b/>
                      <w:bCs/>
                      <w:color w:val="000000" w:themeColor="text1"/>
                      <w:sz w:val="21"/>
                      <w:szCs w:val="21"/>
                    </w:rPr>
                    <w:t>规模</w:t>
                  </w:r>
                  <w:r>
                    <w:rPr>
                      <w:rFonts w:hint="eastAsia" w:cs="Times New Roman"/>
                      <w:b/>
                      <w:bCs/>
                      <w:color w:val="000000" w:themeColor="text1"/>
                      <w:sz w:val="21"/>
                      <w:szCs w:val="21"/>
                      <w:lang w:val="en-US" w:eastAsia="zh-CN"/>
                    </w:rPr>
                    <w:t>/保护目标</w:t>
                  </w:r>
                </w:p>
              </w:tc>
              <w:tc>
                <w:tcPr>
                  <w:tcW w:w="1741" w:type="pct"/>
                  <w:noWrap w:val="0"/>
                  <w:vAlign w:val="center"/>
                </w:tcPr>
                <w:p w14:paraId="4FAB9EC2">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保护级别</w:t>
                  </w:r>
                </w:p>
              </w:tc>
            </w:tr>
            <w:tr w14:paraId="7EEAC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9" w:type="pct"/>
                  <w:noWrap w:val="0"/>
                  <w:vAlign w:val="center"/>
                </w:tcPr>
                <w:p w14:paraId="4981A55D">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eastAsia" w:ascii="Times New Roman" w:hAnsi="Times New Roman" w:eastAsia="宋体" w:cs="Times New Roman"/>
                      <w:color w:val="000000" w:themeColor="text1"/>
                      <w:sz w:val="21"/>
                      <w:szCs w:val="21"/>
                      <w:lang w:val="en-US" w:eastAsia="zh-CN"/>
                    </w:rPr>
                  </w:pPr>
                  <w:r>
                    <w:rPr>
                      <w:rFonts w:hint="eastAsia" w:eastAsia="宋体" w:cs="Times New Roman"/>
                      <w:color w:val="000000" w:themeColor="text1"/>
                      <w:sz w:val="21"/>
                      <w:szCs w:val="21"/>
                      <w:lang w:val="en-US" w:eastAsia="zh-CN"/>
                    </w:rPr>
                    <w:t>大气环境</w:t>
                  </w:r>
                </w:p>
              </w:tc>
              <w:tc>
                <w:tcPr>
                  <w:tcW w:w="666" w:type="pct"/>
                  <w:noWrap w:val="0"/>
                  <w:vAlign w:val="center"/>
                </w:tcPr>
                <w:p w14:paraId="20FD5BFB">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eastAsia" w:eastAsia="宋体" w:cs="Times New Roman"/>
                      <w:color w:val="000000" w:themeColor="text1"/>
                      <w:sz w:val="21"/>
                      <w:szCs w:val="21"/>
                      <w:lang w:val="en-US" w:eastAsia="zh-CN"/>
                    </w:rPr>
                  </w:pPr>
                  <w:r>
                    <w:rPr>
                      <w:rFonts w:hint="eastAsia" w:eastAsia="宋体" w:cs="Times New Roman"/>
                      <w:color w:val="000000" w:themeColor="text1"/>
                      <w:sz w:val="21"/>
                      <w:szCs w:val="21"/>
                      <w:lang w:val="en-US" w:eastAsia="zh-CN"/>
                    </w:rPr>
                    <w:t>落江冲</w:t>
                  </w:r>
                </w:p>
                <w:p w14:paraId="627EE601">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default" w:ascii="Times New Roman" w:hAnsi="Times New Roman" w:eastAsia="宋体" w:cs="Times New Roman"/>
                      <w:color w:val="000000" w:themeColor="text1"/>
                      <w:sz w:val="21"/>
                      <w:szCs w:val="21"/>
                      <w:lang w:val="en-US" w:eastAsia="zh-CN"/>
                    </w:rPr>
                  </w:pPr>
                  <w:r>
                    <w:rPr>
                      <w:rFonts w:hint="eastAsia" w:eastAsia="宋体" w:cs="Times New Roman"/>
                      <w:color w:val="000000" w:themeColor="text1"/>
                      <w:sz w:val="21"/>
                      <w:szCs w:val="21"/>
                      <w:lang w:val="en-US" w:eastAsia="zh-CN"/>
                    </w:rPr>
                    <w:t>散户</w:t>
                  </w:r>
                </w:p>
              </w:tc>
              <w:tc>
                <w:tcPr>
                  <w:tcW w:w="463" w:type="pct"/>
                  <w:noWrap w:val="0"/>
                  <w:vAlign w:val="center"/>
                </w:tcPr>
                <w:p w14:paraId="4978BB8C">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eastAsia" w:ascii="Times New Roman" w:hAnsi="Times New Roman" w:eastAsia="宋体" w:cs="Times New Roman"/>
                      <w:color w:val="000000" w:themeColor="text1"/>
                      <w:sz w:val="21"/>
                      <w:szCs w:val="21"/>
                      <w:lang w:val="en-US" w:eastAsia="zh-CN"/>
                    </w:rPr>
                  </w:pPr>
                  <w:r>
                    <w:rPr>
                      <w:rFonts w:hint="eastAsia" w:eastAsia="宋体" w:cs="Times New Roman"/>
                      <w:color w:val="000000" w:themeColor="text1"/>
                      <w:sz w:val="21"/>
                      <w:szCs w:val="21"/>
                      <w:lang w:val="en-US" w:eastAsia="zh-CN"/>
                    </w:rPr>
                    <w:t>西北</w:t>
                  </w:r>
                </w:p>
              </w:tc>
              <w:tc>
                <w:tcPr>
                  <w:tcW w:w="769" w:type="pct"/>
                  <w:noWrap w:val="0"/>
                  <w:vAlign w:val="center"/>
                </w:tcPr>
                <w:p w14:paraId="07D59422">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default" w:ascii="Times New Roman" w:hAnsi="Times New Roman" w:eastAsia="宋体" w:cs="Times New Roman"/>
                      <w:color w:val="000000" w:themeColor="text1"/>
                      <w:sz w:val="21"/>
                      <w:szCs w:val="21"/>
                      <w:lang w:val="en-US" w:eastAsia="zh-CN"/>
                    </w:rPr>
                  </w:pPr>
                  <w:r>
                    <w:rPr>
                      <w:rFonts w:hint="eastAsia" w:eastAsia="宋体" w:cs="Times New Roman"/>
                      <w:color w:val="000000" w:themeColor="text1"/>
                      <w:sz w:val="21"/>
                      <w:szCs w:val="21"/>
                      <w:lang w:val="en-US" w:eastAsia="zh-CN"/>
                    </w:rPr>
                    <w:t>270</w:t>
                  </w:r>
                </w:p>
              </w:tc>
              <w:tc>
                <w:tcPr>
                  <w:tcW w:w="859" w:type="pct"/>
                  <w:noWrap w:val="0"/>
                  <w:vAlign w:val="center"/>
                </w:tcPr>
                <w:p w14:paraId="6BAABAC1">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default" w:ascii="Times New Roman" w:hAnsi="Times New Roman" w:eastAsia="宋体" w:cs="Times New Roman"/>
                      <w:color w:val="000000" w:themeColor="text1"/>
                      <w:sz w:val="21"/>
                      <w:szCs w:val="21"/>
                      <w:lang w:val="en-US" w:eastAsia="zh-CN"/>
                    </w:rPr>
                  </w:pPr>
                  <w:r>
                    <w:rPr>
                      <w:rFonts w:hint="eastAsia" w:eastAsia="宋体" w:cs="Times New Roman"/>
                      <w:color w:val="000000" w:themeColor="text1"/>
                      <w:sz w:val="21"/>
                      <w:szCs w:val="21"/>
                      <w:lang w:val="en-US" w:eastAsia="zh-CN"/>
                    </w:rPr>
                    <w:t>居民，216人</w:t>
                  </w:r>
                </w:p>
              </w:tc>
              <w:tc>
                <w:tcPr>
                  <w:tcW w:w="1741" w:type="pct"/>
                  <w:noWrap w:val="0"/>
                  <w:vAlign w:val="center"/>
                </w:tcPr>
                <w:p w14:paraId="6AEC5001">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《环境空气质量标准》（GB3095-2012）及2018年修改单中的二级标准</w:t>
                  </w:r>
                </w:p>
              </w:tc>
            </w:tr>
            <w:tr w14:paraId="133FC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9" w:type="pct"/>
                  <w:noWrap w:val="0"/>
                  <w:vAlign w:val="center"/>
                </w:tcPr>
                <w:p w14:paraId="228CFEF1">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地表水</w:t>
                  </w:r>
                </w:p>
              </w:tc>
              <w:tc>
                <w:tcPr>
                  <w:tcW w:w="666" w:type="pct"/>
                  <w:noWrap w:val="0"/>
                  <w:vAlign w:val="center"/>
                </w:tcPr>
                <w:p w14:paraId="42CC00FD">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eastAsia" w:ascii="Times New Roman" w:hAnsi="Times New Roman" w:eastAsia="宋体" w:cs="Times New Roman"/>
                      <w:color w:val="000000" w:themeColor="text1"/>
                      <w:sz w:val="21"/>
                      <w:szCs w:val="21"/>
                      <w:lang w:val="en-US" w:eastAsia="zh-CN"/>
                    </w:rPr>
                  </w:pPr>
                  <w:r>
                    <w:rPr>
                      <w:rFonts w:hint="eastAsia" w:eastAsia="宋体" w:cs="Times New Roman"/>
                      <w:color w:val="000000" w:themeColor="text1"/>
                      <w:sz w:val="21"/>
                      <w:szCs w:val="21"/>
                      <w:lang w:val="en-US" w:eastAsia="zh-CN"/>
                    </w:rPr>
                    <w:t>里山大沟</w:t>
                  </w:r>
                </w:p>
              </w:tc>
              <w:tc>
                <w:tcPr>
                  <w:tcW w:w="463" w:type="pct"/>
                  <w:noWrap w:val="0"/>
                  <w:vAlign w:val="center"/>
                </w:tcPr>
                <w:p w14:paraId="550DF00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default" w:ascii="Times New Roman" w:hAnsi="Times New Roman" w:eastAsia="宋体" w:cs="Times New Roman"/>
                      <w:color w:val="000000" w:themeColor="text1"/>
                      <w:sz w:val="21"/>
                      <w:szCs w:val="21"/>
                    </w:rPr>
                  </w:pPr>
                  <w:r>
                    <w:rPr>
                      <w:rFonts w:hint="eastAsia" w:eastAsia="宋体" w:cs="Times New Roman"/>
                      <w:color w:val="000000" w:themeColor="text1"/>
                      <w:sz w:val="21"/>
                      <w:szCs w:val="21"/>
                      <w:lang w:val="en-US" w:eastAsia="zh-CN"/>
                    </w:rPr>
                    <w:t>北</w:t>
                  </w:r>
                  <w:r>
                    <w:rPr>
                      <w:rFonts w:hint="default" w:ascii="Times New Roman" w:hAnsi="Times New Roman" w:eastAsia="宋体" w:cs="Times New Roman"/>
                      <w:color w:val="000000" w:themeColor="text1"/>
                      <w:sz w:val="21"/>
                      <w:szCs w:val="21"/>
                    </w:rPr>
                    <w:t>面</w:t>
                  </w:r>
                </w:p>
              </w:tc>
              <w:tc>
                <w:tcPr>
                  <w:tcW w:w="769" w:type="pct"/>
                  <w:noWrap w:val="0"/>
                  <w:vAlign w:val="center"/>
                </w:tcPr>
                <w:p w14:paraId="7C4B8946">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default" w:ascii="Times New Roman" w:hAnsi="Times New Roman" w:eastAsia="宋体" w:cs="Times New Roman"/>
                      <w:color w:val="000000" w:themeColor="text1"/>
                      <w:sz w:val="21"/>
                      <w:szCs w:val="21"/>
                    </w:rPr>
                  </w:pPr>
                  <w:r>
                    <w:rPr>
                      <w:rFonts w:hint="eastAsia" w:eastAsia="宋体" w:cs="Times New Roman"/>
                      <w:color w:val="000000" w:themeColor="text1"/>
                      <w:sz w:val="21"/>
                      <w:szCs w:val="21"/>
                      <w:lang w:val="en-US" w:eastAsia="zh-CN"/>
                    </w:rPr>
                    <w:t>165</w:t>
                  </w:r>
                  <w:r>
                    <w:rPr>
                      <w:rFonts w:hint="default" w:ascii="Times New Roman" w:hAnsi="Times New Roman" w:eastAsia="宋体" w:cs="Times New Roman"/>
                      <w:color w:val="000000" w:themeColor="text1"/>
                      <w:sz w:val="21"/>
                      <w:szCs w:val="21"/>
                    </w:rPr>
                    <w:t>m</w:t>
                  </w:r>
                </w:p>
              </w:tc>
              <w:tc>
                <w:tcPr>
                  <w:tcW w:w="859" w:type="pct"/>
                  <w:noWrap w:val="0"/>
                  <w:vAlign w:val="center"/>
                </w:tcPr>
                <w:p w14:paraId="0BD552A1">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农灌及一般景观用水</w:t>
                  </w:r>
                </w:p>
              </w:tc>
              <w:tc>
                <w:tcPr>
                  <w:tcW w:w="1741" w:type="pct"/>
                  <w:noWrap w:val="0"/>
                  <w:vAlign w:val="center"/>
                </w:tcPr>
                <w:p w14:paraId="4D3B5D5A">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《地表水环境质量标准》（GB3838-2002）</w:t>
                  </w:r>
                </w:p>
                <w:p w14:paraId="49341707">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Ⅲ类标准限值</w:t>
                  </w:r>
                </w:p>
              </w:tc>
            </w:tr>
          </w:tbl>
          <w:p w14:paraId="01D11D1E">
            <w:pPr>
              <w:keepNext w:val="0"/>
              <w:keepLines w:val="0"/>
              <w:suppressLineNumbers w:val="0"/>
              <w:adjustRightInd w:val="0"/>
              <w:snapToGrid w:val="0"/>
              <w:spacing w:before="0" w:beforeAutospacing="0" w:after="0" w:afterAutospacing="0"/>
              <w:ind w:left="0" w:right="0" w:firstLine="420"/>
              <w:rPr>
                <w:rFonts w:hint="default" w:ascii="Times New Roman" w:hAnsi="Times New Roman" w:eastAsia="宋体" w:cs="Times New Roman"/>
                <w:color w:val="000000" w:themeColor="text1"/>
                <w:sz w:val="21"/>
                <w:szCs w:val="21"/>
              </w:rPr>
            </w:pPr>
          </w:p>
        </w:tc>
      </w:tr>
      <w:tr w14:paraId="5062B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noWrap w:val="0"/>
            <w:vAlign w:val="center"/>
          </w:tcPr>
          <w:p w14:paraId="3CC807AB">
            <w:pPr>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污染物排放控制标准</w:t>
            </w:r>
          </w:p>
        </w:tc>
        <w:tc>
          <w:tcPr>
            <w:tcW w:w="8268" w:type="dxa"/>
            <w:noWrap w:val="0"/>
            <w:vAlign w:val="center"/>
          </w:tcPr>
          <w:p w14:paraId="4586BA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1、施工期污染物排放标准</w:t>
            </w:r>
          </w:p>
          <w:p w14:paraId="391916D0">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（1）施工期废气</w:t>
            </w:r>
          </w:p>
          <w:p w14:paraId="1725A4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施工期粉尘执行《大气污染物综合排放标准》（GB16297-1996）表2新污染源大气污染物排放限值中无组织排放浓度监控限值。具体标准限值见下表。</w:t>
            </w:r>
          </w:p>
          <w:p w14:paraId="086E90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表3-</w:t>
            </w:r>
            <w:r>
              <w:rPr>
                <w:rFonts w:hint="eastAsia" w:cs="Times New Roman"/>
                <w:b/>
                <w:bCs/>
                <w:color w:val="000000" w:themeColor="text1"/>
                <w:sz w:val="21"/>
                <w:szCs w:val="21"/>
                <w:lang w:val="en-US" w:eastAsia="zh-CN"/>
              </w:rPr>
              <w:t>6</w:t>
            </w:r>
            <w:r>
              <w:rPr>
                <w:rFonts w:hint="default" w:ascii="Times New Roman" w:hAnsi="Times New Roman" w:eastAsia="宋体" w:cs="Times New Roman"/>
                <w:b/>
                <w:bCs/>
                <w:color w:val="000000" w:themeColor="text1"/>
                <w:sz w:val="21"/>
                <w:szCs w:val="21"/>
              </w:rPr>
              <w:t xml:space="preserve">  大气污染物无组织排放标准限值一览表  单位：mg/m</w:t>
            </w:r>
            <w:r>
              <w:rPr>
                <w:rFonts w:hint="default" w:ascii="Times New Roman" w:hAnsi="Times New Roman" w:eastAsia="宋体" w:cs="Times New Roman"/>
                <w:b/>
                <w:bCs/>
                <w:color w:val="000000" w:themeColor="text1"/>
                <w:sz w:val="21"/>
                <w:szCs w:val="21"/>
                <w:vertAlign w:val="superscript"/>
              </w:rPr>
              <w:t>3</w:t>
            </w:r>
          </w:p>
          <w:tbl>
            <w:tblPr>
              <w:tblStyle w:val="43"/>
              <w:tblW w:w="797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842"/>
              <w:gridCol w:w="5137"/>
            </w:tblGrid>
            <w:tr w14:paraId="3246A1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42" w:type="dxa"/>
                  <w:tcBorders>
                    <w:top w:val="single" w:color="auto" w:sz="4" w:space="0"/>
                    <w:left w:val="single" w:color="auto" w:sz="6" w:space="0"/>
                    <w:bottom w:val="single" w:color="auto" w:sz="4" w:space="0"/>
                    <w:right w:val="single" w:color="auto" w:sz="6" w:space="0"/>
                  </w:tcBorders>
                  <w:noWrap w:val="0"/>
                  <w:vAlign w:val="center"/>
                </w:tcPr>
                <w:p w14:paraId="195054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污染物名称</w:t>
                  </w:r>
                </w:p>
              </w:tc>
              <w:tc>
                <w:tcPr>
                  <w:tcW w:w="5137" w:type="dxa"/>
                  <w:tcBorders>
                    <w:top w:val="single" w:color="auto" w:sz="6" w:space="0"/>
                    <w:left w:val="nil"/>
                    <w:bottom w:val="single" w:color="auto" w:sz="6" w:space="0"/>
                    <w:right w:val="single" w:color="auto" w:sz="4" w:space="0"/>
                  </w:tcBorders>
                  <w:noWrap w:val="0"/>
                  <w:vAlign w:val="center"/>
                </w:tcPr>
                <w:p w14:paraId="12034D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周界外浓度最高点无组织排放标准限值</w:t>
                  </w:r>
                </w:p>
              </w:tc>
            </w:tr>
            <w:tr w14:paraId="79B8C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42" w:type="dxa"/>
                  <w:tcBorders>
                    <w:top w:val="single" w:color="auto" w:sz="4" w:space="0"/>
                    <w:left w:val="single" w:color="auto" w:sz="6" w:space="0"/>
                    <w:bottom w:val="single" w:color="auto" w:sz="4" w:space="0"/>
                    <w:right w:val="single" w:color="auto" w:sz="6" w:space="0"/>
                  </w:tcBorders>
                  <w:noWrap w:val="0"/>
                  <w:vAlign w:val="center"/>
                </w:tcPr>
                <w:p w14:paraId="08D6EA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颗粒物</w:t>
                  </w:r>
                </w:p>
              </w:tc>
              <w:tc>
                <w:tcPr>
                  <w:tcW w:w="5137" w:type="dxa"/>
                  <w:tcBorders>
                    <w:top w:val="single" w:color="auto" w:sz="6" w:space="0"/>
                    <w:left w:val="nil"/>
                    <w:bottom w:val="single" w:color="auto" w:sz="6" w:space="0"/>
                    <w:right w:val="single" w:color="auto" w:sz="4" w:space="0"/>
                  </w:tcBorders>
                  <w:noWrap w:val="0"/>
                  <w:vAlign w:val="center"/>
                </w:tcPr>
                <w:p w14:paraId="7893BF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w:t>
                  </w:r>
                </w:p>
              </w:tc>
            </w:tr>
          </w:tbl>
          <w:p w14:paraId="62879149">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（2）施工期废水</w:t>
            </w:r>
          </w:p>
          <w:p w14:paraId="4531D4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color w:val="000000" w:themeColor="text1"/>
                <w:sz w:val="21"/>
                <w:szCs w:val="21"/>
              </w:rPr>
            </w:pPr>
            <w:r>
              <w:rPr>
                <w:rFonts w:hint="default" w:ascii="宋体" w:hAnsi="宋体" w:eastAsia="宋体" w:cs="宋体"/>
                <w:color w:val="000000" w:themeColor="text1"/>
                <w:sz w:val="21"/>
                <w:szCs w:val="21"/>
              </w:rPr>
              <w:t>本项目施工期废水经过沉淀处理后回用于施工过程，不外排</w:t>
            </w:r>
            <w:r>
              <w:rPr>
                <w:rFonts w:hint="default" w:ascii="Times New Roman" w:hAnsi="Times New Roman" w:eastAsia="宋体" w:cs="Times New Roman"/>
                <w:color w:val="000000" w:themeColor="text1"/>
                <w:sz w:val="21"/>
                <w:szCs w:val="21"/>
              </w:rPr>
              <w:t>，不设置排放标准。</w:t>
            </w:r>
          </w:p>
          <w:p w14:paraId="0BBA30FF">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（3）施工期噪声</w:t>
            </w:r>
          </w:p>
          <w:p w14:paraId="66C83CCA">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施工期噪声排放执行《建筑施工场界环境噪声排放标准》（GB12523-2011）。</w:t>
            </w:r>
          </w:p>
          <w:p w14:paraId="55BB09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表3-</w:t>
            </w:r>
            <w:r>
              <w:rPr>
                <w:rFonts w:hint="eastAsia" w:cs="Times New Roman"/>
                <w:b/>
                <w:bCs/>
                <w:color w:val="000000" w:themeColor="text1"/>
                <w:sz w:val="21"/>
                <w:szCs w:val="21"/>
                <w:lang w:val="en-US" w:eastAsia="zh-CN"/>
              </w:rPr>
              <w:t>7</w:t>
            </w:r>
            <w:r>
              <w:rPr>
                <w:rFonts w:hint="default" w:ascii="Times New Roman" w:hAnsi="Times New Roman" w:eastAsia="宋体" w:cs="Times New Roman"/>
                <w:b/>
                <w:bCs/>
                <w:color w:val="000000" w:themeColor="text1"/>
                <w:sz w:val="21"/>
                <w:szCs w:val="21"/>
              </w:rPr>
              <w:t xml:space="preserve">  《建筑施工场界环境噪声排放标准》标准限值（摘录）</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8"/>
              <w:gridCol w:w="2658"/>
              <w:gridCol w:w="2658"/>
            </w:tblGrid>
            <w:tr w14:paraId="352F2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8" w:type="dxa"/>
                  <w:noWrap w:val="0"/>
                  <w:vAlign w:val="center"/>
                </w:tcPr>
                <w:p w14:paraId="1B97FD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kern w:val="0"/>
                      <w:sz w:val="21"/>
                      <w:szCs w:val="21"/>
                    </w:rPr>
                  </w:pPr>
                  <w:r>
                    <w:rPr>
                      <w:rFonts w:hint="default" w:ascii="Times New Roman" w:hAnsi="Times New Roman" w:eastAsia="宋体" w:cs="Times New Roman"/>
                      <w:b/>
                      <w:bCs/>
                      <w:color w:val="000000" w:themeColor="text1"/>
                      <w:kern w:val="0"/>
                      <w:sz w:val="21"/>
                      <w:szCs w:val="21"/>
                    </w:rPr>
                    <w:t>施工时段</w:t>
                  </w:r>
                </w:p>
              </w:tc>
              <w:tc>
                <w:tcPr>
                  <w:tcW w:w="2658" w:type="dxa"/>
                  <w:noWrap w:val="0"/>
                  <w:vAlign w:val="center"/>
                </w:tcPr>
                <w:p w14:paraId="1F616E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kern w:val="0"/>
                      <w:sz w:val="21"/>
                      <w:szCs w:val="21"/>
                    </w:rPr>
                  </w:pPr>
                  <w:r>
                    <w:rPr>
                      <w:rFonts w:hint="default" w:ascii="Times New Roman" w:hAnsi="Times New Roman" w:eastAsia="宋体" w:cs="Times New Roman"/>
                      <w:b/>
                      <w:bCs/>
                      <w:color w:val="000000" w:themeColor="text1"/>
                      <w:kern w:val="0"/>
                      <w:sz w:val="21"/>
                      <w:szCs w:val="21"/>
                    </w:rPr>
                    <w:t>昼间</w:t>
                  </w:r>
                </w:p>
              </w:tc>
              <w:tc>
                <w:tcPr>
                  <w:tcW w:w="2658" w:type="dxa"/>
                  <w:noWrap w:val="0"/>
                  <w:vAlign w:val="center"/>
                </w:tcPr>
                <w:p w14:paraId="3445D8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kern w:val="0"/>
                      <w:sz w:val="21"/>
                      <w:szCs w:val="21"/>
                    </w:rPr>
                  </w:pPr>
                  <w:r>
                    <w:rPr>
                      <w:rFonts w:hint="default" w:ascii="Times New Roman" w:hAnsi="Times New Roman" w:eastAsia="宋体" w:cs="Times New Roman"/>
                      <w:b/>
                      <w:bCs/>
                      <w:color w:val="000000" w:themeColor="text1"/>
                      <w:kern w:val="0"/>
                      <w:sz w:val="21"/>
                      <w:szCs w:val="21"/>
                    </w:rPr>
                    <w:t>夜间</w:t>
                  </w:r>
                </w:p>
              </w:tc>
            </w:tr>
            <w:tr w14:paraId="594B9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8" w:type="dxa"/>
                  <w:noWrap w:val="0"/>
                  <w:vAlign w:val="center"/>
                </w:tcPr>
                <w:p w14:paraId="022440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标准值</w:t>
                  </w:r>
                </w:p>
              </w:tc>
              <w:tc>
                <w:tcPr>
                  <w:tcW w:w="2658" w:type="dxa"/>
                  <w:noWrap w:val="0"/>
                  <w:vAlign w:val="center"/>
                </w:tcPr>
                <w:p w14:paraId="5A975A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70dB（A）</w:t>
                  </w:r>
                </w:p>
              </w:tc>
              <w:tc>
                <w:tcPr>
                  <w:tcW w:w="2658" w:type="dxa"/>
                  <w:noWrap w:val="0"/>
                  <w:vAlign w:val="center"/>
                </w:tcPr>
                <w:p w14:paraId="786A5C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55dB（A）</w:t>
                  </w:r>
                </w:p>
              </w:tc>
            </w:tr>
          </w:tbl>
          <w:p w14:paraId="274B4C78">
            <w:pPr>
              <w:keepNext w:val="0"/>
              <w:keepLines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0" w:firstLineChars="0"/>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2、运营期污染物排放标准</w:t>
            </w:r>
          </w:p>
          <w:p w14:paraId="60AE11CD">
            <w:pPr>
              <w:pStyle w:val="3"/>
              <w:keepNext w:val="0"/>
              <w:keepLines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firstLine="422" w:firstLineChars="200"/>
              <w:textAlignment w:val="auto"/>
              <w:rPr>
                <w:rFonts w:hint="default" w:ascii="Times New Roman" w:hAnsi="Times New Roman" w:eastAsia="宋体" w:cs="Times New Roman"/>
                <w:color w:val="000000" w:themeColor="text1"/>
                <w:sz w:val="21"/>
                <w:szCs w:val="21"/>
              </w:rPr>
            </w:pPr>
            <w:bookmarkStart w:id="13" w:name="_Toc2765"/>
            <w:r>
              <w:rPr>
                <w:rFonts w:hint="default" w:ascii="Times New Roman" w:hAnsi="Times New Roman" w:eastAsia="宋体" w:cs="Times New Roman"/>
                <w:color w:val="000000" w:themeColor="text1"/>
                <w:sz w:val="21"/>
                <w:szCs w:val="21"/>
              </w:rPr>
              <w:t>（1）运营期废气</w:t>
            </w:r>
          </w:p>
          <w:p w14:paraId="7338E6B1">
            <w:pPr>
              <w:keepNext w:val="0"/>
              <w:keepLines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000000" w:themeColor="text1"/>
                <w:sz w:val="21"/>
                <w:szCs w:val="21"/>
                <w:lang w:val="en-US" w:eastAsia="zh-CN"/>
              </w:rPr>
            </w:pPr>
            <w:r>
              <w:rPr>
                <w:rFonts w:hint="default" w:ascii="Times New Roman" w:hAnsi="Times New Roman" w:eastAsia="宋体" w:cs="Times New Roman"/>
                <w:b/>
                <w:bCs/>
                <w:color w:val="000000" w:themeColor="text1"/>
                <w:sz w:val="21"/>
                <w:szCs w:val="21"/>
              </w:rPr>
              <w:t>1）</w:t>
            </w:r>
            <w:r>
              <w:rPr>
                <w:rFonts w:hint="eastAsia" w:ascii="Times New Roman" w:hAnsi="Times New Roman" w:eastAsia="宋体" w:cs="Times New Roman"/>
                <w:b/>
                <w:bCs/>
                <w:color w:val="000000" w:themeColor="text1"/>
                <w:sz w:val="21"/>
                <w:szCs w:val="21"/>
                <w:lang w:val="en-US" w:eastAsia="zh-CN"/>
              </w:rPr>
              <w:t>有组织废气</w:t>
            </w:r>
          </w:p>
          <w:p w14:paraId="0D9056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项目运营期使用生物质热风炉为烘干提供热能，该生物质热风炉属于工业炉窑的一种，其废气中主要污染因子为烟尘、NO</w:t>
            </w:r>
            <w:r>
              <w:rPr>
                <w:rFonts w:hint="default" w:ascii="Times New Roman" w:hAnsi="Times New Roman" w:eastAsia="宋体" w:cs="Times New Roman"/>
                <w:color w:val="000000" w:themeColor="text1"/>
                <w:sz w:val="21"/>
                <w:szCs w:val="21"/>
                <w:vertAlign w:val="subscript"/>
              </w:rPr>
              <w:t>X</w:t>
            </w:r>
            <w:r>
              <w:rPr>
                <w:rFonts w:hint="default" w:ascii="Times New Roman" w:hAnsi="Times New Roman" w:eastAsia="宋体" w:cs="Times New Roman"/>
                <w:color w:val="000000" w:themeColor="text1"/>
                <w:sz w:val="21"/>
                <w:szCs w:val="21"/>
              </w:rPr>
              <w:t>、SO</w:t>
            </w:r>
            <w:r>
              <w:rPr>
                <w:rFonts w:hint="default" w:ascii="Times New Roman" w:hAnsi="Times New Roman" w:eastAsia="宋体" w:cs="Times New Roman"/>
                <w:color w:val="000000" w:themeColor="text1"/>
                <w:sz w:val="21"/>
                <w:szCs w:val="21"/>
                <w:vertAlign w:val="subscript"/>
              </w:rPr>
              <w:t>2</w:t>
            </w:r>
            <w:r>
              <w:rPr>
                <w:rFonts w:hint="default" w:ascii="Times New Roman" w:hAnsi="Times New Roman" w:eastAsia="宋体" w:cs="Times New Roman"/>
                <w:color w:val="000000" w:themeColor="text1"/>
                <w:sz w:val="21"/>
                <w:szCs w:val="21"/>
              </w:rPr>
              <w:t>。其中SO</w:t>
            </w:r>
            <w:r>
              <w:rPr>
                <w:rFonts w:hint="default" w:ascii="Times New Roman" w:hAnsi="Times New Roman" w:eastAsia="宋体" w:cs="Times New Roman"/>
                <w:color w:val="000000" w:themeColor="text1"/>
                <w:sz w:val="21"/>
                <w:szCs w:val="21"/>
                <w:vertAlign w:val="subscript"/>
              </w:rPr>
              <w:t>2</w:t>
            </w:r>
            <w:r>
              <w:rPr>
                <w:rFonts w:hint="default" w:ascii="Times New Roman" w:hAnsi="Times New Roman" w:eastAsia="宋体" w:cs="Times New Roman"/>
                <w:color w:val="000000" w:themeColor="text1"/>
                <w:sz w:val="21"/>
                <w:szCs w:val="21"/>
              </w:rPr>
              <w:t>和NOx执行《大气污染物综合排放标准》(GB16297-1996)表2中的二级标准限值；烟（粉）尘、烟气黑度（林格曼黑度）执行</w:t>
            </w:r>
            <w:r>
              <w:rPr>
                <w:rFonts w:hint="eastAsia" w:ascii="Times New Roman" w:hAnsi="Times New Roman" w:eastAsia="宋体" w:cs="Times New Roman"/>
                <w:color w:val="000000" w:themeColor="text1"/>
                <w:kern w:val="2"/>
                <w:sz w:val="21"/>
                <w:szCs w:val="21"/>
                <w:lang w:val="en-US" w:eastAsia="zh-CN" w:bidi="zh-CN"/>
              </w:rPr>
              <w:t>《工业炉窑大气污染物排放标准》</w:t>
            </w:r>
            <w:r>
              <w:rPr>
                <w:rFonts w:hint="default" w:ascii="Times New Roman" w:hAnsi="Times New Roman" w:eastAsia="宋体" w:cs="Times New Roman"/>
                <w:color w:val="000000" w:themeColor="text1"/>
                <w:kern w:val="2"/>
                <w:sz w:val="21"/>
                <w:szCs w:val="21"/>
                <w:lang w:val="en-US" w:eastAsia="zh-CN" w:bidi="zh-CN"/>
              </w:rPr>
              <w:t>(GB9078-1996)</w:t>
            </w:r>
            <w:r>
              <w:rPr>
                <w:rFonts w:hint="eastAsia" w:ascii="Times New Roman" w:hAnsi="Times New Roman" w:eastAsia="宋体" w:cs="Times New Roman"/>
                <w:color w:val="000000" w:themeColor="text1"/>
                <w:kern w:val="2"/>
                <w:sz w:val="21"/>
                <w:szCs w:val="21"/>
                <w:lang w:val="en-US" w:eastAsia="zh-CN" w:bidi="zh-CN"/>
              </w:rPr>
              <w:t>中</w:t>
            </w:r>
            <w:r>
              <w:rPr>
                <w:rFonts w:hint="default" w:ascii="Times New Roman" w:hAnsi="Times New Roman" w:eastAsia="宋体" w:cs="Times New Roman"/>
                <w:color w:val="000000" w:themeColor="text1"/>
                <w:kern w:val="2"/>
                <w:sz w:val="21"/>
                <w:szCs w:val="21"/>
                <w:lang w:val="en-US" w:eastAsia="zh-CN" w:bidi="zh-CN"/>
              </w:rPr>
              <w:t>“</w:t>
            </w:r>
            <w:r>
              <w:rPr>
                <w:rFonts w:hint="eastAsia" w:ascii="Times New Roman" w:hAnsi="Times New Roman" w:eastAsia="宋体" w:cs="Times New Roman"/>
                <w:color w:val="000000" w:themeColor="text1"/>
                <w:kern w:val="2"/>
                <w:sz w:val="21"/>
                <w:szCs w:val="21"/>
                <w:lang w:val="en-US" w:eastAsia="zh-CN" w:bidi="zh-CN"/>
              </w:rPr>
              <w:t>干燥炉、窑</w:t>
            </w:r>
            <w:r>
              <w:rPr>
                <w:rFonts w:hint="default" w:ascii="Times New Roman" w:hAnsi="Times New Roman" w:eastAsia="宋体" w:cs="Times New Roman"/>
                <w:color w:val="000000" w:themeColor="text1"/>
                <w:kern w:val="2"/>
                <w:sz w:val="21"/>
                <w:szCs w:val="21"/>
                <w:lang w:val="en-US" w:eastAsia="zh-CN" w:bidi="zh-CN"/>
              </w:rPr>
              <w:t>”</w:t>
            </w:r>
            <w:r>
              <w:rPr>
                <w:rFonts w:hint="eastAsia" w:ascii="Times New Roman" w:hAnsi="Times New Roman" w:eastAsia="宋体" w:cs="Times New Roman"/>
                <w:color w:val="000000" w:themeColor="text1"/>
                <w:kern w:val="2"/>
                <w:sz w:val="21"/>
                <w:szCs w:val="21"/>
                <w:lang w:val="en-US" w:eastAsia="zh-CN" w:bidi="zh-CN"/>
              </w:rPr>
              <w:t>及</w:t>
            </w:r>
            <w:r>
              <w:rPr>
                <w:rFonts w:hint="default" w:ascii="Times New Roman" w:hAnsi="Times New Roman" w:eastAsia="宋体" w:cs="Times New Roman"/>
                <w:color w:val="000000" w:themeColor="text1"/>
                <w:kern w:val="2"/>
                <w:sz w:val="21"/>
                <w:szCs w:val="21"/>
                <w:lang w:val="en-US" w:eastAsia="zh-CN" w:bidi="zh-CN"/>
              </w:rPr>
              <w:t>“</w:t>
            </w:r>
            <w:r>
              <w:rPr>
                <w:rFonts w:hint="eastAsia" w:ascii="Times New Roman" w:hAnsi="Times New Roman" w:eastAsia="宋体" w:cs="Times New Roman"/>
                <w:color w:val="000000" w:themeColor="text1"/>
                <w:kern w:val="2"/>
                <w:sz w:val="21"/>
                <w:szCs w:val="21"/>
                <w:lang w:val="en-US" w:eastAsia="zh-CN" w:bidi="zh-CN"/>
              </w:rPr>
              <w:t>其他</w:t>
            </w:r>
            <w:r>
              <w:rPr>
                <w:rFonts w:hint="default" w:ascii="Times New Roman" w:hAnsi="Times New Roman" w:eastAsia="宋体" w:cs="Times New Roman"/>
                <w:color w:val="000000" w:themeColor="text1"/>
                <w:kern w:val="2"/>
                <w:sz w:val="21"/>
                <w:szCs w:val="21"/>
                <w:lang w:val="en-US" w:eastAsia="zh-CN" w:bidi="zh-CN"/>
              </w:rPr>
              <w:t>”</w:t>
            </w:r>
            <w:r>
              <w:rPr>
                <w:rFonts w:hint="eastAsia" w:ascii="Times New Roman" w:hAnsi="Times New Roman" w:eastAsia="宋体" w:cs="Times New Roman"/>
                <w:color w:val="000000" w:themeColor="text1"/>
                <w:kern w:val="2"/>
                <w:sz w:val="21"/>
                <w:szCs w:val="21"/>
                <w:lang w:val="en-US" w:eastAsia="zh-CN" w:bidi="zh-CN"/>
              </w:rPr>
              <w:t>二级排放标准限值</w:t>
            </w:r>
            <w:r>
              <w:rPr>
                <w:rFonts w:hint="default" w:ascii="Times New Roman" w:hAnsi="Times New Roman" w:eastAsia="宋体" w:cs="Times New Roman"/>
                <w:color w:val="000000" w:themeColor="text1"/>
                <w:sz w:val="21"/>
                <w:szCs w:val="21"/>
              </w:rPr>
              <w:t>。</w:t>
            </w:r>
          </w:p>
          <w:p w14:paraId="5345B8B8">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表3-</w:t>
            </w:r>
            <w:r>
              <w:rPr>
                <w:rFonts w:hint="eastAsia" w:cs="Times New Roman"/>
                <w:color w:val="000000" w:themeColor="text1"/>
                <w:sz w:val="21"/>
                <w:szCs w:val="21"/>
                <w:lang w:val="en-US" w:eastAsia="zh-CN"/>
              </w:rPr>
              <w:t>8</w:t>
            </w:r>
            <w:r>
              <w:rPr>
                <w:rFonts w:hint="eastAsia" w:eastAsia="宋体" w:cs="Times New Roman"/>
                <w:color w:val="000000" w:themeColor="text1"/>
                <w:sz w:val="21"/>
                <w:szCs w:val="21"/>
                <w:lang w:val="en-US" w:eastAsia="zh-CN"/>
              </w:rPr>
              <w:t xml:space="preserve">  </w:t>
            </w:r>
            <w:r>
              <w:rPr>
                <w:rFonts w:hint="default" w:ascii="Times New Roman" w:hAnsi="Times New Roman" w:eastAsia="宋体" w:cs="Times New Roman"/>
                <w:color w:val="000000" w:themeColor="text1"/>
                <w:sz w:val="21"/>
                <w:szCs w:val="21"/>
              </w:rPr>
              <w:t>烘干废气污染物排放浓度限值</w:t>
            </w:r>
          </w:p>
          <w:tbl>
            <w:tblPr>
              <w:tblStyle w:val="43"/>
              <w:tblW w:w="8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1322"/>
              <w:gridCol w:w="1494"/>
              <w:gridCol w:w="1764"/>
              <w:gridCol w:w="2104"/>
            </w:tblGrid>
            <w:tr w14:paraId="1455F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op w:val="single" w:color="auto" w:sz="4" w:space="0"/>
                    <w:left w:val="single" w:color="auto" w:sz="4" w:space="0"/>
                    <w:bottom w:val="single" w:color="auto" w:sz="4" w:space="0"/>
                    <w:right w:val="single" w:color="auto" w:sz="4" w:space="0"/>
                  </w:tcBorders>
                  <w:noWrap w:val="0"/>
                  <w:vAlign w:val="center"/>
                </w:tcPr>
                <w:p w14:paraId="3A5B71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szCs w:val="21"/>
                      <w:lang w:val="en-US"/>
                    </w:rPr>
                  </w:pPr>
                  <w:r>
                    <w:rPr>
                      <w:rFonts w:hint="eastAsia" w:ascii="Times New Roman" w:hAnsi="Times New Roman" w:eastAsia="宋体" w:cs="宋体"/>
                      <w:b/>
                      <w:bCs w:val="0"/>
                      <w:color w:val="000000" w:themeColor="text1"/>
                      <w:kern w:val="2"/>
                      <w:sz w:val="21"/>
                      <w:szCs w:val="21"/>
                      <w:lang w:val="en-US" w:eastAsia="zh-CN" w:bidi="ar"/>
                    </w:rPr>
                    <w:t>污染源</w:t>
                  </w:r>
                </w:p>
              </w:tc>
              <w:tc>
                <w:tcPr>
                  <w:tcW w:w="1322" w:type="dxa"/>
                  <w:tcBorders>
                    <w:top w:val="single" w:color="auto" w:sz="4" w:space="0"/>
                    <w:left w:val="single" w:color="auto" w:sz="4" w:space="0"/>
                    <w:bottom w:val="single" w:color="auto" w:sz="4" w:space="0"/>
                    <w:right w:val="single" w:color="auto" w:sz="4" w:space="0"/>
                  </w:tcBorders>
                  <w:noWrap w:val="0"/>
                  <w:vAlign w:val="center"/>
                </w:tcPr>
                <w:p w14:paraId="11D056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szCs w:val="21"/>
                      <w:lang w:val="en-US"/>
                    </w:rPr>
                  </w:pPr>
                  <w:r>
                    <w:rPr>
                      <w:rFonts w:hint="eastAsia" w:ascii="Times New Roman" w:hAnsi="Times New Roman" w:eastAsia="宋体" w:cs="宋体"/>
                      <w:b/>
                      <w:bCs w:val="0"/>
                      <w:color w:val="000000" w:themeColor="text1"/>
                      <w:kern w:val="2"/>
                      <w:sz w:val="21"/>
                      <w:szCs w:val="21"/>
                      <w:lang w:val="en-US" w:eastAsia="zh-CN" w:bidi="ar"/>
                    </w:rPr>
                    <w:t>炉窑类别</w:t>
                  </w:r>
                </w:p>
              </w:tc>
              <w:tc>
                <w:tcPr>
                  <w:tcW w:w="1494" w:type="dxa"/>
                  <w:tcBorders>
                    <w:top w:val="single" w:color="auto" w:sz="4" w:space="0"/>
                    <w:left w:val="single" w:color="auto" w:sz="4" w:space="0"/>
                    <w:bottom w:val="single" w:color="auto" w:sz="4" w:space="0"/>
                    <w:right w:val="single" w:color="auto" w:sz="4" w:space="0"/>
                  </w:tcBorders>
                  <w:noWrap w:val="0"/>
                  <w:vAlign w:val="center"/>
                </w:tcPr>
                <w:p w14:paraId="4843E6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szCs w:val="21"/>
                      <w:lang w:val="en-US"/>
                    </w:rPr>
                  </w:pPr>
                  <w:r>
                    <w:rPr>
                      <w:rFonts w:hint="eastAsia" w:ascii="Times New Roman" w:hAnsi="Times New Roman" w:eastAsia="宋体" w:cs="宋体"/>
                      <w:b/>
                      <w:bCs w:val="0"/>
                      <w:color w:val="000000" w:themeColor="text1"/>
                      <w:kern w:val="2"/>
                      <w:sz w:val="21"/>
                      <w:szCs w:val="21"/>
                      <w:lang w:val="en-US" w:eastAsia="zh-CN" w:bidi="ar"/>
                    </w:rPr>
                    <w:t>标准限值（</w:t>
                  </w:r>
                  <w:r>
                    <w:rPr>
                      <w:rFonts w:hint="default" w:ascii="Times New Roman" w:hAnsi="Times New Roman" w:eastAsia="宋体" w:cs="Times New Roman"/>
                      <w:b/>
                      <w:bCs w:val="0"/>
                      <w:color w:val="000000" w:themeColor="text1"/>
                      <w:kern w:val="2"/>
                      <w:sz w:val="21"/>
                      <w:szCs w:val="21"/>
                      <w:lang w:val="en-US" w:eastAsia="zh-CN" w:bidi="ar"/>
                    </w:rPr>
                    <w:t>mg/m</w:t>
                  </w:r>
                  <w:r>
                    <w:rPr>
                      <w:rFonts w:hint="default" w:ascii="Times New Roman" w:hAnsi="Times New Roman" w:eastAsia="宋体" w:cs="Times New Roman"/>
                      <w:b/>
                      <w:bCs w:val="0"/>
                      <w:color w:val="000000" w:themeColor="text1"/>
                      <w:kern w:val="2"/>
                      <w:sz w:val="21"/>
                      <w:szCs w:val="21"/>
                      <w:vertAlign w:val="superscript"/>
                      <w:lang w:val="en-US" w:eastAsia="zh-CN" w:bidi="ar"/>
                    </w:rPr>
                    <w:t>3</w:t>
                  </w:r>
                  <w:r>
                    <w:rPr>
                      <w:rFonts w:hint="eastAsia" w:ascii="Times New Roman" w:hAnsi="Times New Roman" w:eastAsia="宋体" w:cs="宋体"/>
                      <w:b/>
                      <w:bCs w:val="0"/>
                      <w:color w:val="000000" w:themeColor="text1"/>
                      <w:kern w:val="2"/>
                      <w:sz w:val="21"/>
                      <w:szCs w:val="21"/>
                      <w:lang w:val="en-US" w:eastAsia="zh-CN" w:bidi="ar"/>
                    </w:rPr>
                    <w:t>）</w:t>
                  </w:r>
                </w:p>
              </w:tc>
              <w:tc>
                <w:tcPr>
                  <w:tcW w:w="1764" w:type="dxa"/>
                  <w:tcBorders>
                    <w:top w:val="single" w:color="auto" w:sz="4" w:space="0"/>
                    <w:left w:val="single" w:color="auto" w:sz="4" w:space="0"/>
                    <w:bottom w:val="single" w:color="auto" w:sz="4" w:space="0"/>
                    <w:right w:val="single" w:color="auto" w:sz="4" w:space="0"/>
                  </w:tcBorders>
                  <w:noWrap w:val="0"/>
                  <w:vAlign w:val="center"/>
                </w:tcPr>
                <w:p w14:paraId="7FF4DC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szCs w:val="21"/>
                      <w:lang w:val="en-US"/>
                    </w:rPr>
                  </w:pPr>
                  <w:r>
                    <w:rPr>
                      <w:rFonts w:hint="eastAsia" w:ascii="Times New Roman" w:hAnsi="Times New Roman" w:eastAsia="宋体" w:cs="宋体"/>
                      <w:b/>
                      <w:bCs w:val="0"/>
                      <w:color w:val="000000" w:themeColor="text1"/>
                      <w:kern w:val="2"/>
                      <w:sz w:val="21"/>
                      <w:szCs w:val="21"/>
                      <w:lang w:val="en-US" w:eastAsia="zh-CN" w:bidi="ar"/>
                    </w:rPr>
                    <w:t>最高允许排放速率（</w:t>
                  </w:r>
                  <w:r>
                    <w:rPr>
                      <w:rFonts w:hint="default" w:ascii="Times New Roman" w:hAnsi="Times New Roman" w:eastAsia="宋体" w:cs="Times New Roman"/>
                      <w:b/>
                      <w:bCs w:val="0"/>
                      <w:color w:val="000000" w:themeColor="text1"/>
                      <w:kern w:val="2"/>
                      <w:sz w:val="21"/>
                      <w:szCs w:val="21"/>
                      <w:lang w:val="en-US" w:eastAsia="zh-CN" w:bidi="ar"/>
                    </w:rPr>
                    <w:t>kg/h</w:t>
                  </w:r>
                  <w:r>
                    <w:rPr>
                      <w:rFonts w:hint="eastAsia" w:ascii="Times New Roman" w:hAnsi="Times New Roman" w:eastAsia="宋体" w:cs="宋体"/>
                      <w:b/>
                      <w:bCs w:val="0"/>
                      <w:color w:val="000000" w:themeColor="text1"/>
                      <w:kern w:val="2"/>
                      <w:sz w:val="21"/>
                      <w:szCs w:val="21"/>
                      <w:lang w:val="en-US" w:eastAsia="zh-CN" w:bidi="ar"/>
                    </w:rPr>
                    <w:t>）</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0B966A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szCs w:val="21"/>
                      <w:lang w:val="en-US"/>
                    </w:rPr>
                  </w:pPr>
                  <w:r>
                    <w:rPr>
                      <w:rFonts w:hint="eastAsia" w:ascii="Times New Roman" w:hAnsi="Times New Roman" w:eastAsia="宋体" w:cs="宋体"/>
                      <w:b/>
                      <w:bCs w:val="0"/>
                      <w:color w:val="000000" w:themeColor="text1"/>
                      <w:kern w:val="2"/>
                      <w:sz w:val="21"/>
                      <w:szCs w:val="21"/>
                      <w:lang w:val="en-US" w:eastAsia="zh-CN" w:bidi="ar"/>
                    </w:rPr>
                    <w:t>执行标准</w:t>
                  </w:r>
                </w:p>
              </w:tc>
            </w:tr>
            <w:tr w14:paraId="7C280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op w:val="single" w:color="auto" w:sz="4" w:space="0"/>
                    <w:left w:val="single" w:color="auto" w:sz="4" w:space="0"/>
                    <w:bottom w:val="single" w:color="auto" w:sz="4" w:space="0"/>
                    <w:right w:val="single" w:color="auto" w:sz="4" w:space="0"/>
                  </w:tcBorders>
                  <w:noWrap w:val="0"/>
                  <w:vAlign w:val="center"/>
                </w:tcPr>
                <w:p w14:paraId="0FB349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Cs w:val="21"/>
                      <w:lang w:val="en-US"/>
                    </w:rPr>
                  </w:pPr>
                  <w:r>
                    <w:rPr>
                      <w:rFonts w:hint="eastAsia" w:ascii="Times New Roman" w:hAnsi="Times New Roman" w:eastAsia="宋体" w:cs="宋体"/>
                      <w:bCs/>
                      <w:color w:val="000000" w:themeColor="text1"/>
                      <w:kern w:val="2"/>
                      <w:sz w:val="21"/>
                      <w:szCs w:val="21"/>
                      <w:lang w:val="en-US" w:eastAsia="zh-CN" w:bidi="ar"/>
                    </w:rPr>
                    <w:t>烟尘（颗粒物）</w:t>
                  </w:r>
                </w:p>
              </w:tc>
              <w:tc>
                <w:tcPr>
                  <w:tcW w:w="1322" w:type="dxa"/>
                  <w:tcBorders>
                    <w:top w:val="single" w:color="auto" w:sz="4" w:space="0"/>
                    <w:left w:val="single" w:color="auto" w:sz="4" w:space="0"/>
                    <w:bottom w:val="single" w:color="auto" w:sz="4" w:space="0"/>
                    <w:right w:val="single" w:color="auto" w:sz="4" w:space="0"/>
                  </w:tcBorders>
                  <w:noWrap w:val="0"/>
                  <w:vAlign w:val="center"/>
                </w:tcPr>
                <w:p w14:paraId="018CE9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Cs w:val="21"/>
                      <w:lang w:val="en-US"/>
                    </w:rPr>
                  </w:pPr>
                  <w:r>
                    <w:rPr>
                      <w:rFonts w:hint="eastAsia" w:ascii="Times New Roman" w:hAnsi="Times New Roman" w:eastAsia="宋体" w:cs="宋体"/>
                      <w:bCs/>
                      <w:color w:val="000000" w:themeColor="text1"/>
                      <w:kern w:val="2"/>
                      <w:sz w:val="21"/>
                      <w:szCs w:val="21"/>
                      <w:lang w:val="en-US" w:eastAsia="zh-CN" w:bidi="ar"/>
                    </w:rPr>
                    <w:t>干燥炉、窑</w:t>
                  </w:r>
                </w:p>
              </w:tc>
              <w:tc>
                <w:tcPr>
                  <w:tcW w:w="1494" w:type="dxa"/>
                  <w:tcBorders>
                    <w:top w:val="single" w:color="auto" w:sz="4" w:space="0"/>
                    <w:left w:val="single" w:color="auto" w:sz="4" w:space="0"/>
                    <w:bottom w:val="single" w:color="auto" w:sz="4" w:space="0"/>
                    <w:right w:val="single" w:color="auto" w:sz="4" w:space="0"/>
                  </w:tcBorders>
                  <w:noWrap w:val="0"/>
                  <w:vAlign w:val="center"/>
                </w:tcPr>
                <w:p w14:paraId="5832F4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Cs w:val="21"/>
                      <w:lang w:val="en-US"/>
                    </w:rPr>
                  </w:pPr>
                  <w:r>
                    <w:rPr>
                      <w:rFonts w:hint="default" w:ascii="Times New Roman" w:hAnsi="Times New Roman" w:eastAsia="宋体" w:cs="Times New Roman"/>
                      <w:bCs/>
                      <w:color w:val="000000" w:themeColor="text1"/>
                      <w:kern w:val="2"/>
                      <w:sz w:val="21"/>
                      <w:szCs w:val="21"/>
                      <w:lang w:val="en-US" w:eastAsia="zh-CN" w:bidi="ar"/>
                    </w:rPr>
                    <w:t>200</w:t>
                  </w:r>
                </w:p>
              </w:tc>
              <w:tc>
                <w:tcPr>
                  <w:tcW w:w="1764" w:type="dxa"/>
                  <w:tcBorders>
                    <w:top w:val="single" w:color="auto" w:sz="4" w:space="0"/>
                    <w:left w:val="single" w:color="auto" w:sz="4" w:space="0"/>
                    <w:bottom w:val="single" w:color="auto" w:sz="4" w:space="0"/>
                    <w:right w:val="single" w:color="auto" w:sz="4" w:space="0"/>
                  </w:tcBorders>
                  <w:noWrap w:val="0"/>
                  <w:vAlign w:val="center"/>
                </w:tcPr>
                <w:p w14:paraId="5E44B7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Cs w:val="21"/>
                      <w:lang w:val="en-US"/>
                    </w:rPr>
                  </w:pPr>
                  <w:r>
                    <w:rPr>
                      <w:rFonts w:hint="default" w:ascii="Times New Roman" w:hAnsi="Times New Roman" w:eastAsia="宋体" w:cs="Times New Roman"/>
                      <w:bCs/>
                      <w:color w:val="000000" w:themeColor="text1"/>
                      <w:kern w:val="2"/>
                      <w:sz w:val="21"/>
                      <w:szCs w:val="21"/>
                      <w:lang w:val="en-US" w:eastAsia="zh-CN" w:bidi="ar"/>
                    </w:rPr>
                    <w:t>/</w:t>
                  </w:r>
                </w:p>
              </w:tc>
              <w:tc>
                <w:tcPr>
                  <w:tcW w:w="2104" w:type="dxa"/>
                  <w:vMerge w:val="restart"/>
                  <w:tcBorders>
                    <w:top w:val="single" w:color="auto" w:sz="4" w:space="0"/>
                    <w:left w:val="single" w:color="auto" w:sz="4" w:space="0"/>
                    <w:bottom w:val="single" w:color="auto" w:sz="4" w:space="0"/>
                    <w:right w:val="single" w:color="auto" w:sz="4" w:space="0"/>
                  </w:tcBorders>
                  <w:noWrap w:val="0"/>
                  <w:vAlign w:val="center"/>
                </w:tcPr>
                <w:p w14:paraId="4782C9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《工业炉窑大气污染物排放标准》（</w:t>
                  </w:r>
                  <w:r>
                    <w:rPr>
                      <w:rFonts w:hint="default" w:ascii="Times New Roman" w:hAnsi="Times New Roman" w:eastAsia="宋体" w:cs="Times New Roman"/>
                      <w:color w:val="000000" w:themeColor="text1"/>
                      <w:kern w:val="2"/>
                      <w:sz w:val="21"/>
                      <w:szCs w:val="21"/>
                      <w:lang w:val="en-US" w:eastAsia="zh-CN" w:bidi="ar"/>
                    </w:rPr>
                    <w:t>GB9078-1996</w:t>
                  </w:r>
                  <w:r>
                    <w:rPr>
                      <w:rFonts w:hint="eastAsia" w:ascii="Times New Roman" w:hAnsi="Times New Roman" w:eastAsia="宋体" w:cs="宋体"/>
                      <w:color w:val="000000" w:themeColor="text1"/>
                      <w:kern w:val="2"/>
                      <w:sz w:val="21"/>
                      <w:szCs w:val="21"/>
                      <w:lang w:val="en-US" w:eastAsia="zh-CN" w:bidi="ar"/>
                    </w:rPr>
                    <w:t>）</w:t>
                  </w:r>
                </w:p>
              </w:tc>
            </w:tr>
            <w:tr w14:paraId="29368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op w:val="single" w:color="auto" w:sz="4" w:space="0"/>
                    <w:left w:val="single" w:color="auto" w:sz="4" w:space="0"/>
                    <w:bottom w:val="single" w:color="auto" w:sz="4" w:space="0"/>
                    <w:right w:val="single" w:color="auto" w:sz="4" w:space="0"/>
                  </w:tcBorders>
                  <w:noWrap w:val="0"/>
                  <w:vAlign w:val="center"/>
                </w:tcPr>
                <w:p w14:paraId="63F125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Cs w:val="21"/>
                      <w:lang w:val="en-US"/>
                    </w:rPr>
                  </w:pPr>
                  <w:r>
                    <w:rPr>
                      <w:rFonts w:hint="eastAsia" w:ascii="Times New Roman" w:hAnsi="Times New Roman" w:eastAsia="宋体" w:cs="宋体"/>
                      <w:bCs/>
                      <w:color w:val="000000" w:themeColor="text1"/>
                      <w:kern w:val="2"/>
                      <w:sz w:val="21"/>
                      <w:szCs w:val="21"/>
                      <w:lang w:val="en-US" w:eastAsia="zh-CN" w:bidi="ar"/>
                    </w:rPr>
                    <w:t>烟气黑度</w:t>
                  </w:r>
                </w:p>
              </w:tc>
              <w:tc>
                <w:tcPr>
                  <w:tcW w:w="1322" w:type="dxa"/>
                  <w:tcBorders>
                    <w:top w:val="single" w:color="auto" w:sz="4" w:space="0"/>
                    <w:left w:val="single" w:color="auto" w:sz="4" w:space="0"/>
                    <w:bottom w:val="single" w:color="auto" w:sz="4" w:space="0"/>
                    <w:right w:val="single" w:color="auto" w:sz="4" w:space="0"/>
                  </w:tcBorders>
                  <w:noWrap w:val="0"/>
                  <w:vAlign w:val="center"/>
                </w:tcPr>
                <w:p w14:paraId="363D84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Cs w:val="21"/>
                      <w:lang w:val="en-US"/>
                    </w:rPr>
                  </w:pPr>
                  <w:r>
                    <w:rPr>
                      <w:rFonts w:hint="eastAsia" w:ascii="Times New Roman" w:hAnsi="Times New Roman" w:eastAsia="宋体" w:cs="宋体"/>
                      <w:bCs/>
                      <w:color w:val="000000" w:themeColor="text1"/>
                      <w:kern w:val="2"/>
                      <w:sz w:val="21"/>
                      <w:szCs w:val="21"/>
                      <w:lang w:val="en-US" w:eastAsia="zh-CN" w:bidi="ar"/>
                    </w:rPr>
                    <w:t>参照燃煤（油）炉窑</w:t>
                  </w:r>
                </w:p>
              </w:tc>
              <w:tc>
                <w:tcPr>
                  <w:tcW w:w="1494" w:type="dxa"/>
                  <w:tcBorders>
                    <w:top w:val="single" w:color="auto" w:sz="4" w:space="0"/>
                    <w:left w:val="single" w:color="auto" w:sz="4" w:space="0"/>
                    <w:bottom w:val="single" w:color="auto" w:sz="4" w:space="0"/>
                    <w:right w:val="single" w:color="auto" w:sz="4" w:space="0"/>
                  </w:tcBorders>
                  <w:noWrap w:val="0"/>
                  <w:vAlign w:val="center"/>
                </w:tcPr>
                <w:p w14:paraId="09E83E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Cs w:val="21"/>
                      <w:lang w:val="en-US"/>
                    </w:rPr>
                  </w:pPr>
                  <w:r>
                    <w:rPr>
                      <w:rFonts w:hint="default" w:ascii="Times New Roman" w:hAnsi="Times New Roman" w:eastAsia="宋体" w:cs="Times New Roman"/>
                      <w:bCs/>
                      <w:color w:val="000000" w:themeColor="text1"/>
                      <w:kern w:val="2"/>
                      <w:sz w:val="21"/>
                      <w:szCs w:val="21"/>
                      <w:lang w:val="en-US" w:eastAsia="zh-CN" w:bidi="ar"/>
                    </w:rPr>
                    <w:t>1</w:t>
                  </w:r>
                  <w:r>
                    <w:rPr>
                      <w:rFonts w:hint="eastAsia" w:ascii="Times New Roman" w:hAnsi="Times New Roman" w:eastAsia="宋体" w:cs="宋体"/>
                      <w:bCs/>
                      <w:color w:val="000000" w:themeColor="text1"/>
                      <w:kern w:val="2"/>
                      <w:sz w:val="21"/>
                      <w:szCs w:val="21"/>
                      <w:lang w:val="en-US" w:eastAsia="zh-CN" w:bidi="ar"/>
                    </w:rPr>
                    <w:t>级</w:t>
                  </w:r>
                </w:p>
              </w:tc>
              <w:tc>
                <w:tcPr>
                  <w:tcW w:w="1764" w:type="dxa"/>
                  <w:tcBorders>
                    <w:top w:val="single" w:color="auto" w:sz="4" w:space="0"/>
                    <w:left w:val="single" w:color="auto" w:sz="4" w:space="0"/>
                    <w:bottom w:val="single" w:color="auto" w:sz="4" w:space="0"/>
                    <w:right w:val="single" w:color="auto" w:sz="4" w:space="0"/>
                  </w:tcBorders>
                  <w:noWrap w:val="0"/>
                  <w:vAlign w:val="center"/>
                </w:tcPr>
                <w:p w14:paraId="100348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Cs w:val="21"/>
                      <w:lang w:val="en-US"/>
                    </w:rPr>
                  </w:pPr>
                  <w:r>
                    <w:rPr>
                      <w:rFonts w:hint="default" w:ascii="Times New Roman" w:hAnsi="Times New Roman" w:eastAsia="宋体" w:cs="Times New Roman"/>
                      <w:bCs/>
                      <w:color w:val="000000" w:themeColor="text1"/>
                      <w:kern w:val="2"/>
                      <w:sz w:val="21"/>
                      <w:szCs w:val="21"/>
                      <w:lang w:val="en-US" w:eastAsia="zh-CN" w:bidi="ar"/>
                    </w:rPr>
                    <w:t>/</w:t>
                  </w:r>
                </w:p>
              </w:tc>
              <w:tc>
                <w:tcPr>
                  <w:tcW w:w="2104" w:type="dxa"/>
                  <w:vMerge w:val="continue"/>
                  <w:tcBorders>
                    <w:top w:val="single" w:color="auto" w:sz="4" w:space="0"/>
                    <w:left w:val="single" w:color="auto" w:sz="4" w:space="0"/>
                    <w:bottom w:val="single" w:color="auto" w:sz="4" w:space="0"/>
                    <w:right w:val="single" w:color="auto" w:sz="4" w:space="0"/>
                  </w:tcBorders>
                  <w:noWrap w:val="0"/>
                  <w:vAlign w:val="center"/>
                </w:tcPr>
                <w:p w14:paraId="5845EC9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cs="Times New Roman"/>
                      <w:color w:val="000000" w:themeColor="text1"/>
                      <w:sz w:val="20"/>
                      <w:szCs w:val="20"/>
                    </w:rPr>
                  </w:pPr>
                </w:p>
              </w:tc>
            </w:tr>
            <w:tr w14:paraId="3156E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op w:val="single" w:color="auto" w:sz="4" w:space="0"/>
                    <w:left w:val="single" w:color="auto" w:sz="4" w:space="0"/>
                    <w:bottom w:val="single" w:color="auto" w:sz="4" w:space="0"/>
                    <w:right w:val="single" w:color="auto" w:sz="4" w:space="0"/>
                  </w:tcBorders>
                  <w:noWrap w:val="0"/>
                  <w:vAlign w:val="center"/>
                </w:tcPr>
                <w:p w14:paraId="185A1F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bCs/>
                      <w:color w:val="000000" w:themeColor="text1"/>
                      <w:kern w:val="2"/>
                      <w:sz w:val="24"/>
                      <w:szCs w:val="21"/>
                      <w:lang w:val="en-US" w:eastAsia="zh-CN" w:bidi="ar-SA"/>
                    </w:rPr>
                  </w:pPr>
                  <w:r>
                    <w:rPr>
                      <w:rFonts w:hint="default" w:ascii="Times New Roman" w:hAnsi="Times New Roman" w:eastAsia="宋体" w:cs="Times New Roman"/>
                      <w:bCs/>
                      <w:color w:val="000000" w:themeColor="text1"/>
                      <w:kern w:val="2"/>
                      <w:sz w:val="21"/>
                      <w:szCs w:val="21"/>
                      <w:lang w:val="en-US" w:eastAsia="zh-CN" w:bidi="ar"/>
                    </w:rPr>
                    <w:t>NOx</w:t>
                  </w:r>
                </w:p>
              </w:tc>
              <w:tc>
                <w:tcPr>
                  <w:tcW w:w="1322" w:type="dxa"/>
                  <w:tcBorders>
                    <w:top w:val="single" w:color="auto" w:sz="4" w:space="0"/>
                    <w:left w:val="single" w:color="auto" w:sz="4" w:space="0"/>
                    <w:bottom w:val="single" w:color="auto" w:sz="4" w:space="0"/>
                    <w:right w:val="single" w:color="auto" w:sz="4" w:space="0"/>
                  </w:tcBorders>
                  <w:noWrap w:val="0"/>
                  <w:vAlign w:val="center"/>
                </w:tcPr>
                <w:p w14:paraId="67664F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bCs/>
                      <w:color w:val="000000" w:themeColor="text1"/>
                      <w:kern w:val="2"/>
                      <w:sz w:val="24"/>
                      <w:szCs w:val="21"/>
                      <w:lang w:val="en-US" w:eastAsia="zh-CN" w:bidi="ar-SA"/>
                    </w:rPr>
                  </w:pPr>
                  <w:r>
                    <w:rPr>
                      <w:rFonts w:hint="eastAsia" w:ascii="Times New Roman" w:hAnsi="Times New Roman" w:eastAsia="宋体" w:cs="宋体"/>
                      <w:bCs/>
                      <w:color w:val="000000" w:themeColor="text1"/>
                      <w:kern w:val="2"/>
                      <w:sz w:val="21"/>
                      <w:szCs w:val="21"/>
                      <w:lang w:val="en-US" w:eastAsia="zh-CN" w:bidi="ar"/>
                    </w:rPr>
                    <w:t>干燥炉、窑</w:t>
                  </w:r>
                </w:p>
              </w:tc>
              <w:tc>
                <w:tcPr>
                  <w:tcW w:w="1494" w:type="dxa"/>
                  <w:tcBorders>
                    <w:top w:val="single" w:color="auto" w:sz="4" w:space="0"/>
                    <w:left w:val="single" w:color="auto" w:sz="4" w:space="0"/>
                    <w:bottom w:val="single" w:color="auto" w:sz="4" w:space="0"/>
                    <w:right w:val="single" w:color="auto" w:sz="4" w:space="0"/>
                  </w:tcBorders>
                  <w:noWrap w:val="0"/>
                  <w:vAlign w:val="center"/>
                </w:tcPr>
                <w:p w14:paraId="351C68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bCs/>
                      <w:color w:val="000000" w:themeColor="text1"/>
                      <w:kern w:val="2"/>
                      <w:sz w:val="24"/>
                      <w:szCs w:val="21"/>
                      <w:lang w:val="en-US" w:eastAsia="zh-CN" w:bidi="ar-SA"/>
                    </w:rPr>
                  </w:pPr>
                  <w:r>
                    <w:rPr>
                      <w:rFonts w:hint="default" w:ascii="Times New Roman" w:hAnsi="Times New Roman" w:eastAsia="宋体" w:cs="Times New Roman"/>
                      <w:bCs/>
                      <w:color w:val="000000" w:themeColor="text1"/>
                      <w:kern w:val="2"/>
                      <w:sz w:val="21"/>
                      <w:szCs w:val="21"/>
                      <w:lang w:val="en-US" w:eastAsia="zh-CN" w:bidi="ar"/>
                    </w:rPr>
                    <w:t>240</w:t>
                  </w:r>
                </w:p>
              </w:tc>
              <w:tc>
                <w:tcPr>
                  <w:tcW w:w="1764" w:type="dxa"/>
                  <w:tcBorders>
                    <w:top w:val="single" w:color="auto" w:sz="4" w:space="0"/>
                    <w:left w:val="single" w:color="auto" w:sz="4" w:space="0"/>
                    <w:bottom w:val="single" w:color="auto" w:sz="4" w:space="0"/>
                    <w:right w:val="single" w:color="auto" w:sz="4" w:space="0"/>
                  </w:tcBorders>
                  <w:noWrap w:val="0"/>
                  <w:vAlign w:val="center"/>
                </w:tcPr>
                <w:p w14:paraId="369D4C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bCs/>
                      <w:color w:val="000000" w:themeColor="text1"/>
                      <w:kern w:val="2"/>
                      <w:sz w:val="24"/>
                      <w:szCs w:val="21"/>
                      <w:lang w:val="en-US" w:eastAsia="zh-CN" w:bidi="ar-SA"/>
                    </w:rPr>
                  </w:pPr>
                  <w:r>
                    <w:rPr>
                      <w:rFonts w:hint="eastAsia" w:cs="Times New Roman"/>
                      <w:bCs/>
                      <w:color w:val="000000" w:themeColor="text1"/>
                      <w:kern w:val="2"/>
                      <w:sz w:val="21"/>
                      <w:szCs w:val="21"/>
                      <w:lang w:val="en-US" w:eastAsia="zh-CN" w:bidi="ar"/>
                    </w:rPr>
                    <w:t>1.3</w:t>
                  </w:r>
                </w:p>
              </w:tc>
              <w:tc>
                <w:tcPr>
                  <w:tcW w:w="2104" w:type="dxa"/>
                  <w:vMerge w:val="restart"/>
                  <w:tcBorders>
                    <w:top w:val="single" w:color="auto" w:sz="4" w:space="0"/>
                    <w:left w:val="single" w:color="auto" w:sz="4" w:space="0"/>
                    <w:bottom w:val="single" w:color="auto" w:sz="4" w:space="0"/>
                    <w:right w:val="single" w:color="auto" w:sz="4" w:space="0"/>
                  </w:tcBorders>
                  <w:noWrap w:val="0"/>
                  <w:vAlign w:val="center"/>
                </w:tcPr>
                <w:p w14:paraId="5FD440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《大气污染物综合排放标准》（</w:t>
                  </w:r>
                  <w:r>
                    <w:rPr>
                      <w:rFonts w:hint="default" w:ascii="Times New Roman" w:hAnsi="Times New Roman" w:eastAsia="宋体" w:cs="Times New Roman"/>
                      <w:color w:val="000000" w:themeColor="text1"/>
                      <w:kern w:val="2"/>
                      <w:sz w:val="21"/>
                      <w:szCs w:val="21"/>
                      <w:lang w:val="en-US" w:eastAsia="zh-CN" w:bidi="ar"/>
                    </w:rPr>
                    <w:t>GB16297-1996</w:t>
                  </w:r>
                  <w:r>
                    <w:rPr>
                      <w:rFonts w:hint="eastAsia" w:ascii="Times New Roman" w:hAnsi="Times New Roman" w:eastAsia="宋体" w:cs="宋体"/>
                      <w:color w:val="000000" w:themeColor="text1"/>
                      <w:kern w:val="2"/>
                      <w:sz w:val="21"/>
                      <w:szCs w:val="21"/>
                      <w:lang w:val="en-US" w:eastAsia="zh-CN" w:bidi="ar"/>
                    </w:rPr>
                    <w:t>）</w:t>
                  </w:r>
                </w:p>
              </w:tc>
            </w:tr>
            <w:tr w14:paraId="0C85A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op w:val="single" w:color="auto" w:sz="4" w:space="0"/>
                    <w:left w:val="single" w:color="auto" w:sz="4" w:space="0"/>
                    <w:bottom w:val="single" w:color="auto" w:sz="4" w:space="0"/>
                    <w:right w:val="single" w:color="auto" w:sz="4" w:space="0"/>
                  </w:tcBorders>
                  <w:noWrap w:val="0"/>
                  <w:vAlign w:val="center"/>
                </w:tcPr>
                <w:p w14:paraId="7ED8D1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bCs/>
                      <w:color w:val="000000" w:themeColor="text1"/>
                      <w:kern w:val="2"/>
                      <w:sz w:val="24"/>
                      <w:szCs w:val="21"/>
                      <w:lang w:val="en-US" w:eastAsia="zh-CN" w:bidi="ar-SA"/>
                    </w:rPr>
                  </w:pPr>
                  <w:r>
                    <w:rPr>
                      <w:rFonts w:hint="default" w:ascii="Times New Roman" w:hAnsi="Times New Roman" w:eastAsia="宋体" w:cs="Times New Roman"/>
                      <w:bCs/>
                      <w:color w:val="000000" w:themeColor="text1"/>
                      <w:kern w:val="2"/>
                      <w:sz w:val="21"/>
                      <w:szCs w:val="21"/>
                      <w:lang w:val="en-US" w:eastAsia="zh-CN" w:bidi="ar"/>
                    </w:rPr>
                    <w:t>SO</w:t>
                  </w:r>
                  <w:r>
                    <w:rPr>
                      <w:rFonts w:hint="default" w:ascii="Times New Roman" w:hAnsi="Times New Roman" w:eastAsia="宋体" w:cs="Times New Roman"/>
                      <w:bCs/>
                      <w:color w:val="000000" w:themeColor="text1"/>
                      <w:kern w:val="2"/>
                      <w:sz w:val="21"/>
                      <w:szCs w:val="21"/>
                      <w:vertAlign w:val="subscript"/>
                      <w:lang w:val="en-US" w:eastAsia="zh-CN" w:bidi="ar"/>
                    </w:rPr>
                    <w:t>2</w:t>
                  </w:r>
                </w:p>
              </w:tc>
              <w:tc>
                <w:tcPr>
                  <w:tcW w:w="1322" w:type="dxa"/>
                  <w:tcBorders>
                    <w:top w:val="single" w:color="auto" w:sz="4" w:space="0"/>
                    <w:left w:val="single" w:color="auto" w:sz="4" w:space="0"/>
                    <w:bottom w:val="single" w:color="auto" w:sz="4" w:space="0"/>
                    <w:right w:val="single" w:color="auto" w:sz="4" w:space="0"/>
                  </w:tcBorders>
                  <w:noWrap w:val="0"/>
                  <w:vAlign w:val="center"/>
                </w:tcPr>
                <w:p w14:paraId="553859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bCs/>
                      <w:color w:val="000000" w:themeColor="text1"/>
                      <w:kern w:val="2"/>
                      <w:sz w:val="24"/>
                      <w:szCs w:val="21"/>
                      <w:lang w:val="en-US" w:eastAsia="zh-CN" w:bidi="ar-SA"/>
                    </w:rPr>
                  </w:pPr>
                  <w:r>
                    <w:rPr>
                      <w:rFonts w:hint="eastAsia" w:ascii="Times New Roman" w:hAnsi="Times New Roman" w:eastAsia="宋体" w:cs="宋体"/>
                      <w:bCs/>
                      <w:color w:val="000000" w:themeColor="text1"/>
                      <w:kern w:val="2"/>
                      <w:sz w:val="21"/>
                      <w:szCs w:val="21"/>
                      <w:lang w:val="en-US" w:eastAsia="zh-CN" w:bidi="ar"/>
                    </w:rPr>
                    <w:t>干燥炉、窑</w:t>
                  </w:r>
                </w:p>
              </w:tc>
              <w:tc>
                <w:tcPr>
                  <w:tcW w:w="1494" w:type="dxa"/>
                  <w:tcBorders>
                    <w:top w:val="single" w:color="auto" w:sz="4" w:space="0"/>
                    <w:left w:val="single" w:color="auto" w:sz="4" w:space="0"/>
                    <w:bottom w:val="single" w:color="auto" w:sz="4" w:space="0"/>
                    <w:right w:val="single" w:color="auto" w:sz="4" w:space="0"/>
                  </w:tcBorders>
                  <w:noWrap w:val="0"/>
                  <w:vAlign w:val="center"/>
                </w:tcPr>
                <w:p w14:paraId="7697B3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bCs/>
                      <w:color w:val="000000" w:themeColor="text1"/>
                      <w:kern w:val="2"/>
                      <w:sz w:val="24"/>
                      <w:szCs w:val="21"/>
                      <w:lang w:val="en-US" w:eastAsia="zh-CN" w:bidi="ar-SA"/>
                    </w:rPr>
                  </w:pPr>
                  <w:r>
                    <w:rPr>
                      <w:rFonts w:hint="default" w:ascii="Times New Roman" w:hAnsi="Times New Roman" w:eastAsia="宋体" w:cs="Times New Roman"/>
                      <w:bCs/>
                      <w:color w:val="000000" w:themeColor="text1"/>
                      <w:kern w:val="2"/>
                      <w:sz w:val="21"/>
                      <w:szCs w:val="21"/>
                      <w:lang w:val="en-US" w:eastAsia="zh-CN" w:bidi="ar"/>
                    </w:rPr>
                    <w:t>550</w:t>
                  </w:r>
                </w:p>
              </w:tc>
              <w:tc>
                <w:tcPr>
                  <w:tcW w:w="1764" w:type="dxa"/>
                  <w:tcBorders>
                    <w:top w:val="single" w:color="auto" w:sz="4" w:space="0"/>
                    <w:left w:val="single" w:color="auto" w:sz="4" w:space="0"/>
                    <w:bottom w:val="single" w:color="auto" w:sz="4" w:space="0"/>
                    <w:right w:val="single" w:color="auto" w:sz="4" w:space="0"/>
                  </w:tcBorders>
                  <w:noWrap w:val="0"/>
                  <w:vAlign w:val="center"/>
                </w:tcPr>
                <w:p w14:paraId="5FBEE2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bCs/>
                      <w:color w:val="000000" w:themeColor="text1"/>
                      <w:kern w:val="2"/>
                      <w:sz w:val="24"/>
                      <w:szCs w:val="21"/>
                      <w:lang w:val="en-US" w:eastAsia="zh-CN" w:bidi="ar-SA"/>
                    </w:rPr>
                  </w:pPr>
                  <w:r>
                    <w:rPr>
                      <w:rFonts w:hint="default" w:ascii="Times New Roman" w:hAnsi="Times New Roman" w:eastAsia="宋体" w:cs="Times New Roman"/>
                      <w:bCs/>
                      <w:color w:val="000000" w:themeColor="text1"/>
                      <w:kern w:val="2"/>
                      <w:sz w:val="21"/>
                      <w:szCs w:val="21"/>
                      <w:lang w:val="en-US" w:eastAsia="zh-CN" w:bidi="ar"/>
                    </w:rPr>
                    <w:t>2.6</w:t>
                  </w:r>
                </w:p>
              </w:tc>
              <w:tc>
                <w:tcPr>
                  <w:tcW w:w="2104" w:type="dxa"/>
                  <w:vMerge w:val="continue"/>
                  <w:tcBorders>
                    <w:top w:val="single" w:color="auto" w:sz="4" w:space="0"/>
                    <w:left w:val="single" w:color="auto" w:sz="4" w:space="0"/>
                    <w:bottom w:val="single" w:color="auto" w:sz="4" w:space="0"/>
                    <w:right w:val="single" w:color="auto" w:sz="4" w:space="0"/>
                  </w:tcBorders>
                  <w:noWrap w:val="0"/>
                  <w:vAlign w:val="center"/>
                </w:tcPr>
                <w:p w14:paraId="4AE7D6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cs="Times New Roman"/>
                      <w:color w:val="000000" w:themeColor="text1"/>
                      <w:sz w:val="20"/>
                      <w:szCs w:val="20"/>
                    </w:rPr>
                  </w:pPr>
                </w:p>
              </w:tc>
            </w:tr>
          </w:tbl>
          <w:p w14:paraId="35289EC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firstLineChars="200"/>
              <w:textAlignment w:val="auto"/>
              <w:rPr>
                <w:rFonts w:hint="eastAsia" w:ascii="Times New Roman" w:hAnsi="Times New Roman" w:eastAsia="宋体" w:cs="Times New Roman"/>
                <w:b/>
                <w:bCs/>
                <w:color w:val="000000" w:themeColor="text1"/>
                <w:sz w:val="21"/>
                <w:szCs w:val="21"/>
                <w:lang w:val="en-US" w:eastAsia="zh-CN"/>
              </w:rPr>
            </w:pPr>
            <w:r>
              <w:rPr>
                <w:rFonts w:hint="eastAsia" w:ascii="Times New Roman" w:hAnsi="Times New Roman" w:eastAsia="宋体" w:cs="Times New Roman"/>
                <w:b/>
                <w:bCs/>
                <w:color w:val="000000" w:themeColor="text1"/>
                <w:sz w:val="21"/>
                <w:szCs w:val="21"/>
                <w:lang w:val="en-US" w:eastAsia="zh-CN"/>
              </w:rPr>
              <w:t>2）无组织废气</w:t>
            </w:r>
          </w:p>
          <w:p w14:paraId="3036244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b w:val="0"/>
                <w:bCs w:val="0"/>
                <w:color w:val="000000" w:themeColor="text1"/>
                <w:sz w:val="21"/>
                <w:szCs w:val="21"/>
                <w:lang w:val="en-US" w:eastAsia="zh-CN"/>
              </w:rPr>
              <w:t>项目按一定配比将废纸、菜花黄、硫酸铝、石英砂加入搅拌机进行搅拌。粉状物料在投料工序会产生少量粉尘，投料产生量较小，通过加强车间通风换气，呈无组织排放在车间内，其</w:t>
            </w:r>
            <w:r>
              <w:rPr>
                <w:rFonts w:hint="default" w:ascii="宋体" w:hAnsi="宋体" w:eastAsia="宋体" w:cs="宋体"/>
                <w:b w:val="0"/>
                <w:bCs w:val="0"/>
                <w:color w:val="000000" w:themeColor="text1"/>
                <w:sz w:val="21"/>
                <w:szCs w:val="21"/>
              </w:rPr>
              <w:t>执行《大气污染物综合排放标准》（</w:t>
            </w:r>
            <w:r>
              <w:rPr>
                <w:rFonts w:hint="default" w:ascii="Times New Roman" w:hAnsi="Times New Roman" w:eastAsia="宋体" w:cs="Times New Roman"/>
                <w:b w:val="0"/>
                <w:bCs w:val="0"/>
                <w:color w:val="000000" w:themeColor="text1"/>
                <w:sz w:val="21"/>
                <w:szCs w:val="21"/>
              </w:rPr>
              <w:t>GB16297-1996</w:t>
            </w:r>
            <w:r>
              <w:rPr>
                <w:rFonts w:hint="default" w:ascii="宋体" w:hAnsi="宋体" w:eastAsia="宋体" w:cs="宋体"/>
                <w:b w:val="0"/>
                <w:bCs w:val="0"/>
                <w:color w:val="000000" w:themeColor="text1"/>
                <w:sz w:val="21"/>
                <w:szCs w:val="21"/>
              </w:rPr>
              <w:t>）表</w:t>
            </w:r>
            <w:r>
              <w:rPr>
                <w:rFonts w:hint="default" w:ascii="Times New Roman" w:hAnsi="Times New Roman" w:eastAsia="宋体" w:cs="Times New Roman"/>
                <w:b w:val="0"/>
                <w:bCs w:val="0"/>
                <w:color w:val="000000" w:themeColor="text1"/>
                <w:sz w:val="21"/>
                <w:szCs w:val="21"/>
              </w:rPr>
              <w:t>2</w:t>
            </w:r>
            <w:r>
              <w:rPr>
                <w:rFonts w:hint="default" w:ascii="宋体" w:hAnsi="宋体" w:eastAsia="宋体" w:cs="宋体"/>
                <w:b w:val="0"/>
                <w:bCs w:val="0"/>
                <w:color w:val="000000" w:themeColor="text1"/>
                <w:sz w:val="21"/>
                <w:szCs w:val="21"/>
              </w:rPr>
              <w:t>无组织排放标准限值</w:t>
            </w:r>
            <w:r>
              <w:rPr>
                <w:rFonts w:hint="eastAsia" w:ascii="宋体" w:hAnsi="宋体" w:eastAsia="宋体" w:cs="宋体"/>
                <w:b w:val="0"/>
                <w:bCs w:val="0"/>
                <w:color w:val="000000" w:themeColor="text1"/>
                <w:sz w:val="21"/>
                <w:szCs w:val="21"/>
                <w:lang w:eastAsia="zh-CN"/>
              </w:rPr>
              <w:t>，</w:t>
            </w:r>
            <w:r>
              <w:rPr>
                <w:rFonts w:hint="eastAsia" w:ascii="宋体" w:hAnsi="宋体" w:eastAsia="宋体" w:cs="宋体"/>
                <w:b w:val="0"/>
                <w:bCs w:val="0"/>
                <w:color w:val="000000" w:themeColor="text1"/>
                <w:sz w:val="21"/>
                <w:szCs w:val="21"/>
                <w:lang w:val="en-US" w:eastAsia="zh-CN"/>
              </w:rPr>
              <w:t>即</w:t>
            </w:r>
            <w:r>
              <w:rPr>
                <w:rFonts w:hint="default" w:ascii="Times New Roman" w:hAnsi="Times New Roman" w:eastAsia="宋体" w:cs="Times New Roman"/>
                <w:color w:val="000000" w:themeColor="text1"/>
                <w:sz w:val="21"/>
                <w:szCs w:val="21"/>
              </w:rPr>
              <w:t>颗粒物≤1.0mg/m</w:t>
            </w:r>
            <w:r>
              <w:rPr>
                <w:rFonts w:hint="default" w:ascii="Times New Roman" w:hAnsi="Times New Roman" w:eastAsia="宋体" w:cs="Times New Roman"/>
                <w:color w:val="000000" w:themeColor="text1"/>
                <w:sz w:val="21"/>
                <w:szCs w:val="21"/>
                <w:vertAlign w:val="superscript"/>
              </w:rPr>
              <w:t>3</w:t>
            </w:r>
            <w:r>
              <w:rPr>
                <w:rFonts w:hint="eastAsia" w:ascii="Times New Roman" w:hAnsi="Times New Roman" w:eastAsia="宋体" w:cs="Times New Roman"/>
                <w:color w:val="000000" w:themeColor="text1"/>
                <w:sz w:val="21"/>
                <w:szCs w:val="21"/>
                <w:lang w:eastAsia="zh-CN"/>
              </w:rPr>
              <w:t>。</w:t>
            </w:r>
          </w:p>
          <w:p w14:paraId="1D5263D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val="0"/>
                <w:color w:val="00B050"/>
                <w:sz w:val="21"/>
                <w:szCs w:val="21"/>
                <w:lang w:val="en-US" w:eastAsia="zh-CN"/>
              </w:rPr>
            </w:pPr>
            <w:r>
              <w:rPr>
                <w:rFonts w:hint="eastAsia" w:cs="Times New Roman"/>
                <w:color w:val="00B050"/>
                <w:sz w:val="21"/>
                <w:szCs w:val="21"/>
                <w:lang w:val="en-US" w:eastAsia="zh-CN"/>
              </w:rPr>
              <w:t>原料堆存处和配料池会产生少量异味，主要污染物为臭气浓度。投料仓为半封闭式，项目无组织废气中臭气浓度厂界浓度执行《恶臭污染物排放标准》（GB14554-93）二级标准，即臭气浓度≤20（无量纲）。</w:t>
            </w:r>
          </w:p>
          <w:p w14:paraId="27AFE80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000000" w:themeColor="text1"/>
                <w:sz w:val="21"/>
                <w:szCs w:val="21"/>
              </w:rPr>
            </w:pPr>
            <w:r>
              <w:rPr>
                <w:rFonts w:hint="eastAsia" w:ascii="Times New Roman" w:hAnsi="Times New Roman" w:eastAsia="宋体" w:cs="Times New Roman"/>
                <w:b/>
                <w:bCs/>
                <w:color w:val="000000" w:themeColor="text1"/>
                <w:sz w:val="21"/>
                <w:szCs w:val="21"/>
                <w:lang w:val="en-US" w:eastAsia="zh-CN"/>
              </w:rPr>
              <w:t>3）</w:t>
            </w:r>
            <w:r>
              <w:rPr>
                <w:rFonts w:hint="default" w:ascii="Times New Roman" w:hAnsi="Times New Roman" w:eastAsia="宋体" w:cs="Times New Roman"/>
                <w:b/>
                <w:bCs/>
                <w:color w:val="000000" w:themeColor="text1"/>
                <w:sz w:val="21"/>
                <w:szCs w:val="21"/>
              </w:rPr>
              <w:t>食堂油烟</w:t>
            </w:r>
          </w:p>
          <w:p w14:paraId="45A1F8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项目运营期在办公生活区设置职工食堂，职工食堂内拟设标准灶台1个，食堂烹饪过程中会产生少量烹饪油烟，食堂油烟经油烟净化器处理后通过排气筒引至屋顶排放，排放执行GB18483-2001《饮食业油烟排放标准》中的小型标准，餐饮业单位的油烟最高允许排放浓度和油烟净化设施最低去除效率见表</w:t>
            </w:r>
            <w:r>
              <w:rPr>
                <w:rFonts w:hint="eastAsia" w:ascii="Times New Roman" w:hAnsi="Times New Roman" w:eastAsia="宋体" w:cs="Times New Roman"/>
                <w:color w:val="000000" w:themeColor="text1"/>
                <w:sz w:val="21"/>
                <w:szCs w:val="21"/>
                <w:lang w:val="en-US" w:eastAsia="zh-CN"/>
              </w:rPr>
              <w:t>3</w:t>
            </w:r>
            <w:r>
              <w:rPr>
                <w:rFonts w:hint="default" w:ascii="Times New Roman" w:hAnsi="Times New Roman" w:eastAsia="宋体" w:cs="Times New Roman"/>
                <w:color w:val="000000" w:themeColor="text1"/>
                <w:sz w:val="21"/>
                <w:szCs w:val="21"/>
              </w:rPr>
              <w:t>-</w:t>
            </w:r>
            <w:r>
              <w:rPr>
                <w:rFonts w:hint="eastAsia" w:cs="Times New Roman"/>
                <w:color w:val="000000" w:themeColor="text1"/>
                <w:sz w:val="21"/>
                <w:szCs w:val="21"/>
                <w:lang w:val="en-US" w:eastAsia="zh-CN"/>
              </w:rPr>
              <w:t>9</w:t>
            </w:r>
            <w:r>
              <w:rPr>
                <w:rFonts w:hint="default" w:ascii="Times New Roman" w:hAnsi="Times New Roman" w:eastAsia="宋体" w:cs="Times New Roman"/>
                <w:color w:val="000000" w:themeColor="text1"/>
                <w:sz w:val="21"/>
                <w:szCs w:val="21"/>
              </w:rPr>
              <w:t xml:space="preserve">。 </w:t>
            </w:r>
          </w:p>
          <w:p w14:paraId="485C2386">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表3-</w:t>
            </w:r>
            <w:r>
              <w:rPr>
                <w:rFonts w:hint="eastAsia" w:cs="Times New Roman"/>
                <w:color w:val="000000" w:themeColor="text1"/>
                <w:sz w:val="21"/>
                <w:szCs w:val="21"/>
                <w:lang w:val="en-US" w:eastAsia="zh-CN"/>
              </w:rPr>
              <w:t>9</w:t>
            </w:r>
            <w:r>
              <w:rPr>
                <w:rFonts w:hint="default" w:ascii="Times New Roman" w:hAnsi="Times New Roman" w:eastAsia="宋体" w:cs="Times New Roman"/>
                <w:color w:val="000000" w:themeColor="text1"/>
                <w:sz w:val="21"/>
                <w:szCs w:val="21"/>
              </w:rPr>
              <w:t xml:space="preserve">  油烟排放标准</w:t>
            </w:r>
          </w:p>
          <w:tbl>
            <w:tblPr>
              <w:tblStyle w:val="4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01"/>
              <w:gridCol w:w="3939"/>
            </w:tblGrid>
            <w:tr w14:paraId="2BC1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50" w:type="pct"/>
                  <w:noWrap w:val="0"/>
                  <w:vAlign w:val="center"/>
                </w:tcPr>
                <w:p w14:paraId="24F8E940">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规模</w:t>
                  </w:r>
                </w:p>
              </w:tc>
              <w:tc>
                <w:tcPr>
                  <w:tcW w:w="2449" w:type="pct"/>
                  <w:noWrap w:val="0"/>
                  <w:vAlign w:val="center"/>
                </w:tcPr>
                <w:p w14:paraId="13C4808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小型</w:t>
                  </w:r>
                </w:p>
              </w:tc>
            </w:tr>
            <w:tr w14:paraId="17990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50" w:type="pct"/>
                  <w:noWrap w:val="0"/>
                  <w:vAlign w:val="center"/>
                </w:tcPr>
                <w:p w14:paraId="304E2F6B">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净化设施最低去除效率（%）</w:t>
                  </w:r>
                </w:p>
              </w:tc>
              <w:tc>
                <w:tcPr>
                  <w:tcW w:w="2449" w:type="pct"/>
                  <w:noWrap w:val="0"/>
                  <w:vAlign w:val="center"/>
                </w:tcPr>
                <w:p w14:paraId="32DF082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60</w:t>
                  </w:r>
                </w:p>
              </w:tc>
            </w:tr>
            <w:tr w14:paraId="7CA6F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50" w:type="pct"/>
                  <w:noWrap w:val="0"/>
                  <w:vAlign w:val="center"/>
                </w:tcPr>
                <w:p w14:paraId="2880C0E7">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最高允许排放浓度（mg/m³）</w:t>
                  </w:r>
                </w:p>
              </w:tc>
              <w:tc>
                <w:tcPr>
                  <w:tcW w:w="2449" w:type="pct"/>
                  <w:noWrap w:val="0"/>
                  <w:vAlign w:val="center"/>
                </w:tcPr>
                <w:p w14:paraId="5306E703">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w:t>
                  </w:r>
                </w:p>
              </w:tc>
            </w:tr>
          </w:tbl>
          <w:p w14:paraId="408BAA0C">
            <w:pPr>
              <w:pStyle w:val="3"/>
              <w:keepNext w:val="0"/>
              <w:keepLines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firstLine="422"/>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（2）运营期废水</w:t>
            </w:r>
          </w:p>
          <w:p w14:paraId="1E1E2B88">
            <w:pPr>
              <w:keepNext w:val="0"/>
              <w:keepLines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jc w:val="both"/>
              <w:textAlignment w:val="auto"/>
              <w:rPr>
                <w:rFonts w:hint="default" w:ascii="Times New Roman" w:hAnsi="Times New Roman" w:cs="Times New Roman"/>
                <w:color w:val="000000" w:themeColor="text1"/>
                <w:lang w:val="en-US"/>
              </w:rPr>
            </w:pPr>
            <w:r>
              <w:rPr>
                <w:rFonts w:hint="default" w:ascii="Times New Roman" w:hAnsi="Times New Roman" w:eastAsia="宋体" w:cs="Times New Roman"/>
                <w:color w:val="000000" w:themeColor="text1"/>
                <w:sz w:val="21"/>
                <w:szCs w:val="21"/>
              </w:rPr>
              <w:t>本项目运营期生产废水循环使用，不外排；</w:t>
            </w:r>
            <w:r>
              <w:rPr>
                <w:rFonts w:hint="eastAsia" w:ascii="Times New Roman" w:hAnsi="Times New Roman" w:eastAsia="宋体" w:cs="Times New Roman"/>
                <w:color w:val="000000" w:themeColor="text1"/>
                <w:sz w:val="21"/>
                <w:szCs w:val="21"/>
                <w:lang w:val="en-US" w:eastAsia="zh-CN"/>
              </w:rPr>
              <w:t>餐饮</w:t>
            </w:r>
            <w:r>
              <w:rPr>
                <w:rFonts w:hint="default" w:ascii="Times New Roman" w:hAnsi="Times New Roman" w:eastAsia="宋体" w:cs="Times New Roman"/>
                <w:color w:val="000000" w:themeColor="text1"/>
                <w:sz w:val="21"/>
                <w:szCs w:val="21"/>
              </w:rPr>
              <w:t>废水经隔油池</w:t>
            </w:r>
            <w:r>
              <w:rPr>
                <w:rFonts w:hint="default" w:ascii="Times New Roman" w:hAnsi="Times New Roman" w:eastAsia="宋体" w:cs="Times New Roman"/>
                <w:color w:val="000000" w:themeColor="text1"/>
                <w:sz w:val="21"/>
                <w:szCs w:val="21"/>
                <w:lang w:val="en-US" w:eastAsia="zh-CN"/>
              </w:rPr>
              <w:t>（TW001）</w:t>
            </w:r>
            <w:r>
              <w:rPr>
                <w:rFonts w:hint="default" w:ascii="Times New Roman" w:hAnsi="Times New Roman" w:eastAsia="宋体" w:cs="Times New Roman"/>
                <w:color w:val="000000" w:themeColor="text1"/>
                <w:sz w:val="21"/>
                <w:szCs w:val="21"/>
              </w:rPr>
              <w:t>处理后，与其他污水一起进入化粪池</w:t>
            </w:r>
            <w:r>
              <w:rPr>
                <w:rFonts w:hint="default" w:ascii="Times New Roman" w:hAnsi="Times New Roman" w:eastAsia="宋体" w:cs="Times New Roman"/>
                <w:color w:val="000000" w:themeColor="text1"/>
                <w:sz w:val="21"/>
                <w:szCs w:val="21"/>
                <w:lang w:val="en-US" w:eastAsia="zh-CN"/>
              </w:rPr>
              <w:t>（TW00</w:t>
            </w:r>
            <w:r>
              <w:rPr>
                <w:rFonts w:hint="eastAsia" w:cs="Times New Roman"/>
                <w:color w:val="000000" w:themeColor="text1"/>
                <w:sz w:val="21"/>
                <w:szCs w:val="21"/>
                <w:lang w:val="en-US" w:eastAsia="zh-CN"/>
              </w:rPr>
              <w:t>2</w:t>
            </w:r>
            <w:r>
              <w:rPr>
                <w:rFonts w:hint="default" w:ascii="Times New Roman" w:hAnsi="Times New Roman" w:eastAsia="宋体" w:cs="Times New Roman"/>
                <w:color w:val="000000" w:themeColor="text1"/>
                <w:sz w:val="21"/>
                <w:szCs w:val="21"/>
                <w:lang w:val="en-US" w:eastAsia="zh-CN"/>
              </w:rPr>
              <w:t>）</w:t>
            </w:r>
            <w:r>
              <w:rPr>
                <w:rFonts w:hint="eastAsia" w:ascii="Times New Roman" w:hAnsi="Times New Roman" w:eastAsia="宋体" w:cs="Times New Roman"/>
                <w:color w:val="000000" w:themeColor="text1"/>
                <w:sz w:val="21"/>
                <w:szCs w:val="21"/>
                <w:lang w:val="en-US" w:eastAsia="zh-CN"/>
              </w:rPr>
              <w:t>接管</w:t>
            </w:r>
            <w:r>
              <w:rPr>
                <w:rFonts w:hint="default" w:ascii="Times New Roman" w:hAnsi="Times New Roman" w:eastAsia="宋体" w:cs="Times New Roman"/>
                <w:color w:val="000000" w:themeColor="text1"/>
                <w:kern w:val="2"/>
                <w:sz w:val="21"/>
                <w:szCs w:val="21"/>
                <w:lang w:val="en-US" w:eastAsia="zh-CN" w:bidi="ar"/>
              </w:rPr>
              <w:t>进入园区污水管网，再进入工业园区污水处理厂处理，生活污水执行《污水排入城镇下水道水质标准》（GB/T31962-2015）表1中B级标准和《污水综合排放标准》（GB8978-1996）三级标准（两者相同污染物取较严执行）</w:t>
            </w:r>
            <w:r>
              <w:rPr>
                <w:rFonts w:hint="default" w:ascii="Times New Roman" w:hAnsi="Times New Roman" w:eastAsia="宋体" w:cs="Times New Roman"/>
                <w:color w:val="000000" w:themeColor="text1"/>
                <w:kern w:val="2"/>
                <w:sz w:val="21"/>
                <w:szCs w:val="21"/>
                <w:lang w:val="zh-CN" w:eastAsia="zh-CN" w:bidi="ar"/>
              </w:rPr>
              <w:t>后</w:t>
            </w:r>
            <w:r>
              <w:rPr>
                <w:rFonts w:hint="default" w:ascii="Times New Roman" w:hAnsi="Times New Roman" w:eastAsia="宋体" w:cs="Times New Roman"/>
                <w:color w:val="000000" w:themeColor="text1"/>
                <w:kern w:val="2"/>
                <w:sz w:val="21"/>
                <w:szCs w:val="21"/>
                <w:lang w:val="en-US" w:eastAsia="zh-CN" w:bidi="ar"/>
              </w:rPr>
              <w:t>排入通海县五金产业园区生活污水处理厂</w:t>
            </w:r>
            <w:r>
              <w:rPr>
                <w:rFonts w:hint="eastAsia" w:ascii="Times New Roman" w:hAnsi="Times New Roman" w:eastAsia="宋体" w:cs="Times New Roman"/>
                <w:color w:val="000000" w:themeColor="text1"/>
                <w:kern w:val="2"/>
                <w:sz w:val="21"/>
                <w:szCs w:val="21"/>
                <w:lang w:val="en-US" w:eastAsia="zh-CN" w:bidi="ar"/>
              </w:rPr>
              <w:t>，</w:t>
            </w:r>
            <w:r>
              <w:rPr>
                <w:rFonts w:hint="default" w:ascii="Times New Roman" w:hAnsi="Times New Roman" w:eastAsia="宋体" w:cs="Times New Roman"/>
                <w:color w:val="000000" w:themeColor="text1"/>
                <w:kern w:val="2"/>
                <w:sz w:val="21"/>
                <w:szCs w:val="21"/>
                <w:lang w:val="en-US" w:eastAsia="zh-CN" w:bidi="ar"/>
              </w:rPr>
              <w:t>执行标准见下表所示。</w:t>
            </w:r>
          </w:p>
          <w:p w14:paraId="128975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szCs w:val="21"/>
                <w:lang w:val="en-US"/>
              </w:rPr>
            </w:pPr>
            <w:r>
              <w:rPr>
                <w:rFonts w:hint="eastAsia" w:ascii="Times New Roman" w:hAnsi="Times New Roman" w:eastAsia="宋体" w:cs="宋体"/>
                <w:b/>
                <w:bCs/>
                <w:color w:val="000000" w:themeColor="text1"/>
                <w:kern w:val="2"/>
                <w:sz w:val="21"/>
                <w:szCs w:val="21"/>
                <w:lang w:val="en-US" w:eastAsia="zh-CN" w:bidi="ar"/>
              </w:rPr>
              <w:t>表</w:t>
            </w:r>
            <w:r>
              <w:rPr>
                <w:rFonts w:hint="default" w:ascii="Times New Roman" w:hAnsi="Times New Roman" w:eastAsia="宋体" w:cs="Times New Roman"/>
                <w:b/>
                <w:bCs/>
                <w:color w:val="000000" w:themeColor="text1"/>
                <w:kern w:val="2"/>
                <w:sz w:val="21"/>
                <w:szCs w:val="21"/>
                <w:lang w:val="en-US" w:eastAsia="zh-CN" w:bidi="ar"/>
              </w:rPr>
              <w:t>3-</w:t>
            </w:r>
            <w:r>
              <w:rPr>
                <w:rFonts w:hint="eastAsia" w:cs="Times New Roman"/>
                <w:b/>
                <w:bCs/>
                <w:color w:val="000000" w:themeColor="text1"/>
                <w:kern w:val="2"/>
                <w:sz w:val="21"/>
                <w:szCs w:val="21"/>
                <w:lang w:val="en-US" w:eastAsia="zh-CN" w:bidi="ar"/>
              </w:rPr>
              <w:t>10</w:t>
            </w:r>
            <w:r>
              <w:rPr>
                <w:rFonts w:hint="default" w:ascii="Times New Roman" w:hAnsi="Times New Roman" w:eastAsia="宋体" w:cs="Times New Roman"/>
                <w:b/>
                <w:bCs/>
                <w:color w:val="000000" w:themeColor="text1"/>
                <w:kern w:val="2"/>
                <w:sz w:val="21"/>
                <w:szCs w:val="21"/>
                <w:lang w:val="en-US" w:eastAsia="zh-CN" w:bidi="ar"/>
              </w:rPr>
              <w:t xml:space="preserve">  </w:t>
            </w:r>
            <w:r>
              <w:rPr>
                <w:rFonts w:hint="eastAsia" w:ascii="Times New Roman" w:hAnsi="Times New Roman" w:eastAsia="宋体" w:cs="宋体"/>
                <w:b/>
                <w:bCs/>
                <w:color w:val="000000" w:themeColor="text1"/>
                <w:kern w:val="2"/>
                <w:sz w:val="21"/>
                <w:szCs w:val="21"/>
                <w:lang w:val="en-US" w:eastAsia="zh-CN" w:bidi="ar"/>
              </w:rPr>
              <w:t>污水排入城市下水道水质标准</w:t>
            </w:r>
          </w:p>
          <w:tbl>
            <w:tblPr>
              <w:tblStyle w:val="43"/>
              <w:tblW w:w="818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96"/>
              <w:gridCol w:w="909"/>
              <w:gridCol w:w="936"/>
              <w:gridCol w:w="624"/>
              <w:gridCol w:w="768"/>
              <w:gridCol w:w="1116"/>
              <w:gridCol w:w="888"/>
              <w:gridCol w:w="1347"/>
            </w:tblGrid>
            <w:tr w14:paraId="7A4104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96" w:type="dxa"/>
                  <w:tcBorders>
                    <w:top w:val="single" w:color="auto" w:sz="6" w:space="0"/>
                    <w:left w:val="single" w:color="auto" w:sz="6" w:space="0"/>
                    <w:bottom w:val="single" w:color="auto" w:sz="6" w:space="0"/>
                    <w:right w:val="single" w:color="auto" w:sz="6" w:space="0"/>
                  </w:tcBorders>
                  <w:noWrap w:val="0"/>
                  <w:vAlign w:val="center"/>
                </w:tcPr>
                <w:p w14:paraId="004535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sz w:val="21"/>
                      <w:szCs w:val="21"/>
                      <w:lang w:val="en-US"/>
                    </w:rPr>
                  </w:pPr>
                  <w:r>
                    <w:rPr>
                      <w:rFonts w:hint="default" w:ascii="Times New Roman" w:hAnsi="Times New Roman" w:eastAsia="宋体" w:cs="Times New Roman"/>
                      <w:b/>
                      <w:bCs w:val="0"/>
                      <w:color w:val="000000" w:themeColor="text1"/>
                      <w:kern w:val="2"/>
                      <w:sz w:val="21"/>
                      <w:szCs w:val="21"/>
                      <w:lang w:val="en-US" w:eastAsia="zh-CN" w:bidi="ar"/>
                    </w:rPr>
                    <w:t>标准类别</w:t>
                  </w:r>
                </w:p>
              </w:tc>
              <w:tc>
                <w:tcPr>
                  <w:tcW w:w="909" w:type="dxa"/>
                  <w:tcBorders>
                    <w:top w:val="single" w:color="auto" w:sz="6" w:space="0"/>
                    <w:left w:val="single" w:color="auto" w:sz="6" w:space="0"/>
                    <w:bottom w:val="single" w:color="auto" w:sz="6" w:space="0"/>
                    <w:right w:val="single" w:color="auto" w:sz="6" w:space="0"/>
                  </w:tcBorders>
                  <w:noWrap w:val="0"/>
                  <w:vAlign w:val="center"/>
                </w:tcPr>
                <w:p w14:paraId="7A01AC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sz w:val="21"/>
                      <w:szCs w:val="21"/>
                      <w:lang w:val="en-US"/>
                    </w:rPr>
                  </w:pPr>
                  <w:r>
                    <w:rPr>
                      <w:rFonts w:hint="default" w:ascii="Times New Roman" w:hAnsi="Times New Roman" w:eastAsia="宋体" w:cs="Times New Roman"/>
                      <w:b/>
                      <w:bCs w:val="0"/>
                      <w:color w:val="000000" w:themeColor="text1"/>
                      <w:kern w:val="2"/>
                      <w:sz w:val="21"/>
                      <w:szCs w:val="21"/>
                      <w:lang w:val="en-US" w:eastAsia="zh-CN" w:bidi="ar"/>
                    </w:rPr>
                    <w:t>pH</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4863C7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sz w:val="21"/>
                      <w:szCs w:val="21"/>
                      <w:lang w:val="en-US"/>
                    </w:rPr>
                  </w:pPr>
                  <w:r>
                    <w:rPr>
                      <w:rFonts w:hint="default" w:ascii="Times New Roman" w:hAnsi="Times New Roman" w:eastAsia="宋体" w:cs="Times New Roman"/>
                      <w:b/>
                      <w:bCs w:val="0"/>
                      <w:color w:val="000000" w:themeColor="text1"/>
                      <w:kern w:val="2"/>
                      <w:sz w:val="21"/>
                      <w:szCs w:val="21"/>
                      <w:lang w:val="en-US" w:eastAsia="zh-CN" w:bidi="ar"/>
                    </w:rPr>
                    <w:t>COD</w:t>
                  </w:r>
                  <w:r>
                    <w:rPr>
                      <w:rFonts w:hint="default" w:ascii="Times New Roman" w:hAnsi="Times New Roman" w:eastAsia="宋体" w:cs="Times New Roman"/>
                      <w:b/>
                      <w:bCs w:val="0"/>
                      <w:color w:val="000000" w:themeColor="text1"/>
                      <w:kern w:val="2"/>
                      <w:sz w:val="21"/>
                      <w:szCs w:val="21"/>
                      <w:vertAlign w:val="subscript"/>
                      <w:lang w:val="en-US" w:eastAsia="zh-CN" w:bidi="ar"/>
                    </w:rPr>
                    <w:t>cr</w:t>
                  </w:r>
                </w:p>
              </w:tc>
              <w:tc>
                <w:tcPr>
                  <w:tcW w:w="624" w:type="dxa"/>
                  <w:tcBorders>
                    <w:top w:val="single" w:color="auto" w:sz="6" w:space="0"/>
                    <w:left w:val="single" w:color="auto" w:sz="6" w:space="0"/>
                    <w:bottom w:val="single" w:color="auto" w:sz="6" w:space="0"/>
                    <w:right w:val="single" w:color="auto" w:sz="6" w:space="0"/>
                  </w:tcBorders>
                  <w:noWrap w:val="0"/>
                  <w:vAlign w:val="center"/>
                </w:tcPr>
                <w:p w14:paraId="4D5150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sz w:val="21"/>
                      <w:szCs w:val="21"/>
                      <w:lang w:val="en-US"/>
                    </w:rPr>
                  </w:pPr>
                  <w:r>
                    <w:rPr>
                      <w:rFonts w:hint="default" w:ascii="Times New Roman" w:hAnsi="Times New Roman" w:eastAsia="宋体" w:cs="Times New Roman"/>
                      <w:b/>
                      <w:bCs w:val="0"/>
                      <w:color w:val="000000" w:themeColor="text1"/>
                      <w:kern w:val="2"/>
                      <w:sz w:val="21"/>
                      <w:szCs w:val="21"/>
                      <w:lang w:val="en-US" w:eastAsia="zh-CN" w:bidi="ar"/>
                    </w:rPr>
                    <w:t>SS</w:t>
                  </w:r>
                </w:p>
              </w:tc>
              <w:tc>
                <w:tcPr>
                  <w:tcW w:w="768" w:type="dxa"/>
                  <w:tcBorders>
                    <w:top w:val="single" w:color="auto" w:sz="6" w:space="0"/>
                    <w:left w:val="single" w:color="auto" w:sz="6" w:space="0"/>
                    <w:bottom w:val="single" w:color="auto" w:sz="6" w:space="0"/>
                    <w:right w:val="single" w:color="auto" w:sz="6" w:space="0"/>
                  </w:tcBorders>
                  <w:noWrap w:val="0"/>
                  <w:vAlign w:val="center"/>
                </w:tcPr>
                <w:p w14:paraId="6318BA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sz w:val="21"/>
                      <w:szCs w:val="21"/>
                      <w:lang w:val="en-US"/>
                    </w:rPr>
                  </w:pPr>
                  <w:r>
                    <w:rPr>
                      <w:rFonts w:hint="default" w:ascii="Times New Roman" w:hAnsi="Times New Roman" w:eastAsia="宋体" w:cs="Times New Roman"/>
                      <w:b/>
                      <w:bCs w:val="0"/>
                      <w:color w:val="000000" w:themeColor="text1"/>
                      <w:kern w:val="2"/>
                      <w:sz w:val="21"/>
                      <w:szCs w:val="21"/>
                      <w:lang w:val="en-US" w:eastAsia="zh-CN" w:bidi="ar"/>
                    </w:rPr>
                    <w:t>BOD</w:t>
                  </w:r>
                  <w:r>
                    <w:rPr>
                      <w:rFonts w:hint="default" w:ascii="Times New Roman" w:hAnsi="Times New Roman" w:eastAsia="宋体" w:cs="Times New Roman"/>
                      <w:b/>
                      <w:bCs w:val="0"/>
                      <w:color w:val="000000" w:themeColor="text1"/>
                      <w:kern w:val="2"/>
                      <w:sz w:val="21"/>
                      <w:szCs w:val="21"/>
                      <w:vertAlign w:val="subscript"/>
                      <w:lang w:val="en-US" w:eastAsia="zh-CN" w:bidi="ar"/>
                    </w:rPr>
                    <w:t>5</w:t>
                  </w:r>
                </w:p>
              </w:tc>
              <w:tc>
                <w:tcPr>
                  <w:tcW w:w="1116" w:type="dxa"/>
                  <w:tcBorders>
                    <w:top w:val="single" w:color="auto" w:sz="6" w:space="0"/>
                    <w:left w:val="single" w:color="auto" w:sz="6" w:space="0"/>
                    <w:bottom w:val="single" w:color="auto" w:sz="6" w:space="0"/>
                    <w:right w:val="single" w:color="auto" w:sz="6" w:space="0"/>
                  </w:tcBorders>
                  <w:noWrap w:val="0"/>
                  <w:vAlign w:val="center"/>
                </w:tcPr>
                <w:p w14:paraId="2E948C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sz w:val="21"/>
                      <w:szCs w:val="21"/>
                      <w:lang w:val="en-US"/>
                    </w:rPr>
                  </w:pPr>
                  <w:r>
                    <w:rPr>
                      <w:rFonts w:hint="default" w:ascii="Times New Roman" w:hAnsi="Times New Roman" w:eastAsia="宋体" w:cs="Times New Roman"/>
                      <w:b/>
                      <w:bCs w:val="0"/>
                      <w:color w:val="000000" w:themeColor="text1"/>
                      <w:kern w:val="2"/>
                      <w:sz w:val="21"/>
                      <w:szCs w:val="21"/>
                      <w:lang w:val="en-US" w:eastAsia="zh-CN" w:bidi="ar"/>
                    </w:rPr>
                    <w:t>动植物油</w:t>
                  </w:r>
                </w:p>
              </w:tc>
              <w:tc>
                <w:tcPr>
                  <w:tcW w:w="888" w:type="dxa"/>
                  <w:tcBorders>
                    <w:top w:val="single" w:color="auto" w:sz="6" w:space="0"/>
                    <w:left w:val="single" w:color="auto" w:sz="6" w:space="0"/>
                    <w:bottom w:val="single" w:color="auto" w:sz="6" w:space="0"/>
                    <w:right w:val="single" w:color="auto" w:sz="6" w:space="0"/>
                  </w:tcBorders>
                  <w:noWrap w:val="0"/>
                  <w:vAlign w:val="center"/>
                </w:tcPr>
                <w:p w14:paraId="233352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b/>
                      <w:bCs w:val="0"/>
                      <w:color w:val="000000" w:themeColor="text1"/>
                      <w:sz w:val="21"/>
                      <w:szCs w:val="21"/>
                      <w:lang w:val="en-US" w:eastAsia="zh-CN"/>
                    </w:rPr>
                  </w:pPr>
                  <w:r>
                    <w:rPr>
                      <w:rFonts w:hint="eastAsia" w:ascii="Times New Roman" w:hAnsi="Times New Roman" w:cs="Times New Roman"/>
                      <w:b/>
                      <w:bCs w:val="0"/>
                      <w:color w:val="000000" w:themeColor="text1"/>
                      <w:sz w:val="21"/>
                      <w:szCs w:val="21"/>
                      <w:lang w:val="en-US" w:eastAsia="zh-CN"/>
                    </w:rPr>
                    <w:t>氨氮</w:t>
                  </w:r>
                </w:p>
              </w:tc>
              <w:tc>
                <w:tcPr>
                  <w:tcW w:w="1347" w:type="dxa"/>
                  <w:tcBorders>
                    <w:top w:val="single" w:color="auto" w:sz="6" w:space="0"/>
                    <w:left w:val="single" w:color="auto" w:sz="6" w:space="0"/>
                    <w:bottom w:val="single" w:color="auto" w:sz="6" w:space="0"/>
                    <w:right w:val="single" w:color="auto" w:sz="6" w:space="0"/>
                  </w:tcBorders>
                  <w:noWrap w:val="0"/>
                  <w:vAlign w:val="center"/>
                </w:tcPr>
                <w:p w14:paraId="070BDE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val="0"/>
                      <w:color w:val="000000" w:themeColor="text1"/>
                      <w:sz w:val="21"/>
                      <w:szCs w:val="21"/>
                      <w:lang w:val="en-US" w:eastAsia="zh-CN"/>
                    </w:rPr>
                  </w:pPr>
                  <w:r>
                    <w:rPr>
                      <w:rFonts w:hint="eastAsia" w:ascii="Times New Roman" w:hAnsi="Times New Roman" w:cs="Times New Roman"/>
                      <w:b/>
                      <w:bCs w:val="0"/>
                      <w:color w:val="000000" w:themeColor="text1"/>
                      <w:sz w:val="21"/>
                      <w:szCs w:val="21"/>
                      <w:lang w:val="en-US" w:eastAsia="zh-CN"/>
                    </w:rPr>
                    <w:t>总磷</w:t>
                  </w:r>
                </w:p>
              </w:tc>
            </w:tr>
            <w:tr w14:paraId="4CD2B9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96" w:type="dxa"/>
                  <w:tcBorders>
                    <w:top w:val="single" w:color="auto" w:sz="6" w:space="0"/>
                    <w:left w:val="single" w:color="auto" w:sz="6" w:space="0"/>
                    <w:bottom w:val="single" w:color="auto" w:sz="6" w:space="0"/>
                    <w:right w:val="single" w:color="auto" w:sz="6" w:space="0"/>
                  </w:tcBorders>
                  <w:noWrap w:val="0"/>
                  <w:vAlign w:val="center"/>
                </w:tcPr>
                <w:p w14:paraId="593E02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GB/T31962-2015表1中B标</w:t>
                  </w:r>
                </w:p>
              </w:tc>
              <w:tc>
                <w:tcPr>
                  <w:tcW w:w="909" w:type="dxa"/>
                  <w:tcBorders>
                    <w:top w:val="single" w:color="auto" w:sz="6" w:space="0"/>
                    <w:left w:val="single" w:color="auto" w:sz="6" w:space="0"/>
                    <w:bottom w:val="single" w:color="auto" w:sz="6" w:space="0"/>
                    <w:right w:val="single" w:color="auto" w:sz="6" w:space="0"/>
                  </w:tcBorders>
                  <w:noWrap w:val="0"/>
                  <w:vAlign w:val="center"/>
                </w:tcPr>
                <w:p w14:paraId="323C1F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6.5~9.5</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3B288F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500</w:t>
                  </w:r>
                </w:p>
              </w:tc>
              <w:tc>
                <w:tcPr>
                  <w:tcW w:w="624" w:type="dxa"/>
                  <w:tcBorders>
                    <w:top w:val="single" w:color="auto" w:sz="6" w:space="0"/>
                    <w:left w:val="single" w:color="auto" w:sz="6" w:space="0"/>
                    <w:bottom w:val="single" w:color="auto" w:sz="6" w:space="0"/>
                    <w:right w:val="single" w:color="auto" w:sz="6" w:space="0"/>
                  </w:tcBorders>
                  <w:noWrap w:val="0"/>
                  <w:vAlign w:val="center"/>
                </w:tcPr>
                <w:p w14:paraId="1836D3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400</w:t>
                  </w:r>
                </w:p>
              </w:tc>
              <w:tc>
                <w:tcPr>
                  <w:tcW w:w="768" w:type="dxa"/>
                  <w:tcBorders>
                    <w:top w:val="single" w:color="auto" w:sz="6" w:space="0"/>
                    <w:left w:val="single" w:color="auto" w:sz="6" w:space="0"/>
                    <w:bottom w:val="single" w:color="auto" w:sz="6" w:space="0"/>
                    <w:right w:val="single" w:color="auto" w:sz="6" w:space="0"/>
                  </w:tcBorders>
                  <w:noWrap w:val="0"/>
                  <w:vAlign w:val="center"/>
                </w:tcPr>
                <w:p w14:paraId="0590B4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350</w:t>
                  </w:r>
                </w:p>
              </w:tc>
              <w:tc>
                <w:tcPr>
                  <w:tcW w:w="1116" w:type="dxa"/>
                  <w:tcBorders>
                    <w:top w:val="single" w:color="auto" w:sz="6" w:space="0"/>
                    <w:left w:val="single" w:color="auto" w:sz="6" w:space="0"/>
                    <w:bottom w:val="single" w:color="auto" w:sz="6" w:space="0"/>
                    <w:right w:val="single" w:color="auto" w:sz="6" w:space="0"/>
                  </w:tcBorders>
                  <w:noWrap w:val="0"/>
                  <w:vAlign w:val="center"/>
                </w:tcPr>
                <w:p w14:paraId="655D09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100</w:t>
                  </w:r>
                </w:p>
              </w:tc>
              <w:tc>
                <w:tcPr>
                  <w:tcW w:w="888" w:type="dxa"/>
                  <w:tcBorders>
                    <w:top w:val="single" w:color="auto" w:sz="6" w:space="0"/>
                    <w:left w:val="single" w:color="auto" w:sz="6" w:space="0"/>
                    <w:bottom w:val="single" w:color="auto" w:sz="6" w:space="0"/>
                    <w:right w:val="single" w:color="auto" w:sz="6" w:space="0"/>
                  </w:tcBorders>
                  <w:noWrap w:val="0"/>
                  <w:vAlign w:val="center"/>
                </w:tcPr>
                <w:p w14:paraId="565EB9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45</w:t>
                  </w:r>
                </w:p>
              </w:tc>
              <w:tc>
                <w:tcPr>
                  <w:tcW w:w="1347" w:type="dxa"/>
                  <w:tcBorders>
                    <w:top w:val="single" w:color="auto" w:sz="6" w:space="0"/>
                    <w:left w:val="single" w:color="auto" w:sz="6" w:space="0"/>
                    <w:bottom w:val="single" w:color="auto" w:sz="6" w:space="0"/>
                    <w:right w:val="single" w:color="auto" w:sz="6" w:space="0"/>
                  </w:tcBorders>
                  <w:noWrap w:val="0"/>
                  <w:vAlign w:val="center"/>
                </w:tcPr>
                <w:p w14:paraId="0FC97D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8</w:t>
                  </w:r>
                </w:p>
              </w:tc>
            </w:tr>
            <w:tr w14:paraId="16DD2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96" w:type="dxa"/>
                  <w:tcBorders>
                    <w:top w:val="single" w:color="auto" w:sz="6" w:space="0"/>
                    <w:left w:val="single" w:color="auto" w:sz="6" w:space="0"/>
                    <w:bottom w:val="single" w:color="auto" w:sz="6" w:space="0"/>
                    <w:right w:val="single" w:color="auto" w:sz="6" w:space="0"/>
                  </w:tcBorders>
                  <w:noWrap w:val="0"/>
                  <w:vAlign w:val="center"/>
                </w:tcPr>
                <w:p w14:paraId="3F8C9B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GB8978-1996三级</w:t>
                  </w:r>
                </w:p>
              </w:tc>
              <w:tc>
                <w:tcPr>
                  <w:tcW w:w="909" w:type="dxa"/>
                  <w:tcBorders>
                    <w:top w:val="single" w:color="auto" w:sz="6" w:space="0"/>
                    <w:left w:val="single" w:color="auto" w:sz="6" w:space="0"/>
                    <w:bottom w:val="single" w:color="auto" w:sz="6" w:space="0"/>
                    <w:right w:val="single" w:color="auto" w:sz="6" w:space="0"/>
                  </w:tcBorders>
                  <w:noWrap w:val="0"/>
                  <w:vAlign w:val="center"/>
                </w:tcPr>
                <w:p w14:paraId="59670A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6~9</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5B0152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500</w:t>
                  </w:r>
                </w:p>
              </w:tc>
              <w:tc>
                <w:tcPr>
                  <w:tcW w:w="624" w:type="dxa"/>
                  <w:tcBorders>
                    <w:top w:val="single" w:color="auto" w:sz="6" w:space="0"/>
                    <w:left w:val="single" w:color="auto" w:sz="6" w:space="0"/>
                    <w:bottom w:val="single" w:color="auto" w:sz="6" w:space="0"/>
                    <w:right w:val="single" w:color="auto" w:sz="6" w:space="0"/>
                  </w:tcBorders>
                  <w:noWrap w:val="0"/>
                  <w:vAlign w:val="center"/>
                </w:tcPr>
                <w:p w14:paraId="778031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400</w:t>
                  </w:r>
                </w:p>
              </w:tc>
              <w:tc>
                <w:tcPr>
                  <w:tcW w:w="768" w:type="dxa"/>
                  <w:tcBorders>
                    <w:top w:val="single" w:color="auto" w:sz="6" w:space="0"/>
                    <w:left w:val="single" w:color="auto" w:sz="6" w:space="0"/>
                    <w:bottom w:val="single" w:color="auto" w:sz="6" w:space="0"/>
                    <w:right w:val="single" w:color="auto" w:sz="6" w:space="0"/>
                  </w:tcBorders>
                  <w:noWrap w:val="0"/>
                  <w:vAlign w:val="center"/>
                </w:tcPr>
                <w:p w14:paraId="60A40C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300</w:t>
                  </w:r>
                </w:p>
              </w:tc>
              <w:tc>
                <w:tcPr>
                  <w:tcW w:w="1116" w:type="dxa"/>
                  <w:tcBorders>
                    <w:top w:val="single" w:color="auto" w:sz="6" w:space="0"/>
                    <w:left w:val="single" w:color="auto" w:sz="6" w:space="0"/>
                    <w:bottom w:val="single" w:color="auto" w:sz="6" w:space="0"/>
                    <w:right w:val="single" w:color="auto" w:sz="6" w:space="0"/>
                  </w:tcBorders>
                  <w:noWrap w:val="0"/>
                  <w:vAlign w:val="center"/>
                </w:tcPr>
                <w:p w14:paraId="1F9417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20</w:t>
                  </w:r>
                </w:p>
              </w:tc>
              <w:tc>
                <w:tcPr>
                  <w:tcW w:w="888" w:type="dxa"/>
                  <w:tcBorders>
                    <w:top w:val="single" w:color="auto" w:sz="6" w:space="0"/>
                    <w:left w:val="single" w:color="auto" w:sz="6" w:space="0"/>
                    <w:bottom w:val="single" w:color="auto" w:sz="6" w:space="0"/>
                    <w:right w:val="single" w:color="auto" w:sz="6" w:space="0"/>
                  </w:tcBorders>
                  <w:noWrap w:val="0"/>
                  <w:vAlign w:val="center"/>
                </w:tcPr>
                <w:p w14:paraId="491CD7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w:t>
                  </w:r>
                </w:p>
              </w:tc>
              <w:tc>
                <w:tcPr>
                  <w:tcW w:w="1347" w:type="dxa"/>
                  <w:tcBorders>
                    <w:top w:val="single" w:color="auto" w:sz="6" w:space="0"/>
                    <w:left w:val="single" w:color="auto" w:sz="6" w:space="0"/>
                    <w:bottom w:val="single" w:color="auto" w:sz="6" w:space="0"/>
                    <w:right w:val="single" w:color="auto" w:sz="6" w:space="0"/>
                  </w:tcBorders>
                  <w:noWrap w:val="0"/>
                  <w:vAlign w:val="center"/>
                </w:tcPr>
                <w:p w14:paraId="4E97E6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w:t>
                  </w:r>
                </w:p>
              </w:tc>
            </w:tr>
            <w:tr w14:paraId="3DA74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96" w:type="dxa"/>
                  <w:tcBorders>
                    <w:top w:val="single" w:color="auto" w:sz="6" w:space="0"/>
                    <w:left w:val="single" w:color="auto" w:sz="6" w:space="0"/>
                    <w:bottom w:val="single" w:color="auto" w:sz="6" w:space="0"/>
                    <w:right w:val="single" w:color="auto" w:sz="6" w:space="0"/>
                  </w:tcBorders>
                  <w:noWrap w:val="0"/>
                  <w:vAlign w:val="center"/>
                </w:tcPr>
                <w:p w14:paraId="5D7E0F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项目执行标准</w:t>
                  </w:r>
                </w:p>
              </w:tc>
              <w:tc>
                <w:tcPr>
                  <w:tcW w:w="909" w:type="dxa"/>
                  <w:tcBorders>
                    <w:top w:val="single" w:color="auto" w:sz="6" w:space="0"/>
                    <w:left w:val="single" w:color="auto" w:sz="6" w:space="0"/>
                    <w:bottom w:val="single" w:color="auto" w:sz="6" w:space="0"/>
                    <w:right w:val="single" w:color="auto" w:sz="6" w:space="0"/>
                  </w:tcBorders>
                  <w:noWrap w:val="0"/>
                  <w:vAlign w:val="center"/>
                </w:tcPr>
                <w:p w14:paraId="2B77E9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6~9</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7C906D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500</w:t>
                  </w:r>
                </w:p>
              </w:tc>
              <w:tc>
                <w:tcPr>
                  <w:tcW w:w="624" w:type="dxa"/>
                  <w:tcBorders>
                    <w:top w:val="single" w:color="auto" w:sz="6" w:space="0"/>
                    <w:left w:val="single" w:color="auto" w:sz="6" w:space="0"/>
                    <w:bottom w:val="single" w:color="auto" w:sz="6" w:space="0"/>
                    <w:right w:val="single" w:color="auto" w:sz="6" w:space="0"/>
                  </w:tcBorders>
                  <w:noWrap w:val="0"/>
                  <w:vAlign w:val="center"/>
                </w:tcPr>
                <w:p w14:paraId="584683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400</w:t>
                  </w:r>
                </w:p>
              </w:tc>
              <w:tc>
                <w:tcPr>
                  <w:tcW w:w="768" w:type="dxa"/>
                  <w:tcBorders>
                    <w:top w:val="single" w:color="auto" w:sz="6" w:space="0"/>
                    <w:left w:val="single" w:color="auto" w:sz="6" w:space="0"/>
                    <w:bottom w:val="single" w:color="auto" w:sz="6" w:space="0"/>
                    <w:right w:val="single" w:color="auto" w:sz="6" w:space="0"/>
                  </w:tcBorders>
                  <w:noWrap w:val="0"/>
                  <w:vAlign w:val="center"/>
                </w:tcPr>
                <w:p w14:paraId="6AF670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300</w:t>
                  </w:r>
                </w:p>
              </w:tc>
              <w:tc>
                <w:tcPr>
                  <w:tcW w:w="1116" w:type="dxa"/>
                  <w:tcBorders>
                    <w:top w:val="single" w:color="auto" w:sz="6" w:space="0"/>
                    <w:left w:val="single" w:color="auto" w:sz="6" w:space="0"/>
                    <w:bottom w:val="single" w:color="auto" w:sz="6" w:space="0"/>
                    <w:right w:val="single" w:color="auto" w:sz="6" w:space="0"/>
                  </w:tcBorders>
                  <w:noWrap w:val="0"/>
                  <w:vAlign w:val="center"/>
                </w:tcPr>
                <w:p w14:paraId="59F513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20</w:t>
                  </w:r>
                </w:p>
              </w:tc>
              <w:tc>
                <w:tcPr>
                  <w:tcW w:w="888" w:type="dxa"/>
                  <w:tcBorders>
                    <w:top w:val="single" w:color="auto" w:sz="6" w:space="0"/>
                    <w:left w:val="single" w:color="auto" w:sz="6" w:space="0"/>
                    <w:bottom w:val="single" w:color="auto" w:sz="6" w:space="0"/>
                    <w:right w:val="single" w:color="auto" w:sz="6" w:space="0"/>
                  </w:tcBorders>
                  <w:noWrap w:val="0"/>
                  <w:vAlign w:val="center"/>
                </w:tcPr>
                <w:p w14:paraId="7B7BD1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45</w:t>
                  </w:r>
                </w:p>
              </w:tc>
              <w:tc>
                <w:tcPr>
                  <w:tcW w:w="1347" w:type="dxa"/>
                  <w:tcBorders>
                    <w:top w:val="single" w:color="auto" w:sz="6" w:space="0"/>
                    <w:left w:val="single" w:color="auto" w:sz="6" w:space="0"/>
                    <w:bottom w:val="single" w:color="auto" w:sz="6" w:space="0"/>
                    <w:right w:val="single" w:color="auto" w:sz="6" w:space="0"/>
                  </w:tcBorders>
                  <w:noWrap w:val="0"/>
                  <w:vAlign w:val="center"/>
                </w:tcPr>
                <w:p w14:paraId="319801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8</w:t>
                  </w:r>
                </w:p>
              </w:tc>
            </w:tr>
            <w:bookmarkEnd w:id="13"/>
          </w:tbl>
          <w:p w14:paraId="35639843">
            <w:pPr>
              <w:pStyle w:val="3"/>
              <w:keepNext w:val="0"/>
              <w:keepLines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firstLine="422"/>
              <w:textAlignment w:val="auto"/>
              <w:rPr>
                <w:rFonts w:hint="default" w:ascii="Times New Roman" w:hAnsi="Times New Roman" w:eastAsia="宋体" w:cs="Times New Roman"/>
                <w:color w:val="000000" w:themeColor="text1"/>
                <w:sz w:val="21"/>
                <w:szCs w:val="21"/>
              </w:rPr>
            </w:pPr>
            <w:bookmarkStart w:id="14" w:name="_Toc3522"/>
            <w:r>
              <w:rPr>
                <w:rFonts w:hint="default" w:ascii="Times New Roman" w:hAnsi="Times New Roman" w:eastAsia="宋体" w:cs="Times New Roman"/>
                <w:color w:val="000000" w:themeColor="text1"/>
                <w:sz w:val="21"/>
                <w:szCs w:val="21"/>
              </w:rPr>
              <w:t>（3）运营期噪声</w:t>
            </w:r>
            <w:bookmarkEnd w:id="14"/>
          </w:p>
          <w:p w14:paraId="4008E032">
            <w:pPr>
              <w:keepNext w:val="0"/>
              <w:keepLines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项目位于（GB3096-2008）《声环境质量标准》</w:t>
            </w:r>
            <w:r>
              <w:rPr>
                <w:rFonts w:hint="eastAsia" w:ascii="Times New Roman" w:hAnsi="Times New Roman" w:eastAsia="宋体" w:cs="Times New Roman"/>
                <w:color w:val="000000" w:themeColor="text1"/>
                <w:sz w:val="21"/>
                <w:szCs w:val="21"/>
                <w:lang w:val="en-US" w:eastAsia="zh-CN"/>
              </w:rPr>
              <w:t>3</w:t>
            </w:r>
            <w:r>
              <w:rPr>
                <w:rFonts w:hint="default" w:ascii="Times New Roman" w:hAnsi="Times New Roman" w:eastAsia="宋体" w:cs="Times New Roman"/>
                <w:color w:val="000000" w:themeColor="text1"/>
                <w:sz w:val="21"/>
                <w:szCs w:val="21"/>
              </w:rPr>
              <w:t>类功能区，因此，运营期执行（</w:t>
            </w:r>
            <w:r>
              <w:rPr>
                <w:rFonts w:hint="default" w:ascii="Times New Roman" w:hAnsi="Times New Roman" w:eastAsia="宋体" w:cs="Times New Roman"/>
                <w:color w:val="000000" w:themeColor="text1"/>
                <w:spacing w:val="-1"/>
                <w:sz w:val="21"/>
                <w:szCs w:val="21"/>
              </w:rPr>
              <w:t>GB12348-200</w:t>
            </w:r>
            <w:r>
              <w:rPr>
                <w:rFonts w:hint="default" w:ascii="Times New Roman" w:hAnsi="Times New Roman" w:eastAsia="宋体" w:cs="Times New Roman"/>
                <w:color w:val="000000" w:themeColor="text1"/>
                <w:sz w:val="21"/>
                <w:szCs w:val="21"/>
              </w:rPr>
              <w:t>8）《工业企业厂界环境噪声排放标准</w:t>
            </w:r>
            <w:r>
              <w:rPr>
                <w:rFonts w:hint="default" w:ascii="Times New Roman" w:hAnsi="Times New Roman" w:eastAsia="宋体" w:cs="Times New Roman"/>
                <w:color w:val="000000" w:themeColor="text1"/>
                <w:spacing w:val="-120"/>
                <w:sz w:val="21"/>
                <w:szCs w:val="21"/>
              </w:rPr>
              <w:t xml:space="preserve">                                                    </w:t>
            </w:r>
            <w:r>
              <w:rPr>
                <w:rFonts w:hint="default" w:ascii="Times New Roman" w:hAnsi="Times New Roman" w:eastAsia="宋体" w:cs="Times New Roman"/>
                <w:color w:val="000000" w:themeColor="text1"/>
                <w:sz w:val="21"/>
                <w:szCs w:val="21"/>
              </w:rPr>
              <w:t>》中</w:t>
            </w:r>
            <w:r>
              <w:rPr>
                <w:rFonts w:hint="eastAsia" w:ascii="Times New Roman" w:hAnsi="Times New Roman" w:eastAsia="宋体" w:cs="Times New Roman"/>
                <w:color w:val="000000" w:themeColor="text1"/>
                <w:sz w:val="21"/>
                <w:szCs w:val="21"/>
                <w:lang w:val="en-US" w:eastAsia="zh-CN"/>
              </w:rPr>
              <w:t>3</w:t>
            </w:r>
            <w:r>
              <w:rPr>
                <w:rFonts w:hint="default" w:ascii="Times New Roman" w:hAnsi="Times New Roman" w:eastAsia="宋体" w:cs="Times New Roman"/>
                <w:color w:val="000000" w:themeColor="text1"/>
                <w:sz w:val="21"/>
                <w:szCs w:val="21"/>
              </w:rPr>
              <w:t>类区标准，具体指标见表3-</w:t>
            </w:r>
            <w:r>
              <w:rPr>
                <w:rFonts w:hint="eastAsia" w:cs="Times New Roman"/>
                <w:color w:val="000000" w:themeColor="text1"/>
                <w:sz w:val="21"/>
                <w:szCs w:val="21"/>
                <w:lang w:val="en-US" w:eastAsia="zh-CN"/>
              </w:rPr>
              <w:t>11</w:t>
            </w:r>
            <w:r>
              <w:rPr>
                <w:rFonts w:hint="default" w:ascii="Times New Roman" w:hAnsi="Times New Roman" w:eastAsia="宋体" w:cs="Times New Roman"/>
                <w:color w:val="000000" w:themeColor="text1"/>
                <w:sz w:val="21"/>
                <w:szCs w:val="21"/>
              </w:rPr>
              <w:t>。</w:t>
            </w:r>
          </w:p>
          <w:p w14:paraId="501C07DA">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表3-</w:t>
            </w:r>
            <w:r>
              <w:rPr>
                <w:rFonts w:hint="eastAsia" w:cs="Times New Roman"/>
                <w:color w:val="000000" w:themeColor="text1"/>
                <w:sz w:val="21"/>
                <w:szCs w:val="21"/>
                <w:lang w:val="en-US" w:eastAsia="zh-CN"/>
              </w:rPr>
              <w:t>11</w:t>
            </w:r>
            <w:r>
              <w:rPr>
                <w:rFonts w:hint="default" w:ascii="Times New Roman" w:hAnsi="Times New Roman" w:eastAsia="宋体" w:cs="Times New Roman"/>
                <w:color w:val="000000" w:themeColor="text1"/>
                <w:sz w:val="21"/>
                <w:szCs w:val="21"/>
              </w:rPr>
              <w:t xml:space="preserve">  厂界噪声执行标准 单位：dB（A）</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6"/>
              <w:gridCol w:w="1546"/>
              <w:gridCol w:w="2877"/>
            </w:tblGrid>
            <w:tr w14:paraId="128AE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248" w:type="pct"/>
                  <w:noWrap w:val="0"/>
                  <w:vAlign w:val="center"/>
                </w:tcPr>
                <w:p w14:paraId="6CCC9088">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厂界外声环境功能区</w:t>
                  </w:r>
                </w:p>
              </w:tc>
              <w:tc>
                <w:tcPr>
                  <w:tcW w:w="961" w:type="pct"/>
                  <w:noWrap w:val="0"/>
                  <w:vAlign w:val="center"/>
                </w:tcPr>
                <w:p w14:paraId="491E939B">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昼间</w:t>
                  </w:r>
                </w:p>
              </w:tc>
              <w:tc>
                <w:tcPr>
                  <w:tcW w:w="1789" w:type="pct"/>
                  <w:noWrap w:val="0"/>
                  <w:vAlign w:val="center"/>
                </w:tcPr>
                <w:p w14:paraId="061A314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夜间</w:t>
                  </w:r>
                </w:p>
              </w:tc>
            </w:tr>
            <w:tr w14:paraId="3BA79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8" w:type="pct"/>
                  <w:noWrap w:val="0"/>
                  <w:vAlign w:val="center"/>
                </w:tcPr>
                <w:p w14:paraId="386A20AA">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default" w:ascii="Times New Roman" w:hAnsi="Times New Roman" w:eastAsia="宋体" w:cs="Times New Roman"/>
                      <w:color w:val="000000" w:themeColor="text1"/>
                      <w:sz w:val="21"/>
                      <w:szCs w:val="21"/>
                    </w:rPr>
                  </w:pPr>
                  <w:r>
                    <w:rPr>
                      <w:rFonts w:hint="eastAsia" w:eastAsia="宋体" w:cs="Times New Roman"/>
                      <w:color w:val="000000" w:themeColor="text1"/>
                      <w:sz w:val="21"/>
                      <w:szCs w:val="21"/>
                      <w:lang w:val="en-US" w:eastAsia="zh-CN"/>
                    </w:rPr>
                    <w:t>3</w:t>
                  </w:r>
                  <w:r>
                    <w:rPr>
                      <w:rFonts w:hint="default" w:ascii="Times New Roman" w:hAnsi="Times New Roman" w:eastAsia="宋体" w:cs="Times New Roman"/>
                      <w:color w:val="000000" w:themeColor="text1"/>
                      <w:sz w:val="21"/>
                      <w:szCs w:val="21"/>
                    </w:rPr>
                    <w:t>类</w:t>
                  </w:r>
                </w:p>
              </w:tc>
              <w:tc>
                <w:tcPr>
                  <w:tcW w:w="961" w:type="pct"/>
                  <w:noWrap w:val="0"/>
                  <w:vAlign w:val="center"/>
                </w:tcPr>
                <w:p w14:paraId="57C13283">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eastAsia"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6</w:t>
                  </w:r>
                  <w:r>
                    <w:rPr>
                      <w:rFonts w:hint="eastAsia" w:eastAsia="宋体" w:cs="Times New Roman"/>
                      <w:color w:val="000000" w:themeColor="text1"/>
                      <w:sz w:val="21"/>
                      <w:szCs w:val="21"/>
                      <w:lang w:val="en-US" w:eastAsia="zh-CN"/>
                    </w:rPr>
                    <w:t>5</w:t>
                  </w:r>
                </w:p>
              </w:tc>
              <w:tc>
                <w:tcPr>
                  <w:tcW w:w="1789" w:type="pct"/>
                  <w:noWrap w:val="0"/>
                  <w:vAlign w:val="center"/>
                </w:tcPr>
                <w:p w14:paraId="5D0D7440">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atLeast"/>
                    <w:ind w:left="0" w:right="0"/>
                    <w:textAlignment w:val="auto"/>
                    <w:rPr>
                      <w:rFonts w:hint="eastAsia"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5</w:t>
                  </w:r>
                  <w:r>
                    <w:rPr>
                      <w:rFonts w:hint="eastAsia" w:eastAsia="宋体" w:cs="Times New Roman"/>
                      <w:color w:val="000000" w:themeColor="text1"/>
                      <w:sz w:val="21"/>
                      <w:szCs w:val="21"/>
                      <w:lang w:val="en-US" w:eastAsia="zh-CN"/>
                    </w:rPr>
                    <w:t>5</w:t>
                  </w:r>
                </w:p>
              </w:tc>
            </w:tr>
          </w:tbl>
          <w:p w14:paraId="1B7D54A6">
            <w:pPr>
              <w:pStyle w:val="3"/>
              <w:keepNext w:val="0"/>
              <w:keepLines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firstLine="211" w:firstLineChars="100"/>
              <w:textAlignment w:val="auto"/>
              <w:rPr>
                <w:rFonts w:hint="default" w:ascii="Times New Roman" w:hAnsi="Times New Roman" w:eastAsia="宋体" w:cs="Times New Roman"/>
                <w:color w:val="000000" w:themeColor="text1"/>
                <w:sz w:val="21"/>
                <w:szCs w:val="21"/>
              </w:rPr>
            </w:pPr>
            <w:bookmarkStart w:id="15" w:name="_Toc28255"/>
            <w:r>
              <w:rPr>
                <w:rFonts w:hint="default" w:ascii="Times New Roman" w:hAnsi="Times New Roman" w:eastAsia="宋体" w:cs="Times New Roman"/>
                <w:color w:val="000000" w:themeColor="text1"/>
                <w:sz w:val="21"/>
                <w:szCs w:val="21"/>
              </w:rPr>
              <w:t>（4）运营期固体废弃物</w:t>
            </w:r>
            <w:bookmarkEnd w:id="15"/>
          </w:p>
          <w:p w14:paraId="35ECE06D">
            <w:pPr>
              <w:keepNext w:val="0"/>
              <w:keepLines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1）一般固废</w:t>
            </w:r>
          </w:p>
          <w:p w14:paraId="4F60A7A8">
            <w:pPr>
              <w:keepNext w:val="0"/>
              <w:keepLines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固体废物处理执行《一般工业固体废物贮存和填埋污染控制标准》（GB18599-2020）（其中采用库房、包装工具（罐、桶、包装袋等）贮存一般工业固体废物过程的污染控制，不适用《一般工业固体废物贮存和填埋污染控制标准》(GB18599-2020)，其贮存过程应满足相应防渗漏、防雨淋、防扬尘等环境保护要求）和《中华人民共和国固体废物污染环境防治法》中的有关规定。</w:t>
            </w:r>
          </w:p>
          <w:p w14:paraId="0FE404BE">
            <w:pPr>
              <w:keepNext w:val="0"/>
              <w:keepLines w:val="0"/>
              <w:widowControl w:val="0"/>
              <w:numPr>
                <w:ilvl w:val="0"/>
                <w:numId w:val="6"/>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危险废物</w:t>
            </w:r>
          </w:p>
          <w:p w14:paraId="77758D52">
            <w:pPr>
              <w:keepNext w:val="0"/>
              <w:keepLines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危险废物集中收集、临时储存执行《危险废物贮存污染控制标准》（GB18597-2023）相关规定。危险废物转移根据《危险废物转移管理办法》（部令第23号）执行。危废暂存间标识牌执行《危险废物识别标志设置技术规范》（HJ1276-2022）。</w:t>
            </w:r>
          </w:p>
        </w:tc>
      </w:tr>
      <w:tr w14:paraId="054C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noWrap w:val="0"/>
            <w:vAlign w:val="center"/>
          </w:tcPr>
          <w:p w14:paraId="1F575826">
            <w:pPr>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总量控制标准</w:t>
            </w:r>
          </w:p>
        </w:tc>
        <w:tc>
          <w:tcPr>
            <w:tcW w:w="8268" w:type="dxa"/>
            <w:noWrap w:val="0"/>
            <w:vAlign w:val="top"/>
          </w:tcPr>
          <w:p w14:paraId="5299E4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jc w:val="left"/>
              <w:textAlignment w:val="auto"/>
              <w:rPr>
                <w:rFonts w:hint="default" w:ascii="Times New Roman" w:hAnsi="Times New Roman" w:eastAsia="宋体" w:cs="Times New Roman"/>
                <w:color w:val="000000" w:themeColor="text1"/>
                <w:spacing w:val="-7"/>
                <w:sz w:val="21"/>
                <w:szCs w:val="21"/>
                <w:lang w:val="en-US"/>
              </w:rPr>
            </w:pPr>
            <w:r>
              <w:rPr>
                <w:rFonts w:hint="default" w:ascii="Times New Roman" w:hAnsi="Times New Roman" w:eastAsia="宋体" w:cs="Times New Roman"/>
                <w:color w:val="000000" w:themeColor="text1"/>
                <w:kern w:val="2"/>
                <w:sz w:val="21"/>
                <w:szCs w:val="21"/>
                <w:lang w:val="en-US" w:eastAsia="zh-CN" w:bidi="ar"/>
              </w:rPr>
              <w:t>根据《国务院关于环境保护若干问题的决定》，“污染源排放污染物要达到国家或地方规定的标准”；“各省、自治区、直辖市要使本辖区主要污染物排放总量控制在国家规定的排放总量指标内”，针对项目的特点，要求项目各污染物排放达到国家有关环保标准项。根据《国务院关于印发“十四五”节能减排综合工作方案的通知》（国发〔2021〕33号），总量控制指标为COD</w:t>
            </w:r>
            <w:r>
              <w:rPr>
                <w:rFonts w:hint="default" w:ascii="Times New Roman" w:hAnsi="Times New Roman" w:eastAsia="宋体" w:cs="Times New Roman"/>
                <w:color w:val="000000" w:themeColor="text1"/>
                <w:kern w:val="2"/>
                <w:sz w:val="21"/>
                <w:szCs w:val="21"/>
                <w:vertAlign w:val="subscript"/>
                <w:lang w:val="en-US" w:eastAsia="zh-CN" w:bidi="ar"/>
              </w:rPr>
              <w:t>Cr</w:t>
            </w:r>
            <w:r>
              <w:rPr>
                <w:rFonts w:hint="default" w:ascii="Times New Roman" w:hAnsi="Times New Roman" w:eastAsia="宋体" w:cs="Times New Roman"/>
                <w:color w:val="000000" w:themeColor="text1"/>
                <w:kern w:val="2"/>
                <w:sz w:val="21"/>
                <w:szCs w:val="21"/>
                <w:lang w:val="en-US" w:eastAsia="zh-CN" w:bidi="ar"/>
              </w:rPr>
              <w:t>、氨氮、NO</w:t>
            </w:r>
            <w:r>
              <w:rPr>
                <w:rFonts w:hint="default" w:ascii="Times New Roman" w:hAnsi="Times New Roman" w:eastAsia="宋体" w:cs="Times New Roman"/>
                <w:color w:val="000000" w:themeColor="text1"/>
                <w:kern w:val="2"/>
                <w:sz w:val="21"/>
                <w:szCs w:val="21"/>
                <w:vertAlign w:val="subscript"/>
                <w:lang w:val="en-US" w:eastAsia="zh-CN" w:bidi="ar"/>
              </w:rPr>
              <w:t>X</w:t>
            </w:r>
            <w:r>
              <w:rPr>
                <w:rFonts w:hint="default" w:ascii="Times New Roman" w:hAnsi="Times New Roman" w:eastAsia="宋体" w:cs="Times New Roman"/>
                <w:color w:val="000000" w:themeColor="text1"/>
                <w:kern w:val="2"/>
                <w:sz w:val="21"/>
                <w:szCs w:val="21"/>
                <w:lang w:val="en-US" w:eastAsia="zh-CN" w:bidi="ar"/>
              </w:rPr>
              <w:t>、挥发性有机物。</w:t>
            </w:r>
          </w:p>
          <w:p w14:paraId="67A829CF">
            <w:pPr>
              <w:pStyle w:val="205"/>
              <w:keepNext w:val="0"/>
              <w:keepLines w:val="0"/>
              <w:pageBreakBefore w:val="0"/>
              <w:widowControl/>
              <w:kinsoku/>
              <w:wordWrap/>
              <w:overflowPunct/>
              <w:topLinePunct w:val="0"/>
              <w:autoSpaceDE/>
              <w:autoSpaceDN/>
              <w:bidi w:val="0"/>
              <w:adjustRightInd w:val="0"/>
              <w:snapToGrid w:val="0"/>
              <w:spacing w:line="440" w:lineRule="exact"/>
              <w:ind w:left="0" w:firstLine="0" w:firstLineChars="0"/>
              <w:textAlignment w:val="auto"/>
              <w:rPr>
                <w:rFonts w:hint="default" w:ascii="Times New Roman" w:hAnsi="Times New Roman" w:eastAsia="宋体" w:cs="Times New Roman"/>
                <w:color w:val="000000" w:themeColor="text1"/>
                <w:kern w:val="0"/>
                <w:sz w:val="21"/>
                <w:szCs w:val="21"/>
                <w:lang w:val="en-US" w:eastAsia="zh-CN" w:bidi="ar"/>
              </w:rPr>
            </w:pPr>
            <w:r>
              <w:rPr>
                <w:rFonts w:hint="default" w:ascii="Times New Roman" w:hAnsi="Times New Roman" w:eastAsia="宋体" w:cs="Times New Roman"/>
                <w:color w:val="000000" w:themeColor="text1"/>
                <w:kern w:val="0"/>
                <w:sz w:val="21"/>
                <w:szCs w:val="21"/>
                <w:lang w:val="en-US" w:eastAsia="zh-CN" w:bidi="ar"/>
              </w:rPr>
              <w:t>结合区域环境容量、污染源情况，本项目污染物排放总量控制指标建议如下：</w:t>
            </w:r>
          </w:p>
          <w:p w14:paraId="3F5DBC07">
            <w:pPr>
              <w:pStyle w:val="205"/>
              <w:keepNext w:val="0"/>
              <w:keepLines w:val="0"/>
              <w:pageBreakBefore w:val="0"/>
              <w:widowControl/>
              <w:kinsoku/>
              <w:wordWrap/>
              <w:overflowPunct/>
              <w:topLinePunct w:val="0"/>
              <w:autoSpaceDE/>
              <w:autoSpaceDN/>
              <w:bidi w:val="0"/>
              <w:adjustRightInd w:val="0"/>
              <w:snapToGrid w:val="0"/>
              <w:spacing w:line="440" w:lineRule="exact"/>
              <w:ind w:left="0" w:firstLine="0" w:firstLineChars="0"/>
              <w:textAlignment w:val="auto"/>
              <w:rPr>
                <w:rFonts w:hint="default" w:ascii="Times New Roman" w:hAnsi="Times New Roman" w:eastAsia="宋体" w:cs="Times New Roman"/>
                <w:b/>
                <w:bCs w:val="0"/>
                <w:color w:val="000000" w:themeColor="text1"/>
                <w:sz w:val="21"/>
                <w:szCs w:val="21"/>
                <w:lang w:val="en-US"/>
              </w:rPr>
            </w:pPr>
            <w:r>
              <w:rPr>
                <w:rFonts w:hint="default" w:ascii="Times New Roman" w:hAnsi="Times New Roman" w:eastAsia="宋体" w:cs="Times New Roman"/>
                <w:b/>
                <w:bCs w:val="0"/>
                <w:color w:val="000000" w:themeColor="text1"/>
                <w:sz w:val="21"/>
                <w:szCs w:val="21"/>
                <w:lang w:val="en-US"/>
              </w:rPr>
              <w:t>1</w:t>
            </w:r>
            <w:r>
              <w:rPr>
                <w:rFonts w:hint="default" w:ascii="Times New Roman" w:hAnsi="Times New Roman" w:eastAsia="宋体" w:cs="Times New Roman"/>
                <w:b/>
                <w:bCs w:val="0"/>
                <w:color w:val="000000" w:themeColor="text1"/>
                <w:sz w:val="21"/>
                <w:szCs w:val="21"/>
                <w:lang w:eastAsia="zh-CN"/>
              </w:rPr>
              <w:t>、废气</w:t>
            </w:r>
          </w:p>
          <w:p w14:paraId="1AFF5C99">
            <w:pPr>
              <w:pStyle w:val="205"/>
              <w:keepNext w:val="0"/>
              <w:keepLines w:val="0"/>
              <w:pageBreakBefore w:val="0"/>
              <w:widowControl/>
              <w:kinsoku/>
              <w:wordWrap/>
              <w:overflowPunct/>
              <w:topLinePunct w:val="0"/>
              <w:autoSpaceDE/>
              <w:autoSpaceDN/>
              <w:bidi w:val="0"/>
              <w:adjustRightInd w:val="0"/>
              <w:snapToGrid w:val="0"/>
              <w:spacing w:line="440" w:lineRule="exact"/>
              <w:ind w:left="0" w:firstLine="420"/>
              <w:jc w:val="left"/>
              <w:textAlignment w:val="auto"/>
              <w:rPr>
                <w:rFonts w:hint="default" w:ascii="Times New Roman" w:hAnsi="Times New Roman" w:eastAsia="宋体" w:cs="Times New Roman"/>
                <w:color w:val="000000" w:themeColor="text1"/>
                <w:sz w:val="21"/>
                <w:szCs w:val="21"/>
                <w:lang w:val="en-US" w:bidi="zh-CN"/>
              </w:rPr>
            </w:pPr>
            <w:r>
              <w:rPr>
                <w:rFonts w:hint="default" w:ascii="Times New Roman" w:hAnsi="Times New Roman" w:eastAsia="宋体" w:cs="Times New Roman"/>
                <w:color w:val="000000" w:themeColor="text1"/>
                <w:sz w:val="21"/>
                <w:szCs w:val="21"/>
                <w:lang w:eastAsia="zh-CN"/>
              </w:rPr>
              <w:t>本评价提出的大气污染物总量控制建议指标如下：</w:t>
            </w:r>
            <w:r>
              <w:rPr>
                <w:rFonts w:hint="default" w:ascii="Times New Roman" w:hAnsi="Times New Roman" w:eastAsia="宋体" w:cs="Times New Roman"/>
                <w:color w:val="FF00FF"/>
                <w:sz w:val="21"/>
                <w:szCs w:val="21"/>
                <w:lang w:eastAsia="zh-CN" w:bidi="zh-CN"/>
              </w:rPr>
              <w:t>氮氧化物</w:t>
            </w:r>
            <w:r>
              <w:rPr>
                <w:rFonts w:hint="eastAsia" w:cs="Times New Roman"/>
                <w:color w:val="FF00FF"/>
                <w:sz w:val="21"/>
                <w:szCs w:val="21"/>
                <w:lang w:val="en-US" w:eastAsia="zh-CN" w:bidi="zh-CN"/>
              </w:rPr>
              <w:t>7.34</w:t>
            </w:r>
            <w:r>
              <w:rPr>
                <w:rFonts w:hint="default" w:ascii="Times New Roman" w:hAnsi="Times New Roman" w:eastAsia="宋体" w:cs="Times New Roman"/>
                <w:color w:val="FF00FF"/>
                <w:sz w:val="21"/>
                <w:szCs w:val="21"/>
                <w:lang w:val="en-US" w:bidi="zh-CN"/>
              </w:rPr>
              <w:t>t/a</w:t>
            </w:r>
            <w:r>
              <w:rPr>
                <w:rFonts w:hint="default" w:ascii="Times New Roman" w:hAnsi="Times New Roman" w:eastAsia="宋体" w:cs="Times New Roman"/>
                <w:color w:val="000000" w:themeColor="text1"/>
                <w:sz w:val="21"/>
                <w:szCs w:val="21"/>
                <w:lang w:eastAsia="zh-CN" w:bidi="zh-CN"/>
              </w:rPr>
              <w:t>。</w:t>
            </w:r>
          </w:p>
          <w:p w14:paraId="49CBF8E1">
            <w:pPr>
              <w:pStyle w:val="205"/>
              <w:keepNext w:val="0"/>
              <w:keepLines w:val="0"/>
              <w:pageBreakBefore w:val="0"/>
              <w:widowControl/>
              <w:kinsoku/>
              <w:wordWrap/>
              <w:overflowPunct/>
              <w:topLinePunct w:val="0"/>
              <w:autoSpaceDE/>
              <w:autoSpaceDN/>
              <w:bidi w:val="0"/>
              <w:adjustRightInd w:val="0"/>
              <w:snapToGrid w:val="0"/>
              <w:spacing w:line="440" w:lineRule="exact"/>
              <w:ind w:left="0" w:firstLine="0" w:firstLineChars="0"/>
              <w:textAlignment w:val="auto"/>
              <w:rPr>
                <w:rFonts w:hint="default" w:ascii="Times New Roman" w:hAnsi="Times New Roman" w:eastAsia="宋体" w:cs="Times New Roman"/>
                <w:b/>
                <w:bCs w:val="0"/>
                <w:color w:val="000000" w:themeColor="text1"/>
                <w:sz w:val="21"/>
                <w:szCs w:val="21"/>
                <w:lang w:val="en-US"/>
              </w:rPr>
            </w:pPr>
            <w:r>
              <w:rPr>
                <w:rFonts w:hint="default" w:ascii="Times New Roman" w:hAnsi="Times New Roman" w:eastAsia="宋体" w:cs="Times New Roman"/>
                <w:b/>
                <w:bCs w:val="0"/>
                <w:color w:val="000000" w:themeColor="text1"/>
                <w:sz w:val="21"/>
                <w:szCs w:val="21"/>
                <w:lang w:val="en-US"/>
              </w:rPr>
              <w:t>2</w:t>
            </w:r>
            <w:r>
              <w:rPr>
                <w:rFonts w:hint="default" w:ascii="Times New Roman" w:hAnsi="Times New Roman" w:eastAsia="宋体" w:cs="Times New Roman"/>
                <w:b/>
                <w:bCs w:val="0"/>
                <w:color w:val="000000" w:themeColor="text1"/>
                <w:sz w:val="21"/>
                <w:szCs w:val="21"/>
                <w:lang w:eastAsia="zh-CN"/>
              </w:rPr>
              <w:t>、废水</w:t>
            </w:r>
          </w:p>
          <w:p w14:paraId="6E280A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jc w:val="both"/>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项目生活污水排放量：456</w:t>
            </w:r>
            <w:r>
              <w:rPr>
                <w:rFonts w:hint="default" w:ascii="Times New Roman" w:hAnsi="Times New Roman" w:eastAsia="宋体" w:cs="Times New Roman"/>
                <w:color w:val="000000" w:themeColor="text1"/>
                <w:kern w:val="2"/>
                <w:sz w:val="21"/>
                <w:szCs w:val="21"/>
                <w:lang w:val="en-US" w:eastAsia="zh-CN" w:bidi="ar"/>
              </w:rPr>
              <w:t>m</w:t>
            </w:r>
            <w:r>
              <w:rPr>
                <w:rFonts w:hint="default" w:ascii="Times New Roman" w:hAnsi="Times New Roman" w:eastAsia="宋体" w:cs="Times New Roman"/>
                <w:color w:val="000000" w:themeColor="text1"/>
                <w:kern w:val="2"/>
                <w:sz w:val="21"/>
                <w:szCs w:val="21"/>
                <w:vertAlign w:val="superscript"/>
                <w:lang w:val="en-US" w:eastAsia="zh-CN" w:bidi="ar"/>
              </w:rPr>
              <w:t>3</w:t>
            </w:r>
            <w:r>
              <w:rPr>
                <w:rFonts w:hint="default" w:ascii="Times New Roman" w:hAnsi="Times New Roman" w:eastAsia="宋体" w:cs="Times New Roman"/>
                <w:color w:val="000000" w:themeColor="text1"/>
                <w:kern w:val="2"/>
                <w:sz w:val="21"/>
                <w:szCs w:val="21"/>
                <w:lang w:val="en-US" w:eastAsia="zh-CN" w:bidi="ar"/>
              </w:rPr>
              <w:t>/a</w:t>
            </w:r>
            <w:r>
              <w:rPr>
                <w:rFonts w:hint="eastAsia" w:ascii="Times New Roman" w:hAnsi="Times New Roman" w:eastAsia="宋体" w:cs="宋体"/>
                <w:color w:val="000000" w:themeColor="text1"/>
                <w:kern w:val="2"/>
                <w:sz w:val="21"/>
                <w:szCs w:val="21"/>
                <w:lang w:val="en-US" w:eastAsia="zh-CN" w:bidi="ar"/>
              </w:rPr>
              <w:t>，</w:t>
            </w:r>
            <w:r>
              <w:rPr>
                <w:rFonts w:hint="default" w:ascii="Times New Roman" w:hAnsi="Times New Roman" w:eastAsia="宋体" w:cs="Times New Roman"/>
                <w:color w:val="000000" w:themeColor="text1"/>
                <w:kern w:val="2"/>
                <w:sz w:val="21"/>
                <w:szCs w:val="21"/>
                <w:lang w:val="en-US" w:eastAsia="zh-CN" w:bidi="ar"/>
              </w:rPr>
              <w:t>CODcr</w:t>
            </w:r>
            <w:r>
              <w:rPr>
                <w:rFonts w:hint="eastAsia" w:ascii="Times New Roman" w:hAnsi="Times New Roman" w:eastAsia="宋体" w:cs="宋体"/>
                <w:color w:val="000000" w:themeColor="text1"/>
                <w:kern w:val="2"/>
                <w:sz w:val="21"/>
                <w:szCs w:val="21"/>
                <w:lang w:val="en-US" w:eastAsia="zh-CN" w:bidi="ar"/>
              </w:rPr>
              <w:t>：0.110</w:t>
            </w:r>
            <w:r>
              <w:rPr>
                <w:rFonts w:hint="default" w:ascii="Times New Roman" w:hAnsi="Times New Roman" w:eastAsia="宋体" w:cs="Times New Roman"/>
                <w:color w:val="000000" w:themeColor="text1"/>
                <w:kern w:val="2"/>
                <w:sz w:val="21"/>
                <w:szCs w:val="21"/>
                <w:lang w:val="en-US" w:eastAsia="zh-CN" w:bidi="ar"/>
              </w:rPr>
              <w:t>t/a</w:t>
            </w:r>
            <w:r>
              <w:rPr>
                <w:rFonts w:hint="eastAsia" w:ascii="Times New Roman" w:hAnsi="Times New Roman" w:eastAsia="宋体" w:cs="宋体"/>
                <w:color w:val="000000" w:themeColor="text1"/>
                <w:kern w:val="2"/>
                <w:sz w:val="21"/>
                <w:szCs w:val="21"/>
                <w:lang w:val="en-US" w:eastAsia="zh-CN" w:bidi="ar"/>
              </w:rPr>
              <w:t>；氨氮：</w:t>
            </w:r>
            <w:r>
              <w:rPr>
                <w:rFonts w:hint="default" w:ascii="Times New Roman" w:hAnsi="Times New Roman" w:eastAsia="宋体" w:cs="Times New Roman"/>
                <w:color w:val="000000" w:themeColor="text1"/>
                <w:kern w:val="2"/>
                <w:sz w:val="21"/>
                <w:szCs w:val="21"/>
                <w:lang w:val="en-US" w:eastAsia="zh-CN" w:bidi="ar"/>
              </w:rPr>
              <w:t>0.0</w:t>
            </w:r>
            <w:r>
              <w:rPr>
                <w:rFonts w:hint="eastAsia" w:ascii="Times New Roman" w:hAnsi="Times New Roman" w:eastAsia="宋体" w:cs="Times New Roman"/>
                <w:color w:val="000000" w:themeColor="text1"/>
                <w:kern w:val="2"/>
                <w:sz w:val="21"/>
                <w:szCs w:val="21"/>
                <w:lang w:val="en-US" w:eastAsia="zh-CN" w:bidi="ar"/>
              </w:rPr>
              <w:t>09</w:t>
            </w:r>
            <w:r>
              <w:rPr>
                <w:rFonts w:hint="default" w:ascii="Times New Roman" w:hAnsi="Times New Roman" w:eastAsia="宋体" w:cs="Times New Roman"/>
                <w:color w:val="000000" w:themeColor="text1"/>
                <w:kern w:val="2"/>
                <w:sz w:val="21"/>
                <w:szCs w:val="21"/>
                <w:lang w:val="en-US" w:eastAsia="zh-CN" w:bidi="ar"/>
              </w:rPr>
              <w:t>t/a</w:t>
            </w:r>
            <w:r>
              <w:rPr>
                <w:rFonts w:hint="eastAsia" w:ascii="Times New Roman" w:hAnsi="Times New Roman" w:eastAsia="宋体" w:cs="宋体"/>
                <w:color w:val="000000" w:themeColor="text1"/>
                <w:kern w:val="2"/>
                <w:sz w:val="21"/>
                <w:szCs w:val="21"/>
                <w:lang w:val="en-US" w:eastAsia="zh-CN" w:bidi="ar"/>
              </w:rPr>
              <w:t>，项目运营期间产生的生活污水最终进入园区污水处理厂处理，项目废水污染物排放总量计入污水处理厂废水排放总量进行考核，因此本项目不单独设废水总量控制指标。</w:t>
            </w:r>
          </w:p>
          <w:p w14:paraId="7595FA5E">
            <w:pPr>
              <w:pStyle w:val="205"/>
              <w:keepNext w:val="0"/>
              <w:keepLines w:val="0"/>
              <w:pageBreakBefore w:val="0"/>
              <w:widowControl/>
              <w:kinsoku/>
              <w:wordWrap/>
              <w:overflowPunct/>
              <w:topLinePunct w:val="0"/>
              <w:autoSpaceDE/>
              <w:autoSpaceDN/>
              <w:bidi w:val="0"/>
              <w:adjustRightInd w:val="0"/>
              <w:snapToGrid w:val="0"/>
              <w:spacing w:line="440" w:lineRule="exact"/>
              <w:ind w:left="0" w:firstLine="0" w:firstLineChars="0"/>
              <w:textAlignment w:val="auto"/>
              <w:rPr>
                <w:rFonts w:hint="default" w:ascii="Times New Roman" w:hAnsi="Times New Roman" w:eastAsia="宋体" w:cs="Times New Roman"/>
                <w:b/>
                <w:bCs w:val="0"/>
                <w:color w:val="000000" w:themeColor="text1"/>
                <w:sz w:val="21"/>
                <w:szCs w:val="21"/>
                <w:lang w:val="en-US"/>
              </w:rPr>
            </w:pPr>
            <w:r>
              <w:rPr>
                <w:rFonts w:hint="default" w:ascii="Times New Roman" w:hAnsi="Times New Roman" w:eastAsia="宋体" w:cs="Times New Roman"/>
                <w:b/>
                <w:bCs w:val="0"/>
                <w:color w:val="000000" w:themeColor="text1"/>
                <w:sz w:val="21"/>
                <w:szCs w:val="21"/>
                <w:lang w:val="en-US"/>
              </w:rPr>
              <w:t>3</w:t>
            </w:r>
            <w:r>
              <w:rPr>
                <w:rFonts w:hint="default" w:ascii="Times New Roman" w:hAnsi="Times New Roman" w:eastAsia="宋体" w:cs="Times New Roman"/>
                <w:b/>
                <w:bCs w:val="0"/>
                <w:color w:val="000000" w:themeColor="text1"/>
                <w:sz w:val="21"/>
                <w:szCs w:val="21"/>
                <w:lang w:eastAsia="zh-CN"/>
              </w:rPr>
              <w:t>、固体废弃物</w:t>
            </w:r>
          </w:p>
          <w:p w14:paraId="54CA2E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40" w:lineRule="exact"/>
              <w:ind w:left="0" w:right="0"/>
              <w:jc w:val="left"/>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kern w:val="2"/>
                <w:sz w:val="21"/>
                <w:szCs w:val="21"/>
                <w:lang w:val="en-US" w:eastAsia="zh-CN" w:bidi="ar"/>
              </w:rPr>
              <w:t>固体废物处理率100%。</w:t>
            </w:r>
          </w:p>
        </w:tc>
      </w:tr>
    </w:tbl>
    <w:p w14:paraId="205141B0">
      <w:pPr>
        <w:pStyle w:val="2"/>
        <w:rPr>
          <w:rFonts w:hint="eastAsia"/>
          <w:color w:val="000000" w:themeColor="text1"/>
        </w:rPr>
        <w:sectPr>
          <w:pgSz w:w="11906" w:h="16838"/>
          <w:pgMar w:top="1440" w:right="1701" w:bottom="1440" w:left="1701" w:header="851" w:footer="992" w:gutter="0"/>
          <w:pgBorders>
            <w:top w:val="none" w:sz="0" w:space="0"/>
            <w:left w:val="none" w:sz="0" w:space="0"/>
            <w:bottom w:val="none" w:sz="0" w:space="0"/>
            <w:right w:val="none" w:sz="0" w:space="0"/>
          </w:pgBorders>
          <w:cols w:space="720" w:num="1"/>
          <w:docGrid w:type="lines" w:linePitch="312" w:charSpace="0"/>
        </w:sectPr>
      </w:pPr>
    </w:p>
    <w:p w14:paraId="4640571B">
      <w:pPr>
        <w:pStyle w:val="2"/>
        <w:rPr>
          <w:rFonts w:hint="eastAsia"/>
          <w:color w:val="000000" w:themeColor="text1"/>
        </w:rPr>
      </w:pPr>
      <w:bookmarkStart w:id="16" w:name="_Toc8033"/>
      <w:bookmarkStart w:id="17" w:name="_Toc28102"/>
      <w:r>
        <w:rPr>
          <w:rFonts w:hint="eastAsia"/>
          <w:color w:val="000000" w:themeColor="text1"/>
        </w:rPr>
        <w:t>四</w:t>
      </w:r>
      <w:r>
        <w:rPr>
          <w:color w:val="000000" w:themeColor="text1"/>
        </w:rPr>
        <w:t>、</w:t>
      </w:r>
      <w:r>
        <w:rPr>
          <w:rFonts w:hint="eastAsia"/>
          <w:color w:val="000000" w:themeColor="text1"/>
        </w:rPr>
        <w:t>主要环境影响和保护措施</w:t>
      </w:r>
      <w:bookmarkEnd w:id="16"/>
      <w:bookmarkEnd w:id="17"/>
    </w:p>
    <w:tbl>
      <w:tblPr>
        <w:tblStyle w:val="43"/>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8164"/>
      </w:tblGrid>
      <w:tr w14:paraId="446E2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noWrap w:val="0"/>
            <w:vAlign w:val="center"/>
          </w:tcPr>
          <w:p w14:paraId="368B507F">
            <w:pPr>
              <w:keepNext w:val="0"/>
              <w:keepLines w:val="0"/>
              <w:suppressLineNumbers w:val="0"/>
              <w:spacing w:before="0" w:beforeAutospacing="0" w:after="0" w:afterAutospacing="0"/>
              <w:ind w:left="0" w:right="0" w:firstLine="0" w:firstLineChars="0"/>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施工期环境保护措施</w:t>
            </w:r>
          </w:p>
        </w:tc>
        <w:tc>
          <w:tcPr>
            <w:tcW w:w="8164" w:type="dxa"/>
            <w:noWrap w:val="0"/>
            <w:vAlign w:val="center"/>
          </w:tcPr>
          <w:p w14:paraId="7D2A90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施工期采取的主要环境保护措施主要有以下几个方面。</w:t>
            </w:r>
          </w:p>
          <w:p w14:paraId="1DB011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textAlignment w:val="auto"/>
              <w:rPr>
                <w:rFonts w:hint="default" w:ascii="Times New Roman" w:hAnsi="Times New Roman" w:cs="Times New Roman"/>
                <w:b/>
                <w:bCs/>
                <w:color w:val="000000" w:themeColor="text1"/>
                <w:sz w:val="21"/>
                <w:szCs w:val="21"/>
              </w:rPr>
            </w:pPr>
            <w:r>
              <w:rPr>
                <w:rFonts w:hint="eastAsia" w:ascii="Times New Roman" w:hAnsi="Times New Roman" w:cs="Times New Roman"/>
                <w:b/>
                <w:bCs/>
                <w:color w:val="000000" w:themeColor="text1"/>
                <w:sz w:val="21"/>
                <w:szCs w:val="21"/>
              </w:rPr>
              <w:t>1、施工期大气环境保护措施</w:t>
            </w:r>
          </w:p>
          <w:p w14:paraId="397840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污染源：施工期废气主要为施工粉尘</w:t>
            </w:r>
            <w:r>
              <w:rPr>
                <w:rFonts w:hint="eastAsia" w:ascii="Times New Roman" w:hAnsi="Times New Roman" w:cs="Times New Roman"/>
                <w:color w:val="000000" w:themeColor="text1"/>
                <w:sz w:val="21"/>
                <w:szCs w:val="21"/>
                <w:lang w:val="en-US" w:eastAsia="zh-CN"/>
              </w:rPr>
              <w:t>和施工机械产生的尾气</w:t>
            </w:r>
            <w:r>
              <w:rPr>
                <w:rFonts w:hint="eastAsia" w:ascii="Times New Roman" w:hAnsi="Times New Roman" w:cs="Times New Roman"/>
                <w:color w:val="000000" w:themeColor="text1"/>
                <w:sz w:val="21"/>
                <w:szCs w:val="21"/>
              </w:rPr>
              <w:t>，主要来源于土地平整、建设材料装卸、堆放和运输、建筑垃圾堆放和运出、施工车辆和施工机械行驶等。</w:t>
            </w:r>
          </w:p>
          <w:p w14:paraId="7442AB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保护措施：</w:t>
            </w:r>
          </w:p>
          <w:p w14:paraId="749E39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eastAsia="宋体" w:cs="Times New Roman"/>
                <w:color w:val="000000" w:themeColor="text1"/>
                <w:sz w:val="21"/>
                <w:szCs w:val="21"/>
                <w:lang w:eastAsia="zh-CN"/>
              </w:rPr>
            </w:pPr>
            <w:r>
              <w:rPr>
                <w:rFonts w:hint="eastAsia" w:ascii="Times New Roman" w:hAnsi="Times New Roman" w:cs="Times New Roman"/>
                <w:color w:val="000000" w:themeColor="text1"/>
                <w:sz w:val="21"/>
                <w:szCs w:val="21"/>
              </w:rPr>
              <w:t>①在施工过程中，作业场地采取围挡、围护以减少扬尘扩散</w:t>
            </w:r>
            <w:r>
              <w:rPr>
                <w:rFonts w:hint="eastAsia" w:ascii="Times New Roman" w:hAnsi="Times New Roman" w:cs="Times New Roman"/>
                <w:color w:val="000000" w:themeColor="text1"/>
                <w:sz w:val="21"/>
                <w:szCs w:val="21"/>
                <w:lang w:eastAsia="zh-CN"/>
              </w:rPr>
              <w:t>；</w:t>
            </w:r>
          </w:p>
          <w:p w14:paraId="664DA0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eastAsia="宋体" w:cs="Times New Roman"/>
                <w:color w:val="000000" w:themeColor="text1"/>
                <w:sz w:val="21"/>
                <w:szCs w:val="21"/>
                <w:lang w:eastAsia="zh-CN"/>
              </w:rPr>
            </w:pPr>
            <w:r>
              <w:rPr>
                <w:rFonts w:hint="eastAsia" w:ascii="Times New Roman" w:hAnsi="Times New Roman" w:cs="Times New Roman"/>
                <w:color w:val="000000" w:themeColor="text1"/>
                <w:sz w:val="21"/>
                <w:szCs w:val="21"/>
              </w:rPr>
              <w:t>②对运输建筑材料及建筑垃圾的车辆加盖</w:t>
            </w:r>
            <w:r>
              <w:rPr>
                <w:rFonts w:hint="eastAsia" w:cs="Times New Roman"/>
                <w:color w:val="000000" w:themeColor="text1"/>
                <w:sz w:val="21"/>
                <w:szCs w:val="21"/>
                <w:lang w:eastAsia="zh-CN"/>
              </w:rPr>
              <w:t>篷布</w:t>
            </w:r>
            <w:r>
              <w:rPr>
                <w:rFonts w:hint="eastAsia" w:ascii="Times New Roman" w:hAnsi="Times New Roman" w:cs="Times New Roman"/>
                <w:color w:val="000000" w:themeColor="text1"/>
                <w:sz w:val="21"/>
                <w:szCs w:val="21"/>
              </w:rPr>
              <w:t>减少酒落;控制车速，防止物料酒落和产生扬尘</w:t>
            </w:r>
            <w:r>
              <w:rPr>
                <w:rFonts w:hint="eastAsia" w:ascii="Times New Roman" w:hAnsi="Times New Roman" w:cs="Times New Roman"/>
                <w:color w:val="000000" w:themeColor="text1"/>
                <w:sz w:val="21"/>
                <w:szCs w:val="21"/>
                <w:lang w:eastAsia="zh-CN"/>
              </w:rPr>
              <w:t>；</w:t>
            </w:r>
          </w:p>
          <w:p w14:paraId="41E636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eastAsia="宋体" w:cs="Times New Roman"/>
                <w:color w:val="000000" w:themeColor="text1"/>
                <w:sz w:val="21"/>
                <w:szCs w:val="21"/>
                <w:lang w:eastAsia="zh-CN"/>
              </w:rPr>
            </w:pPr>
            <w:r>
              <w:rPr>
                <w:rFonts w:hint="eastAsia" w:ascii="Times New Roman" w:hAnsi="Times New Roman" w:cs="Times New Roman"/>
                <w:color w:val="000000" w:themeColor="text1"/>
                <w:sz w:val="21"/>
                <w:szCs w:val="21"/>
              </w:rPr>
              <w:t>③使用商品混凝土，避免在大风天气下进行施工作业</w:t>
            </w:r>
            <w:r>
              <w:rPr>
                <w:rFonts w:hint="eastAsia" w:ascii="Times New Roman" w:hAnsi="Times New Roman" w:cs="Times New Roman"/>
                <w:color w:val="000000" w:themeColor="text1"/>
                <w:sz w:val="21"/>
                <w:szCs w:val="21"/>
                <w:lang w:eastAsia="zh-CN"/>
              </w:rPr>
              <w:t>；</w:t>
            </w:r>
          </w:p>
          <w:p w14:paraId="0BAC7D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eastAsia="宋体" w:cs="Times New Roman"/>
                <w:color w:val="000000" w:themeColor="text1"/>
                <w:sz w:val="21"/>
                <w:szCs w:val="21"/>
                <w:lang w:eastAsia="zh-CN"/>
              </w:rPr>
            </w:pPr>
            <w:r>
              <w:rPr>
                <w:rFonts w:hint="eastAsia" w:ascii="Times New Roman" w:hAnsi="Times New Roman" w:cs="Times New Roman"/>
                <w:color w:val="000000" w:themeColor="text1"/>
                <w:sz w:val="21"/>
                <w:szCs w:val="21"/>
              </w:rPr>
              <w:t>④水泥、石灰等容易飞散的物料采取盖棚等防风遮挡措施，不裸露堆放</w:t>
            </w:r>
            <w:r>
              <w:rPr>
                <w:rFonts w:hint="eastAsia" w:ascii="Times New Roman" w:hAnsi="Times New Roman" w:cs="Times New Roman"/>
                <w:color w:val="000000" w:themeColor="text1"/>
                <w:sz w:val="21"/>
                <w:szCs w:val="21"/>
                <w:lang w:eastAsia="zh-CN"/>
              </w:rPr>
              <w:t>；</w:t>
            </w:r>
          </w:p>
          <w:p w14:paraId="3149A8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eastAsia="宋体" w:cs="Times New Roman"/>
                <w:color w:val="000000" w:themeColor="text1"/>
                <w:sz w:val="21"/>
                <w:szCs w:val="21"/>
                <w:lang w:eastAsia="zh-CN"/>
              </w:rPr>
            </w:pPr>
            <w:r>
              <w:rPr>
                <w:rFonts w:hint="eastAsia" w:ascii="Times New Roman" w:hAnsi="Times New Roman" w:cs="Times New Roman"/>
                <w:color w:val="000000" w:themeColor="text1"/>
                <w:sz w:val="21"/>
                <w:szCs w:val="21"/>
              </w:rPr>
              <w:t>⑤在施工场地安排员工适时对施工场地酒水降尘</w:t>
            </w:r>
            <w:r>
              <w:rPr>
                <w:rFonts w:hint="eastAsia" w:ascii="Times New Roman" w:hAnsi="Times New Roman" w:cs="Times New Roman"/>
                <w:color w:val="000000" w:themeColor="text1"/>
                <w:sz w:val="21"/>
                <w:szCs w:val="21"/>
                <w:lang w:eastAsia="zh-CN"/>
              </w:rPr>
              <w:t>；</w:t>
            </w:r>
          </w:p>
          <w:p w14:paraId="2F2D8B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eastAsia="宋体" w:cs="Times New Roman"/>
                <w:color w:val="000000" w:themeColor="text1"/>
                <w:sz w:val="21"/>
                <w:szCs w:val="21"/>
                <w:lang w:eastAsia="zh-CN"/>
              </w:rPr>
            </w:pPr>
            <w:r>
              <w:rPr>
                <w:rFonts w:hint="eastAsia" w:ascii="Times New Roman" w:hAnsi="Times New Roman" w:cs="Times New Roman"/>
                <w:color w:val="000000" w:themeColor="text1"/>
                <w:sz w:val="21"/>
                <w:szCs w:val="21"/>
              </w:rPr>
              <w:t>⑥施工运输车辆进入施工场地低速行驶，减少产尘量</w:t>
            </w:r>
            <w:r>
              <w:rPr>
                <w:rFonts w:hint="eastAsia" w:ascii="Times New Roman" w:hAnsi="Times New Roman" w:cs="Times New Roman"/>
                <w:color w:val="000000" w:themeColor="text1"/>
                <w:sz w:val="21"/>
                <w:szCs w:val="21"/>
                <w:lang w:eastAsia="zh-CN"/>
              </w:rPr>
              <w:t>；</w:t>
            </w:r>
          </w:p>
          <w:p w14:paraId="2936A8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rPr>
              <w:t>⑦施工现场设置围栏或部分围栏，缩小施工扬尘的扩散范围</w:t>
            </w:r>
            <w:r>
              <w:rPr>
                <w:rFonts w:hint="eastAsia" w:ascii="Times New Roman" w:hAnsi="Times New Roman" w:cs="Times New Roman"/>
                <w:color w:val="000000" w:themeColor="text1"/>
                <w:sz w:val="21"/>
                <w:szCs w:val="21"/>
                <w:lang w:eastAsia="zh-CN"/>
              </w:rPr>
              <w:t>；</w:t>
            </w:r>
          </w:p>
          <w:p w14:paraId="4144F9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⑧做好建筑材料运输车辆的维修工作和车辆的清洁工作,减少扬尘的污染做好施工道路的维护，减少车辆的带土量。</w:t>
            </w:r>
          </w:p>
          <w:p w14:paraId="79BD99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textAlignment w:val="auto"/>
              <w:rPr>
                <w:rFonts w:hint="default" w:ascii="Times New Roman" w:hAnsi="Times New Roman" w:cs="Times New Roman"/>
                <w:b/>
                <w:bCs/>
                <w:color w:val="000000" w:themeColor="text1"/>
                <w:sz w:val="21"/>
                <w:szCs w:val="21"/>
              </w:rPr>
            </w:pPr>
            <w:r>
              <w:rPr>
                <w:rFonts w:hint="eastAsia" w:ascii="Times New Roman" w:hAnsi="Times New Roman" w:cs="Times New Roman"/>
                <w:b/>
                <w:bCs/>
                <w:color w:val="000000" w:themeColor="text1"/>
                <w:sz w:val="21"/>
                <w:szCs w:val="21"/>
              </w:rPr>
              <w:t>2、施工期水环境保护措施</w:t>
            </w:r>
          </w:p>
          <w:p w14:paraId="744BE6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污染源：</w:t>
            </w:r>
            <w:r>
              <w:rPr>
                <w:rFonts w:hint="default" w:ascii="Times New Roman" w:hAnsi="Times New Roman" w:cs="Times New Roman"/>
                <w:color w:val="000000" w:themeColor="text1"/>
                <w:sz w:val="21"/>
                <w:szCs w:val="21"/>
              </w:rPr>
              <w:t>施工人员生活废水</w:t>
            </w:r>
            <w:r>
              <w:rPr>
                <w:rFonts w:hint="eastAsia" w:ascii="Times New Roman" w:hAnsi="Times New Roman" w:cs="Times New Roman"/>
                <w:color w:val="000000" w:themeColor="text1"/>
                <w:sz w:val="21"/>
                <w:szCs w:val="21"/>
                <w:lang w:val="en-US" w:eastAsia="zh-CN"/>
              </w:rPr>
              <w:t>和施工废水</w:t>
            </w:r>
            <w:r>
              <w:rPr>
                <w:rFonts w:hint="eastAsia" w:ascii="Times New Roman" w:hAnsi="Times New Roman" w:cs="Times New Roman"/>
                <w:color w:val="000000" w:themeColor="text1"/>
                <w:sz w:val="21"/>
                <w:szCs w:val="21"/>
                <w:lang w:eastAsia="zh-CN"/>
              </w:rPr>
              <w:t>，</w:t>
            </w:r>
            <w:r>
              <w:rPr>
                <w:rFonts w:hint="eastAsia" w:ascii="Times New Roman" w:hAnsi="Times New Roman" w:cs="Times New Roman"/>
                <w:color w:val="000000" w:themeColor="text1"/>
                <w:sz w:val="21"/>
                <w:szCs w:val="21"/>
                <w:lang w:val="en-US" w:eastAsia="zh-CN"/>
              </w:rPr>
              <w:t>主要污染物为COD、SS等</w:t>
            </w:r>
            <w:r>
              <w:rPr>
                <w:rFonts w:hint="default" w:ascii="Times New Roman" w:hAnsi="Times New Roman" w:cs="Times New Roman"/>
                <w:color w:val="000000" w:themeColor="text1"/>
                <w:sz w:val="21"/>
                <w:szCs w:val="21"/>
              </w:rPr>
              <w:t>。</w:t>
            </w:r>
          </w:p>
          <w:p w14:paraId="6F1832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保护措施：</w:t>
            </w:r>
          </w:p>
          <w:p w14:paraId="3E3348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①项目设置一个</w:t>
            </w:r>
            <w:r>
              <w:rPr>
                <w:rFonts w:hint="eastAsia" w:ascii="Times New Roman" w:hAnsi="Times New Roman" w:cs="Times New Roman"/>
                <w:color w:val="000000" w:themeColor="text1"/>
                <w:sz w:val="21"/>
                <w:szCs w:val="21"/>
                <w:lang w:val="en-US" w:eastAsia="zh-CN"/>
              </w:rPr>
              <w:t>5m</w:t>
            </w:r>
            <w:r>
              <w:rPr>
                <w:rFonts w:hint="eastAsia" w:ascii="Times New Roman" w:hAnsi="Times New Roman" w:cs="Times New Roman"/>
                <w:color w:val="000000" w:themeColor="text1"/>
                <w:sz w:val="21"/>
                <w:szCs w:val="21"/>
                <w:vertAlign w:val="superscript"/>
                <w:lang w:val="en-US" w:eastAsia="zh-CN"/>
              </w:rPr>
              <w:t>3</w:t>
            </w:r>
            <w:r>
              <w:rPr>
                <w:rFonts w:hint="eastAsia" w:ascii="Times New Roman" w:hAnsi="Times New Roman" w:cs="Times New Roman"/>
                <w:color w:val="000000" w:themeColor="text1"/>
                <w:sz w:val="21"/>
                <w:szCs w:val="21"/>
              </w:rPr>
              <w:t>临时施工沉淀池，项目施工期产生的施工废水均进入沉淀池处理，施工废水尽量回用于施工过程或施工现场酒水降尘。</w:t>
            </w:r>
          </w:p>
          <w:p w14:paraId="3AE685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eastAsia="宋体" w:cs="Times New Roman"/>
                <w:color w:val="000000" w:themeColor="text1"/>
                <w:sz w:val="21"/>
                <w:szCs w:val="21"/>
                <w:lang w:eastAsia="zh-CN"/>
              </w:rPr>
            </w:pPr>
            <w:r>
              <w:rPr>
                <w:rFonts w:hint="eastAsia" w:ascii="Times New Roman" w:hAnsi="Times New Roman" w:cs="Times New Roman"/>
                <w:color w:val="000000" w:themeColor="text1"/>
                <w:sz w:val="21"/>
                <w:szCs w:val="21"/>
              </w:rPr>
              <w:t>②制订合理施工计划，避开雨天施工，特别是土石方较大的工程必须集中安排于晴天，并尽量缩短施工期限</w:t>
            </w:r>
            <w:r>
              <w:rPr>
                <w:rFonts w:hint="eastAsia" w:ascii="Times New Roman" w:hAnsi="Times New Roman" w:cs="Times New Roman"/>
                <w:color w:val="000000" w:themeColor="text1"/>
                <w:sz w:val="21"/>
                <w:szCs w:val="21"/>
                <w:lang w:eastAsia="zh-CN"/>
              </w:rPr>
              <w:t>；</w:t>
            </w:r>
          </w:p>
          <w:p w14:paraId="072F0A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③排污工程不健全的情况下，应当尽量减少物料流失、散落和溢流出现，减少废水产生量；</w:t>
            </w:r>
          </w:p>
          <w:p w14:paraId="25E517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eastAsia="宋体" w:cs="Times New Roman"/>
                <w:color w:val="000000" w:themeColor="text1"/>
                <w:sz w:val="21"/>
                <w:szCs w:val="21"/>
                <w:lang w:eastAsia="zh-CN"/>
              </w:rPr>
            </w:pPr>
            <w:r>
              <w:rPr>
                <w:rFonts w:hint="eastAsia" w:ascii="Times New Roman" w:hAnsi="Times New Roman" w:cs="Times New Roman"/>
                <w:color w:val="000000" w:themeColor="text1"/>
                <w:sz w:val="21"/>
                <w:szCs w:val="21"/>
              </w:rPr>
              <w:t>④施工物料堆场远离地表水体并设置在径流不易冲刷处；施工时产生的泥浆未经处理不得随意排放</w:t>
            </w:r>
            <w:r>
              <w:rPr>
                <w:rFonts w:hint="eastAsia" w:ascii="Times New Roman" w:hAnsi="Times New Roman" w:cs="Times New Roman"/>
                <w:color w:val="000000" w:themeColor="text1"/>
                <w:sz w:val="21"/>
                <w:szCs w:val="21"/>
                <w:lang w:eastAsia="zh-CN"/>
              </w:rPr>
              <w:t>。</w:t>
            </w:r>
          </w:p>
          <w:p w14:paraId="3248DA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textAlignment w:val="auto"/>
              <w:rPr>
                <w:rFonts w:hint="default" w:ascii="Times New Roman" w:hAnsi="Times New Roman" w:cs="Times New Roman"/>
                <w:b/>
                <w:bCs/>
                <w:color w:val="000000" w:themeColor="text1"/>
                <w:sz w:val="21"/>
                <w:szCs w:val="21"/>
              </w:rPr>
            </w:pPr>
            <w:r>
              <w:rPr>
                <w:rFonts w:hint="eastAsia" w:ascii="Times New Roman" w:hAnsi="Times New Roman" w:cs="Times New Roman"/>
                <w:b/>
                <w:bCs/>
                <w:color w:val="000000" w:themeColor="text1"/>
                <w:sz w:val="21"/>
                <w:szCs w:val="21"/>
              </w:rPr>
              <w:t>3、施工期声环境保护措施</w:t>
            </w:r>
          </w:p>
          <w:p w14:paraId="43ED34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污染源：</w:t>
            </w:r>
            <w:r>
              <w:rPr>
                <w:rFonts w:hint="default" w:ascii="Times New Roman" w:hAnsi="Times New Roman" w:cs="Times New Roman"/>
                <w:color w:val="000000" w:themeColor="text1"/>
                <w:sz w:val="21"/>
                <w:szCs w:val="21"/>
              </w:rPr>
              <w:t>项目建设期间噪声源为运输车辆和设备安装调试等，噪声值约80~90dB(A)，噪声周期较短，随着设备安装完成</w:t>
            </w:r>
            <w:r>
              <w:rPr>
                <w:rFonts w:hint="eastAsia" w:ascii="Times New Roman" w:hAnsi="Times New Roman" w:cs="Times New Roman"/>
                <w:color w:val="000000" w:themeColor="text1"/>
                <w:sz w:val="21"/>
                <w:szCs w:val="21"/>
                <w:lang w:val="en-US" w:eastAsia="zh-CN"/>
              </w:rPr>
              <w:t>而</w:t>
            </w:r>
            <w:r>
              <w:rPr>
                <w:rFonts w:hint="default" w:ascii="Times New Roman" w:hAnsi="Times New Roman" w:cs="Times New Roman"/>
                <w:color w:val="000000" w:themeColor="text1"/>
                <w:sz w:val="21"/>
                <w:szCs w:val="21"/>
              </w:rPr>
              <w:t>消失</w:t>
            </w:r>
            <w:r>
              <w:rPr>
                <w:rFonts w:hint="eastAsia" w:ascii="Times New Roman" w:hAnsi="Times New Roman" w:cs="Times New Roman"/>
                <w:color w:val="000000" w:themeColor="text1"/>
                <w:sz w:val="21"/>
                <w:szCs w:val="21"/>
                <w:lang w:eastAsia="zh-CN"/>
              </w:rPr>
              <w:t>；</w:t>
            </w:r>
            <w:r>
              <w:rPr>
                <w:rFonts w:hint="eastAsia" w:ascii="Times New Roman" w:hAnsi="Times New Roman" w:cs="Times New Roman"/>
                <w:color w:val="000000" w:themeColor="text1"/>
                <w:sz w:val="21"/>
                <w:szCs w:val="21"/>
                <w:lang w:val="en-US" w:eastAsia="zh-CN"/>
              </w:rPr>
              <w:t>根据现场勘察，项目周边100m范围无环境名目标，因此施工噪声对环境影响较小</w:t>
            </w:r>
            <w:r>
              <w:rPr>
                <w:rFonts w:hint="default" w:ascii="Times New Roman" w:hAnsi="Times New Roman" w:cs="Times New Roman"/>
                <w:color w:val="000000" w:themeColor="text1"/>
                <w:sz w:val="21"/>
                <w:szCs w:val="21"/>
              </w:rPr>
              <w:t>。</w:t>
            </w:r>
          </w:p>
          <w:p w14:paraId="462D3C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保护措施：</w:t>
            </w:r>
          </w:p>
          <w:p w14:paraId="6112CE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①加强施工管理，合理安排作业时间，严格按照施工噪声管理的有关规定，夜间不得进行打桩作业；</w:t>
            </w:r>
          </w:p>
          <w:p w14:paraId="3F921B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eastAsia="宋体" w:cs="Times New Roman"/>
                <w:color w:val="000000" w:themeColor="text1"/>
                <w:sz w:val="21"/>
                <w:szCs w:val="21"/>
                <w:lang w:eastAsia="zh-CN"/>
              </w:rPr>
            </w:pPr>
            <w:r>
              <w:rPr>
                <w:rFonts w:hint="eastAsia" w:ascii="Times New Roman" w:hAnsi="Times New Roman" w:cs="Times New Roman"/>
                <w:color w:val="000000" w:themeColor="text1"/>
                <w:sz w:val="21"/>
                <w:szCs w:val="21"/>
              </w:rPr>
              <w:t>②施工过程中，设置围墙和临时隔声围障</w:t>
            </w:r>
            <w:r>
              <w:rPr>
                <w:rFonts w:hint="eastAsia" w:ascii="Times New Roman" w:hAnsi="Times New Roman" w:cs="Times New Roman"/>
                <w:color w:val="000000" w:themeColor="text1"/>
                <w:sz w:val="21"/>
                <w:szCs w:val="21"/>
                <w:lang w:eastAsia="zh-CN"/>
              </w:rPr>
              <w:t>；</w:t>
            </w:r>
          </w:p>
          <w:p w14:paraId="757859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eastAsia="宋体" w:cs="Times New Roman"/>
                <w:color w:val="000000" w:themeColor="text1"/>
                <w:sz w:val="21"/>
                <w:szCs w:val="21"/>
                <w:lang w:eastAsia="zh-CN"/>
              </w:rPr>
            </w:pPr>
            <w:r>
              <w:rPr>
                <w:rFonts w:hint="eastAsia" w:ascii="Times New Roman" w:hAnsi="Times New Roman" w:cs="Times New Roman"/>
                <w:color w:val="000000" w:themeColor="text1"/>
                <w:sz w:val="21"/>
                <w:szCs w:val="21"/>
              </w:rPr>
              <w:t>③减轻声源叠加影响施工机械产生的噪声往往具有突发、无规则、不连续和高强度等特点，施工单位应采取合理安排施工机械操作时间的方法加以缓解，并减少同时作业的高噪施工机械数量，尽可能减轻声源叠加影响</w:t>
            </w:r>
            <w:r>
              <w:rPr>
                <w:rFonts w:hint="eastAsia" w:ascii="Times New Roman" w:hAnsi="Times New Roman" w:cs="Times New Roman"/>
                <w:color w:val="000000" w:themeColor="text1"/>
                <w:sz w:val="21"/>
                <w:szCs w:val="21"/>
                <w:lang w:eastAsia="zh-CN"/>
              </w:rPr>
              <w:t>；</w:t>
            </w:r>
          </w:p>
          <w:p w14:paraId="79EBD6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④加强运输车辆的管理，运输尽量在白天进行，并控制车辆鸣笛。</w:t>
            </w:r>
          </w:p>
          <w:p w14:paraId="1EBC88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textAlignment w:val="auto"/>
              <w:rPr>
                <w:rFonts w:hint="default" w:ascii="Times New Roman" w:hAnsi="Times New Roman" w:cs="Times New Roman"/>
                <w:b/>
                <w:bCs/>
                <w:color w:val="000000" w:themeColor="text1"/>
                <w:sz w:val="21"/>
                <w:szCs w:val="21"/>
              </w:rPr>
            </w:pPr>
            <w:r>
              <w:rPr>
                <w:rFonts w:hint="eastAsia" w:ascii="Times New Roman" w:hAnsi="Times New Roman" w:cs="Times New Roman"/>
                <w:b/>
                <w:bCs/>
                <w:color w:val="000000" w:themeColor="text1"/>
                <w:sz w:val="21"/>
                <w:szCs w:val="21"/>
              </w:rPr>
              <w:t>4、施工期固体废物污染防治措施</w:t>
            </w:r>
          </w:p>
          <w:p w14:paraId="182097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污染源：施工期排放的固体废物主要为建筑垃圾和施工人员产生的生活垃圾。建筑垃圾主要是砂石、石灰、混凝土、废砖、土石方等，基本无毒性，为一般固体废物，只要及时清理清运，并加以利用，不会对周边环境造成不利影响；施工人员生活垃圾集中收集后由环卫部门统一清运处理，对环境产生影响较小。</w:t>
            </w:r>
          </w:p>
          <w:p w14:paraId="1B1F4D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保护措施：</w:t>
            </w:r>
          </w:p>
          <w:p w14:paraId="3CC197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施工期产生的固体废物主要为建筑垃圾及生活垃圾等。建设单位对施工期产生的固体废弃物加强管理，妥善处置。</w:t>
            </w:r>
          </w:p>
          <w:p w14:paraId="49A877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①对砖块瓦砾等废物，可采用一般堆放方法处理，对可再利用的废料，木材、竹料等，应进行回收利用，以节省资源;</w:t>
            </w:r>
          </w:p>
          <w:p w14:paraId="7378F9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②加强对建筑残土的管理，装运残土要适量，确保沿途不洒漏，不扬尘，运到有关部门指定地点进行处理，严禁野蛮装运和乱倒乱卸;</w:t>
            </w:r>
          </w:p>
          <w:p w14:paraId="2CD592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③施工工人产生的生活垃圾，交</w:t>
            </w:r>
            <w:r>
              <w:rPr>
                <w:rFonts w:hint="eastAsia" w:ascii="Times New Roman" w:hAnsi="Times New Roman" w:cs="Times New Roman"/>
                <w:color w:val="000000" w:themeColor="text1"/>
                <w:sz w:val="21"/>
                <w:szCs w:val="21"/>
                <w:lang w:val="en-US" w:eastAsia="zh-CN"/>
              </w:rPr>
              <w:t>园区</w:t>
            </w:r>
            <w:r>
              <w:rPr>
                <w:rFonts w:hint="eastAsia" w:ascii="Times New Roman" w:hAnsi="Times New Roman" w:cs="Times New Roman"/>
                <w:color w:val="000000" w:themeColor="text1"/>
                <w:sz w:val="21"/>
                <w:szCs w:val="21"/>
              </w:rPr>
              <w:t>环卫部门运走处理进行无害化处理，以避免对周围环境造成影响。</w:t>
            </w:r>
          </w:p>
          <w:p w14:paraId="60345A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综上所述，项目施工期采取环评提出的环保措施，可以实现文明施工，采取必要的降噪、防尘等措施，可以使施工期的环境影响降至最小。施工期产生的环境影响短在采取相应污染防治措施后不利影响可得到有效控制，且随着施工的结束，各种影响逐渐消失，区域环境逐渐得到恢复。</w:t>
            </w:r>
          </w:p>
        </w:tc>
      </w:tr>
      <w:tr w14:paraId="6945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6" w:type="dxa"/>
            <w:noWrap w:val="0"/>
            <w:vAlign w:val="center"/>
          </w:tcPr>
          <w:p w14:paraId="3A4F1FDF">
            <w:pPr>
              <w:keepNext w:val="0"/>
              <w:keepLines w:val="0"/>
              <w:suppressLineNumbers w:val="0"/>
              <w:spacing w:before="0" w:beforeAutospacing="0" w:after="0" w:afterAutospacing="0"/>
              <w:ind w:left="0" w:right="0" w:firstLine="0" w:firstLineChars="0"/>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运营期环境保护措施</w:t>
            </w:r>
          </w:p>
        </w:tc>
        <w:tc>
          <w:tcPr>
            <w:tcW w:w="8164" w:type="dxa"/>
            <w:noWrap w:val="0"/>
            <w:vAlign w:val="center"/>
          </w:tcPr>
          <w:p w14:paraId="0D74FEB0">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440" w:lineRule="exact"/>
              <w:ind w:left="0" w:right="0" w:firstLine="0" w:firstLineChars="0"/>
              <w:textAlignment w:val="auto"/>
              <w:rPr>
                <w:rFonts w:hint="default" w:ascii="Times New Roman" w:hAnsi="Times New Roman" w:eastAsia="宋体" w:cs="Times New Roman"/>
                <w:color w:val="000000" w:themeColor="text1"/>
                <w:sz w:val="21"/>
                <w:szCs w:val="21"/>
              </w:rPr>
            </w:pPr>
            <w:bookmarkStart w:id="18" w:name="_Toc13003"/>
            <w:r>
              <w:rPr>
                <w:rFonts w:hint="default" w:ascii="Times New Roman" w:hAnsi="Times New Roman" w:eastAsia="宋体" w:cs="Times New Roman"/>
                <w:color w:val="000000" w:themeColor="text1"/>
                <w:sz w:val="21"/>
                <w:szCs w:val="21"/>
              </w:rPr>
              <w:t>1、运营期废气污染物影响和保护措施</w:t>
            </w:r>
            <w:bookmarkEnd w:id="18"/>
          </w:p>
          <w:p w14:paraId="474AAD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（1）产污环节</w:t>
            </w:r>
          </w:p>
          <w:p w14:paraId="65423E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根据</w:t>
            </w:r>
            <w:r>
              <w:rPr>
                <w:rFonts w:hint="default" w:ascii="Times New Roman" w:hAnsi="Times New Roman" w:eastAsia="宋体" w:cs="Times New Roman"/>
                <w:color w:val="000000" w:themeColor="text1"/>
                <w:sz w:val="21"/>
                <w:szCs w:val="21"/>
              </w:rPr>
              <w:t>生产工艺</w:t>
            </w:r>
            <w:r>
              <w:rPr>
                <w:rFonts w:hint="default" w:ascii="Times New Roman" w:hAnsi="Times New Roman" w:eastAsia="宋体" w:cs="Times New Roman"/>
                <w:color w:val="000000" w:themeColor="text1"/>
                <w:sz w:val="21"/>
                <w:szCs w:val="21"/>
                <w:lang w:val="en-US" w:eastAsia="zh-CN"/>
              </w:rPr>
              <w:t>分析，项目产生的废气主要为菜花黄、硫酸铝、石英砂加入搅拌机进行搅拌时投料产生的粉尘、烘干机热风炉产生的烘干废气和员工食堂产生的油烟</w:t>
            </w:r>
            <w:r>
              <w:rPr>
                <w:rFonts w:hint="default" w:ascii="Times New Roman" w:hAnsi="Times New Roman" w:eastAsia="宋体" w:cs="Times New Roman"/>
                <w:color w:val="000000" w:themeColor="text1"/>
                <w:sz w:val="21"/>
                <w:szCs w:val="21"/>
              </w:rPr>
              <w:t>。</w:t>
            </w:r>
          </w:p>
          <w:p w14:paraId="6A198B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（2）运营期废气污染物产排分析</w:t>
            </w:r>
          </w:p>
          <w:p w14:paraId="1A66B3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b/>
                <w:bCs/>
                <w:color w:val="000000" w:themeColor="text1"/>
                <w:sz w:val="21"/>
                <w:szCs w:val="21"/>
                <w:lang w:val="en-US" w:eastAsia="zh-CN"/>
              </w:rPr>
            </w:pPr>
            <w:r>
              <w:rPr>
                <w:rFonts w:hint="default" w:ascii="Times New Roman" w:hAnsi="Times New Roman" w:eastAsia="宋体" w:cs="Times New Roman"/>
                <w:b/>
                <w:bCs/>
                <w:color w:val="000000" w:themeColor="text1"/>
                <w:sz w:val="21"/>
                <w:szCs w:val="21"/>
              </w:rPr>
              <w:t>1）</w:t>
            </w:r>
            <w:r>
              <w:rPr>
                <w:rFonts w:hint="default" w:ascii="Times New Roman" w:hAnsi="Times New Roman" w:eastAsia="宋体" w:cs="Times New Roman"/>
                <w:b/>
                <w:bCs/>
                <w:color w:val="000000" w:themeColor="text1"/>
                <w:sz w:val="21"/>
                <w:szCs w:val="21"/>
                <w:lang w:val="en-US" w:eastAsia="zh-CN"/>
              </w:rPr>
              <w:t>投料粉尘</w:t>
            </w:r>
          </w:p>
          <w:p w14:paraId="0105AA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①源强</w:t>
            </w:r>
          </w:p>
          <w:p w14:paraId="791828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rPr>
              <w:t>项目按一定配比将废纸、菜花黄、硫酸铝、石英砂加入搅拌机进行搅拌。粉状物料在投料工序会产生少量粉尘，参考《逸散性工业粉尘控制技术》（中国环境科学出版社，1989.12，作者J.A.奥里蒙G.A.久兹等编著张良璧等编译）表13-2水泥生产的逸散尘排放因子中原料磨碎机和喂料、卸料的排气系统粉尘产污系数为0.05kg/t，本项目粉状物料主要为碱性嫩黄（染料）</w:t>
            </w:r>
            <w:r>
              <w:rPr>
                <w:rFonts w:hint="default"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lang w:val="en-US" w:eastAsia="zh-CN"/>
              </w:rPr>
              <w:t>6t/a；</w:t>
            </w:r>
            <w:r>
              <w:rPr>
                <w:rFonts w:hint="default" w:ascii="Times New Roman" w:hAnsi="Times New Roman" w:eastAsia="宋体" w:cs="Times New Roman"/>
                <w:color w:val="000000" w:themeColor="text1"/>
                <w:sz w:val="21"/>
                <w:szCs w:val="21"/>
              </w:rPr>
              <w:t>硫酸铝</w:t>
            </w:r>
            <w:r>
              <w:rPr>
                <w:rFonts w:hint="default"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15</w:t>
            </w:r>
            <w:r>
              <w:rPr>
                <w:rFonts w:hint="default" w:ascii="Times New Roman" w:hAnsi="Times New Roman" w:eastAsia="宋体" w:cs="Times New Roman"/>
                <w:color w:val="000000" w:themeColor="text1"/>
                <w:sz w:val="21"/>
                <w:szCs w:val="21"/>
                <w:lang w:val="en-US" w:eastAsia="zh-CN"/>
              </w:rPr>
              <w:t>t/a；</w:t>
            </w:r>
            <w:r>
              <w:rPr>
                <w:rFonts w:hint="default" w:ascii="Times New Roman" w:hAnsi="Times New Roman" w:eastAsia="宋体" w:cs="Times New Roman"/>
                <w:color w:val="000000" w:themeColor="text1"/>
                <w:sz w:val="21"/>
                <w:szCs w:val="21"/>
              </w:rPr>
              <w:t>石粉</w:t>
            </w:r>
            <w:r>
              <w:rPr>
                <w:rFonts w:hint="default"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280</w:t>
            </w:r>
            <w:r>
              <w:rPr>
                <w:rFonts w:hint="default" w:ascii="Times New Roman" w:hAnsi="Times New Roman" w:eastAsia="宋体" w:cs="Times New Roman"/>
                <w:color w:val="000000" w:themeColor="text1"/>
                <w:sz w:val="21"/>
                <w:szCs w:val="21"/>
                <w:lang w:val="en-US" w:eastAsia="zh-CN"/>
              </w:rPr>
              <w:t>t/a</w:t>
            </w:r>
            <w:r>
              <w:rPr>
                <w:rFonts w:hint="default" w:ascii="Times New Roman" w:hAnsi="Times New Roman" w:eastAsia="宋体" w:cs="Times New Roman"/>
                <w:color w:val="000000" w:themeColor="text1"/>
                <w:sz w:val="21"/>
                <w:szCs w:val="21"/>
              </w:rPr>
              <w:t>，共计</w:t>
            </w:r>
            <w:r>
              <w:rPr>
                <w:rFonts w:hint="default" w:ascii="Times New Roman" w:hAnsi="Times New Roman" w:eastAsia="宋体" w:cs="Times New Roman"/>
                <w:color w:val="000000" w:themeColor="text1"/>
                <w:sz w:val="21"/>
                <w:szCs w:val="21"/>
                <w:lang w:val="en-US" w:eastAsia="zh-CN"/>
              </w:rPr>
              <w:t>301</w:t>
            </w:r>
            <w:r>
              <w:rPr>
                <w:rFonts w:hint="default" w:ascii="Times New Roman" w:hAnsi="Times New Roman" w:eastAsia="宋体" w:cs="Times New Roman"/>
                <w:color w:val="000000" w:themeColor="text1"/>
                <w:sz w:val="21"/>
                <w:szCs w:val="21"/>
              </w:rPr>
              <w:t>t/a。则投料粉尘产生量为0.0</w:t>
            </w:r>
            <w:r>
              <w:rPr>
                <w:rFonts w:hint="default" w:ascii="Times New Roman" w:hAnsi="Times New Roman" w:eastAsia="宋体" w:cs="Times New Roman"/>
                <w:color w:val="000000" w:themeColor="text1"/>
                <w:sz w:val="21"/>
                <w:szCs w:val="21"/>
                <w:lang w:val="en-US" w:eastAsia="zh-CN"/>
              </w:rPr>
              <w:t>15</w:t>
            </w:r>
            <w:r>
              <w:rPr>
                <w:rFonts w:hint="default" w:ascii="Times New Roman" w:hAnsi="Times New Roman" w:eastAsia="宋体" w:cs="Times New Roman"/>
                <w:color w:val="000000" w:themeColor="text1"/>
                <w:sz w:val="21"/>
                <w:szCs w:val="21"/>
              </w:rPr>
              <w:t>t/a</w:t>
            </w:r>
            <w:r>
              <w:rPr>
                <w:rFonts w:hint="default" w:ascii="Times New Roman" w:hAnsi="Times New Roman" w:eastAsia="宋体" w:cs="Times New Roman"/>
                <w:color w:val="000000" w:themeColor="text1"/>
                <w:sz w:val="21"/>
                <w:szCs w:val="21"/>
                <w:lang w:eastAsia="zh-CN"/>
              </w:rPr>
              <w:t>。</w:t>
            </w:r>
          </w:p>
          <w:p w14:paraId="0325CC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rPr>
              <w:t>②环保措施</w:t>
            </w:r>
          </w:p>
          <w:p w14:paraId="678D77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投料</w:t>
            </w:r>
            <w:r>
              <w:rPr>
                <w:rFonts w:hint="default" w:ascii="Times New Roman" w:hAnsi="Times New Roman" w:eastAsia="宋体" w:cs="Times New Roman"/>
                <w:color w:val="000000" w:themeColor="text1"/>
                <w:sz w:val="21"/>
                <w:szCs w:val="21"/>
              </w:rPr>
              <w:t>产</w:t>
            </w:r>
            <w:r>
              <w:rPr>
                <w:rFonts w:hint="eastAsia" w:cs="Times New Roman"/>
                <w:color w:val="00B050"/>
                <w:sz w:val="21"/>
                <w:szCs w:val="21"/>
                <w:lang w:val="en-US" w:eastAsia="zh-CN"/>
              </w:rPr>
              <w:t>尘</w:t>
            </w:r>
            <w:r>
              <w:rPr>
                <w:rFonts w:hint="default" w:ascii="Times New Roman" w:hAnsi="Times New Roman" w:eastAsia="宋体" w:cs="Times New Roman"/>
                <w:color w:val="000000" w:themeColor="text1"/>
                <w:sz w:val="21"/>
                <w:szCs w:val="21"/>
              </w:rPr>
              <w:t>量较小，通过</w:t>
            </w:r>
            <w:r>
              <w:rPr>
                <w:rFonts w:hint="eastAsia" w:ascii="Times New Roman" w:hAnsi="Times New Roman" w:eastAsia="宋体" w:cs="Times New Roman"/>
                <w:color w:val="000000" w:themeColor="text1"/>
                <w:sz w:val="21"/>
                <w:szCs w:val="21"/>
                <w:lang w:val="en-US" w:eastAsia="zh-CN"/>
              </w:rPr>
              <w:t>采取封闭式厂房</w:t>
            </w:r>
            <w:r>
              <w:rPr>
                <w:rFonts w:hint="default" w:ascii="Times New Roman" w:hAnsi="Times New Roman" w:eastAsia="宋体" w:cs="Times New Roman"/>
                <w:color w:val="000000" w:themeColor="text1"/>
                <w:sz w:val="21"/>
                <w:szCs w:val="21"/>
              </w:rPr>
              <w:t>，</w:t>
            </w:r>
            <w:r>
              <w:rPr>
                <w:rFonts w:hint="eastAsia" w:cs="Times New Roman"/>
                <w:color w:val="00B050"/>
                <w:sz w:val="21"/>
                <w:szCs w:val="21"/>
                <w:lang w:val="en-US" w:eastAsia="zh-CN"/>
              </w:rPr>
              <w:t>投料口设置围挡，</w:t>
            </w:r>
            <w:r>
              <w:rPr>
                <w:rFonts w:hint="default" w:ascii="Times New Roman" w:hAnsi="Times New Roman" w:eastAsia="宋体" w:cs="Times New Roman"/>
                <w:color w:val="00B050"/>
                <w:sz w:val="21"/>
                <w:szCs w:val="21"/>
                <w:lang w:val="en-US" w:eastAsia="zh-CN"/>
              </w:rPr>
              <w:t>投料</w:t>
            </w:r>
            <w:r>
              <w:rPr>
                <w:rFonts w:hint="eastAsia" w:cs="Times New Roman"/>
                <w:color w:val="00B050"/>
                <w:sz w:val="21"/>
                <w:szCs w:val="21"/>
                <w:lang w:val="en-US" w:eastAsia="zh-CN"/>
              </w:rPr>
              <w:t>时物料与水前后加入，</w:t>
            </w:r>
            <w:r>
              <w:rPr>
                <w:rFonts w:hint="default" w:ascii="Times New Roman" w:hAnsi="Times New Roman" w:eastAsia="宋体" w:cs="Times New Roman"/>
                <w:color w:val="00B050"/>
                <w:sz w:val="21"/>
                <w:szCs w:val="21"/>
                <w:lang w:val="en-US" w:eastAsia="zh-CN"/>
              </w:rPr>
              <w:t>后使用水力碎料机和搅拌机进行分解</w:t>
            </w:r>
            <w:r>
              <w:rPr>
                <w:rFonts w:hint="eastAsia" w:cs="Times New Roman"/>
                <w:color w:val="00B050"/>
                <w:sz w:val="21"/>
                <w:szCs w:val="21"/>
                <w:lang w:val="en-US" w:eastAsia="zh-CN"/>
              </w:rPr>
              <w:t>，排放的粉尘极少，</w:t>
            </w:r>
            <w:r>
              <w:rPr>
                <w:rFonts w:hint="default" w:ascii="Times New Roman" w:hAnsi="Times New Roman" w:eastAsia="宋体" w:cs="Times New Roman"/>
                <w:color w:val="000000" w:themeColor="text1"/>
                <w:sz w:val="21"/>
                <w:szCs w:val="21"/>
              </w:rPr>
              <w:t>呈无组织排放在车间内。</w:t>
            </w:r>
          </w:p>
          <w:p w14:paraId="252414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③排放情况</w:t>
            </w:r>
          </w:p>
          <w:p w14:paraId="1C8E1C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根据分析，采取以上措施后，</w:t>
            </w:r>
            <w:r>
              <w:rPr>
                <w:rFonts w:hint="default" w:ascii="Times New Roman" w:hAnsi="Times New Roman" w:eastAsia="宋体" w:cs="Times New Roman"/>
                <w:color w:val="000000" w:themeColor="text1"/>
                <w:sz w:val="21"/>
                <w:szCs w:val="21"/>
                <w:lang w:val="en-US" w:eastAsia="zh-CN"/>
              </w:rPr>
              <w:t>投料</w:t>
            </w:r>
            <w:r>
              <w:rPr>
                <w:rFonts w:hint="default" w:ascii="Times New Roman" w:hAnsi="Times New Roman" w:eastAsia="宋体" w:cs="Times New Roman"/>
                <w:color w:val="000000" w:themeColor="text1"/>
                <w:sz w:val="21"/>
                <w:szCs w:val="21"/>
              </w:rPr>
              <w:t>产生量较小，呈无组织排放在车间内。</w:t>
            </w:r>
            <w:r>
              <w:rPr>
                <w:rFonts w:hint="default" w:ascii="Times New Roman" w:hAnsi="Times New Roman" w:eastAsia="宋体" w:cs="Times New Roman"/>
                <w:color w:val="000000" w:themeColor="text1"/>
                <w:sz w:val="21"/>
                <w:szCs w:val="21"/>
                <w:lang w:val="en-US" w:eastAsia="zh-CN"/>
              </w:rPr>
              <w:t>投料</w:t>
            </w:r>
            <w:r>
              <w:rPr>
                <w:rFonts w:hint="default" w:ascii="Times New Roman" w:hAnsi="Times New Roman" w:eastAsia="宋体" w:cs="Times New Roman"/>
                <w:color w:val="000000" w:themeColor="text1"/>
                <w:sz w:val="21"/>
                <w:szCs w:val="21"/>
              </w:rPr>
              <w:t>粉尘无组织排放量为</w:t>
            </w:r>
            <w:r>
              <w:rPr>
                <w:rFonts w:hint="default" w:ascii="Times New Roman" w:hAnsi="Times New Roman" w:eastAsia="宋体" w:cs="Times New Roman"/>
                <w:color w:val="000000" w:themeColor="text1"/>
                <w:sz w:val="21"/>
                <w:szCs w:val="21"/>
                <w:lang w:val="en-US" w:eastAsia="zh-CN"/>
              </w:rPr>
              <w:t>0.015</w:t>
            </w:r>
            <w:r>
              <w:rPr>
                <w:rFonts w:hint="default" w:ascii="Times New Roman" w:hAnsi="Times New Roman" w:eastAsia="宋体" w:cs="Times New Roman"/>
                <w:color w:val="000000" w:themeColor="text1"/>
                <w:sz w:val="21"/>
                <w:szCs w:val="21"/>
              </w:rPr>
              <w:t>t/a。</w:t>
            </w:r>
          </w:p>
          <w:p w14:paraId="5D666A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b/>
                <w:bCs/>
                <w:color w:val="000000" w:themeColor="text1"/>
                <w:sz w:val="21"/>
                <w:szCs w:val="21"/>
                <w:lang w:val="en-US" w:eastAsia="zh-CN"/>
              </w:rPr>
            </w:pPr>
            <w:r>
              <w:rPr>
                <w:rFonts w:hint="default" w:ascii="Times New Roman" w:hAnsi="Times New Roman" w:eastAsia="宋体" w:cs="Times New Roman"/>
                <w:b/>
                <w:bCs/>
                <w:color w:val="000000" w:themeColor="text1"/>
                <w:sz w:val="21"/>
                <w:szCs w:val="21"/>
              </w:rPr>
              <w:t>2）</w:t>
            </w:r>
            <w:r>
              <w:rPr>
                <w:rFonts w:hint="default" w:ascii="Times New Roman" w:hAnsi="Times New Roman" w:eastAsia="宋体" w:cs="Times New Roman"/>
                <w:b/>
                <w:bCs/>
                <w:color w:val="000000" w:themeColor="text1"/>
                <w:sz w:val="21"/>
                <w:szCs w:val="21"/>
                <w:lang w:val="en-US" w:eastAsia="zh-CN"/>
              </w:rPr>
              <w:t>烘干废气</w:t>
            </w:r>
          </w:p>
          <w:p w14:paraId="57EBED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本项目</w:t>
            </w:r>
            <w:r>
              <w:rPr>
                <w:rFonts w:hint="default" w:ascii="Times New Roman" w:hAnsi="Times New Roman" w:eastAsia="宋体" w:cs="Times New Roman"/>
                <w:b w:val="0"/>
                <w:bCs w:val="0"/>
                <w:color w:val="00B050"/>
                <w:sz w:val="21"/>
                <w:szCs w:val="21"/>
                <w:lang w:val="en-US" w:eastAsia="zh-CN"/>
              </w:rPr>
              <w:t>热风炉产生的废气主要污染物为颗粒物、二氧化硫、氮氧化物</w:t>
            </w:r>
            <w:r>
              <w:rPr>
                <w:rFonts w:hint="eastAsia" w:ascii="Times New Roman" w:hAnsi="Times New Roman" w:eastAsia="宋体" w:cs="Times New Roman"/>
                <w:b w:val="0"/>
                <w:bCs w:val="0"/>
                <w:color w:val="000000" w:themeColor="text1"/>
                <w:sz w:val="21"/>
                <w:szCs w:val="21"/>
                <w:lang w:val="en-US" w:eastAsia="zh-CN"/>
              </w:rPr>
              <w:t>。</w:t>
            </w:r>
          </w:p>
          <w:p w14:paraId="09FE4E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①源强</w:t>
            </w:r>
          </w:p>
          <w:p w14:paraId="7309CB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Cs w:val="21"/>
                <w:lang w:val="en-US"/>
              </w:rPr>
            </w:pPr>
            <w:r>
              <w:rPr>
                <w:rFonts w:hint="default" w:ascii="Times New Roman" w:hAnsi="Times New Roman" w:eastAsia="宋体" w:cs="Times New Roman"/>
                <w:color w:val="000000" w:themeColor="text1"/>
                <w:sz w:val="21"/>
                <w:szCs w:val="21"/>
              </w:rPr>
              <w:t>本项目</w:t>
            </w:r>
            <w:r>
              <w:rPr>
                <w:rFonts w:hint="default" w:ascii="Times New Roman" w:hAnsi="Times New Roman" w:eastAsia="宋体" w:cs="Times New Roman"/>
                <w:color w:val="000000" w:themeColor="text1"/>
                <w:sz w:val="21"/>
                <w:szCs w:val="21"/>
                <w:lang w:val="en-US" w:eastAsia="zh-CN"/>
              </w:rPr>
              <w:t>果托和蛋托</w:t>
            </w:r>
            <w:r>
              <w:rPr>
                <w:rFonts w:hint="default" w:ascii="Times New Roman" w:hAnsi="Times New Roman" w:eastAsia="宋体" w:cs="Times New Roman"/>
                <w:color w:val="000000" w:themeColor="text1"/>
                <w:sz w:val="21"/>
                <w:szCs w:val="21"/>
              </w:rPr>
              <w:t>分别设有</w:t>
            </w:r>
            <w:r>
              <w:rPr>
                <w:rFonts w:hint="default" w:ascii="Times New Roman" w:hAnsi="Times New Roman" w:eastAsia="宋体" w:cs="Times New Roman"/>
                <w:color w:val="000000" w:themeColor="text1"/>
                <w:sz w:val="21"/>
                <w:szCs w:val="21"/>
                <w:lang w:val="en-US" w:eastAsia="zh-CN"/>
              </w:rPr>
              <w:t>1套金属多层烘干炉，两套烘干炉</w:t>
            </w:r>
            <w:r>
              <w:rPr>
                <w:rFonts w:hint="eastAsia" w:ascii="Times New Roman" w:hAnsi="Times New Roman" w:eastAsia="宋体" w:cs="Times New Roman"/>
                <w:color w:val="000000" w:themeColor="text1"/>
                <w:sz w:val="21"/>
                <w:szCs w:val="21"/>
                <w:lang w:val="en-US" w:eastAsia="zh-CN"/>
              </w:rPr>
              <w:t>（</w:t>
            </w:r>
            <w:r>
              <w:rPr>
                <w:rFonts w:hint="eastAsia" w:cs="Times New Roman"/>
                <w:color w:val="000000" w:themeColor="text1"/>
                <w:sz w:val="21"/>
                <w:szCs w:val="21"/>
                <w:lang w:val="en-US" w:eastAsia="zh-CN"/>
              </w:rPr>
              <w:t>分别</w:t>
            </w:r>
            <w:r>
              <w:rPr>
                <w:rFonts w:hint="eastAsia" w:ascii="Times New Roman" w:hAnsi="Times New Roman" w:eastAsia="宋体" w:cs="Times New Roman"/>
                <w:color w:val="000000" w:themeColor="text1"/>
                <w:sz w:val="21"/>
                <w:szCs w:val="21"/>
                <w:lang w:val="en-US" w:eastAsia="zh-CN"/>
              </w:rPr>
              <w:t>配套</w:t>
            </w:r>
            <w:r>
              <w:rPr>
                <w:rFonts w:hint="eastAsia" w:cs="Times New Roman"/>
                <w:color w:val="000000" w:themeColor="text1"/>
                <w:sz w:val="21"/>
                <w:szCs w:val="21"/>
                <w:lang w:val="en-US" w:eastAsia="zh-CN"/>
              </w:rPr>
              <w:t>1个风机，单个</w:t>
            </w:r>
            <w:r>
              <w:rPr>
                <w:rFonts w:hint="eastAsia" w:ascii="Times New Roman" w:hAnsi="Times New Roman" w:eastAsia="宋体" w:cs="Times New Roman"/>
                <w:color w:val="000000" w:themeColor="text1"/>
                <w:sz w:val="21"/>
                <w:szCs w:val="21"/>
                <w:lang w:val="en-US" w:eastAsia="zh-CN"/>
              </w:rPr>
              <w:t>风机风量</w:t>
            </w:r>
            <w:r>
              <w:rPr>
                <w:rFonts w:hint="eastAsia" w:cs="Times New Roman"/>
                <w:color w:val="000000" w:themeColor="text1"/>
                <w:sz w:val="21"/>
                <w:szCs w:val="21"/>
                <w:lang w:val="en-US" w:eastAsia="zh-CN"/>
              </w:rPr>
              <w:t>25</w:t>
            </w:r>
            <w:r>
              <w:rPr>
                <w:rFonts w:hint="eastAsia" w:ascii="Times New Roman" w:hAnsi="Times New Roman" w:eastAsia="宋体" w:cs="Times New Roman"/>
                <w:color w:val="000000" w:themeColor="text1"/>
                <w:sz w:val="21"/>
                <w:szCs w:val="21"/>
                <w:lang w:val="en-US" w:eastAsia="zh-CN"/>
              </w:rPr>
              <w:t>00m</w:t>
            </w:r>
            <w:r>
              <w:rPr>
                <w:rFonts w:hint="eastAsia" w:ascii="Times New Roman" w:hAnsi="Times New Roman" w:eastAsia="宋体" w:cs="Times New Roman"/>
                <w:color w:val="000000" w:themeColor="text1"/>
                <w:sz w:val="21"/>
                <w:szCs w:val="21"/>
                <w:vertAlign w:val="superscript"/>
                <w:lang w:val="en-US" w:eastAsia="zh-CN"/>
              </w:rPr>
              <w:t>3</w:t>
            </w:r>
            <w:r>
              <w:rPr>
                <w:rFonts w:hint="eastAsia" w:ascii="Times New Roman" w:hAnsi="Times New Roman" w:eastAsia="宋体" w:cs="Times New Roman"/>
                <w:color w:val="000000" w:themeColor="text1"/>
                <w:sz w:val="21"/>
                <w:szCs w:val="21"/>
                <w:lang w:val="en-US" w:eastAsia="zh-CN"/>
              </w:rPr>
              <w:t>/h）</w:t>
            </w:r>
            <w:r>
              <w:rPr>
                <w:rFonts w:hint="default" w:ascii="Times New Roman" w:hAnsi="Times New Roman" w:eastAsia="宋体" w:cs="Times New Roman"/>
                <w:color w:val="000000" w:themeColor="text1"/>
                <w:sz w:val="21"/>
                <w:szCs w:val="21"/>
              </w:rPr>
              <w:t>设有相同型号的生物质</w:t>
            </w:r>
            <w:r>
              <w:rPr>
                <w:rFonts w:hint="default" w:ascii="Times New Roman" w:hAnsi="Times New Roman" w:eastAsia="宋体" w:cs="Times New Roman"/>
                <w:color w:val="000000" w:themeColor="text1"/>
                <w:sz w:val="21"/>
                <w:szCs w:val="21"/>
                <w:lang w:val="en-US" w:eastAsia="zh-CN"/>
              </w:rPr>
              <w:t>热风炉；</w:t>
            </w:r>
            <w:r>
              <w:rPr>
                <w:rFonts w:hint="default" w:ascii="Times New Roman" w:hAnsi="Times New Roman" w:eastAsia="宋体" w:cs="Times New Roman"/>
                <w:color w:val="00B050"/>
                <w:sz w:val="21"/>
                <w:szCs w:val="21"/>
              </w:rPr>
              <w:t>两台</w:t>
            </w:r>
            <w:r>
              <w:rPr>
                <w:rFonts w:hint="default" w:ascii="Times New Roman" w:hAnsi="Times New Roman" w:eastAsia="宋体" w:cs="Times New Roman"/>
                <w:color w:val="00B050"/>
                <w:sz w:val="21"/>
                <w:szCs w:val="21"/>
                <w:lang w:val="en-US" w:eastAsia="zh-CN"/>
              </w:rPr>
              <w:t>烘干炉</w:t>
            </w:r>
            <w:r>
              <w:rPr>
                <w:rFonts w:hint="default" w:ascii="Times New Roman" w:hAnsi="Times New Roman" w:eastAsia="宋体" w:cs="Times New Roman"/>
                <w:color w:val="00B050"/>
                <w:sz w:val="21"/>
                <w:szCs w:val="21"/>
              </w:rPr>
              <w:t>共用一套</w:t>
            </w:r>
            <w:r>
              <w:rPr>
                <w:rFonts w:hint="eastAsia" w:cs="Times New Roman"/>
                <w:color w:val="00B050"/>
                <w:sz w:val="21"/>
                <w:szCs w:val="21"/>
                <w:lang w:val="en-US" w:eastAsia="zh-CN"/>
              </w:rPr>
              <w:t>热风炉</w:t>
            </w:r>
            <w:r>
              <w:rPr>
                <w:rFonts w:hint="eastAsia" w:cs="Times New Roman"/>
                <w:color w:val="000000" w:themeColor="text1"/>
                <w:sz w:val="21"/>
                <w:szCs w:val="21"/>
                <w:lang w:val="en-US" w:eastAsia="zh-CN"/>
              </w:rPr>
              <w:t>，</w:t>
            </w:r>
            <w:r>
              <w:rPr>
                <w:rFonts w:hint="eastAsia" w:ascii="Times New Roman" w:hAnsi="Times New Roman" w:eastAsia="宋体" w:cs="Times New Roman"/>
                <w:color w:val="00B050"/>
                <w:sz w:val="21"/>
                <w:szCs w:val="21"/>
                <w:lang w:val="en-US" w:eastAsia="zh-CN"/>
              </w:rPr>
              <w:t>热风炉产生的</w:t>
            </w:r>
            <w:r>
              <w:rPr>
                <w:rFonts w:hint="default" w:ascii="Times New Roman" w:hAnsi="Times New Roman" w:eastAsia="宋体" w:cs="Times New Roman"/>
                <w:color w:val="00B050"/>
                <w:sz w:val="21"/>
                <w:szCs w:val="21"/>
              </w:rPr>
              <w:t>废气</w:t>
            </w:r>
            <w:r>
              <w:rPr>
                <w:rFonts w:hint="eastAsia" w:cs="Times New Roman"/>
                <w:color w:val="00B050"/>
                <w:sz w:val="21"/>
                <w:szCs w:val="21"/>
                <w:lang w:val="en-US" w:eastAsia="zh-CN"/>
              </w:rPr>
              <w:t>先经“重力沉降+布袋除尘”（TA001）处理后进入烘干机，烘干后的废气合并经水膜除尘设施（TA001）</w:t>
            </w:r>
            <w:r>
              <w:rPr>
                <w:rFonts w:hint="default" w:ascii="Times New Roman" w:hAnsi="Times New Roman" w:eastAsia="宋体" w:cs="Times New Roman"/>
                <w:color w:val="000000" w:themeColor="text1"/>
                <w:sz w:val="21"/>
                <w:szCs w:val="21"/>
              </w:rPr>
              <w:t>处理后统一</w:t>
            </w:r>
            <w:r>
              <w:rPr>
                <w:rFonts w:hint="eastAsia" w:cs="Times New Roman"/>
                <w:color w:val="000000" w:themeColor="text1"/>
                <w:sz w:val="21"/>
                <w:szCs w:val="21"/>
                <w:lang w:val="en-US" w:eastAsia="zh-CN"/>
              </w:rPr>
              <w:t>由</w:t>
            </w:r>
            <w:r>
              <w:rPr>
                <w:rFonts w:hint="default" w:ascii="Times New Roman" w:hAnsi="Times New Roman" w:eastAsia="宋体" w:cs="Times New Roman"/>
                <w:color w:val="000000" w:themeColor="text1"/>
                <w:sz w:val="21"/>
                <w:szCs w:val="21"/>
              </w:rPr>
              <w:t>一根高</w:t>
            </w:r>
            <w:r>
              <w:rPr>
                <w:rFonts w:hint="eastAsia" w:cs="Times New Roman"/>
                <w:color w:val="000000" w:themeColor="text1"/>
                <w:sz w:val="21"/>
                <w:szCs w:val="21"/>
                <w:lang w:eastAsia="zh-CN"/>
              </w:rPr>
              <w:t>20</w:t>
            </w:r>
            <w:r>
              <w:rPr>
                <w:rFonts w:hint="default" w:ascii="Times New Roman" w:hAnsi="Times New Roman" w:eastAsia="宋体" w:cs="Times New Roman"/>
                <w:color w:val="000000" w:themeColor="text1"/>
                <w:sz w:val="21"/>
                <w:szCs w:val="21"/>
              </w:rPr>
              <w:t>m排气筒达标排放</w:t>
            </w:r>
            <w:r>
              <w:rPr>
                <w:rFonts w:hint="default" w:ascii="Times New Roman" w:hAnsi="Times New Roman" w:eastAsia="宋体" w:cs="Times New Roman"/>
                <w:color w:val="000000" w:themeColor="text1"/>
                <w:sz w:val="21"/>
                <w:szCs w:val="21"/>
                <w:lang w:val="en-US" w:eastAsia="zh-CN"/>
              </w:rPr>
              <w:t>（DA001）</w:t>
            </w:r>
            <w:r>
              <w:rPr>
                <w:rFonts w:hint="default" w:ascii="Times New Roman" w:hAnsi="Times New Roman" w:eastAsia="宋体" w:cs="Times New Roman"/>
                <w:color w:val="000000" w:themeColor="text1"/>
                <w:sz w:val="21"/>
                <w:szCs w:val="21"/>
              </w:rPr>
              <w:t>。</w:t>
            </w:r>
            <w:r>
              <w:rPr>
                <w:rFonts w:hint="eastAsia" w:ascii="Times New Roman" w:hAnsi="Times New Roman" w:eastAsia="宋体" w:cs="Times New Roman"/>
                <w:color w:val="000000" w:themeColor="text1"/>
                <w:kern w:val="2"/>
                <w:sz w:val="21"/>
                <w:szCs w:val="21"/>
                <w:lang w:val="en-US" w:eastAsia="zh-CN" w:bidi="ar"/>
              </w:rPr>
              <w:t>经调查目前工业炉窑行业暂无污染源强核算技术指南；因此本项目热风炉燃烧烟气产生源强参照《排放源统计调查产排污核算方法和系数手册》中</w:t>
            </w:r>
            <w:r>
              <w:rPr>
                <w:rFonts w:hint="default" w:ascii="Times New Roman" w:hAnsi="Times New Roman" w:eastAsia="宋体" w:cs="Times New Roman"/>
                <w:color w:val="000000" w:themeColor="text1"/>
                <w:kern w:val="2"/>
                <w:sz w:val="21"/>
                <w:szCs w:val="21"/>
                <w:lang w:val="en-US" w:eastAsia="zh-CN" w:bidi="ar"/>
              </w:rPr>
              <w:t>“</w:t>
            </w:r>
            <w:r>
              <w:rPr>
                <w:rFonts w:hint="eastAsia" w:ascii="Times New Roman" w:hAnsi="Times New Roman" w:eastAsia="宋体" w:cs="Times New Roman"/>
                <w:color w:val="000000" w:themeColor="text1"/>
                <w:kern w:val="2"/>
                <w:sz w:val="21"/>
                <w:szCs w:val="21"/>
                <w:lang w:val="en-US" w:eastAsia="zh-CN" w:bidi="ar"/>
              </w:rPr>
              <w:t>锅炉产排污量核算系数手册</w:t>
            </w:r>
            <w:r>
              <w:rPr>
                <w:rFonts w:hint="default" w:ascii="Times New Roman" w:hAnsi="Times New Roman" w:eastAsia="宋体" w:cs="Times New Roman"/>
                <w:color w:val="000000" w:themeColor="text1"/>
                <w:kern w:val="2"/>
                <w:sz w:val="21"/>
                <w:szCs w:val="21"/>
                <w:lang w:val="en-US" w:eastAsia="zh-CN" w:bidi="ar"/>
              </w:rPr>
              <w:t>4430</w:t>
            </w:r>
            <w:r>
              <w:rPr>
                <w:rFonts w:hint="eastAsia" w:ascii="Times New Roman" w:hAnsi="Times New Roman" w:eastAsia="宋体" w:cs="Times New Roman"/>
                <w:color w:val="000000" w:themeColor="text1"/>
                <w:kern w:val="2"/>
                <w:sz w:val="21"/>
                <w:szCs w:val="21"/>
                <w:lang w:val="en-US" w:eastAsia="zh-CN" w:bidi="ar"/>
              </w:rPr>
              <w:t>工业锅炉（热力生产和供应行业）中的产污系数法对项目热风炉燃烧废气源强进行核算；</w:t>
            </w:r>
          </w:p>
          <w:p w14:paraId="244C9CB3">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szCs w:val="21"/>
                <w:lang w:val="en-US"/>
              </w:rPr>
            </w:pPr>
            <w:r>
              <w:rPr>
                <w:rFonts w:hint="eastAsia" w:ascii="Times New Roman" w:hAnsi="Times New Roman" w:eastAsia="宋体" w:cs="Times New Roman"/>
                <w:b/>
                <w:bCs/>
                <w:color w:val="000000" w:themeColor="text1"/>
                <w:kern w:val="2"/>
                <w:sz w:val="21"/>
                <w:szCs w:val="21"/>
                <w:lang w:val="en-US" w:eastAsia="zh-CN" w:bidi="ar"/>
              </w:rPr>
              <w:t>表</w:t>
            </w:r>
            <w:r>
              <w:rPr>
                <w:rFonts w:hint="default" w:ascii="Times New Roman" w:hAnsi="Times New Roman" w:eastAsia="宋体" w:cs="Times New Roman"/>
                <w:b/>
                <w:bCs/>
                <w:color w:val="000000" w:themeColor="text1"/>
                <w:kern w:val="2"/>
                <w:sz w:val="21"/>
                <w:szCs w:val="21"/>
                <w:lang w:val="en-US" w:eastAsia="zh-CN" w:bidi="ar"/>
              </w:rPr>
              <w:t xml:space="preserve">4-1  </w:t>
            </w:r>
            <w:r>
              <w:rPr>
                <w:rFonts w:hint="eastAsia" w:ascii="Times New Roman" w:hAnsi="Times New Roman" w:eastAsia="宋体" w:cs="Times New Roman"/>
                <w:b/>
                <w:bCs/>
                <w:color w:val="000000" w:themeColor="text1"/>
                <w:kern w:val="2"/>
                <w:sz w:val="21"/>
                <w:szCs w:val="21"/>
                <w:lang w:val="en-US" w:eastAsia="zh-CN" w:bidi="ar"/>
              </w:rPr>
              <w:t>产污系数表</w:t>
            </w:r>
          </w:p>
          <w:tbl>
            <w:tblPr>
              <w:tblStyle w:val="43"/>
              <w:tblW w:w="80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792"/>
              <w:gridCol w:w="1608"/>
              <w:gridCol w:w="732"/>
              <w:gridCol w:w="1118"/>
              <w:gridCol w:w="1462"/>
              <w:gridCol w:w="1068"/>
            </w:tblGrid>
            <w:tr w14:paraId="19484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8" w:type="dxa"/>
                  <w:tcBorders>
                    <w:top w:val="single" w:color="auto" w:sz="4" w:space="0"/>
                    <w:left w:val="single" w:color="auto" w:sz="4" w:space="0"/>
                    <w:bottom w:val="single" w:color="auto" w:sz="4" w:space="0"/>
                    <w:right w:val="single" w:color="auto" w:sz="4" w:space="0"/>
                  </w:tcBorders>
                  <w:noWrap w:val="0"/>
                  <w:vAlign w:val="center"/>
                </w:tcPr>
                <w:p w14:paraId="765471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b/>
                      <w:bCs w:val="0"/>
                      <w:color w:val="000000" w:themeColor="text1"/>
                      <w:kern w:val="0"/>
                      <w:sz w:val="21"/>
                      <w:szCs w:val="21"/>
                      <w:lang w:val="en-US" w:eastAsia="zh-CN" w:bidi="ar"/>
                    </w:rPr>
                    <w:t>产品名称</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0FF76E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b/>
                      <w:bCs w:val="0"/>
                      <w:color w:val="000000" w:themeColor="text1"/>
                      <w:kern w:val="0"/>
                      <w:sz w:val="21"/>
                      <w:szCs w:val="21"/>
                      <w:lang w:val="en-US" w:eastAsia="zh-CN" w:bidi="ar"/>
                    </w:rPr>
                    <w:t>燃料</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3A5457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kern w:val="0"/>
                      <w:szCs w:val="21"/>
                      <w:lang w:val="en-US"/>
                    </w:rPr>
                  </w:pPr>
                  <w:r>
                    <w:rPr>
                      <w:rFonts w:hint="eastAsia" w:ascii="Times New Roman" w:hAnsi="Times New Roman" w:eastAsia="宋体" w:cs="宋体"/>
                      <w:b/>
                      <w:bCs w:val="0"/>
                      <w:color w:val="000000" w:themeColor="text1"/>
                      <w:kern w:val="0"/>
                      <w:sz w:val="21"/>
                      <w:szCs w:val="21"/>
                      <w:lang w:val="en-US" w:eastAsia="zh-CN" w:bidi="ar"/>
                    </w:rPr>
                    <w:t>工艺名称</w:t>
                  </w:r>
                </w:p>
              </w:tc>
              <w:tc>
                <w:tcPr>
                  <w:tcW w:w="732" w:type="dxa"/>
                  <w:tcBorders>
                    <w:top w:val="single" w:color="auto" w:sz="4" w:space="0"/>
                    <w:left w:val="single" w:color="auto" w:sz="4" w:space="0"/>
                    <w:bottom w:val="single" w:color="auto" w:sz="4" w:space="0"/>
                    <w:right w:val="single" w:color="auto" w:sz="4" w:space="0"/>
                  </w:tcBorders>
                  <w:noWrap w:val="0"/>
                  <w:vAlign w:val="center"/>
                </w:tcPr>
                <w:p w14:paraId="71CC7B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b/>
                      <w:bCs w:val="0"/>
                      <w:color w:val="000000" w:themeColor="text1"/>
                      <w:kern w:val="0"/>
                      <w:sz w:val="21"/>
                      <w:szCs w:val="21"/>
                      <w:lang w:val="en-US" w:eastAsia="zh-CN" w:bidi="ar"/>
                    </w:rPr>
                    <w:t>规模</w:t>
                  </w:r>
                </w:p>
              </w:tc>
              <w:tc>
                <w:tcPr>
                  <w:tcW w:w="1118" w:type="dxa"/>
                  <w:tcBorders>
                    <w:top w:val="single" w:color="auto" w:sz="4" w:space="0"/>
                    <w:left w:val="single" w:color="auto" w:sz="4" w:space="0"/>
                    <w:bottom w:val="single" w:color="auto" w:sz="4" w:space="0"/>
                    <w:right w:val="single" w:color="auto" w:sz="4" w:space="0"/>
                  </w:tcBorders>
                  <w:noWrap w:val="0"/>
                  <w:vAlign w:val="center"/>
                </w:tcPr>
                <w:p w14:paraId="5293CD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b/>
                      <w:bCs w:val="0"/>
                      <w:color w:val="000000" w:themeColor="text1"/>
                      <w:kern w:val="0"/>
                      <w:sz w:val="21"/>
                      <w:szCs w:val="21"/>
                      <w:lang w:val="en-US" w:eastAsia="zh-CN" w:bidi="ar"/>
                    </w:rPr>
                    <w:t>污染物</w:t>
                  </w:r>
                </w:p>
              </w:tc>
              <w:tc>
                <w:tcPr>
                  <w:tcW w:w="1462" w:type="dxa"/>
                  <w:tcBorders>
                    <w:top w:val="single" w:color="auto" w:sz="4" w:space="0"/>
                    <w:left w:val="single" w:color="auto" w:sz="4" w:space="0"/>
                    <w:bottom w:val="single" w:color="auto" w:sz="4" w:space="0"/>
                    <w:right w:val="single" w:color="auto" w:sz="4" w:space="0"/>
                  </w:tcBorders>
                  <w:noWrap w:val="0"/>
                  <w:vAlign w:val="center"/>
                </w:tcPr>
                <w:p w14:paraId="6A7519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b/>
                      <w:bCs w:val="0"/>
                      <w:color w:val="000000" w:themeColor="text1"/>
                      <w:kern w:val="0"/>
                      <w:sz w:val="21"/>
                      <w:szCs w:val="21"/>
                      <w:lang w:val="en-US" w:eastAsia="zh-CN" w:bidi="ar"/>
                    </w:rPr>
                    <w:t>单位</w:t>
                  </w:r>
                </w:p>
              </w:tc>
              <w:tc>
                <w:tcPr>
                  <w:tcW w:w="1068" w:type="dxa"/>
                  <w:tcBorders>
                    <w:top w:val="single" w:color="auto" w:sz="4" w:space="0"/>
                    <w:left w:val="single" w:color="auto" w:sz="4" w:space="0"/>
                    <w:bottom w:val="single" w:color="auto" w:sz="4" w:space="0"/>
                    <w:right w:val="single" w:color="auto" w:sz="4" w:space="0"/>
                  </w:tcBorders>
                  <w:noWrap w:val="0"/>
                  <w:vAlign w:val="center"/>
                </w:tcPr>
                <w:p w14:paraId="1C7A8B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b/>
                      <w:bCs w:val="0"/>
                      <w:color w:val="000000" w:themeColor="text1"/>
                      <w:kern w:val="0"/>
                      <w:sz w:val="21"/>
                      <w:szCs w:val="21"/>
                      <w:lang w:val="en-US" w:eastAsia="zh-CN" w:bidi="ar"/>
                    </w:rPr>
                    <w:t>产污系数</w:t>
                  </w:r>
                </w:p>
              </w:tc>
            </w:tr>
            <w:tr w14:paraId="033C7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8" w:type="dxa"/>
                  <w:vMerge w:val="restart"/>
                  <w:tcBorders>
                    <w:top w:val="single" w:color="auto" w:sz="4" w:space="0"/>
                    <w:left w:val="single" w:color="auto" w:sz="4" w:space="0"/>
                    <w:bottom w:val="single" w:color="auto" w:sz="4" w:space="0"/>
                    <w:right w:val="single" w:color="auto" w:sz="4" w:space="0"/>
                  </w:tcBorders>
                  <w:noWrap w:val="0"/>
                  <w:vAlign w:val="center"/>
                </w:tcPr>
                <w:p w14:paraId="03956810">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Times New Roman"/>
                      <w:color w:val="000000" w:themeColor="text1"/>
                      <w:kern w:val="0"/>
                      <w:sz w:val="21"/>
                      <w:szCs w:val="21"/>
                      <w:lang w:val="en-US" w:eastAsia="zh-CN" w:bidi="ar"/>
                    </w:rPr>
                    <w:t>蒸汽</w:t>
                  </w:r>
                  <w:r>
                    <w:rPr>
                      <w:rFonts w:hint="default" w:ascii="Times New Roman" w:hAnsi="Times New Roman" w:eastAsia="宋体" w:cs="Times New Roman"/>
                      <w:color w:val="000000" w:themeColor="text1"/>
                      <w:kern w:val="0"/>
                      <w:sz w:val="21"/>
                      <w:szCs w:val="21"/>
                      <w:lang w:val="en-US" w:eastAsia="zh-CN" w:bidi="ar"/>
                    </w:rPr>
                    <w:t>/</w:t>
                  </w:r>
                  <w:r>
                    <w:rPr>
                      <w:rFonts w:hint="eastAsia" w:ascii="Times New Roman" w:hAnsi="Times New Roman" w:eastAsia="宋体" w:cs="Times New Roman"/>
                      <w:color w:val="000000" w:themeColor="text1"/>
                      <w:kern w:val="0"/>
                      <w:sz w:val="21"/>
                      <w:szCs w:val="21"/>
                      <w:lang w:val="en-US" w:eastAsia="zh-CN" w:bidi="ar"/>
                    </w:rPr>
                    <w:t>热水</w:t>
                  </w:r>
                  <w:r>
                    <w:rPr>
                      <w:rFonts w:hint="default" w:ascii="Times New Roman" w:hAnsi="Times New Roman" w:eastAsia="宋体" w:cs="Times New Roman"/>
                      <w:color w:val="000000" w:themeColor="text1"/>
                      <w:kern w:val="0"/>
                      <w:sz w:val="21"/>
                      <w:szCs w:val="21"/>
                      <w:lang w:val="en-US" w:eastAsia="zh-CN" w:bidi="ar"/>
                    </w:rPr>
                    <w:t>/</w:t>
                  </w:r>
                  <w:r>
                    <w:rPr>
                      <w:rFonts w:hint="eastAsia" w:ascii="Times New Roman" w:hAnsi="Times New Roman" w:eastAsia="宋体" w:cs="Times New Roman"/>
                      <w:color w:val="000000" w:themeColor="text1"/>
                      <w:kern w:val="0"/>
                      <w:sz w:val="21"/>
                      <w:szCs w:val="21"/>
                      <w:lang w:val="en-US" w:eastAsia="zh-CN" w:bidi="ar"/>
                    </w:rPr>
                    <w:t>其它</w:t>
                  </w:r>
                </w:p>
              </w:tc>
              <w:tc>
                <w:tcPr>
                  <w:tcW w:w="792" w:type="dxa"/>
                  <w:vMerge w:val="restart"/>
                  <w:tcBorders>
                    <w:top w:val="single" w:color="auto" w:sz="4" w:space="0"/>
                    <w:left w:val="single" w:color="auto" w:sz="4" w:space="0"/>
                    <w:bottom w:val="single" w:color="auto" w:sz="4" w:space="0"/>
                    <w:right w:val="single" w:color="auto" w:sz="4" w:space="0"/>
                  </w:tcBorders>
                  <w:noWrap w:val="0"/>
                  <w:vAlign w:val="center"/>
                </w:tcPr>
                <w:p w14:paraId="5E6F43F0">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Times New Roman"/>
                      <w:color w:val="000000" w:themeColor="text1"/>
                      <w:kern w:val="0"/>
                      <w:sz w:val="21"/>
                      <w:szCs w:val="21"/>
                      <w:lang w:val="en-US" w:eastAsia="zh-CN" w:bidi="ar"/>
                    </w:rPr>
                    <w:t>生物质</w:t>
                  </w:r>
                </w:p>
              </w:tc>
              <w:tc>
                <w:tcPr>
                  <w:tcW w:w="1608" w:type="dxa"/>
                  <w:vMerge w:val="restart"/>
                  <w:tcBorders>
                    <w:top w:val="single" w:color="auto" w:sz="4" w:space="0"/>
                    <w:left w:val="single" w:color="auto" w:sz="4" w:space="0"/>
                    <w:bottom w:val="single" w:color="auto" w:sz="4" w:space="0"/>
                    <w:right w:val="single" w:color="auto" w:sz="4" w:space="0"/>
                  </w:tcBorders>
                  <w:noWrap w:val="0"/>
                  <w:vAlign w:val="center"/>
                </w:tcPr>
                <w:p w14:paraId="49F5E3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kern w:val="0"/>
                      <w:szCs w:val="21"/>
                      <w:lang w:val="en-US"/>
                    </w:rPr>
                  </w:pPr>
                  <w:r>
                    <w:rPr>
                      <w:rFonts w:hint="eastAsia" w:ascii="Times New Roman" w:hAnsi="Times New Roman" w:eastAsia="宋体" w:cs="宋体"/>
                      <w:color w:val="000000" w:themeColor="text1"/>
                      <w:kern w:val="0"/>
                      <w:sz w:val="21"/>
                      <w:szCs w:val="21"/>
                      <w:lang w:val="en-US" w:eastAsia="zh-CN" w:bidi="ar"/>
                    </w:rPr>
                    <w:t>层燃炉</w:t>
                  </w:r>
                  <w:r>
                    <w:rPr>
                      <w:rFonts w:hint="default" w:ascii="Times New Roman" w:hAnsi="Times New Roman" w:eastAsia="宋体" w:cs="Times New Roman"/>
                      <w:color w:val="000000" w:themeColor="text1"/>
                      <w:kern w:val="0"/>
                      <w:sz w:val="21"/>
                      <w:szCs w:val="21"/>
                      <w:lang w:val="en-US" w:eastAsia="zh-CN" w:bidi="ar"/>
                    </w:rPr>
                    <w:t>-</w:t>
                  </w:r>
                  <w:r>
                    <w:rPr>
                      <w:rFonts w:hint="eastAsia" w:ascii="Times New Roman" w:hAnsi="Times New Roman" w:eastAsia="宋体" w:cs="宋体"/>
                      <w:color w:val="000000" w:themeColor="text1"/>
                      <w:kern w:val="0"/>
                      <w:sz w:val="21"/>
                      <w:szCs w:val="21"/>
                      <w:lang w:val="en-US" w:eastAsia="zh-CN" w:bidi="ar"/>
                    </w:rPr>
                    <w:t>生物质散烧</w:t>
                  </w:r>
                </w:p>
              </w:tc>
              <w:tc>
                <w:tcPr>
                  <w:tcW w:w="732" w:type="dxa"/>
                  <w:vMerge w:val="restart"/>
                  <w:tcBorders>
                    <w:top w:val="single" w:color="auto" w:sz="4" w:space="0"/>
                    <w:left w:val="single" w:color="auto" w:sz="4" w:space="0"/>
                    <w:bottom w:val="single" w:color="auto" w:sz="4" w:space="0"/>
                    <w:right w:val="single" w:color="auto" w:sz="4" w:space="0"/>
                  </w:tcBorders>
                  <w:noWrap w:val="0"/>
                  <w:vAlign w:val="center"/>
                </w:tcPr>
                <w:p w14:paraId="7B44FB30">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Times New Roman"/>
                      <w:color w:val="000000" w:themeColor="text1"/>
                      <w:kern w:val="0"/>
                      <w:sz w:val="21"/>
                      <w:szCs w:val="21"/>
                      <w:lang w:val="en-US" w:eastAsia="zh-CN" w:bidi="ar"/>
                    </w:rPr>
                    <w:t>所有规模</w:t>
                  </w:r>
                </w:p>
              </w:tc>
              <w:tc>
                <w:tcPr>
                  <w:tcW w:w="1118" w:type="dxa"/>
                  <w:tcBorders>
                    <w:top w:val="single" w:color="auto" w:sz="4" w:space="0"/>
                    <w:left w:val="single" w:color="auto" w:sz="4" w:space="0"/>
                    <w:bottom w:val="single" w:color="auto" w:sz="4" w:space="0"/>
                    <w:right w:val="single" w:color="auto" w:sz="4" w:space="0"/>
                  </w:tcBorders>
                  <w:noWrap w:val="0"/>
                  <w:vAlign w:val="center"/>
                </w:tcPr>
                <w:p w14:paraId="434D5C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0"/>
                      <w:sz w:val="21"/>
                      <w:szCs w:val="21"/>
                      <w:lang w:val="en-US" w:eastAsia="zh-CN" w:bidi="ar"/>
                    </w:rPr>
                    <w:t>二氧化硫</w:t>
                  </w:r>
                </w:p>
              </w:tc>
              <w:tc>
                <w:tcPr>
                  <w:tcW w:w="1462" w:type="dxa"/>
                  <w:tcBorders>
                    <w:top w:val="single" w:color="auto" w:sz="4" w:space="0"/>
                    <w:left w:val="single" w:color="auto" w:sz="4" w:space="0"/>
                    <w:bottom w:val="single" w:color="auto" w:sz="4" w:space="0"/>
                    <w:right w:val="single" w:color="auto" w:sz="4" w:space="0"/>
                  </w:tcBorders>
                  <w:noWrap w:val="0"/>
                  <w:vAlign w:val="center"/>
                </w:tcPr>
                <w:p w14:paraId="529CA0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0"/>
                      <w:sz w:val="21"/>
                      <w:szCs w:val="21"/>
                      <w:lang w:val="en-US" w:eastAsia="zh-CN" w:bidi="ar"/>
                    </w:rPr>
                    <w:t>千克</w:t>
                  </w:r>
                  <w:r>
                    <w:rPr>
                      <w:rFonts w:hint="default" w:ascii="Times New Roman" w:hAnsi="Times New Roman" w:eastAsia="宋体" w:cs="Times New Roman"/>
                      <w:color w:val="000000" w:themeColor="text1"/>
                      <w:kern w:val="0"/>
                      <w:sz w:val="21"/>
                      <w:szCs w:val="21"/>
                      <w:lang w:val="en-US" w:eastAsia="zh-CN" w:bidi="ar"/>
                    </w:rPr>
                    <w:t>/</w:t>
                  </w:r>
                  <w:r>
                    <w:rPr>
                      <w:rFonts w:hint="eastAsia" w:ascii="Times New Roman" w:hAnsi="Times New Roman" w:eastAsia="宋体" w:cs="宋体"/>
                      <w:color w:val="000000" w:themeColor="text1"/>
                      <w:kern w:val="0"/>
                      <w:sz w:val="21"/>
                      <w:szCs w:val="21"/>
                      <w:lang w:val="en-US" w:eastAsia="zh-CN" w:bidi="ar"/>
                    </w:rPr>
                    <w:t>吨</w:t>
                  </w:r>
                  <w:r>
                    <w:rPr>
                      <w:rFonts w:hint="default" w:ascii="Times New Roman" w:hAnsi="Times New Roman" w:eastAsia="宋体" w:cs="Times New Roman"/>
                      <w:color w:val="000000" w:themeColor="text1"/>
                      <w:kern w:val="0"/>
                      <w:sz w:val="21"/>
                      <w:szCs w:val="21"/>
                      <w:lang w:val="en-US" w:eastAsia="zh-CN" w:bidi="ar"/>
                    </w:rPr>
                    <w:t>-</w:t>
                  </w:r>
                  <w:r>
                    <w:rPr>
                      <w:rFonts w:hint="eastAsia" w:ascii="Times New Roman" w:hAnsi="Times New Roman" w:eastAsia="宋体" w:cs="宋体"/>
                      <w:color w:val="000000" w:themeColor="text1"/>
                      <w:kern w:val="0"/>
                      <w:sz w:val="21"/>
                      <w:szCs w:val="21"/>
                      <w:lang w:val="en-US" w:eastAsia="zh-CN" w:bidi="ar"/>
                    </w:rPr>
                    <w:t>原料</w:t>
                  </w:r>
                </w:p>
              </w:tc>
              <w:tc>
                <w:tcPr>
                  <w:tcW w:w="1068" w:type="dxa"/>
                  <w:tcBorders>
                    <w:top w:val="single" w:color="auto" w:sz="4" w:space="0"/>
                    <w:left w:val="single" w:color="auto" w:sz="4" w:space="0"/>
                    <w:bottom w:val="single" w:color="auto" w:sz="4" w:space="0"/>
                    <w:right w:val="single" w:color="auto" w:sz="4" w:space="0"/>
                  </w:tcBorders>
                  <w:noWrap w:val="0"/>
                  <w:vAlign w:val="center"/>
                </w:tcPr>
                <w:p w14:paraId="7B398A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default" w:ascii="Times New Roman" w:hAnsi="Times New Roman" w:eastAsia="宋体" w:cs="Times New Roman"/>
                      <w:color w:val="000000" w:themeColor="text1"/>
                      <w:kern w:val="0"/>
                      <w:sz w:val="21"/>
                      <w:szCs w:val="21"/>
                      <w:lang w:val="en-US" w:eastAsia="zh-CN" w:bidi="ar"/>
                    </w:rPr>
                    <w:t>17S</w:t>
                  </w:r>
                  <w:r>
                    <w:rPr>
                      <w:rFonts w:hint="default" w:ascii="Times New Roman" w:hAnsi="Times New Roman" w:eastAsia="宋体" w:cs="Times New Roman"/>
                      <w:color w:val="000000" w:themeColor="text1"/>
                      <w:kern w:val="2"/>
                      <w:sz w:val="21"/>
                      <w:szCs w:val="21"/>
                      <w:vertAlign w:val="superscript"/>
                      <w:lang w:val="en-US" w:eastAsia="zh-CN" w:bidi="ar"/>
                    </w:rPr>
                    <w:fldChar w:fldCharType="begin"/>
                  </w:r>
                  <w:r>
                    <w:rPr>
                      <w:rFonts w:hint="default" w:ascii="Times New Roman" w:hAnsi="Times New Roman" w:eastAsia="宋体" w:cs="Times New Roman"/>
                      <w:color w:val="000000" w:themeColor="text1"/>
                      <w:kern w:val="2"/>
                      <w:sz w:val="21"/>
                      <w:szCs w:val="21"/>
                      <w:vertAlign w:val="superscript"/>
                      <w:lang w:val="en-US" w:eastAsia="zh-CN" w:bidi="ar"/>
                    </w:rPr>
                    <w:instrText xml:space="preserve"> = 1 \* GB3 </w:instrText>
                  </w:r>
                  <w:r>
                    <w:rPr>
                      <w:rFonts w:hint="default" w:ascii="Times New Roman" w:hAnsi="Times New Roman" w:eastAsia="宋体" w:cs="Times New Roman"/>
                      <w:color w:val="000000" w:themeColor="text1"/>
                      <w:kern w:val="2"/>
                      <w:sz w:val="21"/>
                      <w:szCs w:val="21"/>
                      <w:vertAlign w:val="superscript"/>
                      <w:lang w:val="en-US" w:eastAsia="zh-CN" w:bidi="ar"/>
                    </w:rPr>
                    <w:fldChar w:fldCharType="separate"/>
                  </w:r>
                  <w:r>
                    <w:rPr>
                      <w:rFonts w:hint="eastAsia" w:ascii="宋体" w:hAnsi="宋体" w:eastAsia="宋体" w:cs="宋体"/>
                      <w:color w:val="000000" w:themeColor="text1"/>
                      <w:kern w:val="2"/>
                      <w:sz w:val="21"/>
                      <w:szCs w:val="21"/>
                      <w:vertAlign w:val="superscript"/>
                      <w:lang w:val="en-US" w:eastAsia="zh-CN" w:bidi="ar"/>
                    </w:rPr>
                    <w:t>①</w:t>
                  </w:r>
                  <w:r>
                    <w:rPr>
                      <w:rFonts w:hint="default" w:ascii="Times New Roman" w:hAnsi="Times New Roman" w:eastAsia="宋体" w:cs="Times New Roman"/>
                      <w:color w:val="000000" w:themeColor="text1"/>
                      <w:kern w:val="2"/>
                      <w:sz w:val="21"/>
                      <w:szCs w:val="21"/>
                      <w:vertAlign w:val="superscript"/>
                      <w:lang w:val="en-US" w:eastAsia="zh-CN" w:bidi="ar"/>
                    </w:rPr>
                    <w:fldChar w:fldCharType="end"/>
                  </w:r>
                </w:p>
              </w:tc>
            </w:tr>
            <w:tr w14:paraId="23610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8" w:type="dxa"/>
                  <w:vMerge w:val="continue"/>
                  <w:tcBorders>
                    <w:top w:val="single" w:color="auto" w:sz="4" w:space="0"/>
                    <w:left w:val="single" w:color="auto" w:sz="4" w:space="0"/>
                    <w:bottom w:val="single" w:color="auto" w:sz="4" w:space="0"/>
                    <w:right w:val="single" w:color="auto" w:sz="4" w:space="0"/>
                  </w:tcBorders>
                  <w:noWrap w:val="0"/>
                  <w:vAlign w:val="center"/>
                </w:tcPr>
                <w:p w14:paraId="54B4C024">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20" w:lineRule="exact"/>
                    <w:ind w:left="0" w:right="0" w:firstLine="0" w:firstLineChars="0"/>
                    <w:textAlignment w:val="auto"/>
                    <w:rPr>
                      <w:rFonts w:hint="default" w:ascii="Times New Roman" w:hAnsi="Times New Roman" w:cs="Times New Roman"/>
                      <w:color w:val="000000" w:themeColor="text1"/>
                      <w:sz w:val="20"/>
                      <w:szCs w:val="20"/>
                    </w:rPr>
                  </w:pPr>
                </w:p>
              </w:tc>
              <w:tc>
                <w:tcPr>
                  <w:tcW w:w="792" w:type="dxa"/>
                  <w:vMerge w:val="continue"/>
                  <w:tcBorders>
                    <w:top w:val="single" w:color="auto" w:sz="4" w:space="0"/>
                    <w:left w:val="single" w:color="auto" w:sz="4" w:space="0"/>
                    <w:bottom w:val="single" w:color="auto" w:sz="4" w:space="0"/>
                    <w:right w:val="single" w:color="auto" w:sz="4" w:space="0"/>
                  </w:tcBorders>
                  <w:noWrap w:val="0"/>
                  <w:vAlign w:val="center"/>
                </w:tcPr>
                <w:p w14:paraId="52BCDD1C">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20" w:lineRule="exact"/>
                    <w:ind w:left="0" w:right="0" w:firstLine="0" w:firstLineChars="0"/>
                    <w:textAlignment w:val="auto"/>
                    <w:rPr>
                      <w:rFonts w:hint="default" w:ascii="Times New Roman" w:hAnsi="Times New Roman" w:cs="Times New Roman"/>
                      <w:color w:val="000000" w:themeColor="text1"/>
                      <w:sz w:val="20"/>
                      <w:szCs w:val="20"/>
                    </w:rPr>
                  </w:pPr>
                </w:p>
              </w:tc>
              <w:tc>
                <w:tcPr>
                  <w:tcW w:w="1608" w:type="dxa"/>
                  <w:vMerge w:val="continue"/>
                  <w:tcBorders>
                    <w:top w:val="single" w:color="auto" w:sz="4" w:space="0"/>
                    <w:left w:val="single" w:color="auto" w:sz="4" w:space="0"/>
                    <w:bottom w:val="single" w:color="auto" w:sz="4" w:space="0"/>
                    <w:right w:val="single" w:color="auto" w:sz="4" w:space="0"/>
                  </w:tcBorders>
                  <w:noWrap w:val="0"/>
                  <w:vAlign w:val="center"/>
                </w:tcPr>
                <w:p w14:paraId="79C44FE2">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20" w:lineRule="exact"/>
                    <w:ind w:left="0" w:right="0" w:firstLine="0" w:firstLineChars="0"/>
                    <w:textAlignment w:val="auto"/>
                    <w:rPr>
                      <w:rFonts w:hint="default" w:ascii="Times New Roman" w:hAnsi="Times New Roman" w:cs="Times New Roman"/>
                      <w:color w:val="000000" w:themeColor="text1"/>
                      <w:sz w:val="20"/>
                      <w:szCs w:val="20"/>
                    </w:rPr>
                  </w:pPr>
                </w:p>
              </w:tc>
              <w:tc>
                <w:tcPr>
                  <w:tcW w:w="732" w:type="dxa"/>
                  <w:vMerge w:val="continue"/>
                  <w:tcBorders>
                    <w:top w:val="single" w:color="auto" w:sz="4" w:space="0"/>
                    <w:left w:val="single" w:color="auto" w:sz="4" w:space="0"/>
                    <w:bottom w:val="single" w:color="auto" w:sz="4" w:space="0"/>
                    <w:right w:val="single" w:color="auto" w:sz="4" w:space="0"/>
                  </w:tcBorders>
                  <w:noWrap w:val="0"/>
                  <w:vAlign w:val="center"/>
                </w:tcPr>
                <w:p w14:paraId="04008DBA">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20" w:lineRule="exact"/>
                    <w:ind w:left="0" w:right="0" w:firstLine="0" w:firstLineChars="0"/>
                    <w:textAlignment w:val="auto"/>
                    <w:rPr>
                      <w:rFonts w:hint="default" w:ascii="Times New Roman" w:hAnsi="Times New Roman" w:cs="Times New Roman"/>
                      <w:color w:val="000000" w:themeColor="text1"/>
                      <w:sz w:val="20"/>
                      <w:szCs w:val="20"/>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6FEE8E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0"/>
                      <w:sz w:val="21"/>
                      <w:szCs w:val="21"/>
                      <w:lang w:val="en-US" w:eastAsia="zh-CN" w:bidi="ar"/>
                    </w:rPr>
                    <w:t>颗粒物</w:t>
                  </w:r>
                </w:p>
              </w:tc>
              <w:tc>
                <w:tcPr>
                  <w:tcW w:w="1462" w:type="dxa"/>
                  <w:tcBorders>
                    <w:top w:val="single" w:color="auto" w:sz="4" w:space="0"/>
                    <w:left w:val="single" w:color="auto" w:sz="4" w:space="0"/>
                    <w:bottom w:val="single" w:color="auto" w:sz="4" w:space="0"/>
                    <w:right w:val="single" w:color="auto" w:sz="4" w:space="0"/>
                  </w:tcBorders>
                  <w:noWrap w:val="0"/>
                  <w:vAlign w:val="center"/>
                </w:tcPr>
                <w:p w14:paraId="48CC11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0"/>
                      <w:sz w:val="21"/>
                      <w:szCs w:val="21"/>
                      <w:lang w:val="en-US" w:eastAsia="zh-CN" w:bidi="ar"/>
                    </w:rPr>
                    <w:t>千克</w:t>
                  </w:r>
                  <w:r>
                    <w:rPr>
                      <w:rFonts w:hint="default" w:ascii="Times New Roman" w:hAnsi="Times New Roman" w:eastAsia="宋体" w:cs="Times New Roman"/>
                      <w:color w:val="000000" w:themeColor="text1"/>
                      <w:kern w:val="0"/>
                      <w:sz w:val="21"/>
                      <w:szCs w:val="21"/>
                      <w:lang w:val="en-US" w:eastAsia="zh-CN" w:bidi="ar"/>
                    </w:rPr>
                    <w:t>/</w:t>
                  </w:r>
                  <w:r>
                    <w:rPr>
                      <w:rFonts w:hint="eastAsia" w:ascii="Times New Roman" w:hAnsi="Times New Roman" w:eastAsia="宋体" w:cs="宋体"/>
                      <w:color w:val="000000" w:themeColor="text1"/>
                      <w:kern w:val="0"/>
                      <w:sz w:val="21"/>
                      <w:szCs w:val="21"/>
                      <w:lang w:val="en-US" w:eastAsia="zh-CN" w:bidi="ar"/>
                    </w:rPr>
                    <w:t>吨</w:t>
                  </w:r>
                  <w:r>
                    <w:rPr>
                      <w:rFonts w:hint="default" w:ascii="Times New Roman" w:hAnsi="Times New Roman" w:eastAsia="宋体" w:cs="Times New Roman"/>
                      <w:color w:val="000000" w:themeColor="text1"/>
                      <w:kern w:val="0"/>
                      <w:sz w:val="21"/>
                      <w:szCs w:val="21"/>
                      <w:lang w:val="en-US" w:eastAsia="zh-CN" w:bidi="ar"/>
                    </w:rPr>
                    <w:t>-</w:t>
                  </w:r>
                  <w:r>
                    <w:rPr>
                      <w:rFonts w:hint="eastAsia" w:ascii="Times New Roman" w:hAnsi="Times New Roman" w:eastAsia="宋体" w:cs="宋体"/>
                      <w:color w:val="000000" w:themeColor="text1"/>
                      <w:kern w:val="0"/>
                      <w:sz w:val="21"/>
                      <w:szCs w:val="21"/>
                      <w:lang w:val="en-US" w:eastAsia="zh-CN" w:bidi="ar"/>
                    </w:rPr>
                    <w:t>原料</w:t>
                  </w:r>
                </w:p>
              </w:tc>
              <w:tc>
                <w:tcPr>
                  <w:tcW w:w="1068" w:type="dxa"/>
                  <w:tcBorders>
                    <w:top w:val="single" w:color="auto" w:sz="4" w:space="0"/>
                    <w:left w:val="single" w:color="auto" w:sz="4" w:space="0"/>
                    <w:bottom w:val="single" w:color="auto" w:sz="4" w:space="0"/>
                    <w:right w:val="single" w:color="auto" w:sz="4" w:space="0"/>
                  </w:tcBorders>
                  <w:noWrap w:val="0"/>
                  <w:vAlign w:val="center"/>
                </w:tcPr>
                <w:p w14:paraId="6B811F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default" w:ascii="Times New Roman" w:hAnsi="Times New Roman" w:eastAsia="宋体" w:cs="Times New Roman"/>
                      <w:color w:val="000000" w:themeColor="text1"/>
                      <w:kern w:val="2"/>
                      <w:sz w:val="21"/>
                      <w:szCs w:val="21"/>
                      <w:lang w:val="en-US" w:eastAsia="zh-CN" w:bidi="ar"/>
                    </w:rPr>
                    <w:t>37.6</w:t>
                  </w:r>
                </w:p>
              </w:tc>
            </w:tr>
            <w:tr w14:paraId="607E6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8" w:type="dxa"/>
                  <w:vMerge w:val="continue"/>
                  <w:tcBorders>
                    <w:top w:val="single" w:color="auto" w:sz="4" w:space="0"/>
                    <w:left w:val="single" w:color="auto" w:sz="4" w:space="0"/>
                    <w:bottom w:val="single" w:color="auto" w:sz="4" w:space="0"/>
                    <w:right w:val="single" w:color="auto" w:sz="4" w:space="0"/>
                  </w:tcBorders>
                  <w:noWrap w:val="0"/>
                  <w:vAlign w:val="center"/>
                </w:tcPr>
                <w:p w14:paraId="0EACAFC5">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20" w:lineRule="exact"/>
                    <w:ind w:left="0" w:right="0" w:firstLine="0" w:firstLineChars="0"/>
                    <w:textAlignment w:val="auto"/>
                    <w:rPr>
                      <w:rFonts w:hint="default" w:ascii="Times New Roman" w:hAnsi="Times New Roman" w:cs="Times New Roman"/>
                      <w:color w:val="000000" w:themeColor="text1"/>
                      <w:sz w:val="20"/>
                      <w:szCs w:val="20"/>
                    </w:rPr>
                  </w:pPr>
                </w:p>
              </w:tc>
              <w:tc>
                <w:tcPr>
                  <w:tcW w:w="792" w:type="dxa"/>
                  <w:vMerge w:val="continue"/>
                  <w:tcBorders>
                    <w:top w:val="single" w:color="auto" w:sz="4" w:space="0"/>
                    <w:left w:val="single" w:color="auto" w:sz="4" w:space="0"/>
                    <w:bottom w:val="single" w:color="auto" w:sz="4" w:space="0"/>
                    <w:right w:val="single" w:color="auto" w:sz="4" w:space="0"/>
                  </w:tcBorders>
                  <w:noWrap w:val="0"/>
                  <w:vAlign w:val="center"/>
                </w:tcPr>
                <w:p w14:paraId="4F5FA5E7">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20" w:lineRule="exact"/>
                    <w:ind w:left="0" w:right="0" w:firstLine="0" w:firstLineChars="0"/>
                    <w:textAlignment w:val="auto"/>
                    <w:rPr>
                      <w:rFonts w:hint="default" w:ascii="Times New Roman" w:hAnsi="Times New Roman" w:cs="Times New Roman"/>
                      <w:color w:val="000000" w:themeColor="text1"/>
                      <w:sz w:val="20"/>
                      <w:szCs w:val="20"/>
                    </w:rPr>
                  </w:pPr>
                </w:p>
              </w:tc>
              <w:tc>
                <w:tcPr>
                  <w:tcW w:w="1608" w:type="dxa"/>
                  <w:vMerge w:val="continue"/>
                  <w:tcBorders>
                    <w:top w:val="single" w:color="auto" w:sz="4" w:space="0"/>
                    <w:left w:val="single" w:color="auto" w:sz="4" w:space="0"/>
                    <w:bottom w:val="single" w:color="auto" w:sz="4" w:space="0"/>
                    <w:right w:val="single" w:color="auto" w:sz="4" w:space="0"/>
                  </w:tcBorders>
                  <w:noWrap w:val="0"/>
                  <w:vAlign w:val="center"/>
                </w:tcPr>
                <w:p w14:paraId="60D90B87">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20" w:lineRule="exact"/>
                    <w:ind w:left="0" w:right="0" w:firstLine="0" w:firstLineChars="0"/>
                    <w:textAlignment w:val="auto"/>
                    <w:rPr>
                      <w:rFonts w:hint="default" w:ascii="Times New Roman" w:hAnsi="Times New Roman" w:cs="Times New Roman"/>
                      <w:color w:val="000000" w:themeColor="text1"/>
                      <w:sz w:val="20"/>
                      <w:szCs w:val="20"/>
                    </w:rPr>
                  </w:pPr>
                </w:p>
              </w:tc>
              <w:tc>
                <w:tcPr>
                  <w:tcW w:w="732" w:type="dxa"/>
                  <w:vMerge w:val="continue"/>
                  <w:tcBorders>
                    <w:top w:val="single" w:color="auto" w:sz="4" w:space="0"/>
                    <w:left w:val="single" w:color="auto" w:sz="4" w:space="0"/>
                    <w:bottom w:val="single" w:color="auto" w:sz="4" w:space="0"/>
                    <w:right w:val="single" w:color="auto" w:sz="4" w:space="0"/>
                  </w:tcBorders>
                  <w:noWrap w:val="0"/>
                  <w:vAlign w:val="center"/>
                </w:tcPr>
                <w:p w14:paraId="00097693">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320" w:lineRule="exact"/>
                    <w:ind w:left="0" w:right="0" w:firstLine="0" w:firstLineChars="0"/>
                    <w:textAlignment w:val="auto"/>
                    <w:rPr>
                      <w:rFonts w:hint="default" w:ascii="Times New Roman" w:hAnsi="Times New Roman" w:cs="Times New Roman"/>
                      <w:color w:val="000000" w:themeColor="text1"/>
                      <w:sz w:val="20"/>
                      <w:szCs w:val="20"/>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78DACD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氮氧化物</w:t>
                  </w:r>
                </w:p>
              </w:tc>
              <w:tc>
                <w:tcPr>
                  <w:tcW w:w="1462" w:type="dxa"/>
                  <w:tcBorders>
                    <w:top w:val="single" w:color="auto" w:sz="4" w:space="0"/>
                    <w:left w:val="single" w:color="auto" w:sz="4" w:space="0"/>
                    <w:bottom w:val="single" w:color="auto" w:sz="4" w:space="0"/>
                    <w:right w:val="single" w:color="auto" w:sz="4" w:space="0"/>
                  </w:tcBorders>
                  <w:noWrap w:val="0"/>
                  <w:vAlign w:val="center"/>
                </w:tcPr>
                <w:p w14:paraId="622C2E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0"/>
                      <w:sz w:val="21"/>
                      <w:szCs w:val="21"/>
                      <w:lang w:val="en-US" w:eastAsia="zh-CN" w:bidi="ar"/>
                    </w:rPr>
                    <w:t>千克</w:t>
                  </w:r>
                  <w:r>
                    <w:rPr>
                      <w:rFonts w:hint="default" w:ascii="Times New Roman" w:hAnsi="Times New Roman" w:eastAsia="宋体" w:cs="Times New Roman"/>
                      <w:color w:val="000000" w:themeColor="text1"/>
                      <w:kern w:val="0"/>
                      <w:sz w:val="21"/>
                      <w:szCs w:val="21"/>
                      <w:lang w:val="en-US" w:eastAsia="zh-CN" w:bidi="ar"/>
                    </w:rPr>
                    <w:t>/</w:t>
                  </w:r>
                  <w:r>
                    <w:rPr>
                      <w:rFonts w:hint="eastAsia" w:ascii="Times New Roman" w:hAnsi="Times New Roman" w:eastAsia="宋体" w:cs="宋体"/>
                      <w:color w:val="000000" w:themeColor="text1"/>
                      <w:kern w:val="0"/>
                      <w:sz w:val="21"/>
                      <w:szCs w:val="21"/>
                      <w:lang w:val="en-US" w:eastAsia="zh-CN" w:bidi="ar"/>
                    </w:rPr>
                    <w:t>吨</w:t>
                  </w:r>
                  <w:r>
                    <w:rPr>
                      <w:rFonts w:hint="default" w:ascii="Times New Roman" w:hAnsi="Times New Roman" w:eastAsia="宋体" w:cs="Times New Roman"/>
                      <w:color w:val="000000" w:themeColor="text1"/>
                      <w:kern w:val="0"/>
                      <w:sz w:val="21"/>
                      <w:szCs w:val="21"/>
                      <w:lang w:val="en-US" w:eastAsia="zh-CN" w:bidi="ar"/>
                    </w:rPr>
                    <w:t>-</w:t>
                  </w:r>
                  <w:r>
                    <w:rPr>
                      <w:rFonts w:hint="eastAsia" w:ascii="Times New Roman" w:hAnsi="Times New Roman" w:eastAsia="宋体" w:cs="宋体"/>
                      <w:color w:val="000000" w:themeColor="text1"/>
                      <w:kern w:val="0"/>
                      <w:sz w:val="21"/>
                      <w:szCs w:val="21"/>
                      <w:lang w:val="en-US" w:eastAsia="zh-CN" w:bidi="ar"/>
                    </w:rPr>
                    <w:t>原料</w:t>
                  </w:r>
                </w:p>
              </w:tc>
              <w:tc>
                <w:tcPr>
                  <w:tcW w:w="1068" w:type="dxa"/>
                  <w:tcBorders>
                    <w:top w:val="single" w:color="auto" w:sz="4" w:space="0"/>
                    <w:left w:val="single" w:color="auto" w:sz="4" w:space="0"/>
                    <w:bottom w:val="single" w:color="auto" w:sz="4" w:space="0"/>
                    <w:right w:val="single" w:color="auto" w:sz="4" w:space="0"/>
                  </w:tcBorders>
                  <w:noWrap w:val="0"/>
                  <w:vAlign w:val="center"/>
                </w:tcPr>
                <w:p w14:paraId="1D9391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default" w:ascii="Times New Roman" w:hAnsi="Times New Roman" w:eastAsia="宋体" w:cs="Times New Roman"/>
                      <w:color w:val="000000" w:themeColor="text1"/>
                      <w:kern w:val="2"/>
                      <w:sz w:val="21"/>
                      <w:szCs w:val="21"/>
                      <w:lang w:val="en-US" w:eastAsia="zh-CN" w:bidi="ar"/>
                    </w:rPr>
                    <w:t>1.02</w:t>
                  </w:r>
                </w:p>
              </w:tc>
            </w:tr>
            <w:tr w14:paraId="023AE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28" w:type="dxa"/>
                  <w:gridSpan w:val="7"/>
                  <w:tcBorders>
                    <w:top w:val="single" w:color="auto" w:sz="4" w:space="0"/>
                    <w:left w:val="single" w:color="auto" w:sz="4" w:space="0"/>
                    <w:bottom w:val="single" w:color="auto" w:sz="4" w:space="0"/>
                    <w:right w:val="single" w:color="auto" w:sz="4" w:space="0"/>
                  </w:tcBorders>
                  <w:noWrap w:val="0"/>
                  <w:vAlign w:val="center"/>
                </w:tcPr>
                <w:p w14:paraId="1DCA5DA6">
                  <w:pPr>
                    <w:pStyle w:val="38"/>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320" w:lineRule="exact"/>
                    <w:ind w:left="0" w:right="0" w:firstLine="0" w:firstLineChars="0"/>
                    <w:jc w:val="both"/>
                    <w:textAlignment w:val="auto"/>
                    <w:rPr>
                      <w:rFonts w:hint="default" w:cs="Times New Roman"/>
                      <w:color w:val="000000" w:themeColor="text1"/>
                      <w:szCs w:val="18"/>
                      <w:lang w:val="en-US"/>
                    </w:rPr>
                  </w:pPr>
                  <w:r>
                    <w:rPr>
                      <w:rFonts w:hint="eastAsia" w:ascii="Times New Roman" w:hAnsi="Times New Roman" w:eastAsia="宋体" w:cs="宋体"/>
                      <w:b/>
                      <w:bCs/>
                      <w:color w:val="000000" w:themeColor="text1"/>
                      <w:kern w:val="0"/>
                      <w:sz w:val="18"/>
                      <w:szCs w:val="18"/>
                      <w:lang w:val="en-US" w:eastAsia="zh-CN" w:bidi="ar"/>
                    </w:rPr>
                    <w:t>注：</w:t>
                  </w:r>
                  <w:r>
                    <w:rPr>
                      <w:rFonts w:hint="default" w:ascii="Times New Roman" w:hAnsi="Times New Roman" w:eastAsia="宋体" w:cs="Times New Roman"/>
                      <w:color w:val="000000" w:themeColor="text1"/>
                      <w:kern w:val="0"/>
                      <w:sz w:val="18"/>
                      <w:szCs w:val="18"/>
                      <w:lang w:val="en-US" w:eastAsia="zh-CN" w:bidi="ar"/>
                    </w:rPr>
                    <w:fldChar w:fldCharType="begin"/>
                  </w:r>
                  <w:r>
                    <w:rPr>
                      <w:rFonts w:hint="default" w:ascii="Times New Roman" w:hAnsi="Times New Roman" w:eastAsia="宋体" w:cs="Times New Roman"/>
                      <w:color w:val="000000" w:themeColor="text1"/>
                      <w:kern w:val="0"/>
                      <w:sz w:val="18"/>
                      <w:szCs w:val="18"/>
                      <w:lang w:val="en-US" w:eastAsia="zh-CN" w:bidi="ar"/>
                    </w:rPr>
                    <w:instrText xml:space="preserve"> = 1 \* GB3 </w:instrText>
                  </w:r>
                  <w:r>
                    <w:rPr>
                      <w:rFonts w:hint="default" w:ascii="Times New Roman" w:hAnsi="Times New Roman" w:eastAsia="宋体" w:cs="Times New Roman"/>
                      <w:color w:val="000000" w:themeColor="text1"/>
                      <w:kern w:val="0"/>
                      <w:sz w:val="18"/>
                      <w:szCs w:val="18"/>
                      <w:lang w:val="en-US" w:eastAsia="zh-CN" w:bidi="ar"/>
                    </w:rPr>
                    <w:fldChar w:fldCharType="separate"/>
                  </w:r>
                  <w:r>
                    <w:rPr>
                      <w:rFonts w:hint="eastAsia" w:ascii="宋体" w:hAnsi="宋体" w:eastAsia="宋体" w:cs="宋体"/>
                      <w:color w:val="000000" w:themeColor="text1"/>
                      <w:kern w:val="0"/>
                      <w:sz w:val="18"/>
                      <w:szCs w:val="18"/>
                      <w:lang w:val="en-US" w:eastAsia="zh-CN" w:bidi="ar"/>
                    </w:rPr>
                    <w:t>①</w:t>
                  </w:r>
                  <w:r>
                    <w:rPr>
                      <w:rFonts w:hint="default" w:ascii="Times New Roman" w:hAnsi="Times New Roman" w:eastAsia="宋体" w:cs="Times New Roman"/>
                      <w:color w:val="000000" w:themeColor="text1"/>
                      <w:kern w:val="0"/>
                      <w:sz w:val="18"/>
                      <w:szCs w:val="18"/>
                      <w:lang w:val="en-US" w:eastAsia="zh-CN" w:bidi="ar"/>
                    </w:rPr>
                    <w:fldChar w:fldCharType="end"/>
                  </w:r>
                  <w:r>
                    <w:rPr>
                      <w:rFonts w:hint="eastAsia" w:ascii="Times New Roman" w:hAnsi="Times New Roman" w:eastAsia="宋体" w:cs="宋体"/>
                      <w:color w:val="000000" w:themeColor="text1"/>
                      <w:kern w:val="0"/>
                      <w:sz w:val="18"/>
                      <w:szCs w:val="18"/>
                      <w:lang w:val="en-US" w:eastAsia="zh-CN" w:bidi="ar"/>
                    </w:rPr>
                    <w:t>二氧化硫的产排污系数是以含硫量（</w:t>
                  </w:r>
                  <w:r>
                    <w:rPr>
                      <w:rFonts w:hint="default" w:ascii="Times New Roman" w:hAnsi="Times New Roman" w:eastAsia="宋体" w:cs="Times New Roman"/>
                      <w:color w:val="000000" w:themeColor="text1"/>
                      <w:kern w:val="0"/>
                      <w:sz w:val="18"/>
                      <w:szCs w:val="18"/>
                      <w:lang w:val="en-US" w:eastAsia="zh-CN" w:bidi="ar"/>
                    </w:rPr>
                    <w:t>S</w:t>
                  </w:r>
                  <w:r>
                    <w:rPr>
                      <w:rFonts w:hint="eastAsia" w:ascii="Times New Roman" w:hAnsi="Times New Roman" w:eastAsia="宋体" w:cs="宋体"/>
                      <w:color w:val="000000" w:themeColor="text1"/>
                      <w:kern w:val="0"/>
                      <w:sz w:val="18"/>
                      <w:szCs w:val="18"/>
                      <w:lang w:val="en-US" w:eastAsia="zh-CN" w:bidi="ar"/>
                    </w:rPr>
                    <w:t>％）的形式表示的，其中含硫量（</w:t>
                  </w:r>
                  <w:r>
                    <w:rPr>
                      <w:rFonts w:hint="default" w:ascii="Times New Roman" w:hAnsi="Times New Roman" w:eastAsia="宋体" w:cs="Times New Roman"/>
                      <w:color w:val="000000" w:themeColor="text1"/>
                      <w:kern w:val="0"/>
                      <w:sz w:val="18"/>
                      <w:szCs w:val="18"/>
                      <w:lang w:val="en-US" w:eastAsia="zh-CN" w:bidi="ar"/>
                    </w:rPr>
                    <w:t>S</w:t>
                  </w:r>
                  <w:r>
                    <w:rPr>
                      <w:rFonts w:hint="eastAsia" w:ascii="Times New Roman" w:hAnsi="Times New Roman" w:eastAsia="宋体" w:cs="宋体"/>
                      <w:color w:val="000000" w:themeColor="text1"/>
                      <w:kern w:val="0"/>
                      <w:sz w:val="18"/>
                      <w:szCs w:val="18"/>
                      <w:lang w:val="en-US" w:eastAsia="zh-CN" w:bidi="ar"/>
                    </w:rPr>
                    <w:t>％）是指生物质收到基硫分含量，以质量百分数的形式表示。例如生物质中含硫量（</w:t>
                  </w:r>
                  <w:r>
                    <w:rPr>
                      <w:rFonts w:hint="default" w:ascii="Times New Roman" w:hAnsi="Times New Roman" w:eastAsia="宋体" w:cs="Times New Roman"/>
                      <w:color w:val="000000" w:themeColor="text1"/>
                      <w:kern w:val="0"/>
                      <w:sz w:val="18"/>
                      <w:szCs w:val="18"/>
                      <w:lang w:val="en-US" w:eastAsia="zh-CN" w:bidi="ar"/>
                    </w:rPr>
                    <w:t>S</w:t>
                  </w:r>
                  <w:r>
                    <w:rPr>
                      <w:rFonts w:hint="eastAsia" w:ascii="Times New Roman" w:hAnsi="Times New Roman" w:eastAsia="宋体" w:cs="宋体"/>
                      <w:color w:val="000000" w:themeColor="text1"/>
                      <w:kern w:val="0"/>
                      <w:sz w:val="18"/>
                      <w:szCs w:val="18"/>
                      <w:lang w:val="en-US" w:eastAsia="zh-CN" w:bidi="ar"/>
                    </w:rPr>
                    <w:t>％）为</w:t>
                  </w:r>
                  <w:r>
                    <w:rPr>
                      <w:rFonts w:hint="default" w:ascii="Times New Roman" w:hAnsi="Times New Roman" w:eastAsia="宋体" w:cs="Times New Roman"/>
                      <w:color w:val="000000" w:themeColor="text1"/>
                      <w:kern w:val="0"/>
                      <w:sz w:val="18"/>
                      <w:szCs w:val="18"/>
                      <w:lang w:val="en-US" w:eastAsia="zh-CN" w:bidi="ar"/>
                    </w:rPr>
                    <w:t>0.1</w:t>
                  </w:r>
                  <w:r>
                    <w:rPr>
                      <w:rFonts w:hint="eastAsia" w:ascii="Times New Roman" w:hAnsi="Times New Roman" w:eastAsia="宋体" w:cs="宋体"/>
                      <w:color w:val="000000" w:themeColor="text1"/>
                      <w:kern w:val="0"/>
                      <w:sz w:val="18"/>
                      <w:szCs w:val="18"/>
                      <w:lang w:val="en-US" w:eastAsia="zh-CN" w:bidi="ar"/>
                    </w:rPr>
                    <w:t>％，则</w:t>
                  </w:r>
                  <w:r>
                    <w:rPr>
                      <w:rFonts w:hint="default" w:ascii="Times New Roman" w:hAnsi="Times New Roman" w:eastAsia="宋体" w:cs="Times New Roman"/>
                      <w:color w:val="000000" w:themeColor="text1"/>
                      <w:kern w:val="0"/>
                      <w:sz w:val="18"/>
                      <w:szCs w:val="18"/>
                      <w:lang w:val="en-US" w:eastAsia="zh-CN" w:bidi="ar"/>
                    </w:rPr>
                    <w:t>S=0.1</w:t>
                  </w:r>
                  <w:r>
                    <w:rPr>
                      <w:rFonts w:hint="eastAsia" w:ascii="Times New Roman" w:hAnsi="Times New Roman" w:eastAsia="宋体" w:cs="宋体"/>
                      <w:color w:val="000000" w:themeColor="text1"/>
                      <w:kern w:val="0"/>
                      <w:sz w:val="18"/>
                      <w:szCs w:val="18"/>
                      <w:lang w:val="en-US" w:eastAsia="zh-CN" w:bidi="ar"/>
                    </w:rPr>
                    <w:t>。本次评价燃料含硫量（</w:t>
                  </w:r>
                  <w:r>
                    <w:rPr>
                      <w:rFonts w:hint="default" w:ascii="Times New Roman" w:hAnsi="Times New Roman" w:eastAsia="宋体" w:cs="Times New Roman"/>
                      <w:color w:val="000000" w:themeColor="text1"/>
                      <w:kern w:val="0"/>
                      <w:sz w:val="18"/>
                      <w:szCs w:val="18"/>
                      <w:lang w:val="en-US" w:eastAsia="zh-CN" w:bidi="ar"/>
                    </w:rPr>
                    <w:t>S</w:t>
                  </w:r>
                  <w:r>
                    <w:rPr>
                      <w:rFonts w:hint="eastAsia" w:ascii="Times New Roman" w:hAnsi="Times New Roman" w:eastAsia="宋体" w:cs="宋体"/>
                      <w:color w:val="000000" w:themeColor="text1"/>
                      <w:kern w:val="0"/>
                      <w:sz w:val="18"/>
                      <w:szCs w:val="18"/>
                      <w:lang w:val="en-US" w:eastAsia="zh-CN" w:bidi="ar"/>
                    </w:rPr>
                    <w:t>％）</w:t>
                  </w:r>
                  <w:r>
                    <w:rPr>
                      <w:rFonts w:hint="eastAsia" w:ascii="Times New Roman" w:hAnsi="Times New Roman" w:eastAsia="宋体" w:cs="宋体"/>
                      <w:color w:val="00B050"/>
                      <w:kern w:val="0"/>
                      <w:sz w:val="18"/>
                      <w:szCs w:val="18"/>
                      <w:lang w:val="en-US" w:eastAsia="zh-CN" w:bidi="ar"/>
                    </w:rPr>
                    <w:t>取</w:t>
                  </w:r>
                  <w:r>
                    <w:rPr>
                      <w:rFonts w:hint="default" w:ascii="Times New Roman" w:hAnsi="Times New Roman" w:eastAsia="宋体" w:cs="Times New Roman"/>
                      <w:color w:val="00B050"/>
                      <w:kern w:val="0"/>
                      <w:sz w:val="18"/>
                      <w:szCs w:val="18"/>
                      <w:lang w:val="en-US" w:eastAsia="zh-CN" w:bidi="ar"/>
                    </w:rPr>
                    <w:t>0.0</w:t>
                  </w:r>
                  <w:r>
                    <w:rPr>
                      <w:rFonts w:hint="eastAsia" w:ascii="Times New Roman" w:hAnsi="Times New Roman" w:cs="Times New Roman"/>
                      <w:color w:val="00B050"/>
                      <w:kern w:val="0"/>
                      <w:sz w:val="18"/>
                      <w:szCs w:val="18"/>
                      <w:lang w:val="en-US" w:eastAsia="zh-CN" w:bidi="ar"/>
                    </w:rPr>
                    <w:t>2</w:t>
                  </w:r>
                  <w:r>
                    <w:rPr>
                      <w:rFonts w:hint="default" w:ascii="Times New Roman" w:hAnsi="Times New Roman" w:eastAsia="宋体" w:cs="Times New Roman"/>
                      <w:color w:val="00B050"/>
                      <w:kern w:val="0"/>
                      <w:sz w:val="18"/>
                      <w:szCs w:val="18"/>
                      <w:lang w:val="en-US" w:eastAsia="zh-CN" w:bidi="ar"/>
                    </w:rPr>
                    <w:t>%</w:t>
                  </w:r>
                  <w:r>
                    <w:rPr>
                      <w:rFonts w:hint="eastAsia" w:ascii="Times New Roman" w:hAnsi="Times New Roman" w:eastAsia="宋体" w:cs="宋体"/>
                      <w:color w:val="00B050"/>
                      <w:kern w:val="0"/>
                      <w:sz w:val="18"/>
                      <w:szCs w:val="18"/>
                      <w:lang w:val="en-US" w:eastAsia="zh-CN" w:bidi="ar"/>
                    </w:rPr>
                    <w:t>。</w:t>
                  </w:r>
                </w:p>
              </w:tc>
            </w:tr>
          </w:tbl>
          <w:p w14:paraId="748E5B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color w:val="000000" w:themeColor="text1"/>
                <w:sz w:val="21"/>
                <w:szCs w:val="21"/>
                <w:lang w:val="en-US" w:eastAsia="zh-CN"/>
              </w:rPr>
            </w:pPr>
            <w:r>
              <w:rPr>
                <w:rFonts w:hint="default" w:ascii="宋体" w:hAnsi="宋体" w:eastAsia="宋体" w:cs="宋体"/>
                <w:color w:val="000000" w:themeColor="text1"/>
                <w:sz w:val="21"/>
                <w:szCs w:val="21"/>
              </w:rPr>
              <w:t>项目烘干工序采用生物质颗粒作</w:t>
            </w:r>
            <w:r>
              <w:rPr>
                <w:rFonts w:hint="default" w:ascii="Times New Roman" w:hAnsi="Times New Roman" w:eastAsia="宋体" w:cs="Times New Roman"/>
                <w:color w:val="000000" w:themeColor="text1"/>
                <w:sz w:val="21"/>
                <w:szCs w:val="21"/>
              </w:rPr>
              <w:t>为热源，</w:t>
            </w:r>
            <w:r>
              <w:rPr>
                <w:rFonts w:hint="eastAsia" w:cs="Times New Roman"/>
                <w:color w:val="000000" w:themeColor="text1"/>
                <w:sz w:val="21"/>
                <w:szCs w:val="21"/>
                <w:lang w:val="en-US" w:eastAsia="zh-CN"/>
              </w:rPr>
              <w:t>根据建设单位提供的资料，</w:t>
            </w:r>
            <w:r>
              <w:rPr>
                <w:rFonts w:hint="default" w:ascii="Times New Roman" w:hAnsi="Times New Roman" w:eastAsia="宋体" w:cs="Times New Roman"/>
                <w:color w:val="00B050"/>
                <w:sz w:val="21"/>
                <w:szCs w:val="21"/>
              </w:rPr>
              <w:t>每年</w:t>
            </w:r>
            <w:r>
              <w:rPr>
                <w:rFonts w:hint="eastAsia" w:cs="Times New Roman"/>
                <w:color w:val="00B050"/>
                <w:sz w:val="21"/>
                <w:szCs w:val="21"/>
                <w:lang w:val="en-US" w:eastAsia="zh-CN"/>
              </w:rPr>
              <w:t>生物质燃料</w:t>
            </w:r>
            <w:r>
              <w:rPr>
                <w:rFonts w:hint="default" w:ascii="Times New Roman" w:hAnsi="Times New Roman" w:eastAsia="宋体" w:cs="Times New Roman"/>
                <w:color w:val="00B050"/>
                <w:sz w:val="21"/>
                <w:szCs w:val="21"/>
              </w:rPr>
              <w:t>使用量为</w:t>
            </w:r>
            <w:r>
              <w:rPr>
                <w:rFonts w:hint="eastAsia" w:cs="Times New Roman"/>
                <w:color w:val="00B050"/>
                <w:sz w:val="21"/>
                <w:szCs w:val="21"/>
                <w:lang w:val="en-US" w:eastAsia="zh-CN"/>
              </w:rPr>
              <w:t>72</w:t>
            </w:r>
            <w:r>
              <w:rPr>
                <w:rFonts w:hint="default" w:ascii="Times New Roman" w:hAnsi="Times New Roman" w:eastAsia="宋体" w:cs="Times New Roman"/>
                <w:color w:val="00B050"/>
                <w:sz w:val="21"/>
                <w:szCs w:val="21"/>
              </w:rPr>
              <w:t>00t</w:t>
            </w:r>
            <w:r>
              <w:rPr>
                <w:rFonts w:hint="default"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lang w:val="en-US" w:eastAsia="zh-CN"/>
              </w:rPr>
              <w:t>根据以</w:t>
            </w:r>
            <w:r>
              <w:rPr>
                <w:rFonts w:hint="eastAsia" w:ascii="宋体" w:hAnsi="宋体" w:eastAsia="宋体" w:cs="宋体"/>
                <w:color w:val="000000" w:themeColor="text1"/>
                <w:sz w:val="21"/>
                <w:szCs w:val="21"/>
                <w:lang w:val="en-US" w:eastAsia="zh-CN"/>
              </w:rPr>
              <w:t>上产污序数计算如</w:t>
            </w:r>
            <w:r>
              <w:rPr>
                <w:rFonts w:hint="default" w:ascii="Times New Roman" w:hAnsi="Times New Roman" w:eastAsia="宋体" w:cs="Times New Roman"/>
                <w:color w:val="000000" w:themeColor="text1"/>
                <w:sz w:val="21"/>
                <w:szCs w:val="21"/>
                <w:lang w:val="en-US" w:eastAsia="zh-CN"/>
              </w:rPr>
              <w:t>下：</w:t>
            </w:r>
          </w:p>
          <w:p w14:paraId="75E65A3F">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right="0"/>
              <w:textAlignment w:val="auto"/>
              <w:rPr>
                <w:rFonts w:hint="eastAsia" w:ascii="Times New Roman" w:hAnsi="Times New Roman" w:eastAsia="宋体" w:cs="宋体"/>
                <w:color w:val="00B050"/>
                <w:kern w:val="0"/>
                <w:sz w:val="21"/>
                <w:szCs w:val="21"/>
                <w:lang w:val="en-US" w:eastAsia="zh-CN" w:bidi="ar"/>
              </w:rPr>
            </w:pPr>
            <w:r>
              <w:rPr>
                <w:rFonts w:hint="default" w:ascii="Times New Roman" w:hAnsi="Times New Roman" w:eastAsia="宋体" w:cs="Times New Roman"/>
                <w:color w:val="000000" w:themeColor="text1"/>
                <w:sz w:val="21"/>
                <w:szCs w:val="21"/>
                <w:lang w:val="en-US" w:eastAsia="zh-CN"/>
              </w:rPr>
              <w:t>颗粒物：</w:t>
            </w:r>
            <w:r>
              <w:rPr>
                <w:rFonts w:hint="eastAsia" w:ascii="Times New Roman" w:hAnsi="Times New Roman" w:eastAsia="宋体" w:cs="Times New Roman"/>
                <w:color w:val="00B050"/>
                <w:sz w:val="21"/>
                <w:szCs w:val="21"/>
                <w:lang w:val="en-US" w:eastAsia="zh-CN"/>
              </w:rPr>
              <w:t>72</w:t>
            </w:r>
            <w:r>
              <w:rPr>
                <w:rFonts w:hint="default" w:ascii="Times New Roman" w:hAnsi="Times New Roman" w:eastAsia="宋体" w:cs="Times New Roman"/>
                <w:color w:val="00B050"/>
                <w:sz w:val="21"/>
                <w:szCs w:val="21"/>
                <w:lang w:val="en-US" w:eastAsia="zh-CN"/>
              </w:rPr>
              <w:t>00t×37.6</w:t>
            </w:r>
            <w:r>
              <w:rPr>
                <w:rFonts w:hint="default" w:ascii="Times New Roman" w:hAnsi="Times New Roman" w:eastAsia="宋体" w:cs="Times New Roman"/>
                <w:color w:val="00B050"/>
                <w:kern w:val="0"/>
                <w:sz w:val="21"/>
                <w:szCs w:val="21"/>
                <w:lang w:val="en-US" w:eastAsia="zh-CN" w:bidi="ar"/>
              </w:rPr>
              <w:t>千克/吨=</w:t>
            </w:r>
            <w:r>
              <w:rPr>
                <w:rFonts w:hint="eastAsia" w:ascii="Times New Roman" w:hAnsi="Times New Roman" w:eastAsia="宋体" w:cs="Times New Roman"/>
                <w:color w:val="00B050"/>
                <w:kern w:val="0"/>
                <w:sz w:val="21"/>
                <w:szCs w:val="21"/>
                <w:lang w:val="en-US" w:eastAsia="zh-CN" w:bidi="ar"/>
              </w:rPr>
              <w:t>2</w:t>
            </w:r>
            <w:r>
              <w:rPr>
                <w:rFonts w:hint="default" w:ascii="Times New Roman" w:hAnsi="Times New Roman" w:eastAsia="宋体" w:cs="Times New Roman"/>
                <w:color w:val="00B050"/>
                <w:kern w:val="0"/>
                <w:sz w:val="21"/>
                <w:szCs w:val="21"/>
                <w:lang w:val="en-US" w:eastAsia="zh-CN" w:bidi="ar"/>
              </w:rPr>
              <w:t>7</w:t>
            </w:r>
            <w:r>
              <w:rPr>
                <w:rFonts w:hint="eastAsia" w:ascii="Times New Roman" w:hAnsi="Times New Roman" w:eastAsia="宋体" w:cs="Times New Roman"/>
                <w:color w:val="00B050"/>
                <w:kern w:val="0"/>
                <w:sz w:val="21"/>
                <w:szCs w:val="21"/>
                <w:lang w:val="en-US" w:eastAsia="zh-CN" w:bidi="ar"/>
              </w:rPr>
              <w:t>0</w:t>
            </w:r>
            <w:r>
              <w:rPr>
                <w:rFonts w:hint="default" w:ascii="Times New Roman" w:hAnsi="Times New Roman" w:eastAsia="宋体" w:cs="Times New Roman"/>
                <w:color w:val="00B050"/>
                <w:kern w:val="0"/>
                <w:sz w:val="21"/>
                <w:szCs w:val="21"/>
                <w:lang w:val="en-US" w:eastAsia="zh-CN" w:bidi="ar"/>
              </w:rPr>
              <w:t>.7t/a（</w:t>
            </w:r>
            <w:r>
              <w:rPr>
                <w:rFonts w:hint="eastAsia" w:ascii="Times New Roman" w:hAnsi="Times New Roman" w:eastAsia="宋体" w:cs="Times New Roman"/>
                <w:color w:val="00B050"/>
                <w:kern w:val="0"/>
                <w:sz w:val="21"/>
                <w:szCs w:val="21"/>
                <w:lang w:val="en-US" w:eastAsia="zh-CN" w:bidi="ar"/>
              </w:rPr>
              <w:t>37.6</w:t>
            </w:r>
            <w:r>
              <w:rPr>
                <w:rFonts w:hint="eastAsia" w:ascii="Times New Roman" w:hAnsi="Times New Roman" w:eastAsia="宋体" w:cs="宋体"/>
                <w:color w:val="00B050"/>
                <w:kern w:val="0"/>
                <w:sz w:val="21"/>
                <w:szCs w:val="21"/>
                <w:lang w:val="en-US" w:eastAsia="zh-CN" w:bidi="ar"/>
              </w:rPr>
              <w:t>kg/h）；</w:t>
            </w:r>
          </w:p>
          <w:p w14:paraId="7C4BB090">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right="0"/>
              <w:textAlignment w:val="auto"/>
              <w:rPr>
                <w:rFonts w:hint="default" w:ascii="Times New Roman" w:hAnsi="Times New Roman" w:eastAsia="宋体" w:cs="Times New Roman"/>
                <w:color w:val="00B050"/>
                <w:kern w:val="0"/>
                <w:sz w:val="21"/>
                <w:szCs w:val="21"/>
                <w:lang w:val="en-US" w:eastAsia="zh-CN" w:bidi="ar"/>
              </w:rPr>
            </w:pPr>
            <w:r>
              <w:rPr>
                <w:rFonts w:hint="default" w:ascii="Times New Roman" w:hAnsi="Times New Roman" w:eastAsia="宋体" w:cs="Times New Roman"/>
                <w:color w:val="00B050"/>
                <w:sz w:val="21"/>
                <w:szCs w:val="21"/>
                <w:lang w:val="en-US" w:eastAsia="zh-CN"/>
              </w:rPr>
              <w:t>二氧化硫：7200t×（17×0.0</w:t>
            </w:r>
            <w:r>
              <w:rPr>
                <w:rFonts w:hint="eastAsia" w:ascii="Times New Roman" w:hAnsi="Times New Roman" w:cs="Times New Roman"/>
                <w:color w:val="00B050"/>
                <w:sz w:val="21"/>
                <w:szCs w:val="21"/>
                <w:lang w:val="en-US" w:eastAsia="zh-CN"/>
              </w:rPr>
              <w:t>2</w:t>
            </w:r>
            <w:r>
              <w:rPr>
                <w:rFonts w:hint="default" w:ascii="Times New Roman" w:hAnsi="Times New Roman" w:eastAsia="宋体" w:cs="Times New Roman"/>
                <w:color w:val="00B050"/>
                <w:sz w:val="21"/>
                <w:szCs w:val="21"/>
                <w:lang w:val="en-US" w:eastAsia="zh-CN"/>
              </w:rPr>
              <w:t>）</w:t>
            </w:r>
            <w:r>
              <w:rPr>
                <w:rFonts w:hint="default" w:ascii="Times New Roman" w:hAnsi="Times New Roman" w:eastAsia="宋体" w:cs="Times New Roman"/>
                <w:color w:val="00B050"/>
                <w:kern w:val="0"/>
                <w:sz w:val="21"/>
                <w:szCs w:val="21"/>
                <w:lang w:val="en-US" w:eastAsia="zh-CN" w:bidi="ar"/>
              </w:rPr>
              <w:t>千克/吨=</w:t>
            </w:r>
            <w:r>
              <w:rPr>
                <w:rFonts w:hint="eastAsia" w:ascii="Times New Roman" w:hAnsi="Times New Roman" w:cs="Times New Roman"/>
                <w:color w:val="00B050"/>
                <w:kern w:val="0"/>
                <w:sz w:val="21"/>
                <w:szCs w:val="21"/>
                <w:lang w:val="en-US" w:eastAsia="zh-CN" w:bidi="ar"/>
              </w:rPr>
              <w:t>2.45</w:t>
            </w:r>
            <w:r>
              <w:rPr>
                <w:rFonts w:hint="default" w:ascii="Times New Roman" w:hAnsi="Times New Roman" w:eastAsia="宋体" w:cs="Times New Roman"/>
                <w:color w:val="00B050"/>
                <w:kern w:val="0"/>
                <w:sz w:val="21"/>
                <w:szCs w:val="21"/>
                <w:lang w:val="en-US" w:eastAsia="zh-CN" w:bidi="ar"/>
              </w:rPr>
              <w:t>t/a（</w:t>
            </w:r>
            <w:r>
              <w:rPr>
                <w:rFonts w:hint="eastAsia" w:ascii="Times New Roman" w:hAnsi="Times New Roman" w:cs="Times New Roman"/>
                <w:color w:val="00B050"/>
                <w:kern w:val="0"/>
                <w:sz w:val="21"/>
                <w:szCs w:val="21"/>
                <w:lang w:val="en-US" w:eastAsia="zh-CN" w:bidi="ar"/>
              </w:rPr>
              <w:t>0.34</w:t>
            </w:r>
            <w:r>
              <w:rPr>
                <w:rFonts w:hint="default" w:ascii="Times New Roman" w:hAnsi="Times New Roman" w:eastAsia="宋体" w:cs="Times New Roman"/>
                <w:color w:val="00B050"/>
                <w:kern w:val="0"/>
                <w:sz w:val="21"/>
                <w:szCs w:val="21"/>
                <w:lang w:val="en-US" w:eastAsia="zh-CN" w:bidi="ar"/>
              </w:rPr>
              <w:t>kg/h）；</w:t>
            </w:r>
          </w:p>
          <w:p w14:paraId="66816D94">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right="0"/>
              <w:textAlignment w:val="auto"/>
              <w:rPr>
                <w:rFonts w:hint="default" w:ascii="Times New Roman" w:hAnsi="Times New Roman" w:eastAsia="宋体" w:cs="Times New Roman"/>
                <w:color w:val="000000" w:themeColor="text1"/>
                <w:kern w:val="0"/>
                <w:sz w:val="21"/>
                <w:szCs w:val="21"/>
                <w:lang w:val="en-US" w:eastAsia="zh-CN" w:bidi="ar"/>
              </w:rPr>
            </w:pPr>
            <w:r>
              <w:rPr>
                <w:rFonts w:hint="default" w:ascii="Times New Roman" w:hAnsi="Times New Roman" w:eastAsia="宋体" w:cs="Times New Roman"/>
                <w:color w:val="00B050"/>
                <w:sz w:val="21"/>
                <w:szCs w:val="21"/>
                <w:lang w:val="en-US" w:eastAsia="zh-CN"/>
              </w:rPr>
              <w:t>氮氧化物：7200t×1.02</w:t>
            </w:r>
            <w:r>
              <w:rPr>
                <w:rFonts w:hint="default" w:ascii="Times New Roman" w:hAnsi="Times New Roman" w:eastAsia="宋体" w:cs="Times New Roman"/>
                <w:color w:val="00B050"/>
                <w:kern w:val="0"/>
                <w:sz w:val="21"/>
                <w:szCs w:val="21"/>
                <w:lang w:val="en-US" w:eastAsia="zh-CN" w:bidi="ar"/>
              </w:rPr>
              <w:t>千克/吨=</w:t>
            </w:r>
            <w:r>
              <w:rPr>
                <w:rFonts w:hint="eastAsia" w:ascii="Times New Roman" w:hAnsi="Times New Roman" w:cs="Times New Roman"/>
                <w:color w:val="00B050"/>
                <w:kern w:val="0"/>
                <w:sz w:val="21"/>
                <w:szCs w:val="21"/>
                <w:lang w:val="en-US" w:eastAsia="zh-CN" w:bidi="ar"/>
              </w:rPr>
              <w:t>7.34</w:t>
            </w:r>
            <w:r>
              <w:rPr>
                <w:rFonts w:hint="default" w:ascii="Times New Roman" w:hAnsi="Times New Roman" w:eastAsia="宋体" w:cs="Times New Roman"/>
                <w:color w:val="00B050"/>
                <w:kern w:val="0"/>
                <w:sz w:val="21"/>
                <w:szCs w:val="21"/>
                <w:lang w:val="en-US" w:eastAsia="zh-CN" w:bidi="ar"/>
              </w:rPr>
              <w:t>t/a（</w:t>
            </w:r>
            <w:r>
              <w:rPr>
                <w:rFonts w:hint="eastAsia" w:ascii="Times New Roman" w:hAnsi="Times New Roman" w:cs="Times New Roman"/>
                <w:color w:val="00B050"/>
                <w:kern w:val="0"/>
                <w:sz w:val="21"/>
                <w:szCs w:val="21"/>
                <w:lang w:val="en-US" w:eastAsia="zh-CN" w:bidi="ar"/>
              </w:rPr>
              <w:t>1.02</w:t>
            </w:r>
            <w:r>
              <w:rPr>
                <w:rFonts w:hint="default" w:ascii="Times New Roman" w:hAnsi="Times New Roman" w:eastAsia="宋体" w:cs="Times New Roman"/>
                <w:color w:val="00B050"/>
                <w:kern w:val="0"/>
                <w:sz w:val="21"/>
                <w:szCs w:val="21"/>
                <w:lang w:val="en-US" w:eastAsia="zh-CN" w:bidi="ar"/>
              </w:rPr>
              <w:t>kg/h）</w:t>
            </w:r>
            <w:r>
              <w:rPr>
                <w:rFonts w:hint="eastAsia" w:ascii="Times New Roman" w:hAnsi="Times New Roman" w:cs="Times New Roman"/>
                <w:color w:val="00B050"/>
                <w:kern w:val="0"/>
                <w:sz w:val="21"/>
                <w:szCs w:val="21"/>
                <w:lang w:val="en-US" w:eastAsia="zh-CN" w:bidi="ar"/>
              </w:rPr>
              <w:t>。</w:t>
            </w:r>
          </w:p>
          <w:p w14:paraId="0FB597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②环保措施</w:t>
            </w:r>
          </w:p>
          <w:p w14:paraId="1E0C37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right="0" w:firstLine="420"/>
              <w:textAlignment w:val="auto"/>
              <w:rPr>
                <w:rFonts w:hint="default" w:ascii="Times New Roman" w:hAnsi="Times New Roman" w:eastAsia="宋体" w:cs="Times New Roman"/>
                <w:color w:val="00B050"/>
                <w:sz w:val="21"/>
                <w:szCs w:val="21"/>
              </w:rPr>
            </w:pPr>
            <w:r>
              <w:rPr>
                <w:rFonts w:hint="default" w:ascii="Times New Roman" w:hAnsi="Times New Roman" w:eastAsia="宋体" w:cs="Times New Roman"/>
                <w:color w:val="000000" w:themeColor="text1"/>
                <w:sz w:val="21"/>
                <w:szCs w:val="21"/>
              </w:rPr>
              <w:t>项目</w:t>
            </w:r>
            <w:r>
              <w:rPr>
                <w:rFonts w:hint="eastAsia" w:ascii="Times New Roman" w:hAnsi="Times New Roman" w:eastAsia="宋体" w:cs="Times New Roman"/>
                <w:color w:val="000000" w:themeColor="text1"/>
                <w:sz w:val="21"/>
                <w:szCs w:val="21"/>
                <w:lang w:val="en-US" w:eastAsia="zh-CN"/>
              </w:rPr>
              <w:t>将烘干废气</w:t>
            </w:r>
            <w:r>
              <w:rPr>
                <w:rFonts w:hint="default" w:ascii="Times New Roman" w:hAnsi="Times New Roman" w:eastAsia="宋体" w:cs="Times New Roman"/>
                <w:color w:val="000000" w:themeColor="text1"/>
                <w:sz w:val="21"/>
                <w:szCs w:val="21"/>
              </w:rPr>
              <w:t>收集后通过</w:t>
            </w:r>
            <w:r>
              <w:rPr>
                <w:rFonts w:hint="default" w:ascii="Times New Roman" w:hAnsi="Times New Roman" w:eastAsia="宋体" w:cs="Times New Roman"/>
                <w:color w:val="00B050"/>
                <w:sz w:val="21"/>
                <w:szCs w:val="21"/>
                <w:lang w:val="en-US" w:eastAsia="zh-CN"/>
              </w:rPr>
              <w:t>重力沉降+布袋除尘+水膜除尘设施</w:t>
            </w:r>
            <w:r>
              <w:rPr>
                <w:rFonts w:hint="default" w:ascii="Times New Roman" w:hAnsi="Times New Roman" w:eastAsia="宋体" w:cs="Times New Roman"/>
                <w:color w:val="00B050"/>
                <w:sz w:val="21"/>
                <w:szCs w:val="21"/>
              </w:rPr>
              <w:t>（</w:t>
            </w:r>
            <w:r>
              <w:rPr>
                <w:rFonts w:hint="default" w:ascii="Times New Roman" w:hAnsi="Times New Roman" w:eastAsia="宋体" w:cs="Times New Roman"/>
                <w:color w:val="00B050"/>
                <w:sz w:val="21"/>
                <w:szCs w:val="21"/>
                <w:lang w:val="en-US" w:eastAsia="zh-CN"/>
              </w:rPr>
              <w:t>TA001</w:t>
            </w:r>
            <w:r>
              <w:rPr>
                <w:rFonts w:hint="eastAsia" w:cs="Times New Roman"/>
                <w:color w:val="00B050"/>
                <w:sz w:val="21"/>
                <w:szCs w:val="21"/>
                <w:lang w:val="en-US" w:eastAsia="zh-CN"/>
              </w:rPr>
              <w:t>，</w:t>
            </w:r>
            <w:r>
              <w:rPr>
                <w:rFonts w:hint="default" w:ascii="Times New Roman" w:hAnsi="Times New Roman" w:eastAsia="宋体" w:cs="Times New Roman"/>
                <w:color w:val="00B050"/>
                <w:sz w:val="21"/>
                <w:szCs w:val="21"/>
                <w:lang w:val="en-US" w:eastAsia="zh-CN"/>
              </w:rPr>
              <w:t>根据《大气环境影响评价实用技术》，布袋除尘颗粒物去除效率为</w:t>
            </w:r>
            <w:r>
              <w:rPr>
                <w:rFonts w:hint="eastAsia" w:cs="Times New Roman"/>
                <w:color w:val="00B050"/>
                <w:sz w:val="21"/>
                <w:szCs w:val="21"/>
                <w:lang w:val="en-US" w:eastAsia="zh-CN"/>
              </w:rPr>
              <w:t>99</w:t>
            </w:r>
            <w:r>
              <w:rPr>
                <w:rFonts w:hint="default" w:ascii="Times New Roman" w:hAnsi="Times New Roman" w:eastAsia="宋体" w:cs="Times New Roman"/>
                <w:color w:val="00B050"/>
                <w:sz w:val="21"/>
                <w:szCs w:val="21"/>
                <w:lang w:val="en-US" w:eastAsia="zh-CN"/>
              </w:rPr>
              <w:t>%，重力沉降除尘效率为</w:t>
            </w:r>
            <w:r>
              <w:rPr>
                <w:rFonts w:hint="eastAsia" w:cs="Times New Roman"/>
                <w:color w:val="00B050"/>
                <w:sz w:val="21"/>
                <w:szCs w:val="21"/>
                <w:lang w:val="en-US" w:eastAsia="zh-CN"/>
              </w:rPr>
              <w:t>40%~60%，本项目取50</w:t>
            </w:r>
            <w:r>
              <w:rPr>
                <w:rFonts w:hint="default" w:ascii="Times New Roman" w:hAnsi="Times New Roman" w:eastAsia="宋体" w:cs="Times New Roman"/>
                <w:color w:val="00B050"/>
                <w:sz w:val="21"/>
                <w:szCs w:val="21"/>
              </w:rPr>
              <w:t>%</w:t>
            </w:r>
            <w:r>
              <w:rPr>
                <w:rFonts w:hint="eastAsia" w:ascii="Times New Roman" w:hAnsi="Times New Roman" w:eastAsia="宋体" w:cs="Times New Roman"/>
                <w:color w:val="00B050"/>
                <w:sz w:val="21"/>
                <w:szCs w:val="21"/>
                <w:lang w:val="en-US" w:eastAsia="zh-CN"/>
              </w:rPr>
              <w:t>，</w:t>
            </w:r>
            <w:r>
              <w:rPr>
                <w:rFonts w:hint="eastAsia" w:cs="Times New Roman"/>
                <w:color w:val="00B050"/>
                <w:sz w:val="21"/>
                <w:szCs w:val="21"/>
                <w:lang w:val="en-US" w:eastAsia="zh-CN"/>
              </w:rPr>
              <w:t>水膜除尘器除尘效率为90%以上，本项目取90%，</w:t>
            </w:r>
            <w:r>
              <w:rPr>
                <w:rFonts w:hint="eastAsia" w:ascii="Times New Roman" w:hAnsi="Times New Roman" w:eastAsia="宋体" w:cs="Times New Roman"/>
                <w:color w:val="00B050"/>
                <w:sz w:val="21"/>
                <w:szCs w:val="21"/>
                <w:lang w:val="en-US" w:eastAsia="zh-CN"/>
              </w:rPr>
              <w:t>则综合除尘效率为99.</w:t>
            </w:r>
            <w:r>
              <w:rPr>
                <w:rFonts w:hint="eastAsia" w:cs="Times New Roman"/>
                <w:color w:val="00B050"/>
                <w:sz w:val="21"/>
                <w:szCs w:val="21"/>
                <w:lang w:val="en-US" w:eastAsia="zh-CN"/>
              </w:rPr>
              <w:t>9</w:t>
            </w:r>
            <w:r>
              <w:rPr>
                <w:rFonts w:hint="eastAsia" w:ascii="Times New Roman" w:hAnsi="Times New Roman" w:eastAsia="宋体" w:cs="Times New Roman"/>
                <w:color w:val="00B050"/>
                <w:sz w:val="21"/>
                <w:szCs w:val="21"/>
                <w:lang w:val="en-US" w:eastAsia="zh-CN"/>
              </w:rPr>
              <w:t>5%</w:t>
            </w:r>
            <w:r>
              <w:rPr>
                <w:rFonts w:hint="default" w:ascii="Times New Roman" w:hAnsi="Times New Roman" w:eastAsia="宋体" w:cs="Times New Roman"/>
                <w:color w:val="00B050"/>
                <w:sz w:val="21"/>
                <w:szCs w:val="21"/>
              </w:rPr>
              <w:t>）处理后通过</w:t>
            </w:r>
            <w:r>
              <w:rPr>
                <w:rFonts w:hint="eastAsia" w:cs="Times New Roman"/>
                <w:color w:val="00B050"/>
                <w:sz w:val="21"/>
                <w:szCs w:val="21"/>
                <w:lang w:eastAsia="zh-CN"/>
              </w:rPr>
              <w:t>20</w:t>
            </w:r>
            <w:r>
              <w:rPr>
                <w:rFonts w:hint="default" w:ascii="Times New Roman" w:hAnsi="Times New Roman" w:eastAsia="宋体" w:cs="Times New Roman"/>
                <w:color w:val="00B050"/>
                <w:sz w:val="21"/>
                <w:szCs w:val="21"/>
              </w:rPr>
              <w:t>m排气筒（DA00</w:t>
            </w:r>
            <w:r>
              <w:rPr>
                <w:rFonts w:hint="eastAsia" w:ascii="Times New Roman" w:hAnsi="Times New Roman" w:eastAsia="宋体" w:cs="Times New Roman"/>
                <w:color w:val="00B050"/>
                <w:sz w:val="21"/>
                <w:szCs w:val="21"/>
                <w:lang w:val="en-US" w:eastAsia="zh-CN"/>
              </w:rPr>
              <w:t>1</w:t>
            </w:r>
            <w:r>
              <w:rPr>
                <w:rFonts w:hint="default" w:ascii="Times New Roman" w:hAnsi="Times New Roman" w:eastAsia="宋体" w:cs="Times New Roman"/>
                <w:color w:val="00B050"/>
                <w:sz w:val="21"/>
                <w:szCs w:val="21"/>
              </w:rPr>
              <w:t>）排放。</w:t>
            </w:r>
          </w:p>
          <w:p w14:paraId="3C39BC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③排放情况</w:t>
            </w:r>
          </w:p>
          <w:p w14:paraId="515A03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right="0" w:firstLine="420"/>
              <w:textAlignment w:val="auto"/>
              <w:rPr>
                <w:rFonts w:hint="default" w:ascii="Times New Roman" w:hAnsi="Times New Roman" w:eastAsia="宋体" w:cs="Times New Roman"/>
                <w:color w:val="00B050"/>
                <w:sz w:val="21"/>
                <w:szCs w:val="21"/>
              </w:rPr>
            </w:pPr>
            <w:r>
              <w:rPr>
                <w:rFonts w:hint="default" w:ascii="Times New Roman" w:hAnsi="Times New Roman" w:eastAsia="宋体" w:cs="Times New Roman"/>
                <w:color w:val="00B050"/>
                <w:sz w:val="21"/>
                <w:szCs w:val="21"/>
              </w:rPr>
              <w:t>根据分析，采取以上措施后，项目废气排放量为</w:t>
            </w:r>
            <w:r>
              <w:rPr>
                <w:rFonts w:hint="eastAsia" w:cs="Times New Roman"/>
                <w:color w:val="00B050"/>
                <w:sz w:val="21"/>
                <w:szCs w:val="21"/>
                <w:lang w:val="en-US" w:eastAsia="zh-CN"/>
              </w:rPr>
              <w:t>36</w:t>
            </w:r>
            <w:r>
              <w:rPr>
                <w:rFonts w:hint="eastAsia" w:ascii="Times New Roman" w:hAnsi="Times New Roman" w:eastAsia="宋体" w:cs="Times New Roman"/>
                <w:color w:val="00B050"/>
                <w:sz w:val="21"/>
                <w:szCs w:val="21"/>
                <w:lang w:val="en-US" w:eastAsia="zh-CN"/>
              </w:rPr>
              <w:t>0</w:t>
            </w:r>
            <w:r>
              <w:rPr>
                <w:rFonts w:hint="default" w:ascii="Times New Roman" w:hAnsi="Times New Roman" w:eastAsia="宋体" w:cs="Times New Roman"/>
                <w:color w:val="00B050"/>
                <w:sz w:val="21"/>
                <w:szCs w:val="21"/>
              </w:rPr>
              <w:t>0万m³/a，颗粒物排放量为</w:t>
            </w:r>
            <w:r>
              <w:rPr>
                <w:rFonts w:hint="eastAsia" w:cs="Times New Roman"/>
                <w:color w:val="00B050"/>
                <w:sz w:val="21"/>
                <w:szCs w:val="21"/>
                <w:lang w:val="en-US" w:eastAsia="zh-CN"/>
              </w:rPr>
              <w:t>0.135</w:t>
            </w:r>
            <w:r>
              <w:rPr>
                <w:rFonts w:hint="default" w:ascii="Times New Roman" w:hAnsi="Times New Roman" w:eastAsia="宋体" w:cs="Times New Roman"/>
                <w:color w:val="00B050"/>
                <w:sz w:val="21"/>
                <w:szCs w:val="21"/>
              </w:rPr>
              <w:t>t/a；</w:t>
            </w:r>
            <w:r>
              <w:rPr>
                <w:rFonts w:hint="eastAsia" w:ascii="Times New Roman" w:hAnsi="Times New Roman" w:eastAsia="宋体" w:cs="Times New Roman"/>
                <w:color w:val="00B050"/>
                <w:sz w:val="21"/>
                <w:szCs w:val="21"/>
                <w:lang w:val="en-US" w:eastAsia="zh-CN"/>
              </w:rPr>
              <w:t>二氧化硫排放量为</w:t>
            </w:r>
            <w:r>
              <w:rPr>
                <w:rFonts w:hint="eastAsia" w:cs="Times New Roman"/>
                <w:color w:val="00B050"/>
                <w:sz w:val="21"/>
                <w:szCs w:val="21"/>
                <w:lang w:val="en-US" w:eastAsia="zh-CN"/>
              </w:rPr>
              <w:t>2.45</w:t>
            </w:r>
            <w:r>
              <w:rPr>
                <w:rFonts w:hint="eastAsia" w:ascii="Times New Roman" w:hAnsi="Times New Roman" w:eastAsia="宋体" w:cs="Times New Roman"/>
                <w:color w:val="00B050"/>
                <w:sz w:val="21"/>
                <w:szCs w:val="21"/>
                <w:lang w:val="en-US" w:eastAsia="zh-CN"/>
              </w:rPr>
              <w:t>t/a；氮氧化物排放量为7.34t/a。</w:t>
            </w:r>
          </w:p>
          <w:p w14:paraId="18947E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right="0" w:firstLine="420"/>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3</w:t>
            </w:r>
            <w:r>
              <w:rPr>
                <w:rFonts w:hint="default" w:ascii="Times New Roman" w:hAnsi="Times New Roman" w:eastAsia="宋体" w:cs="Times New Roman"/>
                <w:color w:val="000000" w:themeColor="text1"/>
                <w:sz w:val="21"/>
                <w:szCs w:val="21"/>
              </w:rPr>
              <w:t>）食堂油烟</w:t>
            </w:r>
          </w:p>
          <w:p w14:paraId="63A24F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①源强</w:t>
            </w:r>
          </w:p>
          <w:p w14:paraId="55417C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项目建成后设置食堂，主要供员工就餐使用，食堂使用清洁能源，废气主要为油烟。根据对居民及餐饮企业的类比调查，目前居民人均日</w:t>
            </w:r>
            <w:r>
              <w:rPr>
                <w:rFonts w:hint="eastAsia" w:cs="Times New Roman"/>
                <w:color w:val="000000" w:themeColor="text1"/>
                <w:sz w:val="21"/>
                <w:szCs w:val="21"/>
                <w:lang w:val="en-US" w:eastAsia="zh-CN"/>
              </w:rPr>
              <w:t>食用</w:t>
            </w:r>
            <w:bookmarkStart w:id="26" w:name="_GoBack"/>
            <w:bookmarkEnd w:id="26"/>
            <w:r>
              <w:rPr>
                <w:rFonts w:hint="default" w:ascii="Times New Roman" w:hAnsi="Times New Roman" w:eastAsia="宋体" w:cs="Times New Roman"/>
                <w:color w:val="000000" w:themeColor="text1"/>
                <w:sz w:val="21"/>
                <w:szCs w:val="21"/>
              </w:rPr>
              <w:t>油用量约30g/人·d，一般油烟挥发量占耗油量的2~4%，平均为2.83%。项目用餐人员1</w:t>
            </w:r>
            <w:r>
              <w:rPr>
                <w:rFonts w:hint="eastAsia" w:ascii="Times New Roman" w:hAnsi="Times New Roman" w:eastAsia="宋体" w:cs="Times New Roman"/>
                <w:color w:val="000000" w:themeColor="text1"/>
                <w:sz w:val="21"/>
                <w:szCs w:val="21"/>
                <w:lang w:val="en-US" w:eastAsia="zh-CN"/>
              </w:rPr>
              <w:t>0</w:t>
            </w:r>
            <w:r>
              <w:rPr>
                <w:rFonts w:hint="default" w:ascii="Times New Roman" w:hAnsi="Times New Roman" w:eastAsia="宋体" w:cs="Times New Roman"/>
                <w:color w:val="000000" w:themeColor="text1"/>
                <w:sz w:val="21"/>
                <w:szCs w:val="21"/>
              </w:rPr>
              <w:t>人，则本项目每天耗油</w:t>
            </w:r>
            <w:r>
              <w:rPr>
                <w:rFonts w:hint="eastAsia" w:ascii="Times New Roman" w:hAnsi="Times New Roman" w:eastAsia="宋体" w:cs="Times New Roman"/>
                <w:color w:val="000000" w:themeColor="text1"/>
                <w:sz w:val="21"/>
                <w:szCs w:val="21"/>
                <w:lang w:val="en-US" w:eastAsia="zh-CN"/>
              </w:rPr>
              <w:t>300</w:t>
            </w:r>
            <w:r>
              <w:rPr>
                <w:rFonts w:hint="default" w:ascii="Times New Roman" w:hAnsi="Times New Roman" w:eastAsia="宋体" w:cs="Times New Roman"/>
                <w:color w:val="000000" w:themeColor="text1"/>
                <w:sz w:val="21"/>
                <w:szCs w:val="21"/>
              </w:rPr>
              <w:t>g/d，则油烟产生量为</w:t>
            </w:r>
            <w:r>
              <w:rPr>
                <w:rFonts w:hint="eastAsia" w:ascii="Times New Roman" w:hAnsi="Times New Roman" w:eastAsia="宋体" w:cs="Times New Roman"/>
                <w:color w:val="000000" w:themeColor="text1"/>
                <w:sz w:val="21"/>
                <w:szCs w:val="21"/>
                <w:lang w:val="en-US" w:eastAsia="zh-CN"/>
              </w:rPr>
              <w:t>8.5</w:t>
            </w:r>
            <w:r>
              <w:rPr>
                <w:rFonts w:hint="default" w:ascii="Times New Roman" w:hAnsi="Times New Roman" w:eastAsia="宋体" w:cs="Times New Roman"/>
                <w:color w:val="000000" w:themeColor="text1"/>
                <w:sz w:val="21"/>
                <w:szCs w:val="21"/>
              </w:rPr>
              <w:t>g/d。排风量按《饮食业油烟排放标准》GB18483-2001规定的单个灶头基准排风量大、中、小型均为2000m</w:t>
            </w:r>
            <w:r>
              <w:rPr>
                <w:rFonts w:hint="default" w:ascii="Times New Roman" w:hAnsi="Times New Roman" w:eastAsia="宋体" w:cs="Times New Roman"/>
                <w:color w:val="000000" w:themeColor="text1"/>
                <w:sz w:val="21"/>
                <w:szCs w:val="21"/>
                <w:vertAlign w:val="superscript"/>
              </w:rPr>
              <w:t>3</w:t>
            </w:r>
            <w:r>
              <w:rPr>
                <w:rFonts w:hint="default" w:ascii="Times New Roman" w:hAnsi="Times New Roman" w:eastAsia="宋体" w:cs="Times New Roman"/>
                <w:color w:val="000000" w:themeColor="text1"/>
                <w:sz w:val="21"/>
                <w:szCs w:val="21"/>
              </w:rPr>
              <w:t>/h，本项目设有1个灶头，则排风量为2000m</w:t>
            </w:r>
            <w:r>
              <w:rPr>
                <w:rFonts w:hint="default" w:ascii="Times New Roman" w:hAnsi="Times New Roman" w:eastAsia="宋体" w:cs="Times New Roman"/>
                <w:color w:val="000000" w:themeColor="text1"/>
                <w:sz w:val="21"/>
                <w:szCs w:val="21"/>
                <w:vertAlign w:val="superscript"/>
              </w:rPr>
              <w:t>3</w:t>
            </w:r>
            <w:r>
              <w:rPr>
                <w:rFonts w:hint="default" w:ascii="Times New Roman" w:hAnsi="Times New Roman" w:eastAsia="宋体" w:cs="Times New Roman"/>
                <w:color w:val="000000" w:themeColor="text1"/>
                <w:sz w:val="21"/>
                <w:szCs w:val="21"/>
              </w:rPr>
              <w:t>/h，每天按3小时计，则排放量为6000m</w:t>
            </w:r>
            <w:r>
              <w:rPr>
                <w:rFonts w:hint="default" w:ascii="Times New Roman" w:hAnsi="Times New Roman" w:eastAsia="宋体" w:cs="Times New Roman"/>
                <w:color w:val="000000" w:themeColor="text1"/>
                <w:sz w:val="21"/>
                <w:szCs w:val="21"/>
                <w:vertAlign w:val="superscript"/>
              </w:rPr>
              <w:t>3</w:t>
            </w:r>
            <w:r>
              <w:rPr>
                <w:rFonts w:hint="default" w:ascii="Times New Roman" w:hAnsi="Times New Roman" w:eastAsia="宋体" w:cs="Times New Roman"/>
                <w:color w:val="000000" w:themeColor="text1"/>
                <w:sz w:val="21"/>
                <w:szCs w:val="21"/>
              </w:rPr>
              <w:t>，则产生浓度</w:t>
            </w:r>
            <w:r>
              <w:rPr>
                <w:rFonts w:hint="eastAsia" w:ascii="Times New Roman" w:hAnsi="Times New Roman" w:eastAsia="宋体" w:cs="Times New Roman"/>
                <w:color w:val="000000" w:themeColor="text1"/>
                <w:sz w:val="21"/>
                <w:szCs w:val="21"/>
                <w:lang w:val="en-US" w:eastAsia="zh-CN"/>
              </w:rPr>
              <w:t>1.42</w:t>
            </w:r>
            <w:r>
              <w:rPr>
                <w:rFonts w:hint="default" w:ascii="Times New Roman" w:hAnsi="Times New Roman" w:eastAsia="宋体" w:cs="Times New Roman"/>
                <w:color w:val="000000" w:themeColor="text1"/>
                <w:sz w:val="21"/>
                <w:szCs w:val="21"/>
              </w:rPr>
              <w:t>mg/m</w:t>
            </w:r>
            <w:r>
              <w:rPr>
                <w:rFonts w:hint="default" w:ascii="Times New Roman" w:hAnsi="Times New Roman" w:eastAsia="宋体" w:cs="Times New Roman"/>
                <w:color w:val="000000" w:themeColor="text1"/>
                <w:sz w:val="21"/>
                <w:szCs w:val="21"/>
                <w:vertAlign w:val="superscript"/>
              </w:rPr>
              <w:t>3</w:t>
            </w:r>
            <w:r>
              <w:rPr>
                <w:rFonts w:hint="default" w:ascii="Times New Roman" w:hAnsi="Times New Roman" w:eastAsia="宋体" w:cs="Times New Roman"/>
                <w:color w:val="000000" w:themeColor="text1"/>
                <w:sz w:val="21"/>
                <w:szCs w:val="21"/>
              </w:rPr>
              <w:t>。</w:t>
            </w:r>
          </w:p>
          <w:p w14:paraId="4E5E2E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②环保措施</w:t>
            </w:r>
          </w:p>
          <w:p w14:paraId="480B4A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食堂属于小型饮食业单位，产生浓度为1</w:t>
            </w:r>
            <w:r>
              <w:rPr>
                <w:rFonts w:hint="eastAsia" w:ascii="Times New Roman" w:hAnsi="Times New Roman" w:eastAsia="宋体" w:cs="Times New Roman"/>
                <w:color w:val="000000" w:themeColor="text1"/>
                <w:sz w:val="21"/>
                <w:szCs w:val="21"/>
                <w:lang w:val="en-US" w:eastAsia="zh-CN"/>
              </w:rPr>
              <w:t>.42</w:t>
            </w:r>
            <w:r>
              <w:rPr>
                <w:rFonts w:hint="default" w:ascii="Times New Roman" w:hAnsi="Times New Roman" w:eastAsia="宋体" w:cs="Times New Roman"/>
                <w:color w:val="000000" w:themeColor="text1"/>
                <w:sz w:val="21"/>
                <w:szCs w:val="21"/>
              </w:rPr>
              <w:t>mg/m</w:t>
            </w:r>
            <w:r>
              <w:rPr>
                <w:rFonts w:hint="default" w:ascii="Times New Roman" w:hAnsi="Times New Roman" w:eastAsia="宋体" w:cs="Times New Roman"/>
                <w:color w:val="000000" w:themeColor="text1"/>
                <w:sz w:val="21"/>
                <w:szCs w:val="21"/>
                <w:vertAlign w:val="superscript"/>
              </w:rPr>
              <w:t>3</w:t>
            </w:r>
            <w:r>
              <w:rPr>
                <w:rFonts w:hint="default" w:ascii="Times New Roman" w:hAnsi="Times New Roman" w:eastAsia="宋体" w:cs="Times New Roman"/>
                <w:color w:val="000000" w:themeColor="text1"/>
                <w:sz w:val="21"/>
                <w:szCs w:val="21"/>
              </w:rPr>
              <w:t>，其安装抽油烟机收集油烟后排放。</w:t>
            </w:r>
          </w:p>
          <w:p w14:paraId="3BF3ED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③排放情况</w:t>
            </w:r>
          </w:p>
          <w:p w14:paraId="79B0CF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安装抽油烟机，排放浓度为1.</w:t>
            </w:r>
            <w:r>
              <w:rPr>
                <w:rFonts w:hint="eastAsia" w:ascii="Times New Roman" w:hAnsi="Times New Roman" w:eastAsia="宋体" w:cs="Times New Roman"/>
                <w:color w:val="000000" w:themeColor="text1"/>
                <w:sz w:val="21"/>
                <w:szCs w:val="21"/>
                <w:lang w:val="en-US" w:eastAsia="zh-CN"/>
              </w:rPr>
              <w:t>42</w:t>
            </w:r>
            <w:r>
              <w:rPr>
                <w:rFonts w:hint="default" w:ascii="Times New Roman" w:hAnsi="Times New Roman" w:eastAsia="宋体" w:cs="Times New Roman"/>
                <w:color w:val="000000" w:themeColor="text1"/>
                <w:sz w:val="21"/>
                <w:szCs w:val="21"/>
              </w:rPr>
              <w:t>mg/m</w:t>
            </w:r>
            <w:r>
              <w:rPr>
                <w:rFonts w:hint="default" w:ascii="Times New Roman" w:hAnsi="Times New Roman" w:eastAsia="宋体" w:cs="Times New Roman"/>
                <w:color w:val="000000" w:themeColor="text1"/>
                <w:sz w:val="21"/>
                <w:szCs w:val="21"/>
                <w:vertAlign w:val="superscript"/>
              </w:rPr>
              <w:t>3</w:t>
            </w:r>
            <w:r>
              <w:rPr>
                <w:rFonts w:hint="default" w:ascii="Times New Roman" w:hAnsi="Times New Roman" w:eastAsia="宋体" w:cs="Times New Roman"/>
                <w:color w:val="000000" w:themeColor="text1"/>
                <w:sz w:val="21"/>
                <w:szCs w:val="21"/>
              </w:rPr>
              <w:t>，低于2.0mg/m</w:t>
            </w:r>
            <w:r>
              <w:rPr>
                <w:rFonts w:hint="default" w:ascii="Times New Roman" w:hAnsi="Times New Roman" w:eastAsia="宋体" w:cs="Times New Roman"/>
                <w:color w:val="000000" w:themeColor="text1"/>
                <w:sz w:val="21"/>
                <w:szCs w:val="21"/>
                <w:vertAlign w:val="superscript"/>
              </w:rPr>
              <w:t>3</w:t>
            </w:r>
            <w:r>
              <w:rPr>
                <w:rFonts w:hint="default" w:ascii="Times New Roman" w:hAnsi="Times New Roman" w:eastAsia="宋体" w:cs="Times New Roman"/>
                <w:color w:val="000000" w:themeColor="text1"/>
                <w:sz w:val="21"/>
                <w:szCs w:val="21"/>
              </w:rPr>
              <w:t>。</w:t>
            </w:r>
          </w:p>
          <w:p w14:paraId="4591EA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right="0" w:firstLine="422"/>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（3）大气污染物年排放量核算表</w:t>
            </w:r>
          </w:p>
          <w:p w14:paraId="672150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表4-2  大气污染物年排放量核算表</w:t>
            </w:r>
          </w:p>
          <w:tbl>
            <w:tblPr>
              <w:tblStyle w:val="43"/>
              <w:tblW w:w="8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380"/>
              <w:gridCol w:w="2088"/>
              <w:gridCol w:w="2082"/>
              <w:gridCol w:w="1843"/>
            </w:tblGrid>
            <w:tr w14:paraId="2F09D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noWrap w:val="0"/>
                  <w:vAlign w:val="center"/>
                </w:tcPr>
                <w:p w14:paraId="3DA84A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序号</w:t>
                  </w:r>
                </w:p>
              </w:tc>
              <w:tc>
                <w:tcPr>
                  <w:tcW w:w="1380" w:type="dxa"/>
                  <w:noWrap w:val="0"/>
                  <w:vAlign w:val="center"/>
                </w:tcPr>
                <w:p w14:paraId="172A7C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污染物</w:t>
                  </w:r>
                </w:p>
              </w:tc>
              <w:tc>
                <w:tcPr>
                  <w:tcW w:w="2088" w:type="dxa"/>
                  <w:noWrap w:val="0"/>
                  <w:vAlign w:val="center"/>
                </w:tcPr>
                <w:p w14:paraId="218747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无组织排放量（t/a）</w:t>
                  </w:r>
                </w:p>
              </w:tc>
              <w:tc>
                <w:tcPr>
                  <w:tcW w:w="2082" w:type="dxa"/>
                  <w:noWrap w:val="0"/>
                  <w:vAlign w:val="center"/>
                </w:tcPr>
                <w:p w14:paraId="69AC32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有组织排放量（t/a）</w:t>
                  </w:r>
                </w:p>
              </w:tc>
              <w:tc>
                <w:tcPr>
                  <w:tcW w:w="1843" w:type="dxa"/>
                  <w:noWrap w:val="0"/>
                  <w:vAlign w:val="center"/>
                </w:tcPr>
                <w:p w14:paraId="521C0A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全厂总量（t/a）</w:t>
                  </w:r>
                </w:p>
              </w:tc>
            </w:tr>
            <w:tr w14:paraId="3D904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noWrap w:val="0"/>
                  <w:vAlign w:val="center"/>
                </w:tcPr>
                <w:p w14:paraId="72FCCE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w:t>
                  </w:r>
                </w:p>
              </w:tc>
              <w:tc>
                <w:tcPr>
                  <w:tcW w:w="1380" w:type="dxa"/>
                  <w:noWrap w:val="0"/>
                  <w:vAlign w:val="center"/>
                </w:tcPr>
                <w:p w14:paraId="209BB8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颗粒物</w:t>
                  </w:r>
                </w:p>
              </w:tc>
              <w:tc>
                <w:tcPr>
                  <w:tcW w:w="2088" w:type="dxa"/>
                  <w:noWrap w:val="0"/>
                  <w:vAlign w:val="center"/>
                </w:tcPr>
                <w:p w14:paraId="60C77A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0.015</w:t>
                  </w:r>
                </w:p>
              </w:tc>
              <w:tc>
                <w:tcPr>
                  <w:tcW w:w="2082" w:type="dxa"/>
                  <w:noWrap w:val="0"/>
                  <w:vAlign w:val="center"/>
                </w:tcPr>
                <w:p w14:paraId="498FCC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B050"/>
                      <w:sz w:val="21"/>
                      <w:szCs w:val="21"/>
                      <w:lang w:val="en-US" w:eastAsia="zh-CN"/>
                    </w:rPr>
                  </w:pPr>
                  <w:r>
                    <w:rPr>
                      <w:rFonts w:hint="eastAsia" w:cs="Times New Roman"/>
                      <w:color w:val="00B050"/>
                      <w:sz w:val="21"/>
                      <w:szCs w:val="21"/>
                      <w:lang w:val="en-US" w:eastAsia="zh-CN"/>
                    </w:rPr>
                    <w:t>0.135</w:t>
                  </w:r>
                </w:p>
              </w:tc>
              <w:tc>
                <w:tcPr>
                  <w:tcW w:w="1843" w:type="dxa"/>
                  <w:noWrap w:val="0"/>
                  <w:vAlign w:val="center"/>
                </w:tcPr>
                <w:p w14:paraId="642A20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B050"/>
                      <w:sz w:val="21"/>
                      <w:szCs w:val="21"/>
                      <w:lang w:val="en-US" w:eastAsia="zh-CN"/>
                    </w:rPr>
                  </w:pPr>
                  <w:r>
                    <w:rPr>
                      <w:rFonts w:hint="eastAsia" w:cs="Times New Roman"/>
                      <w:color w:val="00B050"/>
                      <w:sz w:val="21"/>
                      <w:szCs w:val="21"/>
                      <w:lang w:val="en-US" w:eastAsia="zh-CN"/>
                    </w:rPr>
                    <w:t>0.15</w:t>
                  </w:r>
                </w:p>
              </w:tc>
            </w:tr>
            <w:tr w14:paraId="416DE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noWrap w:val="0"/>
                  <w:vAlign w:val="center"/>
                </w:tcPr>
                <w:p w14:paraId="17F5B7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w:t>
                  </w:r>
                </w:p>
              </w:tc>
              <w:tc>
                <w:tcPr>
                  <w:tcW w:w="1380" w:type="dxa"/>
                  <w:noWrap w:val="0"/>
                  <w:vAlign w:val="center"/>
                </w:tcPr>
                <w:p w14:paraId="45FF3E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二氧化硫</w:t>
                  </w:r>
                </w:p>
              </w:tc>
              <w:tc>
                <w:tcPr>
                  <w:tcW w:w="2088" w:type="dxa"/>
                  <w:noWrap w:val="0"/>
                  <w:vAlign w:val="center"/>
                </w:tcPr>
                <w:p w14:paraId="1B300D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w:t>
                  </w:r>
                </w:p>
              </w:tc>
              <w:tc>
                <w:tcPr>
                  <w:tcW w:w="2082" w:type="dxa"/>
                  <w:noWrap w:val="0"/>
                  <w:vAlign w:val="center"/>
                </w:tcPr>
                <w:p w14:paraId="45D362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0.61</w:t>
                  </w:r>
                </w:p>
              </w:tc>
              <w:tc>
                <w:tcPr>
                  <w:tcW w:w="1843" w:type="dxa"/>
                  <w:noWrap w:val="0"/>
                  <w:vAlign w:val="center"/>
                </w:tcPr>
                <w:p w14:paraId="210EF7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0.61</w:t>
                  </w:r>
                </w:p>
              </w:tc>
            </w:tr>
            <w:tr w14:paraId="611B3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noWrap w:val="0"/>
                  <w:vAlign w:val="center"/>
                </w:tcPr>
                <w:p w14:paraId="298548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3</w:t>
                  </w:r>
                </w:p>
              </w:tc>
              <w:tc>
                <w:tcPr>
                  <w:tcW w:w="1380" w:type="dxa"/>
                  <w:noWrap w:val="0"/>
                  <w:vAlign w:val="center"/>
                </w:tcPr>
                <w:p w14:paraId="5E1115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氮氧化物</w:t>
                  </w:r>
                </w:p>
              </w:tc>
              <w:tc>
                <w:tcPr>
                  <w:tcW w:w="2088" w:type="dxa"/>
                  <w:noWrap w:val="0"/>
                  <w:vAlign w:val="center"/>
                </w:tcPr>
                <w:p w14:paraId="58A07A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w:t>
                  </w:r>
                </w:p>
              </w:tc>
              <w:tc>
                <w:tcPr>
                  <w:tcW w:w="2082" w:type="dxa"/>
                  <w:noWrap w:val="0"/>
                  <w:vAlign w:val="center"/>
                </w:tcPr>
                <w:p w14:paraId="0FD843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1.84</w:t>
                  </w:r>
                </w:p>
              </w:tc>
              <w:tc>
                <w:tcPr>
                  <w:tcW w:w="1843" w:type="dxa"/>
                  <w:noWrap w:val="0"/>
                  <w:vAlign w:val="center"/>
                </w:tcPr>
                <w:p w14:paraId="7A08A9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1.84</w:t>
                  </w:r>
                </w:p>
              </w:tc>
            </w:tr>
          </w:tbl>
          <w:p w14:paraId="17832C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textAlignment w:val="auto"/>
              <w:rPr>
                <w:rFonts w:hint="default" w:ascii="Times New Roman" w:hAnsi="Times New Roman" w:eastAsia="宋体" w:cs="Times New Roman"/>
                <w:b/>
                <w:color w:val="000000" w:themeColor="text1"/>
                <w:kern w:val="0"/>
                <w:sz w:val="21"/>
                <w:szCs w:val="21"/>
              </w:rPr>
            </w:pPr>
            <w:r>
              <w:rPr>
                <w:rFonts w:hint="default" w:ascii="Times New Roman" w:hAnsi="Times New Roman" w:eastAsia="宋体" w:cs="Times New Roman"/>
                <w:b/>
                <w:color w:val="000000" w:themeColor="text1"/>
                <w:kern w:val="0"/>
                <w:sz w:val="21"/>
                <w:szCs w:val="21"/>
              </w:rPr>
              <w:t>（4）达标分析</w:t>
            </w:r>
          </w:p>
          <w:p w14:paraId="319953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b/>
                <w:color w:val="000000" w:themeColor="text1"/>
                <w:kern w:val="0"/>
                <w:sz w:val="21"/>
                <w:szCs w:val="21"/>
              </w:rPr>
            </w:pPr>
            <w:r>
              <w:rPr>
                <w:rFonts w:hint="default" w:ascii="Times New Roman" w:hAnsi="Times New Roman" w:eastAsia="宋体" w:cs="Times New Roman"/>
                <w:bCs/>
                <w:color w:val="000000" w:themeColor="text1"/>
                <w:kern w:val="0"/>
                <w:sz w:val="21"/>
                <w:szCs w:val="21"/>
              </w:rPr>
              <w:t>项目运营期废气污染物主要为颗粒物</w:t>
            </w:r>
            <w:r>
              <w:rPr>
                <w:rFonts w:hint="eastAsia" w:ascii="Times New Roman" w:hAnsi="Times New Roman" w:eastAsia="宋体" w:cs="Times New Roman"/>
                <w:bCs/>
                <w:color w:val="000000" w:themeColor="text1"/>
                <w:kern w:val="0"/>
                <w:sz w:val="21"/>
                <w:szCs w:val="21"/>
                <w:lang w:eastAsia="zh-CN"/>
              </w:rPr>
              <w:t>、</w:t>
            </w:r>
            <w:r>
              <w:rPr>
                <w:rFonts w:hint="eastAsia" w:ascii="Times New Roman" w:hAnsi="Times New Roman" w:eastAsia="宋体" w:cs="Times New Roman"/>
                <w:bCs/>
                <w:color w:val="000000" w:themeColor="text1"/>
                <w:kern w:val="0"/>
                <w:sz w:val="21"/>
                <w:szCs w:val="21"/>
                <w:lang w:val="en-US" w:eastAsia="zh-CN"/>
              </w:rPr>
              <w:t>二氧化硫和氮氧化物</w:t>
            </w:r>
            <w:r>
              <w:rPr>
                <w:rFonts w:hint="default" w:ascii="Times New Roman" w:hAnsi="Times New Roman" w:eastAsia="宋体" w:cs="Times New Roman"/>
                <w:bCs/>
                <w:color w:val="000000" w:themeColor="text1"/>
                <w:kern w:val="0"/>
                <w:sz w:val="21"/>
                <w:szCs w:val="21"/>
              </w:rPr>
              <w:t>，颗粒物采用</w:t>
            </w:r>
            <w:r>
              <w:rPr>
                <w:rFonts w:hint="default" w:ascii="Times New Roman" w:hAnsi="Times New Roman" w:eastAsia="宋体" w:cs="Times New Roman"/>
                <w:bCs/>
                <w:color w:val="000000" w:themeColor="text1"/>
                <w:kern w:val="0"/>
                <w:sz w:val="21"/>
                <w:szCs w:val="21"/>
                <w:lang w:val="en-US" w:eastAsia="zh-CN"/>
              </w:rPr>
              <w:t>重力沉降+</w:t>
            </w:r>
            <w:r>
              <w:rPr>
                <w:rFonts w:hint="default" w:ascii="Times New Roman" w:hAnsi="Times New Roman" w:eastAsia="宋体" w:cs="Times New Roman"/>
                <w:bCs/>
                <w:color w:val="00B050"/>
                <w:kern w:val="0"/>
                <w:sz w:val="21"/>
                <w:szCs w:val="21"/>
                <w:lang w:val="en-US" w:eastAsia="zh-CN"/>
              </w:rPr>
              <w:t>布袋除尘+水膜除尘设施</w:t>
            </w:r>
            <w:r>
              <w:rPr>
                <w:rFonts w:hint="default" w:ascii="Times New Roman" w:hAnsi="Times New Roman" w:eastAsia="宋体" w:cs="Times New Roman"/>
                <w:bCs/>
                <w:color w:val="000000" w:themeColor="text1"/>
                <w:kern w:val="0"/>
                <w:sz w:val="21"/>
                <w:szCs w:val="21"/>
              </w:rPr>
              <w:t>、厂房阻隔等方式进行治理，在项目采取以上废气治理措施的情况下，</w:t>
            </w:r>
            <w:r>
              <w:rPr>
                <w:rFonts w:hint="default" w:ascii="Times New Roman" w:hAnsi="Times New Roman" w:eastAsia="宋体" w:cs="Times New Roman"/>
                <w:bCs/>
                <w:color w:val="000000" w:themeColor="text1"/>
                <w:sz w:val="21"/>
                <w:szCs w:val="21"/>
                <w:lang w:val="en-US" w:eastAsia="zh-CN" w:bidi="ar"/>
              </w:rPr>
              <w:t>SO</w:t>
            </w:r>
            <w:r>
              <w:rPr>
                <w:rFonts w:hint="default" w:ascii="Times New Roman" w:hAnsi="Times New Roman" w:eastAsia="宋体" w:cs="Times New Roman"/>
                <w:bCs/>
                <w:color w:val="000000" w:themeColor="text1"/>
                <w:sz w:val="21"/>
                <w:szCs w:val="21"/>
                <w:vertAlign w:val="subscript"/>
                <w:lang w:val="en-US" w:eastAsia="zh-CN" w:bidi="ar"/>
              </w:rPr>
              <w:t>2</w:t>
            </w:r>
            <w:r>
              <w:rPr>
                <w:rFonts w:hint="eastAsia" w:ascii="Times New Roman" w:hAnsi="Times New Roman" w:eastAsia="宋体" w:cs="Times New Roman"/>
                <w:bCs/>
                <w:color w:val="000000" w:themeColor="text1"/>
                <w:sz w:val="21"/>
                <w:szCs w:val="21"/>
                <w:lang w:val="en-US" w:eastAsia="zh-CN" w:bidi="ar"/>
              </w:rPr>
              <w:t>和</w:t>
            </w:r>
            <w:r>
              <w:rPr>
                <w:rFonts w:hint="default" w:ascii="Times New Roman" w:hAnsi="Times New Roman" w:eastAsia="宋体" w:cs="Times New Roman"/>
                <w:bCs/>
                <w:color w:val="000000" w:themeColor="text1"/>
                <w:sz w:val="21"/>
                <w:szCs w:val="21"/>
                <w:lang w:val="en-US" w:eastAsia="zh-CN" w:bidi="ar"/>
              </w:rPr>
              <w:t>NOx</w:t>
            </w:r>
            <w:r>
              <w:rPr>
                <w:rFonts w:hint="eastAsia" w:ascii="Times New Roman" w:hAnsi="Times New Roman" w:eastAsia="宋体" w:cs="Times New Roman"/>
                <w:bCs/>
                <w:color w:val="000000" w:themeColor="text1"/>
                <w:sz w:val="21"/>
                <w:szCs w:val="21"/>
                <w:lang w:val="en-US" w:eastAsia="zh-CN" w:bidi="ar"/>
              </w:rPr>
              <w:t>满足《大气污染物综合排放标准》</w:t>
            </w:r>
            <w:r>
              <w:rPr>
                <w:rFonts w:hint="default" w:ascii="Times New Roman" w:hAnsi="Times New Roman" w:eastAsia="宋体" w:cs="Times New Roman"/>
                <w:bCs/>
                <w:color w:val="000000" w:themeColor="text1"/>
                <w:sz w:val="21"/>
                <w:szCs w:val="21"/>
                <w:lang w:val="en-US" w:eastAsia="zh-CN" w:bidi="ar"/>
              </w:rPr>
              <w:t>(GB16297-1996)</w:t>
            </w:r>
            <w:r>
              <w:rPr>
                <w:rFonts w:hint="eastAsia" w:ascii="Times New Roman" w:hAnsi="Times New Roman" w:eastAsia="宋体" w:cs="Times New Roman"/>
                <w:bCs/>
                <w:color w:val="000000" w:themeColor="text1"/>
                <w:sz w:val="21"/>
                <w:szCs w:val="21"/>
                <w:lang w:val="en-US" w:eastAsia="zh-CN" w:bidi="ar"/>
              </w:rPr>
              <w:t>表</w:t>
            </w:r>
            <w:r>
              <w:rPr>
                <w:rFonts w:hint="default" w:ascii="Times New Roman" w:hAnsi="Times New Roman" w:eastAsia="宋体" w:cs="Times New Roman"/>
                <w:bCs/>
                <w:color w:val="000000" w:themeColor="text1"/>
                <w:sz w:val="21"/>
                <w:szCs w:val="21"/>
                <w:lang w:val="en-US" w:eastAsia="zh-CN" w:bidi="ar"/>
              </w:rPr>
              <w:t>2</w:t>
            </w:r>
            <w:r>
              <w:rPr>
                <w:rFonts w:hint="eastAsia" w:ascii="Times New Roman" w:hAnsi="Times New Roman" w:eastAsia="宋体" w:cs="Times New Roman"/>
                <w:bCs/>
                <w:color w:val="000000" w:themeColor="text1"/>
                <w:sz w:val="21"/>
                <w:szCs w:val="21"/>
                <w:lang w:val="en-US" w:eastAsia="zh-CN" w:bidi="ar"/>
              </w:rPr>
              <w:t>中的二级标准限值；烟（粉</w:t>
            </w:r>
            <w:r>
              <w:rPr>
                <w:rFonts w:hint="default" w:ascii="Times New Roman" w:hAnsi="Times New Roman" w:eastAsia="宋体" w:cs="Times New Roman"/>
                <w:bCs/>
                <w:color w:val="000000" w:themeColor="text1"/>
                <w:sz w:val="21"/>
                <w:szCs w:val="21"/>
                <w:lang w:val="en-US" w:eastAsia="zh-CN" w:bidi="ar"/>
              </w:rPr>
              <w:t>)</w:t>
            </w:r>
            <w:r>
              <w:rPr>
                <w:rFonts w:hint="eastAsia" w:ascii="Times New Roman" w:hAnsi="Times New Roman" w:eastAsia="宋体" w:cs="Times New Roman"/>
                <w:bCs/>
                <w:color w:val="000000" w:themeColor="text1"/>
                <w:sz w:val="21"/>
                <w:szCs w:val="21"/>
                <w:lang w:val="en-US" w:eastAsia="zh-CN" w:bidi="ar"/>
              </w:rPr>
              <w:t>尘、烟气黑度（林格曼黑度）满足《工业炉窑大气污染物排放标准》</w:t>
            </w:r>
            <w:r>
              <w:rPr>
                <w:rFonts w:hint="default" w:ascii="Times New Roman" w:hAnsi="Times New Roman" w:eastAsia="宋体" w:cs="Times New Roman"/>
                <w:bCs/>
                <w:color w:val="000000" w:themeColor="text1"/>
                <w:sz w:val="21"/>
                <w:szCs w:val="21"/>
                <w:lang w:val="en-US" w:eastAsia="zh-CN" w:bidi="ar"/>
              </w:rPr>
              <w:t>(GB9078-1996)</w:t>
            </w:r>
            <w:r>
              <w:rPr>
                <w:rFonts w:hint="eastAsia" w:ascii="Times New Roman" w:hAnsi="Times New Roman" w:eastAsia="宋体" w:cs="Times New Roman"/>
                <w:bCs/>
                <w:color w:val="000000" w:themeColor="text1"/>
                <w:sz w:val="21"/>
                <w:szCs w:val="21"/>
                <w:lang w:val="en-US" w:eastAsia="zh-CN" w:bidi="ar"/>
              </w:rPr>
              <w:t>中“干燥炉、窑”及“其他”二级排放标准限值要求</w:t>
            </w:r>
            <w:r>
              <w:rPr>
                <w:rFonts w:hint="default" w:ascii="Times New Roman" w:hAnsi="Times New Roman" w:eastAsia="宋体" w:cs="Times New Roman"/>
                <w:bCs/>
                <w:color w:val="000000" w:themeColor="text1"/>
                <w:kern w:val="0"/>
                <w:sz w:val="21"/>
                <w:szCs w:val="21"/>
              </w:rPr>
              <w:t>，对大气环境影响较小，详见下表。</w:t>
            </w:r>
          </w:p>
          <w:p w14:paraId="713EBD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color w:val="000000" w:themeColor="text1"/>
                <w:kern w:val="24"/>
                <w:sz w:val="21"/>
                <w:szCs w:val="21"/>
              </w:rPr>
            </w:pPr>
            <w:r>
              <w:rPr>
                <w:rFonts w:hint="default" w:ascii="Times New Roman" w:hAnsi="Times New Roman" w:eastAsia="宋体" w:cs="Times New Roman"/>
                <w:b/>
                <w:color w:val="000000" w:themeColor="text1"/>
                <w:kern w:val="24"/>
                <w:sz w:val="21"/>
                <w:szCs w:val="21"/>
              </w:rPr>
              <w:t>表4-3  废气产生及排放汇总情况表</w:t>
            </w:r>
          </w:p>
          <w:tbl>
            <w:tblPr>
              <w:tblStyle w:val="43"/>
              <w:tblW w:w="81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1279"/>
              <w:gridCol w:w="1518"/>
              <w:gridCol w:w="1656"/>
              <w:gridCol w:w="864"/>
              <w:gridCol w:w="816"/>
              <w:gridCol w:w="1524"/>
            </w:tblGrid>
            <w:tr w14:paraId="5BDC7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pct"/>
                  <w:gridSpan w:val="2"/>
                  <w:vMerge w:val="restart"/>
                  <w:noWrap w:val="0"/>
                  <w:vAlign w:val="center"/>
                </w:tcPr>
                <w:p w14:paraId="605E27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r>
                    <w:rPr>
                      <w:rFonts w:hint="default" w:ascii="Times New Roman" w:hAnsi="Times New Roman" w:eastAsia="宋体" w:cs="Times New Roman"/>
                      <w:bCs/>
                      <w:snapToGrid w:val="0"/>
                      <w:color w:val="000000" w:themeColor="text1"/>
                      <w:kern w:val="0"/>
                      <w:sz w:val="21"/>
                      <w:szCs w:val="21"/>
                    </w:rPr>
                    <w:t>项目</w:t>
                  </w:r>
                </w:p>
              </w:tc>
              <w:tc>
                <w:tcPr>
                  <w:tcW w:w="3931" w:type="pct"/>
                  <w:gridSpan w:val="5"/>
                  <w:noWrap w:val="0"/>
                  <w:vAlign w:val="center"/>
                </w:tcPr>
                <w:p w14:paraId="438865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r>
                    <w:rPr>
                      <w:rFonts w:hint="default" w:ascii="Times New Roman" w:hAnsi="Times New Roman" w:eastAsia="宋体" w:cs="Times New Roman"/>
                      <w:bCs/>
                      <w:snapToGrid w:val="0"/>
                      <w:color w:val="000000" w:themeColor="text1"/>
                      <w:kern w:val="0"/>
                      <w:sz w:val="21"/>
                      <w:szCs w:val="21"/>
                    </w:rPr>
                    <w:t>产污节点</w:t>
                  </w:r>
                </w:p>
              </w:tc>
            </w:tr>
            <w:tr w14:paraId="56440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pct"/>
                  <w:gridSpan w:val="2"/>
                  <w:vMerge w:val="continue"/>
                  <w:noWrap w:val="0"/>
                  <w:vAlign w:val="center"/>
                </w:tcPr>
                <w:p w14:paraId="06158B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p>
              </w:tc>
              <w:tc>
                <w:tcPr>
                  <w:tcW w:w="935" w:type="pct"/>
                  <w:noWrap w:val="0"/>
                  <w:vAlign w:val="center"/>
                </w:tcPr>
                <w:p w14:paraId="5CAA23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投料</w:t>
                  </w:r>
                </w:p>
              </w:tc>
              <w:tc>
                <w:tcPr>
                  <w:tcW w:w="2056" w:type="pct"/>
                  <w:gridSpan w:val="3"/>
                  <w:noWrap w:val="0"/>
                  <w:vAlign w:val="center"/>
                </w:tcPr>
                <w:p w14:paraId="2D101D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烘干</w:t>
                  </w:r>
                </w:p>
              </w:tc>
              <w:tc>
                <w:tcPr>
                  <w:tcW w:w="939" w:type="pct"/>
                  <w:noWrap w:val="0"/>
                  <w:vAlign w:val="center"/>
                </w:tcPr>
                <w:p w14:paraId="60E2BA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食堂</w:t>
                  </w:r>
                </w:p>
              </w:tc>
            </w:tr>
            <w:tr w14:paraId="074E0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pct"/>
                  <w:gridSpan w:val="2"/>
                  <w:noWrap w:val="0"/>
                  <w:vAlign w:val="center"/>
                </w:tcPr>
                <w:p w14:paraId="0C2090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r>
                    <w:rPr>
                      <w:rFonts w:hint="default" w:ascii="Times New Roman" w:hAnsi="Times New Roman" w:eastAsia="宋体" w:cs="Times New Roman"/>
                      <w:bCs/>
                      <w:snapToGrid w:val="0"/>
                      <w:color w:val="000000" w:themeColor="text1"/>
                      <w:kern w:val="0"/>
                      <w:sz w:val="21"/>
                      <w:szCs w:val="21"/>
                    </w:rPr>
                    <w:t>污染物种类</w:t>
                  </w:r>
                </w:p>
              </w:tc>
              <w:tc>
                <w:tcPr>
                  <w:tcW w:w="935" w:type="pct"/>
                  <w:noWrap w:val="0"/>
                  <w:vAlign w:val="center"/>
                </w:tcPr>
                <w:p w14:paraId="5C7D0C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r>
                    <w:rPr>
                      <w:rFonts w:hint="default" w:ascii="Times New Roman" w:hAnsi="Times New Roman" w:eastAsia="宋体" w:cs="Times New Roman"/>
                      <w:bCs/>
                      <w:snapToGrid w:val="0"/>
                      <w:color w:val="000000" w:themeColor="text1"/>
                      <w:kern w:val="0"/>
                      <w:sz w:val="21"/>
                      <w:szCs w:val="21"/>
                    </w:rPr>
                    <w:t>颗粒物</w:t>
                  </w:r>
                </w:p>
              </w:tc>
              <w:tc>
                <w:tcPr>
                  <w:tcW w:w="1020" w:type="pct"/>
                  <w:noWrap w:val="0"/>
                  <w:vAlign w:val="center"/>
                </w:tcPr>
                <w:p w14:paraId="13CCC9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r>
                    <w:rPr>
                      <w:rFonts w:hint="default" w:ascii="Times New Roman" w:hAnsi="Times New Roman" w:eastAsia="宋体" w:cs="Times New Roman"/>
                      <w:bCs/>
                      <w:snapToGrid w:val="0"/>
                      <w:color w:val="000000" w:themeColor="text1"/>
                      <w:kern w:val="0"/>
                      <w:sz w:val="21"/>
                      <w:szCs w:val="21"/>
                    </w:rPr>
                    <w:t>颗粒物</w:t>
                  </w:r>
                </w:p>
              </w:tc>
              <w:tc>
                <w:tcPr>
                  <w:tcW w:w="532" w:type="pct"/>
                  <w:noWrap w:val="0"/>
                  <w:vAlign w:val="center"/>
                </w:tcPr>
                <w:p w14:paraId="787070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SO</w:t>
                  </w:r>
                  <w:r>
                    <w:rPr>
                      <w:rFonts w:hint="default" w:ascii="Times New Roman" w:hAnsi="Times New Roman" w:eastAsia="宋体" w:cs="Times New Roman"/>
                      <w:bCs/>
                      <w:snapToGrid w:val="0"/>
                      <w:color w:val="000000" w:themeColor="text1"/>
                      <w:kern w:val="0"/>
                      <w:sz w:val="21"/>
                      <w:szCs w:val="21"/>
                      <w:vertAlign w:val="subscript"/>
                      <w:lang w:val="en-US" w:eastAsia="zh-CN"/>
                    </w:rPr>
                    <w:t>2</w:t>
                  </w:r>
                </w:p>
              </w:tc>
              <w:tc>
                <w:tcPr>
                  <w:tcW w:w="502" w:type="pct"/>
                  <w:noWrap w:val="0"/>
                  <w:vAlign w:val="center"/>
                </w:tcPr>
                <w:p w14:paraId="5D49B7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NO</w:t>
                  </w:r>
                  <w:r>
                    <w:rPr>
                      <w:rFonts w:hint="default" w:ascii="Times New Roman" w:hAnsi="Times New Roman" w:eastAsia="宋体" w:cs="Times New Roman"/>
                      <w:color w:val="000000" w:themeColor="text1"/>
                      <w:sz w:val="21"/>
                      <w:szCs w:val="21"/>
                      <w:vertAlign w:val="subscript"/>
                      <w:lang w:val="en-US" w:eastAsia="zh-CN"/>
                    </w:rPr>
                    <w:t>X</w:t>
                  </w:r>
                </w:p>
              </w:tc>
              <w:tc>
                <w:tcPr>
                  <w:tcW w:w="939" w:type="pct"/>
                  <w:noWrap w:val="0"/>
                  <w:vAlign w:val="center"/>
                </w:tcPr>
                <w:p w14:paraId="16C4DF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r>
                    <w:rPr>
                      <w:rFonts w:hint="default" w:ascii="Times New Roman" w:hAnsi="Times New Roman" w:eastAsia="宋体" w:cs="Times New Roman"/>
                      <w:bCs/>
                      <w:snapToGrid w:val="0"/>
                      <w:color w:val="000000" w:themeColor="text1"/>
                      <w:kern w:val="0"/>
                      <w:sz w:val="21"/>
                      <w:szCs w:val="21"/>
                    </w:rPr>
                    <w:t>油烟</w:t>
                  </w:r>
                </w:p>
              </w:tc>
            </w:tr>
            <w:tr w14:paraId="1C70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pct"/>
                  <w:gridSpan w:val="2"/>
                  <w:noWrap w:val="0"/>
                  <w:vAlign w:val="center"/>
                </w:tcPr>
                <w:p w14:paraId="3524A6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r>
                    <w:rPr>
                      <w:rFonts w:hint="default" w:ascii="Times New Roman" w:hAnsi="Times New Roman" w:eastAsia="宋体" w:cs="Times New Roman"/>
                      <w:bCs/>
                      <w:snapToGrid w:val="0"/>
                      <w:color w:val="000000" w:themeColor="text1"/>
                      <w:kern w:val="0"/>
                      <w:sz w:val="21"/>
                      <w:szCs w:val="21"/>
                    </w:rPr>
                    <w:t>产生量</w:t>
                  </w:r>
                  <w:r>
                    <w:rPr>
                      <w:rFonts w:hint="default" w:ascii="Times New Roman" w:hAnsi="Times New Roman" w:eastAsia="宋体" w:cs="Times New Roman"/>
                      <w:color w:val="000000" w:themeColor="text1"/>
                      <w:sz w:val="21"/>
                      <w:szCs w:val="21"/>
                    </w:rPr>
                    <w:t>t/a</w:t>
                  </w:r>
                </w:p>
              </w:tc>
              <w:tc>
                <w:tcPr>
                  <w:tcW w:w="935" w:type="pct"/>
                  <w:noWrap w:val="0"/>
                  <w:vAlign w:val="center"/>
                </w:tcPr>
                <w:p w14:paraId="024150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0.015</w:t>
                  </w:r>
                </w:p>
              </w:tc>
              <w:tc>
                <w:tcPr>
                  <w:tcW w:w="1020" w:type="pct"/>
                  <w:noWrap w:val="0"/>
                  <w:vAlign w:val="center"/>
                </w:tcPr>
                <w:p w14:paraId="0DDE45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B050"/>
                      <w:kern w:val="0"/>
                      <w:sz w:val="21"/>
                      <w:szCs w:val="21"/>
                      <w:lang w:val="en-US" w:eastAsia="zh-CN"/>
                    </w:rPr>
                  </w:pPr>
                  <w:r>
                    <w:rPr>
                      <w:rFonts w:hint="default" w:ascii="Times New Roman" w:hAnsi="Times New Roman" w:eastAsia="宋体" w:cs="Times New Roman"/>
                      <w:bCs/>
                      <w:snapToGrid w:val="0"/>
                      <w:color w:val="00B050"/>
                      <w:kern w:val="0"/>
                      <w:sz w:val="21"/>
                      <w:szCs w:val="21"/>
                      <w:lang w:val="en-US" w:eastAsia="zh-CN"/>
                    </w:rPr>
                    <w:t>270.7</w:t>
                  </w:r>
                </w:p>
              </w:tc>
              <w:tc>
                <w:tcPr>
                  <w:tcW w:w="532" w:type="pct"/>
                  <w:noWrap w:val="0"/>
                  <w:vAlign w:val="center"/>
                </w:tcPr>
                <w:p w14:paraId="743B83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B050"/>
                      <w:kern w:val="0"/>
                      <w:sz w:val="21"/>
                      <w:szCs w:val="21"/>
                      <w:lang w:val="en-US" w:eastAsia="zh-CN"/>
                    </w:rPr>
                  </w:pPr>
                  <w:r>
                    <w:rPr>
                      <w:rFonts w:hint="eastAsia" w:cs="Times New Roman"/>
                      <w:bCs/>
                      <w:snapToGrid w:val="0"/>
                      <w:color w:val="00B050"/>
                      <w:kern w:val="0"/>
                      <w:sz w:val="21"/>
                      <w:szCs w:val="21"/>
                      <w:lang w:val="en-US" w:eastAsia="zh-CN"/>
                    </w:rPr>
                    <w:t>2.45</w:t>
                  </w:r>
                </w:p>
              </w:tc>
              <w:tc>
                <w:tcPr>
                  <w:tcW w:w="502" w:type="pct"/>
                  <w:noWrap w:val="0"/>
                  <w:vAlign w:val="center"/>
                </w:tcPr>
                <w:p w14:paraId="477BF2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B050"/>
                      <w:kern w:val="0"/>
                      <w:sz w:val="21"/>
                      <w:szCs w:val="21"/>
                      <w:lang w:val="en-US" w:eastAsia="zh-CN"/>
                    </w:rPr>
                  </w:pPr>
                  <w:r>
                    <w:rPr>
                      <w:rFonts w:hint="default" w:ascii="Times New Roman" w:hAnsi="Times New Roman" w:eastAsia="宋体" w:cs="Times New Roman"/>
                      <w:bCs/>
                      <w:snapToGrid w:val="0"/>
                      <w:color w:val="00B050"/>
                      <w:kern w:val="0"/>
                      <w:sz w:val="21"/>
                      <w:szCs w:val="21"/>
                      <w:lang w:val="en-US" w:eastAsia="zh-CN"/>
                    </w:rPr>
                    <w:t>7.34</w:t>
                  </w:r>
                </w:p>
              </w:tc>
              <w:tc>
                <w:tcPr>
                  <w:tcW w:w="939" w:type="pct"/>
                  <w:noWrap w:val="0"/>
                  <w:vAlign w:val="center"/>
                </w:tcPr>
                <w:p w14:paraId="305A02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2.55kg/a</w:t>
                  </w:r>
                </w:p>
              </w:tc>
            </w:tr>
            <w:tr w14:paraId="59FE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pct"/>
                  <w:gridSpan w:val="2"/>
                  <w:noWrap w:val="0"/>
                  <w:vAlign w:val="center"/>
                </w:tcPr>
                <w:p w14:paraId="10C5D8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r>
                    <w:rPr>
                      <w:rFonts w:hint="default" w:ascii="Times New Roman" w:hAnsi="Times New Roman" w:eastAsia="宋体" w:cs="Times New Roman"/>
                      <w:bCs/>
                      <w:snapToGrid w:val="0"/>
                      <w:color w:val="000000" w:themeColor="text1"/>
                      <w:kern w:val="0"/>
                      <w:sz w:val="21"/>
                      <w:szCs w:val="21"/>
                    </w:rPr>
                    <w:t>排放形式</w:t>
                  </w:r>
                </w:p>
              </w:tc>
              <w:tc>
                <w:tcPr>
                  <w:tcW w:w="935" w:type="pct"/>
                  <w:noWrap w:val="0"/>
                  <w:vAlign w:val="center"/>
                </w:tcPr>
                <w:p w14:paraId="149B77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无组织</w:t>
                  </w:r>
                </w:p>
              </w:tc>
              <w:tc>
                <w:tcPr>
                  <w:tcW w:w="2056" w:type="pct"/>
                  <w:gridSpan w:val="3"/>
                  <w:noWrap w:val="0"/>
                  <w:vAlign w:val="center"/>
                </w:tcPr>
                <w:p w14:paraId="4C4DA9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有组织</w:t>
                  </w:r>
                </w:p>
              </w:tc>
              <w:tc>
                <w:tcPr>
                  <w:tcW w:w="939" w:type="pct"/>
                  <w:noWrap w:val="0"/>
                  <w:vAlign w:val="center"/>
                </w:tcPr>
                <w:p w14:paraId="300FCC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无组织</w:t>
                  </w:r>
                </w:p>
              </w:tc>
            </w:tr>
            <w:tr w14:paraId="5B096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Merge w:val="restart"/>
                  <w:noWrap w:val="0"/>
                  <w:vAlign w:val="center"/>
                </w:tcPr>
                <w:p w14:paraId="659769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r>
                    <w:rPr>
                      <w:rFonts w:hint="default" w:ascii="Times New Roman" w:hAnsi="Times New Roman" w:eastAsia="宋体" w:cs="Times New Roman"/>
                      <w:bCs/>
                      <w:snapToGrid w:val="0"/>
                      <w:color w:val="000000" w:themeColor="text1"/>
                      <w:kern w:val="0"/>
                      <w:sz w:val="21"/>
                      <w:szCs w:val="21"/>
                    </w:rPr>
                    <w:t>处理设施</w:t>
                  </w:r>
                </w:p>
              </w:tc>
              <w:tc>
                <w:tcPr>
                  <w:tcW w:w="788" w:type="pct"/>
                  <w:noWrap w:val="0"/>
                  <w:vAlign w:val="center"/>
                </w:tcPr>
                <w:p w14:paraId="0DC15E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r>
                    <w:rPr>
                      <w:rFonts w:hint="default" w:ascii="Times New Roman" w:hAnsi="Times New Roman" w:eastAsia="宋体" w:cs="Times New Roman"/>
                      <w:bCs/>
                      <w:snapToGrid w:val="0"/>
                      <w:color w:val="000000" w:themeColor="text1"/>
                      <w:spacing w:val="-10"/>
                      <w:kern w:val="0"/>
                      <w:sz w:val="21"/>
                      <w:szCs w:val="21"/>
                    </w:rPr>
                    <w:t>治理工艺</w:t>
                  </w:r>
                </w:p>
              </w:tc>
              <w:tc>
                <w:tcPr>
                  <w:tcW w:w="935" w:type="pct"/>
                  <w:noWrap w:val="0"/>
                  <w:vAlign w:val="center"/>
                </w:tcPr>
                <w:p w14:paraId="4F511D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r>
                    <w:rPr>
                      <w:rFonts w:hint="default" w:ascii="Times New Roman" w:hAnsi="Times New Roman" w:eastAsia="宋体" w:cs="Times New Roman"/>
                      <w:bCs/>
                      <w:snapToGrid w:val="0"/>
                      <w:color w:val="000000" w:themeColor="text1"/>
                      <w:kern w:val="0"/>
                      <w:sz w:val="21"/>
                      <w:szCs w:val="21"/>
                    </w:rPr>
                    <w:t>封闭式厂房</w:t>
                  </w:r>
                </w:p>
              </w:tc>
              <w:tc>
                <w:tcPr>
                  <w:tcW w:w="1020" w:type="pct"/>
                  <w:noWrap w:val="0"/>
                  <w:vAlign w:val="center"/>
                </w:tcPr>
                <w:p w14:paraId="55263B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eastAsia" w:ascii="Times New Roman" w:hAnsi="Times New Roman" w:eastAsia="宋体" w:cs="Times New Roman"/>
                      <w:bCs/>
                      <w:snapToGrid w:val="0"/>
                      <w:color w:val="00B050"/>
                      <w:kern w:val="0"/>
                      <w:sz w:val="21"/>
                      <w:szCs w:val="21"/>
                      <w:lang w:val="en-US" w:eastAsia="zh-CN"/>
                    </w:rPr>
                    <w:t>重力沉降+布袋除尘+水膜除尘</w:t>
                  </w:r>
                </w:p>
              </w:tc>
              <w:tc>
                <w:tcPr>
                  <w:tcW w:w="532" w:type="pct"/>
                  <w:noWrap w:val="0"/>
                  <w:vAlign w:val="center"/>
                </w:tcPr>
                <w:p w14:paraId="2336C3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w:t>
                  </w:r>
                </w:p>
              </w:tc>
              <w:tc>
                <w:tcPr>
                  <w:tcW w:w="502" w:type="pct"/>
                  <w:noWrap w:val="0"/>
                  <w:vAlign w:val="center"/>
                </w:tcPr>
                <w:p w14:paraId="0A383C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w:t>
                  </w:r>
                </w:p>
              </w:tc>
              <w:tc>
                <w:tcPr>
                  <w:tcW w:w="939" w:type="pct"/>
                  <w:noWrap w:val="0"/>
                  <w:vAlign w:val="center"/>
                </w:tcPr>
                <w:p w14:paraId="79B3BD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r>
                    <w:rPr>
                      <w:rFonts w:hint="default" w:ascii="Times New Roman" w:hAnsi="Times New Roman" w:eastAsia="宋体" w:cs="Times New Roman"/>
                      <w:bCs/>
                      <w:snapToGrid w:val="0"/>
                      <w:color w:val="000000" w:themeColor="text1"/>
                      <w:kern w:val="0"/>
                      <w:sz w:val="21"/>
                      <w:szCs w:val="21"/>
                    </w:rPr>
                    <w:t>油烟机</w:t>
                  </w:r>
                </w:p>
              </w:tc>
            </w:tr>
            <w:tr w14:paraId="265C0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Merge w:val="continue"/>
                  <w:noWrap w:val="0"/>
                  <w:vAlign w:val="center"/>
                </w:tcPr>
                <w:p w14:paraId="38EFB5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p>
              </w:tc>
              <w:tc>
                <w:tcPr>
                  <w:tcW w:w="788" w:type="pct"/>
                  <w:noWrap w:val="0"/>
                  <w:vAlign w:val="center"/>
                </w:tcPr>
                <w:p w14:paraId="23E474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spacing w:val="-10"/>
                      <w:kern w:val="0"/>
                      <w:sz w:val="21"/>
                      <w:szCs w:val="21"/>
                    </w:rPr>
                  </w:pPr>
                  <w:r>
                    <w:rPr>
                      <w:rFonts w:hint="default" w:ascii="Times New Roman" w:hAnsi="Times New Roman" w:eastAsia="宋体" w:cs="Times New Roman"/>
                      <w:bCs/>
                      <w:snapToGrid w:val="0"/>
                      <w:color w:val="000000" w:themeColor="text1"/>
                      <w:spacing w:val="-10"/>
                      <w:kern w:val="0"/>
                      <w:sz w:val="21"/>
                      <w:szCs w:val="21"/>
                    </w:rPr>
                    <w:t>工作时间</w:t>
                  </w:r>
                </w:p>
              </w:tc>
              <w:tc>
                <w:tcPr>
                  <w:tcW w:w="935" w:type="pct"/>
                  <w:noWrap w:val="0"/>
                  <w:vAlign w:val="center"/>
                </w:tcPr>
                <w:p w14:paraId="423FB7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7200</w:t>
                  </w:r>
                </w:p>
              </w:tc>
              <w:tc>
                <w:tcPr>
                  <w:tcW w:w="2056" w:type="pct"/>
                  <w:gridSpan w:val="3"/>
                  <w:noWrap w:val="0"/>
                  <w:vAlign w:val="center"/>
                </w:tcPr>
                <w:p w14:paraId="0E46AF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7200</w:t>
                  </w:r>
                </w:p>
              </w:tc>
              <w:tc>
                <w:tcPr>
                  <w:tcW w:w="939" w:type="pct"/>
                  <w:noWrap w:val="0"/>
                  <w:vAlign w:val="center"/>
                </w:tcPr>
                <w:p w14:paraId="42F256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900</w:t>
                  </w:r>
                </w:p>
              </w:tc>
            </w:tr>
            <w:tr w14:paraId="06FCE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Merge w:val="continue"/>
                  <w:noWrap w:val="0"/>
                  <w:vAlign w:val="center"/>
                </w:tcPr>
                <w:p w14:paraId="648278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p>
              </w:tc>
              <w:tc>
                <w:tcPr>
                  <w:tcW w:w="788" w:type="pct"/>
                  <w:noWrap w:val="0"/>
                  <w:vAlign w:val="center"/>
                </w:tcPr>
                <w:p w14:paraId="3CFF0C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spacing w:val="-10"/>
                      <w:kern w:val="0"/>
                      <w:sz w:val="21"/>
                      <w:szCs w:val="21"/>
                    </w:rPr>
                  </w:pPr>
                  <w:r>
                    <w:rPr>
                      <w:rFonts w:hint="default" w:ascii="Times New Roman" w:hAnsi="Times New Roman" w:eastAsia="宋体" w:cs="Times New Roman"/>
                      <w:bCs/>
                      <w:snapToGrid w:val="0"/>
                      <w:color w:val="000000" w:themeColor="text1"/>
                      <w:spacing w:val="-10"/>
                      <w:kern w:val="0"/>
                      <w:sz w:val="21"/>
                      <w:szCs w:val="21"/>
                    </w:rPr>
                    <w:t>风量m</w:t>
                  </w:r>
                  <w:r>
                    <w:rPr>
                      <w:rFonts w:hint="default" w:ascii="Times New Roman" w:hAnsi="Times New Roman" w:eastAsia="宋体" w:cs="Times New Roman"/>
                      <w:bCs/>
                      <w:snapToGrid w:val="0"/>
                      <w:color w:val="000000" w:themeColor="text1"/>
                      <w:spacing w:val="-10"/>
                      <w:kern w:val="0"/>
                      <w:sz w:val="21"/>
                      <w:szCs w:val="21"/>
                      <w:vertAlign w:val="superscript"/>
                    </w:rPr>
                    <w:t>3</w:t>
                  </w:r>
                  <w:r>
                    <w:rPr>
                      <w:rFonts w:hint="default" w:ascii="Times New Roman" w:hAnsi="Times New Roman" w:eastAsia="宋体" w:cs="Times New Roman"/>
                      <w:bCs/>
                      <w:snapToGrid w:val="0"/>
                      <w:color w:val="000000" w:themeColor="text1"/>
                      <w:spacing w:val="-10"/>
                      <w:kern w:val="0"/>
                      <w:sz w:val="21"/>
                      <w:szCs w:val="21"/>
                    </w:rPr>
                    <w:t>/h</w:t>
                  </w:r>
                </w:p>
              </w:tc>
              <w:tc>
                <w:tcPr>
                  <w:tcW w:w="935" w:type="pct"/>
                  <w:noWrap w:val="0"/>
                  <w:vAlign w:val="center"/>
                </w:tcPr>
                <w:p w14:paraId="53C1EE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w:t>
                  </w:r>
                </w:p>
              </w:tc>
              <w:tc>
                <w:tcPr>
                  <w:tcW w:w="2056" w:type="pct"/>
                  <w:gridSpan w:val="3"/>
                  <w:noWrap w:val="0"/>
                  <w:vAlign w:val="center"/>
                </w:tcPr>
                <w:p w14:paraId="6751CE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eastAsia" w:cs="Times New Roman"/>
                      <w:bCs/>
                      <w:snapToGrid w:val="0"/>
                      <w:color w:val="000000" w:themeColor="text1"/>
                      <w:kern w:val="0"/>
                      <w:sz w:val="21"/>
                      <w:szCs w:val="21"/>
                      <w:lang w:val="en-US" w:eastAsia="zh-CN"/>
                    </w:rPr>
                    <w:t>5</w:t>
                  </w:r>
                  <w:r>
                    <w:rPr>
                      <w:rFonts w:hint="default" w:ascii="Times New Roman" w:hAnsi="Times New Roman" w:eastAsia="宋体" w:cs="Times New Roman"/>
                      <w:bCs/>
                      <w:snapToGrid w:val="0"/>
                      <w:color w:val="000000" w:themeColor="text1"/>
                      <w:kern w:val="0"/>
                      <w:sz w:val="21"/>
                      <w:szCs w:val="21"/>
                      <w:lang w:val="en-US" w:eastAsia="zh-CN"/>
                    </w:rPr>
                    <w:t>000</w:t>
                  </w:r>
                </w:p>
              </w:tc>
              <w:tc>
                <w:tcPr>
                  <w:tcW w:w="939" w:type="pct"/>
                  <w:noWrap w:val="0"/>
                  <w:vAlign w:val="center"/>
                </w:tcPr>
                <w:p w14:paraId="5DCF2E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2000</w:t>
                  </w:r>
                </w:p>
              </w:tc>
            </w:tr>
            <w:tr w14:paraId="2E8B8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Merge w:val="continue"/>
                  <w:noWrap w:val="0"/>
                  <w:vAlign w:val="center"/>
                </w:tcPr>
                <w:p w14:paraId="12E950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p>
              </w:tc>
              <w:tc>
                <w:tcPr>
                  <w:tcW w:w="788" w:type="pct"/>
                  <w:noWrap w:val="0"/>
                  <w:vAlign w:val="center"/>
                </w:tcPr>
                <w:p w14:paraId="236B59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bidi="ar-SA"/>
                    </w:rPr>
                  </w:pPr>
                  <w:r>
                    <w:rPr>
                      <w:rFonts w:hint="default" w:ascii="Times New Roman" w:hAnsi="Times New Roman" w:eastAsia="宋体" w:cs="Times New Roman"/>
                      <w:bCs/>
                      <w:snapToGrid w:val="0"/>
                      <w:color w:val="000000" w:themeColor="text1"/>
                      <w:spacing w:val="-10"/>
                      <w:kern w:val="0"/>
                      <w:sz w:val="21"/>
                      <w:szCs w:val="21"/>
                    </w:rPr>
                    <w:t>速率（kg/h）</w:t>
                  </w:r>
                </w:p>
              </w:tc>
              <w:tc>
                <w:tcPr>
                  <w:tcW w:w="935" w:type="pct"/>
                  <w:noWrap w:val="0"/>
                  <w:vAlign w:val="center"/>
                </w:tcPr>
                <w:p w14:paraId="33F80F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0.002</w:t>
                  </w:r>
                </w:p>
              </w:tc>
              <w:tc>
                <w:tcPr>
                  <w:tcW w:w="1020" w:type="pct"/>
                  <w:noWrap w:val="0"/>
                  <w:vAlign w:val="center"/>
                </w:tcPr>
                <w:p w14:paraId="04C4B8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B050"/>
                      <w:kern w:val="0"/>
                      <w:sz w:val="21"/>
                      <w:szCs w:val="21"/>
                      <w:lang w:val="en-US" w:eastAsia="zh-CN"/>
                    </w:rPr>
                  </w:pPr>
                  <w:r>
                    <w:rPr>
                      <w:rFonts w:hint="default" w:ascii="Times New Roman" w:hAnsi="Times New Roman" w:eastAsia="宋体" w:cs="Times New Roman"/>
                      <w:bCs/>
                      <w:snapToGrid w:val="0"/>
                      <w:color w:val="00B050"/>
                      <w:kern w:val="0"/>
                      <w:sz w:val="21"/>
                      <w:szCs w:val="21"/>
                      <w:lang w:val="en-US" w:eastAsia="zh-CN"/>
                    </w:rPr>
                    <w:t>37.6</w:t>
                  </w:r>
                </w:p>
              </w:tc>
              <w:tc>
                <w:tcPr>
                  <w:tcW w:w="532" w:type="pct"/>
                  <w:noWrap w:val="0"/>
                  <w:vAlign w:val="center"/>
                </w:tcPr>
                <w:p w14:paraId="4B3E99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B050"/>
                      <w:kern w:val="0"/>
                      <w:sz w:val="21"/>
                      <w:szCs w:val="21"/>
                      <w:lang w:val="en-US" w:eastAsia="zh-CN"/>
                    </w:rPr>
                  </w:pPr>
                  <w:r>
                    <w:rPr>
                      <w:rFonts w:hint="eastAsia" w:cs="Times New Roman"/>
                      <w:bCs/>
                      <w:snapToGrid w:val="0"/>
                      <w:color w:val="00B050"/>
                      <w:kern w:val="0"/>
                      <w:sz w:val="21"/>
                      <w:szCs w:val="21"/>
                      <w:lang w:val="en-US" w:eastAsia="zh-CN"/>
                    </w:rPr>
                    <w:t>0.34</w:t>
                  </w:r>
                </w:p>
              </w:tc>
              <w:tc>
                <w:tcPr>
                  <w:tcW w:w="502" w:type="pct"/>
                  <w:noWrap w:val="0"/>
                  <w:vAlign w:val="center"/>
                </w:tcPr>
                <w:p w14:paraId="675D30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B050"/>
                      <w:kern w:val="0"/>
                      <w:sz w:val="21"/>
                      <w:szCs w:val="21"/>
                      <w:lang w:val="en-US" w:eastAsia="zh-CN"/>
                    </w:rPr>
                  </w:pPr>
                  <w:r>
                    <w:rPr>
                      <w:rFonts w:hint="default" w:ascii="Times New Roman" w:hAnsi="Times New Roman" w:eastAsia="宋体" w:cs="Times New Roman"/>
                      <w:bCs/>
                      <w:snapToGrid w:val="0"/>
                      <w:color w:val="00B050"/>
                      <w:kern w:val="0"/>
                      <w:sz w:val="21"/>
                      <w:szCs w:val="21"/>
                      <w:lang w:val="en-US" w:eastAsia="zh-CN"/>
                    </w:rPr>
                    <w:t>1.02</w:t>
                  </w:r>
                </w:p>
              </w:tc>
              <w:tc>
                <w:tcPr>
                  <w:tcW w:w="939" w:type="pct"/>
                  <w:noWrap w:val="0"/>
                  <w:vAlign w:val="center"/>
                </w:tcPr>
                <w:p w14:paraId="03735B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8.5g/d</w:t>
                  </w:r>
                </w:p>
              </w:tc>
            </w:tr>
            <w:tr w14:paraId="6DB74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Merge w:val="continue"/>
                  <w:noWrap w:val="0"/>
                  <w:vAlign w:val="center"/>
                </w:tcPr>
                <w:p w14:paraId="2AA98D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p>
              </w:tc>
              <w:tc>
                <w:tcPr>
                  <w:tcW w:w="788" w:type="pct"/>
                  <w:noWrap w:val="0"/>
                  <w:vAlign w:val="center"/>
                </w:tcPr>
                <w:p w14:paraId="65EF32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bidi="ar-SA"/>
                    </w:rPr>
                  </w:pPr>
                  <w:r>
                    <w:rPr>
                      <w:rFonts w:hint="default" w:ascii="Times New Roman" w:hAnsi="Times New Roman" w:eastAsia="宋体" w:cs="Times New Roman"/>
                      <w:bCs/>
                      <w:snapToGrid w:val="0"/>
                      <w:color w:val="000000" w:themeColor="text1"/>
                      <w:spacing w:val="-10"/>
                      <w:kern w:val="0"/>
                      <w:sz w:val="21"/>
                      <w:szCs w:val="21"/>
                    </w:rPr>
                    <w:t>进口浓度</w:t>
                  </w:r>
                  <w:r>
                    <w:rPr>
                      <w:rFonts w:hint="default" w:ascii="Times New Roman" w:hAnsi="Times New Roman" w:eastAsia="宋体" w:cs="Times New Roman"/>
                      <w:snapToGrid w:val="0"/>
                      <w:color w:val="000000" w:themeColor="text1"/>
                      <w:spacing w:val="-10"/>
                      <w:kern w:val="0"/>
                      <w:sz w:val="21"/>
                      <w:szCs w:val="21"/>
                    </w:rPr>
                    <w:t>(mg/m</w:t>
                  </w:r>
                  <w:r>
                    <w:rPr>
                      <w:rFonts w:hint="default" w:ascii="Times New Roman" w:hAnsi="Times New Roman" w:eastAsia="宋体" w:cs="Times New Roman"/>
                      <w:snapToGrid w:val="0"/>
                      <w:color w:val="000000" w:themeColor="text1"/>
                      <w:spacing w:val="-10"/>
                      <w:kern w:val="0"/>
                      <w:sz w:val="21"/>
                      <w:szCs w:val="21"/>
                      <w:vertAlign w:val="superscript"/>
                    </w:rPr>
                    <w:t>3</w:t>
                  </w:r>
                  <w:r>
                    <w:rPr>
                      <w:rFonts w:hint="default" w:ascii="Times New Roman" w:hAnsi="Times New Roman" w:eastAsia="宋体" w:cs="Times New Roman"/>
                      <w:snapToGrid w:val="0"/>
                      <w:color w:val="000000" w:themeColor="text1"/>
                      <w:spacing w:val="-10"/>
                      <w:kern w:val="0"/>
                      <w:sz w:val="21"/>
                      <w:szCs w:val="21"/>
                    </w:rPr>
                    <w:t>)</w:t>
                  </w:r>
                </w:p>
              </w:tc>
              <w:tc>
                <w:tcPr>
                  <w:tcW w:w="935" w:type="pct"/>
                  <w:noWrap w:val="0"/>
                  <w:vAlign w:val="center"/>
                </w:tcPr>
                <w:p w14:paraId="06FC70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w:t>
                  </w:r>
                </w:p>
              </w:tc>
              <w:tc>
                <w:tcPr>
                  <w:tcW w:w="1020" w:type="pct"/>
                  <w:noWrap w:val="0"/>
                  <w:vAlign w:val="center"/>
                </w:tcPr>
                <w:p w14:paraId="5ABABB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eastAsia" w:cs="Times New Roman"/>
                      <w:bCs/>
                      <w:snapToGrid w:val="0"/>
                      <w:color w:val="00B050"/>
                      <w:kern w:val="0"/>
                      <w:sz w:val="21"/>
                      <w:szCs w:val="21"/>
                      <w:lang w:val="en-US" w:eastAsia="zh-CN"/>
                    </w:rPr>
                    <w:t>7520</w:t>
                  </w:r>
                </w:p>
              </w:tc>
              <w:tc>
                <w:tcPr>
                  <w:tcW w:w="532" w:type="pct"/>
                  <w:noWrap w:val="0"/>
                  <w:vAlign w:val="center"/>
                </w:tcPr>
                <w:p w14:paraId="6206AE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B050"/>
                      <w:kern w:val="0"/>
                      <w:sz w:val="21"/>
                      <w:szCs w:val="21"/>
                      <w:lang w:val="en-US" w:eastAsia="zh-CN"/>
                    </w:rPr>
                  </w:pPr>
                  <w:r>
                    <w:rPr>
                      <w:rFonts w:hint="eastAsia" w:cs="Times New Roman"/>
                      <w:bCs/>
                      <w:snapToGrid w:val="0"/>
                      <w:color w:val="00B050"/>
                      <w:kern w:val="0"/>
                      <w:sz w:val="21"/>
                      <w:szCs w:val="21"/>
                      <w:lang w:val="en-US" w:eastAsia="zh-CN"/>
                    </w:rPr>
                    <w:t>68</w:t>
                  </w:r>
                </w:p>
              </w:tc>
              <w:tc>
                <w:tcPr>
                  <w:tcW w:w="502" w:type="pct"/>
                  <w:noWrap w:val="0"/>
                  <w:vAlign w:val="center"/>
                </w:tcPr>
                <w:p w14:paraId="3973E8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B050"/>
                      <w:kern w:val="0"/>
                      <w:sz w:val="21"/>
                      <w:szCs w:val="21"/>
                      <w:lang w:val="en-US" w:eastAsia="zh-CN"/>
                    </w:rPr>
                  </w:pPr>
                  <w:r>
                    <w:rPr>
                      <w:rFonts w:hint="default" w:ascii="Times New Roman" w:hAnsi="Times New Roman" w:eastAsia="宋体" w:cs="Times New Roman"/>
                      <w:bCs/>
                      <w:snapToGrid w:val="0"/>
                      <w:color w:val="00B050"/>
                      <w:kern w:val="0"/>
                      <w:sz w:val="21"/>
                      <w:szCs w:val="21"/>
                      <w:lang w:val="en-US" w:eastAsia="zh-CN"/>
                    </w:rPr>
                    <w:t>2</w:t>
                  </w:r>
                  <w:r>
                    <w:rPr>
                      <w:rFonts w:hint="eastAsia" w:cs="Times New Roman"/>
                      <w:bCs/>
                      <w:snapToGrid w:val="0"/>
                      <w:color w:val="00B050"/>
                      <w:kern w:val="0"/>
                      <w:sz w:val="21"/>
                      <w:szCs w:val="21"/>
                      <w:lang w:val="en-US" w:eastAsia="zh-CN"/>
                    </w:rPr>
                    <w:t>04</w:t>
                  </w:r>
                </w:p>
              </w:tc>
              <w:tc>
                <w:tcPr>
                  <w:tcW w:w="939" w:type="pct"/>
                  <w:noWrap w:val="0"/>
                  <w:vAlign w:val="center"/>
                </w:tcPr>
                <w:p w14:paraId="199D13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1.42</w:t>
                  </w:r>
                </w:p>
              </w:tc>
            </w:tr>
            <w:tr w14:paraId="2ED2D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Merge w:val="continue"/>
                  <w:noWrap w:val="0"/>
                  <w:vAlign w:val="center"/>
                </w:tcPr>
                <w:p w14:paraId="5DFEA5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p>
              </w:tc>
              <w:tc>
                <w:tcPr>
                  <w:tcW w:w="788" w:type="pct"/>
                  <w:noWrap w:val="0"/>
                  <w:vAlign w:val="center"/>
                </w:tcPr>
                <w:p w14:paraId="07A1AC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bidi="ar-SA"/>
                    </w:rPr>
                  </w:pPr>
                  <w:r>
                    <w:rPr>
                      <w:rFonts w:hint="default" w:ascii="Times New Roman" w:hAnsi="Times New Roman" w:eastAsia="宋体" w:cs="Times New Roman"/>
                      <w:bCs/>
                      <w:snapToGrid w:val="0"/>
                      <w:color w:val="000000" w:themeColor="text1"/>
                      <w:spacing w:val="-10"/>
                      <w:kern w:val="0"/>
                      <w:sz w:val="21"/>
                      <w:szCs w:val="21"/>
                    </w:rPr>
                    <w:t>去除率%</w:t>
                  </w:r>
                </w:p>
              </w:tc>
              <w:tc>
                <w:tcPr>
                  <w:tcW w:w="935" w:type="pct"/>
                  <w:noWrap w:val="0"/>
                  <w:vAlign w:val="center"/>
                </w:tcPr>
                <w:p w14:paraId="6BE078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w:t>
                  </w:r>
                </w:p>
              </w:tc>
              <w:tc>
                <w:tcPr>
                  <w:tcW w:w="1020" w:type="pct"/>
                  <w:noWrap w:val="0"/>
                  <w:vAlign w:val="center"/>
                </w:tcPr>
                <w:p w14:paraId="4545F9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B050"/>
                      <w:kern w:val="0"/>
                      <w:sz w:val="21"/>
                      <w:szCs w:val="21"/>
                      <w:lang w:val="en-US" w:eastAsia="zh-CN"/>
                    </w:rPr>
                    <w:t>99</w:t>
                  </w:r>
                  <w:r>
                    <w:rPr>
                      <w:rFonts w:hint="eastAsia" w:cs="Times New Roman"/>
                      <w:bCs/>
                      <w:snapToGrid w:val="0"/>
                      <w:color w:val="00B050"/>
                      <w:kern w:val="0"/>
                      <w:sz w:val="21"/>
                      <w:szCs w:val="21"/>
                      <w:lang w:val="en-US" w:eastAsia="zh-CN"/>
                    </w:rPr>
                    <w:t>.95</w:t>
                  </w:r>
                </w:p>
              </w:tc>
              <w:tc>
                <w:tcPr>
                  <w:tcW w:w="532" w:type="pct"/>
                  <w:noWrap w:val="0"/>
                  <w:vAlign w:val="center"/>
                </w:tcPr>
                <w:p w14:paraId="718F6D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w:t>
                  </w:r>
                </w:p>
              </w:tc>
              <w:tc>
                <w:tcPr>
                  <w:tcW w:w="502" w:type="pct"/>
                  <w:noWrap w:val="0"/>
                  <w:vAlign w:val="center"/>
                </w:tcPr>
                <w:p w14:paraId="2F7C7A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w:t>
                  </w:r>
                </w:p>
              </w:tc>
              <w:tc>
                <w:tcPr>
                  <w:tcW w:w="939" w:type="pct"/>
                  <w:noWrap w:val="0"/>
                  <w:vAlign w:val="center"/>
                </w:tcPr>
                <w:p w14:paraId="39CD76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w:t>
                  </w:r>
                </w:p>
              </w:tc>
            </w:tr>
            <w:tr w14:paraId="1EDF1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Merge w:val="continue"/>
                  <w:noWrap w:val="0"/>
                  <w:vAlign w:val="center"/>
                </w:tcPr>
                <w:p w14:paraId="5C15AE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p>
              </w:tc>
              <w:tc>
                <w:tcPr>
                  <w:tcW w:w="788" w:type="pct"/>
                  <w:noWrap w:val="0"/>
                  <w:vAlign w:val="center"/>
                </w:tcPr>
                <w:p w14:paraId="2A9968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spacing w:val="-10"/>
                      <w:kern w:val="0"/>
                      <w:sz w:val="21"/>
                      <w:szCs w:val="21"/>
                    </w:rPr>
                  </w:pPr>
                  <w:r>
                    <w:rPr>
                      <w:rFonts w:hint="default" w:ascii="Times New Roman" w:hAnsi="Times New Roman" w:eastAsia="宋体" w:cs="Times New Roman"/>
                      <w:bCs/>
                      <w:snapToGrid w:val="0"/>
                      <w:color w:val="000000" w:themeColor="text1"/>
                      <w:spacing w:val="-10"/>
                      <w:kern w:val="0"/>
                      <w:sz w:val="21"/>
                      <w:szCs w:val="21"/>
                    </w:rPr>
                    <w:t>是否为</w:t>
                  </w:r>
                </w:p>
                <w:p w14:paraId="0EEEDB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spacing w:val="-10"/>
                      <w:kern w:val="0"/>
                      <w:sz w:val="21"/>
                      <w:szCs w:val="21"/>
                      <w:lang w:val="en-US" w:eastAsia="zh-CN" w:bidi="ar-SA"/>
                    </w:rPr>
                  </w:pPr>
                  <w:r>
                    <w:rPr>
                      <w:rFonts w:hint="default" w:ascii="Times New Roman" w:hAnsi="Times New Roman" w:eastAsia="宋体" w:cs="Times New Roman"/>
                      <w:bCs/>
                      <w:snapToGrid w:val="0"/>
                      <w:color w:val="000000" w:themeColor="text1"/>
                      <w:spacing w:val="-10"/>
                      <w:kern w:val="0"/>
                      <w:sz w:val="21"/>
                      <w:szCs w:val="21"/>
                    </w:rPr>
                    <w:t>可行技术</w:t>
                  </w:r>
                </w:p>
              </w:tc>
              <w:tc>
                <w:tcPr>
                  <w:tcW w:w="935" w:type="pct"/>
                  <w:noWrap w:val="0"/>
                  <w:vAlign w:val="center"/>
                </w:tcPr>
                <w:p w14:paraId="4460AA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w:t>
                  </w:r>
                </w:p>
              </w:tc>
              <w:tc>
                <w:tcPr>
                  <w:tcW w:w="1020" w:type="pct"/>
                  <w:noWrap w:val="0"/>
                  <w:vAlign w:val="center"/>
                </w:tcPr>
                <w:p w14:paraId="274150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是</w:t>
                  </w:r>
                </w:p>
              </w:tc>
              <w:tc>
                <w:tcPr>
                  <w:tcW w:w="532" w:type="pct"/>
                  <w:noWrap w:val="0"/>
                  <w:vAlign w:val="center"/>
                </w:tcPr>
                <w:p w14:paraId="1AB55C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w:t>
                  </w:r>
                </w:p>
              </w:tc>
              <w:tc>
                <w:tcPr>
                  <w:tcW w:w="502" w:type="pct"/>
                  <w:noWrap w:val="0"/>
                  <w:vAlign w:val="center"/>
                </w:tcPr>
                <w:p w14:paraId="09C818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w:t>
                  </w:r>
                </w:p>
              </w:tc>
              <w:tc>
                <w:tcPr>
                  <w:tcW w:w="939" w:type="pct"/>
                  <w:noWrap w:val="0"/>
                  <w:vAlign w:val="center"/>
                </w:tcPr>
                <w:p w14:paraId="1EAC39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w:t>
                  </w:r>
                </w:p>
              </w:tc>
            </w:tr>
            <w:tr w14:paraId="5FEE2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Merge w:val="continue"/>
                  <w:noWrap w:val="0"/>
                  <w:vAlign w:val="center"/>
                </w:tcPr>
                <w:p w14:paraId="12125A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p>
              </w:tc>
              <w:tc>
                <w:tcPr>
                  <w:tcW w:w="788" w:type="pct"/>
                  <w:noWrap w:val="0"/>
                  <w:vAlign w:val="center"/>
                </w:tcPr>
                <w:p w14:paraId="7361F6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spacing w:val="-10"/>
                      <w:kern w:val="0"/>
                      <w:sz w:val="21"/>
                      <w:szCs w:val="21"/>
                    </w:rPr>
                  </w:pPr>
                  <w:r>
                    <w:rPr>
                      <w:rFonts w:hint="default" w:ascii="Times New Roman" w:hAnsi="Times New Roman" w:eastAsia="宋体" w:cs="Times New Roman"/>
                      <w:bCs/>
                      <w:snapToGrid w:val="0"/>
                      <w:color w:val="000000" w:themeColor="text1"/>
                      <w:spacing w:val="-10"/>
                      <w:kern w:val="0"/>
                      <w:sz w:val="21"/>
                      <w:szCs w:val="21"/>
                    </w:rPr>
                    <w:t>管理要求</w:t>
                  </w:r>
                </w:p>
              </w:tc>
              <w:tc>
                <w:tcPr>
                  <w:tcW w:w="935" w:type="pct"/>
                  <w:noWrap w:val="0"/>
                  <w:vAlign w:val="center"/>
                </w:tcPr>
                <w:p w14:paraId="5AFCBA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w:t>
                  </w:r>
                </w:p>
              </w:tc>
              <w:tc>
                <w:tcPr>
                  <w:tcW w:w="1020" w:type="pct"/>
                  <w:noWrap w:val="0"/>
                  <w:vAlign w:val="center"/>
                </w:tcPr>
                <w:p w14:paraId="21194C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定期</w:t>
                  </w:r>
                  <w:r>
                    <w:rPr>
                      <w:rFonts w:hint="eastAsia" w:cs="Times New Roman"/>
                      <w:bCs/>
                      <w:snapToGrid w:val="0"/>
                      <w:color w:val="000000" w:themeColor="text1"/>
                      <w:kern w:val="0"/>
                      <w:sz w:val="21"/>
                      <w:szCs w:val="21"/>
                      <w:lang w:val="en-US" w:eastAsia="zh-CN"/>
                    </w:rPr>
                    <w:t>检查维护</w:t>
                  </w:r>
                </w:p>
              </w:tc>
              <w:tc>
                <w:tcPr>
                  <w:tcW w:w="532" w:type="pct"/>
                  <w:noWrap w:val="0"/>
                  <w:vAlign w:val="center"/>
                </w:tcPr>
                <w:p w14:paraId="6846CA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w:t>
                  </w:r>
                </w:p>
              </w:tc>
              <w:tc>
                <w:tcPr>
                  <w:tcW w:w="502" w:type="pct"/>
                  <w:noWrap w:val="0"/>
                  <w:vAlign w:val="center"/>
                </w:tcPr>
                <w:p w14:paraId="51AF3D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w:t>
                  </w:r>
                </w:p>
              </w:tc>
              <w:tc>
                <w:tcPr>
                  <w:tcW w:w="939" w:type="pct"/>
                  <w:noWrap w:val="0"/>
                  <w:vAlign w:val="center"/>
                </w:tcPr>
                <w:p w14:paraId="354147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w:t>
                  </w:r>
                </w:p>
              </w:tc>
            </w:tr>
            <w:tr w14:paraId="4F4F7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Merge w:val="restart"/>
                  <w:noWrap w:val="0"/>
                  <w:vAlign w:val="center"/>
                </w:tcPr>
                <w:p w14:paraId="2F4F23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r>
                    <w:rPr>
                      <w:rFonts w:hint="default" w:ascii="Times New Roman" w:hAnsi="Times New Roman" w:eastAsia="宋体" w:cs="Times New Roman"/>
                      <w:bCs/>
                      <w:snapToGrid w:val="0"/>
                      <w:color w:val="000000" w:themeColor="text1"/>
                      <w:kern w:val="0"/>
                      <w:sz w:val="21"/>
                      <w:szCs w:val="21"/>
                    </w:rPr>
                    <w:t>排放情况</w:t>
                  </w:r>
                </w:p>
              </w:tc>
              <w:tc>
                <w:tcPr>
                  <w:tcW w:w="788" w:type="pct"/>
                  <w:noWrap w:val="0"/>
                  <w:vAlign w:val="center"/>
                </w:tcPr>
                <w:p w14:paraId="203112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bidi="ar-SA"/>
                    </w:rPr>
                  </w:pPr>
                  <w:r>
                    <w:rPr>
                      <w:rFonts w:hint="default" w:ascii="Times New Roman" w:hAnsi="Times New Roman" w:eastAsia="宋体" w:cs="Times New Roman"/>
                      <w:bCs/>
                      <w:snapToGrid w:val="0"/>
                      <w:color w:val="000000" w:themeColor="text1"/>
                      <w:kern w:val="0"/>
                      <w:sz w:val="21"/>
                      <w:szCs w:val="21"/>
                    </w:rPr>
                    <w:t>排放量（t/a）</w:t>
                  </w:r>
                </w:p>
              </w:tc>
              <w:tc>
                <w:tcPr>
                  <w:tcW w:w="935" w:type="pct"/>
                  <w:noWrap w:val="0"/>
                  <w:vAlign w:val="center"/>
                </w:tcPr>
                <w:p w14:paraId="7767EE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bidi="ar-SA"/>
                    </w:rPr>
                  </w:pPr>
                  <w:r>
                    <w:rPr>
                      <w:rFonts w:hint="default" w:ascii="Times New Roman" w:hAnsi="Times New Roman" w:eastAsia="宋体" w:cs="Times New Roman"/>
                      <w:bCs/>
                      <w:snapToGrid w:val="0"/>
                      <w:color w:val="000000" w:themeColor="text1"/>
                      <w:kern w:val="0"/>
                      <w:sz w:val="21"/>
                      <w:szCs w:val="21"/>
                      <w:lang w:val="en-US" w:eastAsia="zh-CN" w:bidi="ar-SA"/>
                    </w:rPr>
                    <w:t>0.015</w:t>
                  </w:r>
                </w:p>
              </w:tc>
              <w:tc>
                <w:tcPr>
                  <w:tcW w:w="1020" w:type="pct"/>
                  <w:noWrap w:val="0"/>
                  <w:vAlign w:val="center"/>
                </w:tcPr>
                <w:p w14:paraId="457013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B050"/>
                      <w:kern w:val="0"/>
                      <w:sz w:val="21"/>
                      <w:szCs w:val="21"/>
                      <w:lang w:val="en-US" w:eastAsia="zh-CN"/>
                    </w:rPr>
                  </w:pPr>
                  <w:r>
                    <w:rPr>
                      <w:rFonts w:hint="eastAsia" w:cs="Times New Roman"/>
                      <w:bCs/>
                      <w:snapToGrid w:val="0"/>
                      <w:color w:val="00B050"/>
                      <w:kern w:val="0"/>
                      <w:sz w:val="21"/>
                      <w:szCs w:val="21"/>
                      <w:lang w:val="en-US" w:eastAsia="zh-CN"/>
                    </w:rPr>
                    <w:t>0.135</w:t>
                  </w:r>
                </w:p>
              </w:tc>
              <w:tc>
                <w:tcPr>
                  <w:tcW w:w="864" w:type="dxa"/>
                  <w:noWrap w:val="0"/>
                  <w:vAlign w:val="center"/>
                </w:tcPr>
                <w:p w14:paraId="309E78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Cs/>
                      <w:snapToGrid w:val="0"/>
                      <w:color w:val="00B050"/>
                      <w:kern w:val="0"/>
                      <w:sz w:val="21"/>
                      <w:szCs w:val="21"/>
                      <w:lang w:val="en-US" w:eastAsia="zh-CN"/>
                    </w:rPr>
                  </w:pPr>
                  <w:r>
                    <w:rPr>
                      <w:rFonts w:hint="eastAsia" w:cs="Times New Roman"/>
                      <w:bCs/>
                      <w:snapToGrid w:val="0"/>
                      <w:color w:val="00B050"/>
                      <w:kern w:val="0"/>
                      <w:sz w:val="21"/>
                      <w:szCs w:val="21"/>
                      <w:lang w:val="en-US" w:eastAsia="zh-CN"/>
                    </w:rPr>
                    <w:t>2.45</w:t>
                  </w:r>
                </w:p>
              </w:tc>
              <w:tc>
                <w:tcPr>
                  <w:tcW w:w="816" w:type="dxa"/>
                  <w:noWrap w:val="0"/>
                  <w:vAlign w:val="center"/>
                </w:tcPr>
                <w:p w14:paraId="5C0F7B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Cs/>
                      <w:snapToGrid w:val="0"/>
                      <w:color w:val="00B050"/>
                      <w:kern w:val="0"/>
                      <w:sz w:val="21"/>
                      <w:szCs w:val="21"/>
                      <w:lang w:val="en-US" w:eastAsia="zh-CN"/>
                    </w:rPr>
                  </w:pPr>
                  <w:r>
                    <w:rPr>
                      <w:rFonts w:hint="default" w:ascii="Times New Roman" w:hAnsi="Times New Roman" w:eastAsia="宋体" w:cs="Times New Roman"/>
                      <w:bCs/>
                      <w:snapToGrid w:val="0"/>
                      <w:color w:val="00B050"/>
                      <w:kern w:val="0"/>
                      <w:sz w:val="21"/>
                      <w:szCs w:val="21"/>
                      <w:lang w:val="en-US" w:eastAsia="zh-CN"/>
                    </w:rPr>
                    <w:t>7.34</w:t>
                  </w:r>
                </w:p>
              </w:tc>
              <w:tc>
                <w:tcPr>
                  <w:tcW w:w="939" w:type="pct"/>
                  <w:noWrap w:val="0"/>
                  <w:vAlign w:val="center"/>
                </w:tcPr>
                <w:p w14:paraId="744055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2.55kg/a</w:t>
                  </w:r>
                </w:p>
              </w:tc>
            </w:tr>
            <w:tr w14:paraId="42A91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Merge w:val="continue"/>
                  <w:noWrap w:val="0"/>
                  <w:vAlign w:val="center"/>
                </w:tcPr>
                <w:p w14:paraId="060EF4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p>
              </w:tc>
              <w:tc>
                <w:tcPr>
                  <w:tcW w:w="788" w:type="pct"/>
                  <w:noWrap w:val="0"/>
                  <w:vAlign w:val="center"/>
                </w:tcPr>
                <w:p w14:paraId="6C626E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bidi="ar-SA"/>
                    </w:rPr>
                  </w:pPr>
                  <w:r>
                    <w:rPr>
                      <w:rFonts w:hint="default" w:ascii="Times New Roman" w:hAnsi="Times New Roman" w:eastAsia="宋体" w:cs="Times New Roman"/>
                      <w:bCs/>
                      <w:snapToGrid w:val="0"/>
                      <w:color w:val="000000" w:themeColor="text1"/>
                      <w:spacing w:val="-10"/>
                      <w:kern w:val="0"/>
                      <w:sz w:val="21"/>
                      <w:szCs w:val="21"/>
                    </w:rPr>
                    <w:t>排放速率</w:t>
                  </w:r>
                  <w:r>
                    <w:rPr>
                      <w:rFonts w:hint="default" w:ascii="Times New Roman" w:hAnsi="Times New Roman" w:eastAsia="宋体" w:cs="Times New Roman"/>
                      <w:snapToGrid w:val="0"/>
                      <w:color w:val="000000" w:themeColor="text1"/>
                      <w:spacing w:val="-10"/>
                      <w:kern w:val="0"/>
                      <w:sz w:val="21"/>
                      <w:szCs w:val="21"/>
                    </w:rPr>
                    <w:t>(kg/h)</w:t>
                  </w:r>
                </w:p>
              </w:tc>
              <w:tc>
                <w:tcPr>
                  <w:tcW w:w="935" w:type="pct"/>
                  <w:noWrap w:val="0"/>
                  <w:vAlign w:val="center"/>
                </w:tcPr>
                <w:p w14:paraId="65C1F8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bidi="ar-SA"/>
                    </w:rPr>
                  </w:pPr>
                  <w:r>
                    <w:rPr>
                      <w:rFonts w:hint="default" w:ascii="Times New Roman" w:hAnsi="Times New Roman" w:eastAsia="宋体" w:cs="Times New Roman"/>
                      <w:bCs/>
                      <w:snapToGrid w:val="0"/>
                      <w:color w:val="000000" w:themeColor="text1"/>
                      <w:kern w:val="0"/>
                      <w:sz w:val="21"/>
                      <w:szCs w:val="21"/>
                      <w:lang w:val="en-US" w:eastAsia="zh-CN" w:bidi="ar-SA"/>
                    </w:rPr>
                    <w:t>0.002</w:t>
                  </w:r>
                </w:p>
              </w:tc>
              <w:tc>
                <w:tcPr>
                  <w:tcW w:w="1020" w:type="pct"/>
                  <w:noWrap w:val="0"/>
                  <w:vAlign w:val="center"/>
                </w:tcPr>
                <w:p w14:paraId="68BAF7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B050"/>
                      <w:kern w:val="0"/>
                      <w:sz w:val="21"/>
                      <w:szCs w:val="21"/>
                      <w:lang w:val="en-US" w:eastAsia="zh-CN"/>
                    </w:rPr>
                  </w:pPr>
                  <w:r>
                    <w:rPr>
                      <w:rFonts w:hint="eastAsia" w:cs="Times New Roman"/>
                      <w:bCs/>
                      <w:snapToGrid w:val="0"/>
                      <w:color w:val="00B050"/>
                      <w:kern w:val="0"/>
                      <w:sz w:val="21"/>
                      <w:szCs w:val="21"/>
                      <w:lang w:val="en-US" w:eastAsia="zh-CN"/>
                    </w:rPr>
                    <w:t>0.0188</w:t>
                  </w:r>
                </w:p>
              </w:tc>
              <w:tc>
                <w:tcPr>
                  <w:tcW w:w="864" w:type="dxa"/>
                  <w:noWrap w:val="0"/>
                  <w:vAlign w:val="center"/>
                </w:tcPr>
                <w:p w14:paraId="2137B2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Cs/>
                      <w:snapToGrid w:val="0"/>
                      <w:color w:val="00B050"/>
                      <w:kern w:val="0"/>
                      <w:sz w:val="21"/>
                      <w:szCs w:val="21"/>
                      <w:lang w:val="en-US" w:eastAsia="zh-CN"/>
                    </w:rPr>
                  </w:pPr>
                  <w:r>
                    <w:rPr>
                      <w:rFonts w:hint="eastAsia" w:cs="Times New Roman"/>
                      <w:bCs/>
                      <w:snapToGrid w:val="0"/>
                      <w:color w:val="00B050"/>
                      <w:kern w:val="0"/>
                      <w:sz w:val="21"/>
                      <w:szCs w:val="21"/>
                      <w:lang w:val="en-US" w:eastAsia="zh-CN"/>
                    </w:rPr>
                    <w:t>0.34</w:t>
                  </w:r>
                </w:p>
              </w:tc>
              <w:tc>
                <w:tcPr>
                  <w:tcW w:w="816" w:type="dxa"/>
                  <w:noWrap w:val="0"/>
                  <w:vAlign w:val="center"/>
                </w:tcPr>
                <w:p w14:paraId="33D4EC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Cs/>
                      <w:snapToGrid w:val="0"/>
                      <w:color w:val="00B050"/>
                      <w:kern w:val="0"/>
                      <w:sz w:val="21"/>
                      <w:szCs w:val="21"/>
                      <w:lang w:val="en-US" w:eastAsia="zh-CN"/>
                    </w:rPr>
                  </w:pPr>
                  <w:r>
                    <w:rPr>
                      <w:rFonts w:hint="default" w:ascii="Times New Roman" w:hAnsi="Times New Roman" w:eastAsia="宋体" w:cs="Times New Roman"/>
                      <w:bCs/>
                      <w:snapToGrid w:val="0"/>
                      <w:color w:val="00B050"/>
                      <w:kern w:val="0"/>
                      <w:sz w:val="21"/>
                      <w:szCs w:val="21"/>
                      <w:lang w:val="en-US" w:eastAsia="zh-CN"/>
                    </w:rPr>
                    <w:t>1.02</w:t>
                  </w:r>
                </w:p>
              </w:tc>
              <w:tc>
                <w:tcPr>
                  <w:tcW w:w="939" w:type="pct"/>
                  <w:noWrap w:val="0"/>
                  <w:vAlign w:val="center"/>
                </w:tcPr>
                <w:p w14:paraId="4530AA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8.5g/d</w:t>
                  </w:r>
                </w:p>
              </w:tc>
            </w:tr>
            <w:tr w14:paraId="7FB47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Merge w:val="continue"/>
                  <w:noWrap w:val="0"/>
                  <w:vAlign w:val="center"/>
                </w:tcPr>
                <w:p w14:paraId="4E2CDA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p>
              </w:tc>
              <w:tc>
                <w:tcPr>
                  <w:tcW w:w="788" w:type="pct"/>
                  <w:noWrap w:val="0"/>
                  <w:vAlign w:val="center"/>
                </w:tcPr>
                <w:p w14:paraId="0F78F4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bidi="ar-SA"/>
                    </w:rPr>
                  </w:pPr>
                  <w:r>
                    <w:rPr>
                      <w:rFonts w:hint="default" w:ascii="Times New Roman" w:hAnsi="Times New Roman" w:eastAsia="宋体" w:cs="Times New Roman"/>
                      <w:bCs/>
                      <w:snapToGrid w:val="0"/>
                      <w:color w:val="000000" w:themeColor="text1"/>
                      <w:spacing w:val="-10"/>
                      <w:kern w:val="0"/>
                      <w:sz w:val="21"/>
                      <w:szCs w:val="21"/>
                    </w:rPr>
                    <w:t>排放浓度</w:t>
                  </w:r>
                  <w:r>
                    <w:rPr>
                      <w:rFonts w:hint="default" w:ascii="Times New Roman" w:hAnsi="Times New Roman" w:eastAsia="宋体" w:cs="Times New Roman"/>
                      <w:snapToGrid w:val="0"/>
                      <w:color w:val="000000" w:themeColor="text1"/>
                      <w:spacing w:val="-10"/>
                      <w:kern w:val="0"/>
                      <w:sz w:val="21"/>
                      <w:szCs w:val="21"/>
                    </w:rPr>
                    <w:t>(mg/m</w:t>
                  </w:r>
                  <w:r>
                    <w:rPr>
                      <w:rFonts w:hint="default" w:ascii="Times New Roman" w:hAnsi="Times New Roman" w:eastAsia="宋体" w:cs="Times New Roman"/>
                      <w:snapToGrid w:val="0"/>
                      <w:color w:val="000000" w:themeColor="text1"/>
                      <w:spacing w:val="-10"/>
                      <w:kern w:val="0"/>
                      <w:sz w:val="21"/>
                      <w:szCs w:val="21"/>
                      <w:vertAlign w:val="superscript"/>
                    </w:rPr>
                    <w:t>3</w:t>
                  </w:r>
                  <w:r>
                    <w:rPr>
                      <w:rFonts w:hint="default" w:ascii="Times New Roman" w:hAnsi="Times New Roman" w:eastAsia="宋体" w:cs="Times New Roman"/>
                      <w:snapToGrid w:val="0"/>
                      <w:color w:val="000000" w:themeColor="text1"/>
                      <w:spacing w:val="-10"/>
                      <w:kern w:val="0"/>
                      <w:sz w:val="21"/>
                      <w:szCs w:val="21"/>
                    </w:rPr>
                    <w:t>)</w:t>
                  </w:r>
                </w:p>
              </w:tc>
              <w:tc>
                <w:tcPr>
                  <w:tcW w:w="935" w:type="pct"/>
                  <w:noWrap w:val="0"/>
                  <w:vAlign w:val="center"/>
                </w:tcPr>
                <w:p w14:paraId="568EB2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bidi="ar-SA"/>
                    </w:rPr>
                  </w:pPr>
                  <w:r>
                    <w:rPr>
                      <w:rFonts w:hint="default" w:ascii="Times New Roman" w:hAnsi="Times New Roman" w:eastAsia="宋体" w:cs="Times New Roman"/>
                      <w:bCs/>
                      <w:snapToGrid w:val="0"/>
                      <w:color w:val="000000" w:themeColor="text1"/>
                      <w:kern w:val="0"/>
                      <w:sz w:val="21"/>
                      <w:szCs w:val="21"/>
                      <w:lang w:val="en-US" w:eastAsia="zh-CN" w:bidi="ar-SA"/>
                    </w:rPr>
                    <w:t>/</w:t>
                  </w:r>
                </w:p>
              </w:tc>
              <w:tc>
                <w:tcPr>
                  <w:tcW w:w="1020" w:type="pct"/>
                  <w:noWrap w:val="0"/>
                  <w:vAlign w:val="center"/>
                </w:tcPr>
                <w:p w14:paraId="009CB7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B050"/>
                      <w:kern w:val="0"/>
                      <w:sz w:val="21"/>
                      <w:szCs w:val="21"/>
                      <w:lang w:val="en-US" w:eastAsia="zh-CN"/>
                    </w:rPr>
                  </w:pPr>
                  <w:r>
                    <w:rPr>
                      <w:rFonts w:hint="eastAsia" w:cs="Times New Roman"/>
                      <w:bCs/>
                      <w:snapToGrid w:val="0"/>
                      <w:color w:val="00B050"/>
                      <w:kern w:val="0"/>
                      <w:sz w:val="21"/>
                      <w:szCs w:val="21"/>
                      <w:lang w:val="en-US" w:eastAsia="zh-CN"/>
                    </w:rPr>
                    <w:t>3.76</w:t>
                  </w:r>
                </w:p>
              </w:tc>
              <w:tc>
                <w:tcPr>
                  <w:tcW w:w="864" w:type="dxa"/>
                  <w:noWrap w:val="0"/>
                  <w:vAlign w:val="center"/>
                </w:tcPr>
                <w:p w14:paraId="01FB34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Cs/>
                      <w:snapToGrid w:val="0"/>
                      <w:color w:val="00B050"/>
                      <w:kern w:val="0"/>
                      <w:sz w:val="21"/>
                      <w:szCs w:val="21"/>
                      <w:lang w:val="en-US" w:eastAsia="zh-CN"/>
                    </w:rPr>
                  </w:pPr>
                  <w:r>
                    <w:rPr>
                      <w:rFonts w:hint="eastAsia" w:cs="Times New Roman"/>
                      <w:bCs/>
                      <w:snapToGrid w:val="0"/>
                      <w:color w:val="00B050"/>
                      <w:kern w:val="0"/>
                      <w:sz w:val="21"/>
                      <w:szCs w:val="21"/>
                      <w:lang w:val="en-US" w:eastAsia="zh-CN"/>
                    </w:rPr>
                    <w:t>68</w:t>
                  </w:r>
                </w:p>
              </w:tc>
              <w:tc>
                <w:tcPr>
                  <w:tcW w:w="816" w:type="dxa"/>
                  <w:noWrap w:val="0"/>
                  <w:vAlign w:val="center"/>
                </w:tcPr>
                <w:p w14:paraId="7C48F5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Cs/>
                      <w:snapToGrid w:val="0"/>
                      <w:color w:val="00B050"/>
                      <w:kern w:val="0"/>
                      <w:sz w:val="21"/>
                      <w:szCs w:val="21"/>
                      <w:lang w:val="en-US" w:eastAsia="zh-CN"/>
                    </w:rPr>
                  </w:pPr>
                  <w:r>
                    <w:rPr>
                      <w:rFonts w:hint="default" w:ascii="Times New Roman" w:hAnsi="Times New Roman" w:eastAsia="宋体" w:cs="Times New Roman"/>
                      <w:bCs/>
                      <w:snapToGrid w:val="0"/>
                      <w:color w:val="00B050"/>
                      <w:kern w:val="0"/>
                      <w:sz w:val="21"/>
                      <w:szCs w:val="21"/>
                      <w:lang w:val="en-US" w:eastAsia="zh-CN"/>
                    </w:rPr>
                    <w:t>2</w:t>
                  </w:r>
                  <w:r>
                    <w:rPr>
                      <w:rFonts w:hint="eastAsia" w:cs="Times New Roman"/>
                      <w:bCs/>
                      <w:snapToGrid w:val="0"/>
                      <w:color w:val="00B050"/>
                      <w:kern w:val="0"/>
                      <w:sz w:val="21"/>
                      <w:szCs w:val="21"/>
                      <w:lang w:val="en-US" w:eastAsia="zh-CN"/>
                    </w:rPr>
                    <w:t>04</w:t>
                  </w:r>
                </w:p>
              </w:tc>
              <w:tc>
                <w:tcPr>
                  <w:tcW w:w="939" w:type="pct"/>
                  <w:noWrap w:val="0"/>
                  <w:vAlign w:val="center"/>
                </w:tcPr>
                <w:p w14:paraId="2CC6DA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1.42</w:t>
                  </w:r>
                </w:p>
              </w:tc>
            </w:tr>
            <w:tr w14:paraId="6AC43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Merge w:val="continue"/>
                  <w:noWrap w:val="0"/>
                  <w:vAlign w:val="center"/>
                </w:tcPr>
                <w:p w14:paraId="453BF6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p>
              </w:tc>
              <w:tc>
                <w:tcPr>
                  <w:tcW w:w="788" w:type="pct"/>
                  <w:noWrap w:val="0"/>
                  <w:vAlign w:val="center"/>
                </w:tcPr>
                <w:p w14:paraId="675F6B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spacing w:val="-10"/>
                      <w:kern w:val="0"/>
                      <w:sz w:val="21"/>
                      <w:szCs w:val="21"/>
                      <w:lang w:val="en-US" w:eastAsia="zh-CN" w:bidi="ar-SA"/>
                    </w:rPr>
                  </w:pPr>
                  <w:r>
                    <w:rPr>
                      <w:rFonts w:hint="default" w:ascii="Times New Roman" w:hAnsi="Times New Roman" w:eastAsia="宋体" w:cs="Times New Roman"/>
                      <w:bCs/>
                      <w:snapToGrid w:val="0"/>
                      <w:color w:val="000000" w:themeColor="text1"/>
                      <w:spacing w:val="-10"/>
                      <w:kern w:val="0"/>
                      <w:sz w:val="21"/>
                      <w:szCs w:val="21"/>
                    </w:rPr>
                    <w:t>执行标准</w:t>
                  </w:r>
                </w:p>
              </w:tc>
              <w:tc>
                <w:tcPr>
                  <w:tcW w:w="935" w:type="pct"/>
                  <w:noWrap w:val="0"/>
                  <w:vAlign w:val="center"/>
                </w:tcPr>
                <w:p w14:paraId="1B698D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spacing w:val="-10"/>
                      <w:kern w:val="0"/>
                      <w:sz w:val="21"/>
                      <w:szCs w:val="21"/>
                      <w:lang w:val="en-US" w:eastAsia="zh-CN" w:bidi="ar-SA"/>
                    </w:rPr>
                  </w:pPr>
                  <w:r>
                    <w:rPr>
                      <w:rFonts w:hint="default" w:ascii="Times New Roman" w:hAnsi="Times New Roman" w:eastAsia="宋体" w:cs="Times New Roman"/>
                      <w:bCs/>
                      <w:snapToGrid w:val="0"/>
                      <w:color w:val="000000" w:themeColor="text1"/>
                      <w:spacing w:val="-10"/>
                      <w:kern w:val="0"/>
                      <w:sz w:val="21"/>
                      <w:szCs w:val="21"/>
                      <w:lang w:val="en-US" w:eastAsia="zh-CN" w:bidi="ar-SA"/>
                    </w:rPr>
                    <w:t>《大气污染物综合排放标准》GB16297-1996表2无组织排放限值</w:t>
                  </w:r>
                </w:p>
              </w:tc>
              <w:tc>
                <w:tcPr>
                  <w:tcW w:w="1020" w:type="pct"/>
                  <w:noWrap w:val="0"/>
                  <w:vAlign w:val="center"/>
                </w:tcPr>
                <w:p w14:paraId="2CED6A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rPr>
                  </w:pPr>
                  <w:r>
                    <w:rPr>
                      <w:rFonts w:hint="default" w:ascii="Times New Roman" w:hAnsi="Times New Roman" w:eastAsia="宋体" w:cs="Times New Roman"/>
                      <w:color w:val="000000" w:themeColor="text1"/>
                      <w:kern w:val="2"/>
                      <w:sz w:val="21"/>
                      <w:szCs w:val="21"/>
                      <w:lang w:val="en-US" w:eastAsia="zh-CN" w:bidi="ar"/>
                    </w:rPr>
                    <w:t>《工业炉窑大气污染物排放标准》GB9078-1996</w:t>
                  </w:r>
                </w:p>
              </w:tc>
              <w:tc>
                <w:tcPr>
                  <w:tcW w:w="1035" w:type="pct"/>
                  <w:gridSpan w:val="2"/>
                  <w:noWrap w:val="0"/>
                  <w:vAlign w:val="center"/>
                </w:tcPr>
                <w:p w14:paraId="1FFA14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《大气污染物综合排放标准》GB16297-1996表2</w:t>
                  </w:r>
                </w:p>
                <w:p w14:paraId="4A40E5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color w:val="000000" w:themeColor="text1"/>
                      <w:sz w:val="21"/>
                      <w:szCs w:val="21"/>
                    </w:rPr>
                    <w:t>二级标准限值</w:t>
                  </w:r>
                </w:p>
              </w:tc>
              <w:tc>
                <w:tcPr>
                  <w:tcW w:w="939" w:type="pct"/>
                  <w:noWrap w:val="0"/>
                  <w:vAlign w:val="center"/>
                </w:tcPr>
                <w:p w14:paraId="1EDB84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《饮食业油烟排放标准》GB18483-2001</w:t>
                  </w:r>
                </w:p>
              </w:tc>
            </w:tr>
            <w:tr w14:paraId="411C9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Merge w:val="continue"/>
                  <w:noWrap w:val="0"/>
                  <w:vAlign w:val="center"/>
                </w:tcPr>
                <w:p w14:paraId="0CAF03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p>
              </w:tc>
              <w:tc>
                <w:tcPr>
                  <w:tcW w:w="788" w:type="pct"/>
                  <w:noWrap w:val="0"/>
                  <w:vAlign w:val="center"/>
                </w:tcPr>
                <w:p w14:paraId="04B7B7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spacing w:val="-10"/>
                      <w:kern w:val="0"/>
                      <w:sz w:val="21"/>
                      <w:szCs w:val="21"/>
                      <w:lang w:val="en-US" w:eastAsia="zh-CN" w:bidi="ar-SA"/>
                    </w:rPr>
                  </w:pPr>
                  <w:r>
                    <w:rPr>
                      <w:rFonts w:hint="eastAsia" w:cs="Times New Roman"/>
                      <w:bCs/>
                      <w:snapToGrid w:val="0"/>
                      <w:color w:val="000000" w:themeColor="text1"/>
                      <w:spacing w:val="-10"/>
                      <w:kern w:val="0"/>
                      <w:sz w:val="21"/>
                      <w:szCs w:val="21"/>
                      <w:lang w:val="en-US" w:eastAsia="zh-CN"/>
                    </w:rPr>
                    <w:t>排放浓度</w:t>
                  </w:r>
                  <w:r>
                    <w:rPr>
                      <w:rFonts w:hint="default" w:ascii="Times New Roman" w:hAnsi="Times New Roman" w:eastAsia="宋体" w:cs="Times New Roman"/>
                      <w:bCs/>
                      <w:snapToGrid w:val="0"/>
                      <w:color w:val="000000" w:themeColor="text1"/>
                      <w:spacing w:val="-10"/>
                      <w:kern w:val="0"/>
                      <w:sz w:val="21"/>
                      <w:szCs w:val="21"/>
                    </w:rPr>
                    <w:t>标准限值</w:t>
                  </w:r>
                </w:p>
              </w:tc>
              <w:tc>
                <w:tcPr>
                  <w:tcW w:w="935" w:type="pct"/>
                  <w:noWrap w:val="0"/>
                  <w:vAlign w:val="center"/>
                </w:tcPr>
                <w:p w14:paraId="577860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spacing w:val="-10"/>
                      <w:kern w:val="0"/>
                      <w:sz w:val="21"/>
                      <w:szCs w:val="21"/>
                      <w:lang w:val="en-US" w:eastAsia="zh-CN" w:bidi="ar-SA"/>
                    </w:rPr>
                  </w:pPr>
                  <w:r>
                    <w:rPr>
                      <w:rFonts w:hint="default" w:ascii="Times New Roman" w:hAnsi="Times New Roman" w:eastAsia="宋体" w:cs="Times New Roman"/>
                      <w:bCs/>
                      <w:snapToGrid w:val="0"/>
                      <w:color w:val="000000" w:themeColor="text1"/>
                      <w:spacing w:val="-10"/>
                      <w:kern w:val="0"/>
                      <w:sz w:val="21"/>
                      <w:szCs w:val="21"/>
                      <w:lang w:val="en-US" w:eastAsia="zh-CN" w:bidi="ar-SA"/>
                    </w:rPr>
                    <w:t>1.0</w:t>
                  </w:r>
                </w:p>
              </w:tc>
              <w:tc>
                <w:tcPr>
                  <w:tcW w:w="1020" w:type="pct"/>
                  <w:noWrap w:val="0"/>
                  <w:vAlign w:val="center"/>
                </w:tcPr>
                <w:p w14:paraId="452549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200</w:t>
                  </w:r>
                </w:p>
              </w:tc>
              <w:tc>
                <w:tcPr>
                  <w:tcW w:w="532" w:type="pct"/>
                  <w:noWrap w:val="0"/>
                  <w:vAlign w:val="center"/>
                </w:tcPr>
                <w:p w14:paraId="4FBBDF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550</w:t>
                  </w:r>
                </w:p>
              </w:tc>
              <w:tc>
                <w:tcPr>
                  <w:tcW w:w="502" w:type="pct"/>
                  <w:noWrap w:val="0"/>
                  <w:vAlign w:val="center"/>
                </w:tcPr>
                <w:p w14:paraId="1E9F37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240</w:t>
                  </w:r>
                </w:p>
              </w:tc>
              <w:tc>
                <w:tcPr>
                  <w:tcW w:w="939" w:type="pct"/>
                  <w:noWrap w:val="0"/>
                  <w:vAlign w:val="center"/>
                </w:tcPr>
                <w:p w14:paraId="453D83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2.0</w:t>
                  </w:r>
                </w:p>
              </w:tc>
            </w:tr>
            <w:tr w14:paraId="1B93F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Merge w:val="continue"/>
                  <w:noWrap w:val="0"/>
                  <w:vAlign w:val="center"/>
                </w:tcPr>
                <w:p w14:paraId="78C785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p>
              </w:tc>
              <w:tc>
                <w:tcPr>
                  <w:tcW w:w="788" w:type="pct"/>
                  <w:noWrap w:val="0"/>
                  <w:vAlign w:val="center"/>
                </w:tcPr>
                <w:p w14:paraId="2EB13F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B050"/>
                      <w:spacing w:val="-10"/>
                      <w:kern w:val="0"/>
                      <w:sz w:val="21"/>
                      <w:szCs w:val="21"/>
                    </w:rPr>
                  </w:pPr>
                  <w:r>
                    <w:rPr>
                      <w:rFonts w:hint="default" w:ascii="Times New Roman" w:hAnsi="Times New Roman" w:eastAsia="宋体" w:cs="Times New Roman"/>
                      <w:bCs/>
                      <w:snapToGrid w:val="0"/>
                      <w:color w:val="00B050"/>
                      <w:spacing w:val="-10"/>
                      <w:kern w:val="0"/>
                      <w:sz w:val="21"/>
                      <w:szCs w:val="21"/>
                      <w:lang w:val="en-US" w:eastAsia="zh-CN"/>
                    </w:rPr>
                    <w:t>排放</w:t>
                  </w:r>
                  <w:r>
                    <w:rPr>
                      <w:rFonts w:hint="eastAsia" w:cs="Times New Roman"/>
                      <w:bCs/>
                      <w:snapToGrid w:val="0"/>
                      <w:color w:val="00B050"/>
                      <w:spacing w:val="-10"/>
                      <w:kern w:val="0"/>
                      <w:sz w:val="21"/>
                      <w:szCs w:val="21"/>
                      <w:lang w:val="en-US" w:eastAsia="zh-CN"/>
                    </w:rPr>
                    <w:t>速率</w:t>
                  </w:r>
                  <w:r>
                    <w:rPr>
                      <w:rFonts w:hint="default" w:ascii="Times New Roman" w:hAnsi="Times New Roman" w:eastAsia="宋体" w:cs="Times New Roman"/>
                      <w:bCs/>
                      <w:snapToGrid w:val="0"/>
                      <w:color w:val="00B050"/>
                      <w:spacing w:val="-10"/>
                      <w:kern w:val="0"/>
                      <w:sz w:val="21"/>
                      <w:szCs w:val="21"/>
                    </w:rPr>
                    <w:t>标准限值</w:t>
                  </w:r>
                </w:p>
              </w:tc>
              <w:tc>
                <w:tcPr>
                  <w:tcW w:w="935" w:type="pct"/>
                  <w:noWrap w:val="0"/>
                  <w:vAlign w:val="center"/>
                </w:tcPr>
                <w:p w14:paraId="733734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B050"/>
                      <w:spacing w:val="-10"/>
                      <w:kern w:val="0"/>
                      <w:sz w:val="21"/>
                      <w:szCs w:val="21"/>
                      <w:lang w:val="en-US" w:eastAsia="zh-CN" w:bidi="ar-SA"/>
                    </w:rPr>
                  </w:pPr>
                  <w:r>
                    <w:rPr>
                      <w:rFonts w:hint="eastAsia" w:cs="Times New Roman"/>
                      <w:bCs/>
                      <w:snapToGrid w:val="0"/>
                      <w:color w:val="00B050"/>
                      <w:spacing w:val="-10"/>
                      <w:kern w:val="0"/>
                      <w:sz w:val="21"/>
                      <w:szCs w:val="21"/>
                      <w:lang w:val="en-US" w:eastAsia="zh-CN" w:bidi="ar-SA"/>
                    </w:rPr>
                    <w:t>/</w:t>
                  </w:r>
                </w:p>
              </w:tc>
              <w:tc>
                <w:tcPr>
                  <w:tcW w:w="1020" w:type="pct"/>
                  <w:noWrap w:val="0"/>
                  <w:vAlign w:val="center"/>
                </w:tcPr>
                <w:p w14:paraId="2DC5F4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B050"/>
                      <w:kern w:val="0"/>
                      <w:sz w:val="21"/>
                      <w:szCs w:val="21"/>
                      <w:lang w:val="en-US" w:eastAsia="zh-CN"/>
                    </w:rPr>
                  </w:pPr>
                  <w:r>
                    <w:rPr>
                      <w:rFonts w:hint="eastAsia" w:cs="Times New Roman"/>
                      <w:bCs/>
                      <w:snapToGrid w:val="0"/>
                      <w:color w:val="00B050"/>
                      <w:kern w:val="0"/>
                      <w:sz w:val="21"/>
                      <w:szCs w:val="21"/>
                      <w:lang w:val="en-US" w:eastAsia="zh-CN"/>
                    </w:rPr>
                    <w:t>/</w:t>
                  </w:r>
                </w:p>
              </w:tc>
              <w:tc>
                <w:tcPr>
                  <w:tcW w:w="532" w:type="pct"/>
                  <w:noWrap w:val="0"/>
                  <w:vAlign w:val="center"/>
                </w:tcPr>
                <w:p w14:paraId="5A9B76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B050"/>
                      <w:kern w:val="0"/>
                      <w:sz w:val="21"/>
                      <w:szCs w:val="21"/>
                      <w:lang w:val="en-US" w:eastAsia="zh-CN"/>
                    </w:rPr>
                  </w:pPr>
                  <w:r>
                    <w:rPr>
                      <w:rFonts w:hint="eastAsia" w:cs="Times New Roman"/>
                      <w:bCs/>
                      <w:snapToGrid w:val="0"/>
                      <w:color w:val="00B050"/>
                      <w:kern w:val="0"/>
                      <w:sz w:val="21"/>
                      <w:szCs w:val="21"/>
                      <w:lang w:val="en-US" w:eastAsia="zh-CN"/>
                    </w:rPr>
                    <w:t>2.6</w:t>
                  </w:r>
                </w:p>
              </w:tc>
              <w:tc>
                <w:tcPr>
                  <w:tcW w:w="502" w:type="pct"/>
                  <w:noWrap w:val="0"/>
                  <w:vAlign w:val="center"/>
                </w:tcPr>
                <w:p w14:paraId="6E8AF3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B050"/>
                      <w:kern w:val="0"/>
                      <w:sz w:val="21"/>
                      <w:szCs w:val="21"/>
                      <w:lang w:val="en-US" w:eastAsia="zh-CN"/>
                    </w:rPr>
                  </w:pPr>
                  <w:r>
                    <w:rPr>
                      <w:rFonts w:hint="eastAsia" w:cs="Times New Roman"/>
                      <w:bCs/>
                      <w:snapToGrid w:val="0"/>
                      <w:color w:val="00B050"/>
                      <w:kern w:val="0"/>
                      <w:sz w:val="21"/>
                      <w:szCs w:val="21"/>
                      <w:lang w:val="en-US" w:eastAsia="zh-CN"/>
                    </w:rPr>
                    <w:t>1.3</w:t>
                  </w:r>
                </w:p>
              </w:tc>
              <w:tc>
                <w:tcPr>
                  <w:tcW w:w="939" w:type="pct"/>
                  <w:noWrap w:val="0"/>
                  <w:vAlign w:val="center"/>
                </w:tcPr>
                <w:p w14:paraId="4D38B9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eastAsia" w:cs="Times New Roman"/>
                      <w:bCs/>
                      <w:snapToGrid w:val="0"/>
                      <w:color w:val="000000" w:themeColor="text1"/>
                      <w:kern w:val="0"/>
                      <w:sz w:val="21"/>
                      <w:szCs w:val="21"/>
                      <w:lang w:val="en-US" w:eastAsia="zh-CN"/>
                    </w:rPr>
                    <w:t>/</w:t>
                  </w:r>
                </w:p>
              </w:tc>
            </w:tr>
            <w:tr w14:paraId="7A794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Merge w:val="continue"/>
                  <w:noWrap w:val="0"/>
                  <w:vAlign w:val="center"/>
                </w:tcPr>
                <w:p w14:paraId="060A98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spacing w:val="-10"/>
                      <w:kern w:val="0"/>
                      <w:sz w:val="21"/>
                      <w:szCs w:val="21"/>
                      <w:lang w:val="en-US" w:eastAsia="zh-CN" w:bidi="ar-SA"/>
                    </w:rPr>
                  </w:pPr>
                </w:p>
              </w:tc>
              <w:tc>
                <w:tcPr>
                  <w:tcW w:w="788" w:type="pct"/>
                  <w:noWrap w:val="0"/>
                  <w:vAlign w:val="center"/>
                </w:tcPr>
                <w:p w14:paraId="28F3A3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spacing w:val="-10"/>
                      <w:kern w:val="0"/>
                      <w:sz w:val="21"/>
                      <w:szCs w:val="21"/>
                      <w:lang w:val="en-US" w:eastAsia="zh-CN" w:bidi="ar-SA"/>
                    </w:rPr>
                  </w:pPr>
                  <w:r>
                    <w:rPr>
                      <w:rFonts w:hint="default" w:ascii="Times New Roman" w:hAnsi="Times New Roman" w:eastAsia="宋体" w:cs="Times New Roman"/>
                      <w:bCs/>
                      <w:snapToGrid w:val="0"/>
                      <w:color w:val="000000" w:themeColor="text1"/>
                      <w:spacing w:val="-10"/>
                      <w:kern w:val="0"/>
                      <w:sz w:val="21"/>
                      <w:szCs w:val="21"/>
                    </w:rPr>
                    <w:t>达标情况</w:t>
                  </w:r>
                </w:p>
              </w:tc>
              <w:tc>
                <w:tcPr>
                  <w:tcW w:w="935" w:type="pct"/>
                  <w:noWrap w:val="0"/>
                  <w:vAlign w:val="center"/>
                </w:tcPr>
                <w:p w14:paraId="0860C9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spacing w:val="-10"/>
                      <w:kern w:val="0"/>
                      <w:sz w:val="21"/>
                      <w:szCs w:val="21"/>
                      <w:lang w:val="en-US" w:eastAsia="zh-CN" w:bidi="ar-SA"/>
                    </w:rPr>
                  </w:pPr>
                  <w:r>
                    <w:rPr>
                      <w:rFonts w:hint="default" w:ascii="Times New Roman" w:hAnsi="Times New Roman" w:eastAsia="宋体" w:cs="Times New Roman"/>
                      <w:bCs/>
                      <w:snapToGrid w:val="0"/>
                      <w:color w:val="000000" w:themeColor="text1"/>
                      <w:spacing w:val="-10"/>
                      <w:kern w:val="0"/>
                      <w:sz w:val="21"/>
                      <w:szCs w:val="21"/>
                      <w:lang w:val="en-US" w:eastAsia="zh-CN" w:bidi="ar-SA"/>
                    </w:rPr>
                    <w:t>/</w:t>
                  </w:r>
                </w:p>
              </w:tc>
              <w:tc>
                <w:tcPr>
                  <w:tcW w:w="1020" w:type="pct"/>
                  <w:noWrap w:val="0"/>
                  <w:vAlign w:val="center"/>
                </w:tcPr>
                <w:p w14:paraId="155689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达标</w:t>
                  </w:r>
                </w:p>
              </w:tc>
              <w:tc>
                <w:tcPr>
                  <w:tcW w:w="532" w:type="pct"/>
                  <w:noWrap w:val="0"/>
                  <w:vAlign w:val="center"/>
                </w:tcPr>
                <w:p w14:paraId="44179F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达标</w:t>
                  </w:r>
                </w:p>
              </w:tc>
              <w:tc>
                <w:tcPr>
                  <w:tcW w:w="502" w:type="pct"/>
                  <w:noWrap w:val="0"/>
                  <w:vAlign w:val="center"/>
                </w:tcPr>
                <w:p w14:paraId="6C398D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达标</w:t>
                  </w:r>
                </w:p>
              </w:tc>
              <w:tc>
                <w:tcPr>
                  <w:tcW w:w="939" w:type="pct"/>
                  <w:noWrap w:val="0"/>
                  <w:vAlign w:val="center"/>
                </w:tcPr>
                <w:p w14:paraId="426FA7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达标</w:t>
                  </w:r>
                </w:p>
              </w:tc>
            </w:tr>
            <w:tr w14:paraId="79E5B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Merge w:val="restart"/>
                  <w:noWrap w:val="0"/>
                  <w:vAlign w:val="center"/>
                </w:tcPr>
                <w:p w14:paraId="3900AC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r>
                    <w:rPr>
                      <w:rFonts w:hint="default" w:ascii="Times New Roman" w:hAnsi="Times New Roman" w:eastAsia="宋体" w:cs="Times New Roman"/>
                      <w:bCs/>
                      <w:snapToGrid w:val="0"/>
                      <w:color w:val="000000" w:themeColor="text1"/>
                      <w:kern w:val="0"/>
                      <w:sz w:val="21"/>
                      <w:szCs w:val="21"/>
                    </w:rPr>
                    <w:t>排放口信息</w:t>
                  </w:r>
                </w:p>
              </w:tc>
              <w:tc>
                <w:tcPr>
                  <w:tcW w:w="788" w:type="pct"/>
                  <w:noWrap w:val="0"/>
                  <w:vAlign w:val="center"/>
                </w:tcPr>
                <w:p w14:paraId="029730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r>
                    <w:rPr>
                      <w:rFonts w:hint="default" w:ascii="Times New Roman" w:hAnsi="Times New Roman" w:eastAsia="宋体" w:cs="Times New Roman"/>
                      <w:bCs/>
                      <w:snapToGrid w:val="0"/>
                      <w:color w:val="000000" w:themeColor="text1"/>
                      <w:kern w:val="0"/>
                      <w:sz w:val="21"/>
                      <w:szCs w:val="21"/>
                    </w:rPr>
                    <w:t>编号</w:t>
                  </w:r>
                </w:p>
              </w:tc>
              <w:tc>
                <w:tcPr>
                  <w:tcW w:w="935" w:type="pct"/>
                  <w:noWrap w:val="0"/>
                  <w:vAlign w:val="center"/>
                </w:tcPr>
                <w:p w14:paraId="7EF72B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w:t>
                  </w:r>
                </w:p>
              </w:tc>
              <w:tc>
                <w:tcPr>
                  <w:tcW w:w="2056" w:type="pct"/>
                  <w:gridSpan w:val="3"/>
                  <w:noWrap w:val="0"/>
                  <w:vAlign w:val="center"/>
                </w:tcPr>
                <w:p w14:paraId="4052D4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DA001</w:t>
                  </w:r>
                </w:p>
              </w:tc>
              <w:tc>
                <w:tcPr>
                  <w:tcW w:w="939" w:type="pct"/>
                  <w:noWrap w:val="0"/>
                  <w:vAlign w:val="center"/>
                </w:tcPr>
                <w:p w14:paraId="6B5CBE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w:t>
                  </w:r>
                </w:p>
              </w:tc>
            </w:tr>
            <w:tr w14:paraId="7A889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Merge w:val="continue"/>
                  <w:noWrap w:val="0"/>
                  <w:vAlign w:val="center"/>
                </w:tcPr>
                <w:p w14:paraId="0F4ADF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p>
              </w:tc>
              <w:tc>
                <w:tcPr>
                  <w:tcW w:w="788" w:type="pct"/>
                  <w:noWrap w:val="0"/>
                  <w:vAlign w:val="center"/>
                </w:tcPr>
                <w:p w14:paraId="02CB32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r>
                    <w:rPr>
                      <w:rFonts w:hint="default" w:ascii="Times New Roman" w:hAnsi="Times New Roman" w:eastAsia="宋体" w:cs="Times New Roman"/>
                      <w:bCs/>
                      <w:snapToGrid w:val="0"/>
                      <w:color w:val="000000" w:themeColor="text1"/>
                      <w:kern w:val="0"/>
                      <w:sz w:val="21"/>
                      <w:szCs w:val="21"/>
                    </w:rPr>
                    <w:t>高度（m）</w:t>
                  </w:r>
                </w:p>
              </w:tc>
              <w:tc>
                <w:tcPr>
                  <w:tcW w:w="935" w:type="pct"/>
                  <w:noWrap w:val="0"/>
                  <w:vAlign w:val="center"/>
                </w:tcPr>
                <w:p w14:paraId="3F8DB4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w:t>
                  </w:r>
                </w:p>
              </w:tc>
              <w:tc>
                <w:tcPr>
                  <w:tcW w:w="2056" w:type="pct"/>
                  <w:gridSpan w:val="3"/>
                  <w:noWrap w:val="0"/>
                  <w:vAlign w:val="center"/>
                </w:tcPr>
                <w:p w14:paraId="7BEACD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eastAsia" w:cs="Times New Roman"/>
                      <w:bCs/>
                      <w:snapToGrid w:val="0"/>
                      <w:color w:val="000000" w:themeColor="text1"/>
                      <w:kern w:val="0"/>
                      <w:sz w:val="21"/>
                      <w:szCs w:val="21"/>
                      <w:lang w:val="en-US" w:eastAsia="zh-CN"/>
                    </w:rPr>
                    <w:t>20</w:t>
                  </w:r>
                </w:p>
              </w:tc>
              <w:tc>
                <w:tcPr>
                  <w:tcW w:w="939" w:type="pct"/>
                  <w:noWrap w:val="0"/>
                  <w:vAlign w:val="center"/>
                </w:tcPr>
                <w:p w14:paraId="7B494B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w:t>
                  </w:r>
                </w:p>
              </w:tc>
            </w:tr>
            <w:tr w14:paraId="42AFE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Merge w:val="continue"/>
                  <w:noWrap w:val="0"/>
                  <w:vAlign w:val="center"/>
                </w:tcPr>
                <w:p w14:paraId="710778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p>
              </w:tc>
              <w:tc>
                <w:tcPr>
                  <w:tcW w:w="788" w:type="pct"/>
                  <w:noWrap w:val="0"/>
                  <w:vAlign w:val="center"/>
                </w:tcPr>
                <w:p w14:paraId="18F3AE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r>
                    <w:rPr>
                      <w:rFonts w:hint="default" w:ascii="Times New Roman" w:hAnsi="Times New Roman" w:eastAsia="宋体" w:cs="Times New Roman"/>
                      <w:bCs/>
                      <w:snapToGrid w:val="0"/>
                      <w:color w:val="000000" w:themeColor="text1"/>
                      <w:kern w:val="0"/>
                      <w:sz w:val="21"/>
                      <w:szCs w:val="21"/>
                    </w:rPr>
                    <w:t>直径（m）</w:t>
                  </w:r>
                </w:p>
              </w:tc>
              <w:tc>
                <w:tcPr>
                  <w:tcW w:w="935" w:type="pct"/>
                  <w:noWrap w:val="0"/>
                  <w:vAlign w:val="center"/>
                </w:tcPr>
                <w:p w14:paraId="2F28B4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w:t>
                  </w:r>
                </w:p>
              </w:tc>
              <w:tc>
                <w:tcPr>
                  <w:tcW w:w="2056" w:type="pct"/>
                  <w:gridSpan w:val="3"/>
                  <w:noWrap w:val="0"/>
                  <w:vAlign w:val="center"/>
                </w:tcPr>
                <w:p w14:paraId="74966A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0.6</w:t>
                  </w:r>
                </w:p>
              </w:tc>
              <w:tc>
                <w:tcPr>
                  <w:tcW w:w="939" w:type="pct"/>
                  <w:noWrap w:val="0"/>
                  <w:vAlign w:val="center"/>
                </w:tcPr>
                <w:p w14:paraId="53A26B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w:t>
                  </w:r>
                </w:p>
              </w:tc>
            </w:tr>
            <w:tr w14:paraId="0B725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Merge w:val="continue"/>
                  <w:noWrap w:val="0"/>
                  <w:vAlign w:val="center"/>
                </w:tcPr>
                <w:p w14:paraId="2AA2E3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p>
              </w:tc>
              <w:tc>
                <w:tcPr>
                  <w:tcW w:w="788" w:type="pct"/>
                  <w:noWrap w:val="0"/>
                  <w:vAlign w:val="center"/>
                </w:tcPr>
                <w:p w14:paraId="5CF05E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r>
                    <w:rPr>
                      <w:rFonts w:hint="default" w:ascii="Times New Roman" w:hAnsi="Times New Roman" w:eastAsia="宋体" w:cs="Times New Roman"/>
                      <w:bCs/>
                      <w:snapToGrid w:val="0"/>
                      <w:color w:val="000000" w:themeColor="text1"/>
                      <w:kern w:val="0"/>
                      <w:sz w:val="21"/>
                      <w:szCs w:val="21"/>
                    </w:rPr>
                    <w:t>温度（℃）</w:t>
                  </w:r>
                </w:p>
              </w:tc>
              <w:tc>
                <w:tcPr>
                  <w:tcW w:w="935" w:type="pct"/>
                  <w:noWrap w:val="0"/>
                  <w:vAlign w:val="center"/>
                </w:tcPr>
                <w:p w14:paraId="4633AB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w:t>
                  </w:r>
                </w:p>
              </w:tc>
              <w:tc>
                <w:tcPr>
                  <w:tcW w:w="2056" w:type="pct"/>
                  <w:gridSpan w:val="3"/>
                  <w:noWrap w:val="0"/>
                  <w:vAlign w:val="center"/>
                </w:tcPr>
                <w:p w14:paraId="5FE682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60</w:t>
                  </w:r>
                </w:p>
              </w:tc>
              <w:tc>
                <w:tcPr>
                  <w:tcW w:w="939" w:type="pct"/>
                  <w:noWrap w:val="0"/>
                  <w:vAlign w:val="center"/>
                </w:tcPr>
                <w:p w14:paraId="69F111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w:t>
                  </w:r>
                </w:p>
              </w:tc>
            </w:tr>
            <w:tr w14:paraId="31DC1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Merge w:val="continue"/>
                  <w:noWrap w:val="0"/>
                  <w:vAlign w:val="center"/>
                </w:tcPr>
                <w:p w14:paraId="095C47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p>
              </w:tc>
              <w:tc>
                <w:tcPr>
                  <w:tcW w:w="788" w:type="pct"/>
                  <w:noWrap w:val="0"/>
                  <w:vAlign w:val="center"/>
                </w:tcPr>
                <w:p w14:paraId="75E3A5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rPr>
                  </w:pPr>
                  <w:r>
                    <w:rPr>
                      <w:rFonts w:hint="default" w:ascii="Times New Roman" w:hAnsi="Times New Roman" w:eastAsia="宋体" w:cs="Times New Roman"/>
                      <w:bCs/>
                      <w:snapToGrid w:val="0"/>
                      <w:color w:val="000000" w:themeColor="text1"/>
                      <w:kern w:val="0"/>
                      <w:sz w:val="21"/>
                      <w:szCs w:val="21"/>
                    </w:rPr>
                    <w:t>排口类型</w:t>
                  </w:r>
                </w:p>
              </w:tc>
              <w:tc>
                <w:tcPr>
                  <w:tcW w:w="935" w:type="pct"/>
                  <w:noWrap w:val="0"/>
                  <w:vAlign w:val="center"/>
                </w:tcPr>
                <w:p w14:paraId="25433D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w:t>
                  </w:r>
                </w:p>
              </w:tc>
              <w:tc>
                <w:tcPr>
                  <w:tcW w:w="2056" w:type="pct"/>
                  <w:gridSpan w:val="3"/>
                  <w:noWrap w:val="0"/>
                  <w:vAlign w:val="center"/>
                </w:tcPr>
                <w:p w14:paraId="21A032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一般排</w:t>
                  </w:r>
                  <w:r>
                    <w:rPr>
                      <w:rFonts w:hint="eastAsia" w:cs="Times New Roman"/>
                      <w:bCs/>
                      <w:snapToGrid w:val="0"/>
                      <w:color w:val="000000" w:themeColor="text1"/>
                      <w:kern w:val="0"/>
                      <w:sz w:val="21"/>
                      <w:szCs w:val="21"/>
                      <w:lang w:val="en-US" w:eastAsia="zh-CN"/>
                    </w:rPr>
                    <w:t>放</w:t>
                  </w:r>
                  <w:r>
                    <w:rPr>
                      <w:rFonts w:hint="default" w:ascii="Times New Roman" w:hAnsi="Times New Roman" w:eastAsia="宋体" w:cs="Times New Roman"/>
                      <w:bCs/>
                      <w:snapToGrid w:val="0"/>
                      <w:color w:val="000000" w:themeColor="text1"/>
                      <w:kern w:val="0"/>
                      <w:sz w:val="21"/>
                      <w:szCs w:val="21"/>
                      <w:lang w:val="en-US" w:eastAsia="zh-CN"/>
                    </w:rPr>
                    <w:t>口</w:t>
                  </w:r>
                </w:p>
              </w:tc>
              <w:tc>
                <w:tcPr>
                  <w:tcW w:w="939" w:type="pct"/>
                  <w:noWrap w:val="0"/>
                  <w:vAlign w:val="center"/>
                </w:tcPr>
                <w:p w14:paraId="40E3E4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snapToGrid w:val="0"/>
                      <w:color w:val="000000" w:themeColor="text1"/>
                      <w:kern w:val="0"/>
                      <w:sz w:val="21"/>
                      <w:szCs w:val="21"/>
                      <w:lang w:val="en-US" w:eastAsia="zh-CN"/>
                    </w:rPr>
                  </w:pPr>
                  <w:r>
                    <w:rPr>
                      <w:rFonts w:hint="default" w:ascii="Times New Roman" w:hAnsi="Times New Roman" w:eastAsia="宋体" w:cs="Times New Roman"/>
                      <w:bCs/>
                      <w:snapToGrid w:val="0"/>
                      <w:color w:val="000000" w:themeColor="text1"/>
                      <w:kern w:val="0"/>
                      <w:sz w:val="21"/>
                      <w:szCs w:val="21"/>
                      <w:lang w:val="en-US" w:eastAsia="zh-CN"/>
                    </w:rPr>
                    <w:t>/</w:t>
                  </w:r>
                </w:p>
              </w:tc>
            </w:tr>
          </w:tbl>
          <w:p w14:paraId="65B223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textAlignment w:val="auto"/>
              <w:rPr>
                <w:rFonts w:hint="default" w:ascii="Times New Roman" w:hAnsi="Times New Roman" w:eastAsia="宋体" w:cs="Times New Roman"/>
                <w:b/>
                <w:color w:val="000000" w:themeColor="text1"/>
                <w:sz w:val="21"/>
                <w:szCs w:val="21"/>
                <w:highlight w:val="none"/>
              </w:rPr>
            </w:pPr>
            <w:r>
              <w:rPr>
                <w:rFonts w:hint="default" w:ascii="Times New Roman" w:hAnsi="Times New Roman" w:eastAsia="宋体" w:cs="Times New Roman"/>
                <w:b/>
                <w:color w:val="000000" w:themeColor="text1"/>
                <w:sz w:val="21"/>
                <w:szCs w:val="21"/>
                <w:highlight w:val="none"/>
              </w:rPr>
              <w:t>（5）废气污染治理设施可行性分析</w:t>
            </w:r>
          </w:p>
          <w:p w14:paraId="29C97D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highlight w:val="none"/>
              </w:rPr>
              <w:t>本项目废气主要为生物质燃烧机产生的烟尘、二氧化硫、氮氧化物，项目产生的废气呈有组织排放，对照《排污许可证申请与核发技术规范 工业炉窑》（HJ1121-2020），</w:t>
            </w:r>
            <w:r>
              <w:rPr>
                <w:rFonts w:hint="default" w:ascii="Times New Roman" w:hAnsi="Times New Roman" w:eastAsia="宋体" w:cs="Times New Roman"/>
                <w:color w:val="000000" w:themeColor="text1"/>
                <w:sz w:val="21"/>
                <w:szCs w:val="21"/>
                <w:highlight w:val="none"/>
                <w:lang w:val="en-US" w:eastAsia="zh-CN"/>
              </w:rPr>
              <w:t>工业炉窑烟气污染防治</w:t>
            </w:r>
            <w:r>
              <w:rPr>
                <w:rFonts w:hint="default" w:ascii="宋体" w:hAnsi="宋体" w:eastAsia="宋体" w:cs="宋体"/>
                <w:color w:val="000000" w:themeColor="text1"/>
                <w:sz w:val="21"/>
                <w:szCs w:val="21"/>
                <w:lang w:val="en-US" w:eastAsia="zh-CN"/>
              </w:rPr>
              <w:t>可行技术有：“除尘器：</w:t>
            </w:r>
            <w:r>
              <w:rPr>
                <w:rFonts w:hint="eastAsia" w:ascii="宋体" w:hAnsi="宋体" w:cs="宋体"/>
                <w:color w:val="000000" w:themeColor="text1"/>
                <w:sz w:val="21"/>
                <w:szCs w:val="21"/>
                <w:lang w:val="en-US" w:eastAsia="zh-CN"/>
              </w:rPr>
              <w:t>布袋</w:t>
            </w:r>
            <w:r>
              <w:rPr>
                <w:rFonts w:hint="default" w:ascii="宋体" w:hAnsi="宋体" w:eastAsia="宋体" w:cs="宋体"/>
                <w:color w:val="000000" w:themeColor="text1"/>
                <w:sz w:val="21"/>
                <w:szCs w:val="21"/>
                <w:lang w:val="en-US" w:eastAsia="zh-CN"/>
              </w:rPr>
              <w:t>除尘，</w:t>
            </w:r>
            <w:r>
              <w:rPr>
                <w:rFonts w:hint="eastAsia" w:ascii="宋体" w:hAnsi="宋体" w:cs="宋体"/>
                <w:color w:val="000000" w:themeColor="text1"/>
                <w:sz w:val="21"/>
                <w:szCs w:val="21"/>
                <w:lang w:val="en-US" w:eastAsia="zh-CN"/>
              </w:rPr>
              <w:t>重力</w:t>
            </w:r>
            <w:r>
              <w:rPr>
                <w:rFonts w:hint="default" w:ascii="宋体" w:hAnsi="宋体" w:eastAsia="宋体" w:cs="宋体"/>
                <w:color w:val="000000" w:themeColor="text1"/>
                <w:sz w:val="21"/>
                <w:szCs w:val="21"/>
                <w:lang w:val="en-US" w:eastAsia="zh-CN"/>
              </w:rPr>
              <w:t>除尘</w:t>
            </w:r>
            <w:r>
              <w:rPr>
                <w:rFonts w:hint="eastAsia" w:ascii="宋体" w:hAnsi="宋体" w:cs="宋体"/>
                <w:color w:val="000000" w:themeColor="text1"/>
                <w:sz w:val="21"/>
                <w:szCs w:val="21"/>
                <w:lang w:val="en-US" w:eastAsia="zh-CN"/>
              </w:rPr>
              <w:t>，水膜除尘</w:t>
            </w:r>
            <w:r>
              <w:rPr>
                <w:rFonts w:hint="default" w:ascii="宋体" w:hAnsi="宋体" w:eastAsia="宋体" w:cs="宋体"/>
                <w:color w:val="000000" w:themeColor="text1"/>
                <w:sz w:val="21"/>
                <w:szCs w:val="21"/>
                <w:lang w:val="en-US" w:eastAsia="zh-CN"/>
              </w:rPr>
              <w:t>等。”</w:t>
            </w:r>
            <w:r>
              <w:rPr>
                <w:rFonts w:hint="default" w:ascii="宋体" w:hAnsi="宋体" w:eastAsia="宋体" w:cs="宋体"/>
                <w:color w:val="000000" w:themeColor="text1"/>
                <w:sz w:val="21"/>
                <w:szCs w:val="21"/>
              </w:rPr>
              <w:t>，本项目</w:t>
            </w:r>
            <w:r>
              <w:rPr>
                <w:rFonts w:hint="default" w:ascii="Times New Roman" w:hAnsi="Times New Roman" w:eastAsia="宋体" w:cs="Times New Roman"/>
                <w:color w:val="00B050"/>
                <w:sz w:val="21"/>
                <w:szCs w:val="21"/>
                <w:lang w:val="en-US" w:eastAsia="zh-CN"/>
              </w:rPr>
              <w:t>热风炉产生的废气先经“重力沉降+布袋除尘”（TA001）处理后进入烘干机，烘干后的废气合并经水膜除尘设施（TA001）处理后通过</w:t>
            </w:r>
            <w:r>
              <w:rPr>
                <w:rFonts w:hint="eastAsia" w:cs="Times New Roman"/>
                <w:color w:val="00B050"/>
                <w:sz w:val="21"/>
                <w:szCs w:val="21"/>
                <w:lang w:val="en-US" w:eastAsia="zh-CN"/>
              </w:rPr>
              <w:t>20</w:t>
            </w:r>
            <w:r>
              <w:rPr>
                <w:rFonts w:hint="default" w:ascii="Times New Roman" w:hAnsi="Times New Roman" w:eastAsia="宋体" w:cs="Times New Roman"/>
                <w:color w:val="00B050"/>
                <w:sz w:val="21"/>
                <w:szCs w:val="21"/>
                <w:lang w:val="en-US" w:eastAsia="zh-CN"/>
              </w:rPr>
              <w:t>m排气筒排放（DA001）</w:t>
            </w:r>
            <w:r>
              <w:rPr>
                <w:rFonts w:hint="default" w:ascii="宋体" w:hAnsi="宋体" w:eastAsia="宋体" w:cs="宋体"/>
                <w:color w:val="000000" w:themeColor="text1"/>
                <w:sz w:val="21"/>
                <w:szCs w:val="21"/>
              </w:rPr>
              <w:t>，为可行技术。</w:t>
            </w:r>
          </w:p>
          <w:p w14:paraId="691EED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textAlignment w:val="auto"/>
              <w:rPr>
                <w:rFonts w:hint="default" w:ascii="Times New Roman" w:hAnsi="Times New Roman" w:eastAsia="宋体" w:cs="Times New Roman"/>
                <w:b/>
                <w:color w:val="000000" w:themeColor="text1"/>
                <w:kern w:val="0"/>
                <w:sz w:val="21"/>
                <w:szCs w:val="21"/>
              </w:rPr>
            </w:pPr>
            <w:r>
              <w:rPr>
                <w:rFonts w:hint="default" w:ascii="Times New Roman" w:hAnsi="Times New Roman" w:eastAsia="宋体" w:cs="Times New Roman"/>
                <w:b/>
                <w:color w:val="000000" w:themeColor="text1"/>
                <w:kern w:val="0"/>
                <w:sz w:val="21"/>
                <w:szCs w:val="21"/>
              </w:rPr>
              <w:t>（6）非正常工况</w:t>
            </w:r>
          </w:p>
          <w:p w14:paraId="30BD68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bCs/>
                <w:color w:val="000000" w:themeColor="text1"/>
                <w:kern w:val="0"/>
                <w:sz w:val="21"/>
                <w:szCs w:val="21"/>
              </w:rPr>
            </w:pPr>
            <w:r>
              <w:rPr>
                <w:rFonts w:hint="default" w:ascii="Times New Roman" w:hAnsi="Times New Roman" w:eastAsia="宋体" w:cs="Times New Roman"/>
                <w:bCs/>
                <w:color w:val="000000" w:themeColor="text1"/>
                <w:kern w:val="0"/>
                <w:sz w:val="21"/>
                <w:szCs w:val="21"/>
              </w:rPr>
              <w:t>非正常工况下的废气污染物排放主要是废气处理装置出现故障，处理效率降低时所造成，本次核算考虑</w:t>
            </w:r>
            <w:r>
              <w:rPr>
                <w:rFonts w:hint="eastAsia" w:cs="Times New Roman"/>
                <w:bCs/>
                <w:color w:val="000000" w:themeColor="text1"/>
                <w:kern w:val="0"/>
                <w:sz w:val="21"/>
                <w:szCs w:val="21"/>
                <w:lang w:val="en-US" w:eastAsia="zh-CN"/>
              </w:rPr>
              <w:t>重大事故，</w:t>
            </w:r>
            <w:r>
              <w:rPr>
                <w:rFonts w:hint="default" w:ascii="Times New Roman" w:hAnsi="Times New Roman" w:eastAsia="宋体" w:cs="Times New Roman"/>
                <w:bCs/>
                <w:color w:val="00B050"/>
                <w:kern w:val="0"/>
                <w:sz w:val="21"/>
                <w:szCs w:val="21"/>
              </w:rPr>
              <w:t>即</w:t>
            </w:r>
            <w:r>
              <w:rPr>
                <w:rFonts w:hint="eastAsia" w:cs="Times New Roman"/>
                <w:bCs/>
                <w:color w:val="00B050"/>
                <w:kern w:val="0"/>
                <w:sz w:val="21"/>
                <w:szCs w:val="21"/>
                <w:lang w:val="en-US" w:eastAsia="zh-CN"/>
              </w:rPr>
              <w:t>布袋出现破损，</w:t>
            </w:r>
            <w:r>
              <w:rPr>
                <w:rFonts w:hint="default" w:ascii="Times New Roman" w:hAnsi="Times New Roman" w:eastAsia="宋体" w:cs="Times New Roman"/>
                <w:bCs/>
                <w:color w:val="00B050"/>
                <w:kern w:val="0"/>
                <w:sz w:val="21"/>
                <w:szCs w:val="21"/>
              </w:rPr>
              <w:t>废气处理措施失效</w:t>
            </w:r>
            <w:r>
              <w:rPr>
                <w:rFonts w:hint="eastAsia" w:cs="Times New Roman"/>
                <w:bCs/>
                <w:color w:val="00B050"/>
                <w:kern w:val="0"/>
                <w:sz w:val="21"/>
                <w:szCs w:val="21"/>
                <w:lang w:val="en-US" w:eastAsia="zh-CN"/>
              </w:rPr>
              <w:t>至95%</w:t>
            </w:r>
            <w:r>
              <w:rPr>
                <w:rFonts w:hint="default" w:ascii="Times New Roman" w:hAnsi="Times New Roman" w:eastAsia="宋体" w:cs="Times New Roman"/>
                <w:bCs/>
                <w:color w:val="000000" w:themeColor="text1"/>
                <w:kern w:val="0"/>
                <w:sz w:val="21"/>
                <w:szCs w:val="21"/>
              </w:rPr>
              <w:t>的排放情况，具体核算情况见下表。</w:t>
            </w:r>
          </w:p>
          <w:p w14:paraId="3AE4CB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color w:val="000000" w:themeColor="text1"/>
                <w:kern w:val="0"/>
                <w:sz w:val="21"/>
                <w:szCs w:val="21"/>
              </w:rPr>
            </w:pPr>
            <w:r>
              <w:rPr>
                <w:rFonts w:hint="default" w:ascii="Times New Roman" w:hAnsi="Times New Roman" w:eastAsia="宋体" w:cs="Times New Roman"/>
                <w:b/>
                <w:color w:val="000000" w:themeColor="text1"/>
                <w:kern w:val="0"/>
                <w:sz w:val="21"/>
                <w:szCs w:val="21"/>
              </w:rPr>
              <w:t>表4-4  非正常排放下点源参数清单一览表</w:t>
            </w:r>
          </w:p>
          <w:tbl>
            <w:tblPr>
              <w:tblStyle w:val="43"/>
              <w:tblW w:w="8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709"/>
              <w:gridCol w:w="648"/>
              <w:gridCol w:w="1275"/>
              <w:gridCol w:w="1134"/>
              <w:gridCol w:w="709"/>
              <w:gridCol w:w="709"/>
              <w:gridCol w:w="1127"/>
              <w:gridCol w:w="1202"/>
            </w:tblGrid>
            <w:tr w14:paraId="09019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5" w:type="dxa"/>
                  <w:noWrap w:val="0"/>
                  <w:vAlign w:val="center"/>
                </w:tcPr>
                <w:p w14:paraId="2D3927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val="0"/>
                      <w:color w:val="000000" w:themeColor="text1"/>
                      <w:kern w:val="0"/>
                      <w:sz w:val="21"/>
                      <w:szCs w:val="21"/>
                    </w:rPr>
                  </w:pPr>
                  <w:r>
                    <w:rPr>
                      <w:rFonts w:hint="default" w:ascii="Times New Roman" w:hAnsi="Times New Roman" w:eastAsia="宋体" w:cs="Times New Roman"/>
                      <w:b/>
                      <w:bCs w:val="0"/>
                      <w:color w:val="000000" w:themeColor="text1"/>
                      <w:kern w:val="0"/>
                      <w:sz w:val="21"/>
                      <w:szCs w:val="21"/>
                    </w:rPr>
                    <w:t>排放源</w:t>
                  </w:r>
                </w:p>
              </w:tc>
              <w:tc>
                <w:tcPr>
                  <w:tcW w:w="709" w:type="dxa"/>
                  <w:noWrap w:val="0"/>
                  <w:vAlign w:val="center"/>
                </w:tcPr>
                <w:p w14:paraId="49ADF6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val="0"/>
                      <w:color w:val="000000" w:themeColor="text1"/>
                      <w:kern w:val="0"/>
                      <w:sz w:val="21"/>
                      <w:szCs w:val="21"/>
                    </w:rPr>
                  </w:pPr>
                  <w:r>
                    <w:rPr>
                      <w:rFonts w:hint="default" w:ascii="Times New Roman" w:hAnsi="Times New Roman" w:eastAsia="宋体" w:cs="Times New Roman"/>
                      <w:b/>
                      <w:bCs w:val="0"/>
                      <w:color w:val="000000" w:themeColor="text1"/>
                      <w:kern w:val="0"/>
                      <w:sz w:val="21"/>
                      <w:szCs w:val="21"/>
                    </w:rPr>
                    <w:t>非正常排放原因</w:t>
                  </w:r>
                </w:p>
              </w:tc>
              <w:tc>
                <w:tcPr>
                  <w:tcW w:w="648" w:type="dxa"/>
                  <w:noWrap w:val="0"/>
                  <w:vAlign w:val="center"/>
                </w:tcPr>
                <w:p w14:paraId="59A2EC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val="0"/>
                      <w:color w:val="000000" w:themeColor="text1"/>
                      <w:kern w:val="0"/>
                      <w:sz w:val="21"/>
                      <w:szCs w:val="21"/>
                    </w:rPr>
                  </w:pPr>
                  <w:r>
                    <w:rPr>
                      <w:rFonts w:hint="default" w:ascii="Times New Roman" w:hAnsi="Times New Roman" w:eastAsia="宋体" w:cs="Times New Roman"/>
                      <w:b/>
                      <w:bCs w:val="0"/>
                      <w:color w:val="000000" w:themeColor="text1"/>
                      <w:kern w:val="0"/>
                      <w:sz w:val="21"/>
                      <w:szCs w:val="21"/>
                    </w:rPr>
                    <w:t>污染物</w:t>
                  </w:r>
                </w:p>
              </w:tc>
              <w:tc>
                <w:tcPr>
                  <w:tcW w:w="1275" w:type="dxa"/>
                  <w:noWrap w:val="0"/>
                  <w:vAlign w:val="center"/>
                </w:tcPr>
                <w:p w14:paraId="432325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val="0"/>
                      <w:color w:val="000000" w:themeColor="text1"/>
                      <w:kern w:val="0"/>
                      <w:sz w:val="21"/>
                      <w:szCs w:val="21"/>
                    </w:rPr>
                  </w:pPr>
                  <w:r>
                    <w:rPr>
                      <w:rFonts w:hint="default" w:ascii="Times New Roman" w:hAnsi="Times New Roman" w:eastAsia="宋体" w:cs="Times New Roman"/>
                      <w:b/>
                      <w:bCs w:val="0"/>
                      <w:color w:val="000000" w:themeColor="text1"/>
                      <w:kern w:val="0"/>
                      <w:sz w:val="21"/>
                      <w:szCs w:val="21"/>
                    </w:rPr>
                    <w:t>排放浓度（mg/m</w:t>
                  </w:r>
                  <w:r>
                    <w:rPr>
                      <w:rFonts w:hint="default" w:ascii="Times New Roman" w:hAnsi="Times New Roman" w:eastAsia="宋体" w:cs="Times New Roman"/>
                      <w:b/>
                      <w:bCs w:val="0"/>
                      <w:color w:val="000000" w:themeColor="text1"/>
                      <w:kern w:val="0"/>
                      <w:sz w:val="21"/>
                      <w:szCs w:val="21"/>
                      <w:vertAlign w:val="superscript"/>
                    </w:rPr>
                    <w:t>3</w:t>
                  </w:r>
                  <w:r>
                    <w:rPr>
                      <w:rFonts w:hint="default" w:ascii="Times New Roman" w:hAnsi="Times New Roman" w:eastAsia="宋体" w:cs="Times New Roman"/>
                      <w:b/>
                      <w:bCs w:val="0"/>
                      <w:color w:val="000000" w:themeColor="text1"/>
                      <w:kern w:val="0"/>
                      <w:sz w:val="21"/>
                      <w:szCs w:val="21"/>
                    </w:rPr>
                    <w:t>）</w:t>
                  </w:r>
                </w:p>
              </w:tc>
              <w:tc>
                <w:tcPr>
                  <w:tcW w:w="1134" w:type="dxa"/>
                  <w:noWrap w:val="0"/>
                  <w:vAlign w:val="center"/>
                </w:tcPr>
                <w:p w14:paraId="7A1BAF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val="0"/>
                      <w:color w:val="000000" w:themeColor="text1"/>
                      <w:kern w:val="0"/>
                      <w:sz w:val="21"/>
                      <w:szCs w:val="21"/>
                    </w:rPr>
                  </w:pPr>
                  <w:r>
                    <w:rPr>
                      <w:rFonts w:hint="default" w:ascii="Times New Roman" w:hAnsi="Times New Roman" w:eastAsia="宋体" w:cs="Times New Roman"/>
                      <w:b/>
                      <w:bCs w:val="0"/>
                      <w:color w:val="000000" w:themeColor="text1"/>
                      <w:kern w:val="0"/>
                      <w:sz w:val="21"/>
                      <w:szCs w:val="21"/>
                    </w:rPr>
                    <w:t>排放速率（kg/h）</w:t>
                  </w:r>
                </w:p>
              </w:tc>
              <w:tc>
                <w:tcPr>
                  <w:tcW w:w="709" w:type="dxa"/>
                  <w:noWrap w:val="0"/>
                  <w:vAlign w:val="center"/>
                </w:tcPr>
                <w:p w14:paraId="02DF6B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val="0"/>
                      <w:color w:val="000000" w:themeColor="text1"/>
                      <w:kern w:val="0"/>
                      <w:sz w:val="21"/>
                      <w:szCs w:val="21"/>
                    </w:rPr>
                  </w:pPr>
                  <w:r>
                    <w:rPr>
                      <w:rFonts w:hint="default" w:ascii="Times New Roman" w:hAnsi="Times New Roman" w:eastAsia="宋体" w:cs="Times New Roman"/>
                      <w:b/>
                      <w:bCs w:val="0"/>
                      <w:color w:val="000000" w:themeColor="text1"/>
                      <w:kern w:val="0"/>
                      <w:sz w:val="21"/>
                      <w:szCs w:val="21"/>
                    </w:rPr>
                    <w:t>单次持续时间</w:t>
                  </w:r>
                </w:p>
              </w:tc>
              <w:tc>
                <w:tcPr>
                  <w:tcW w:w="709" w:type="dxa"/>
                  <w:noWrap w:val="0"/>
                  <w:vAlign w:val="center"/>
                </w:tcPr>
                <w:p w14:paraId="14EBEE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val="0"/>
                      <w:color w:val="000000" w:themeColor="text1"/>
                      <w:kern w:val="0"/>
                      <w:sz w:val="21"/>
                      <w:szCs w:val="21"/>
                    </w:rPr>
                  </w:pPr>
                  <w:r>
                    <w:rPr>
                      <w:rFonts w:hint="default" w:ascii="Times New Roman" w:hAnsi="Times New Roman" w:eastAsia="宋体" w:cs="Times New Roman"/>
                      <w:b/>
                      <w:bCs w:val="0"/>
                      <w:color w:val="000000" w:themeColor="text1"/>
                      <w:kern w:val="0"/>
                      <w:sz w:val="21"/>
                      <w:szCs w:val="21"/>
                    </w:rPr>
                    <w:t>发生频次</w:t>
                  </w:r>
                </w:p>
              </w:tc>
              <w:tc>
                <w:tcPr>
                  <w:tcW w:w="1127" w:type="dxa"/>
                  <w:noWrap w:val="0"/>
                  <w:vAlign w:val="center"/>
                </w:tcPr>
                <w:p w14:paraId="6C98F8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val="0"/>
                      <w:color w:val="000000" w:themeColor="text1"/>
                      <w:kern w:val="0"/>
                      <w:sz w:val="21"/>
                      <w:szCs w:val="21"/>
                    </w:rPr>
                  </w:pPr>
                  <w:r>
                    <w:rPr>
                      <w:rFonts w:hint="default" w:ascii="Times New Roman" w:hAnsi="Times New Roman" w:eastAsia="宋体" w:cs="Times New Roman"/>
                      <w:b/>
                      <w:bCs w:val="0"/>
                      <w:color w:val="000000" w:themeColor="text1"/>
                      <w:kern w:val="0"/>
                      <w:sz w:val="21"/>
                      <w:szCs w:val="21"/>
                    </w:rPr>
                    <w:t>排放量（kg/次）</w:t>
                  </w:r>
                </w:p>
              </w:tc>
              <w:tc>
                <w:tcPr>
                  <w:tcW w:w="1202" w:type="dxa"/>
                  <w:noWrap w:val="0"/>
                  <w:vAlign w:val="center"/>
                </w:tcPr>
                <w:p w14:paraId="6CCF5B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val="0"/>
                      <w:color w:val="000000" w:themeColor="text1"/>
                      <w:kern w:val="0"/>
                      <w:sz w:val="21"/>
                      <w:szCs w:val="21"/>
                    </w:rPr>
                  </w:pPr>
                  <w:r>
                    <w:rPr>
                      <w:rFonts w:hint="default" w:ascii="Times New Roman" w:hAnsi="Times New Roman" w:eastAsia="宋体" w:cs="Times New Roman"/>
                      <w:b/>
                      <w:bCs w:val="0"/>
                      <w:color w:val="000000" w:themeColor="text1"/>
                      <w:kern w:val="0"/>
                      <w:sz w:val="21"/>
                      <w:szCs w:val="21"/>
                    </w:rPr>
                    <w:t>标准限值（mg/m</w:t>
                  </w:r>
                  <w:r>
                    <w:rPr>
                      <w:rFonts w:hint="default" w:ascii="Times New Roman" w:hAnsi="Times New Roman" w:eastAsia="宋体" w:cs="Times New Roman"/>
                      <w:b/>
                      <w:bCs w:val="0"/>
                      <w:color w:val="000000" w:themeColor="text1"/>
                      <w:kern w:val="0"/>
                      <w:sz w:val="21"/>
                      <w:szCs w:val="21"/>
                      <w:vertAlign w:val="superscript"/>
                    </w:rPr>
                    <w:t>3</w:t>
                  </w:r>
                  <w:r>
                    <w:rPr>
                      <w:rFonts w:hint="default" w:ascii="Times New Roman" w:hAnsi="Times New Roman" w:eastAsia="宋体" w:cs="Times New Roman"/>
                      <w:b/>
                      <w:bCs w:val="0"/>
                      <w:color w:val="000000" w:themeColor="text1"/>
                      <w:kern w:val="0"/>
                      <w:sz w:val="21"/>
                      <w:szCs w:val="21"/>
                    </w:rPr>
                    <w:t>）</w:t>
                  </w:r>
                </w:p>
              </w:tc>
            </w:tr>
            <w:tr w14:paraId="047C2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5" w:type="dxa"/>
                  <w:noWrap w:val="0"/>
                  <w:vAlign w:val="center"/>
                </w:tcPr>
                <w:p w14:paraId="4DB6F7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000000" w:themeColor="text1"/>
                      <w:kern w:val="0"/>
                      <w:sz w:val="21"/>
                      <w:szCs w:val="21"/>
                    </w:rPr>
                  </w:pPr>
                  <w:r>
                    <w:rPr>
                      <w:rFonts w:hint="default" w:ascii="Times New Roman" w:hAnsi="Times New Roman" w:eastAsia="宋体" w:cs="Times New Roman"/>
                      <w:bCs/>
                      <w:color w:val="000000" w:themeColor="text1"/>
                      <w:kern w:val="0"/>
                      <w:sz w:val="21"/>
                      <w:szCs w:val="21"/>
                    </w:rPr>
                    <w:t>DA001</w:t>
                  </w:r>
                </w:p>
              </w:tc>
              <w:tc>
                <w:tcPr>
                  <w:tcW w:w="709" w:type="dxa"/>
                  <w:noWrap w:val="0"/>
                  <w:vAlign w:val="center"/>
                </w:tcPr>
                <w:p w14:paraId="796FDA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000000" w:themeColor="text1"/>
                      <w:kern w:val="0"/>
                      <w:sz w:val="21"/>
                      <w:szCs w:val="21"/>
                    </w:rPr>
                  </w:pPr>
                  <w:r>
                    <w:rPr>
                      <w:rFonts w:hint="default" w:ascii="Times New Roman" w:hAnsi="Times New Roman" w:eastAsia="宋体" w:cs="Times New Roman"/>
                      <w:bCs/>
                      <w:color w:val="000000" w:themeColor="text1"/>
                      <w:kern w:val="0"/>
                      <w:sz w:val="21"/>
                      <w:szCs w:val="21"/>
                    </w:rPr>
                    <w:t>废气处理设施故障</w:t>
                  </w:r>
                </w:p>
              </w:tc>
              <w:tc>
                <w:tcPr>
                  <w:tcW w:w="648" w:type="dxa"/>
                  <w:noWrap w:val="0"/>
                  <w:vAlign w:val="center"/>
                </w:tcPr>
                <w:p w14:paraId="28C731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000000" w:themeColor="text1"/>
                      <w:kern w:val="0"/>
                      <w:sz w:val="21"/>
                      <w:szCs w:val="21"/>
                    </w:rPr>
                  </w:pPr>
                  <w:r>
                    <w:rPr>
                      <w:rFonts w:hint="default" w:ascii="Times New Roman" w:hAnsi="Times New Roman" w:eastAsia="宋体" w:cs="Times New Roman"/>
                      <w:bCs/>
                      <w:color w:val="000000" w:themeColor="text1"/>
                      <w:kern w:val="0"/>
                      <w:sz w:val="21"/>
                      <w:szCs w:val="21"/>
                    </w:rPr>
                    <w:t>颗粒物</w:t>
                  </w:r>
                </w:p>
              </w:tc>
              <w:tc>
                <w:tcPr>
                  <w:tcW w:w="1275" w:type="dxa"/>
                  <w:noWrap w:val="0"/>
                  <w:vAlign w:val="center"/>
                </w:tcPr>
                <w:p w14:paraId="14BACC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00B050"/>
                      <w:kern w:val="0"/>
                      <w:sz w:val="21"/>
                      <w:szCs w:val="21"/>
                      <w:lang w:val="en-US" w:eastAsia="zh-CN"/>
                    </w:rPr>
                  </w:pPr>
                  <w:r>
                    <w:rPr>
                      <w:rFonts w:hint="eastAsia" w:cs="Times New Roman"/>
                      <w:bCs/>
                      <w:color w:val="00B050"/>
                      <w:kern w:val="0"/>
                      <w:sz w:val="21"/>
                      <w:szCs w:val="21"/>
                      <w:lang w:val="en-US" w:eastAsia="zh-CN"/>
                    </w:rPr>
                    <w:t>375.97</w:t>
                  </w:r>
                </w:p>
              </w:tc>
              <w:tc>
                <w:tcPr>
                  <w:tcW w:w="1134" w:type="dxa"/>
                  <w:noWrap w:val="0"/>
                  <w:vAlign w:val="center"/>
                </w:tcPr>
                <w:p w14:paraId="390FD2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00B050"/>
                      <w:kern w:val="0"/>
                      <w:sz w:val="21"/>
                      <w:szCs w:val="21"/>
                      <w:lang w:val="en-US" w:eastAsia="zh-CN"/>
                    </w:rPr>
                  </w:pPr>
                  <w:r>
                    <w:rPr>
                      <w:rFonts w:hint="eastAsia" w:cs="Times New Roman"/>
                      <w:bCs/>
                      <w:color w:val="00B050"/>
                      <w:kern w:val="0"/>
                      <w:sz w:val="21"/>
                      <w:szCs w:val="21"/>
                      <w:lang w:val="en-US" w:eastAsia="zh-CN"/>
                    </w:rPr>
                    <w:t>1.88</w:t>
                  </w:r>
                </w:p>
              </w:tc>
              <w:tc>
                <w:tcPr>
                  <w:tcW w:w="709" w:type="dxa"/>
                  <w:noWrap w:val="0"/>
                  <w:vAlign w:val="center"/>
                </w:tcPr>
                <w:p w14:paraId="0E63F6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00B050"/>
                      <w:kern w:val="0"/>
                      <w:sz w:val="21"/>
                      <w:szCs w:val="21"/>
                    </w:rPr>
                  </w:pPr>
                  <w:r>
                    <w:rPr>
                      <w:rFonts w:hint="default" w:ascii="Times New Roman" w:hAnsi="Times New Roman" w:eastAsia="宋体" w:cs="Times New Roman"/>
                      <w:bCs/>
                      <w:color w:val="00B050"/>
                      <w:kern w:val="0"/>
                      <w:sz w:val="21"/>
                      <w:szCs w:val="21"/>
                    </w:rPr>
                    <w:t>1h</w:t>
                  </w:r>
                </w:p>
              </w:tc>
              <w:tc>
                <w:tcPr>
                  <w:tcW w:w="709" w:type="dxa"/>
                  <w:noWrap w:val="0"/>
                  <w:vAlign w:val="center"/>
                </w:tcPr>
                <w:p w14:paraId="370037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00B050"/>
                      <w:kern w:val="0"/>
                      <w:sz w:val="21"/>
                      <w:szCs w:val="21"/>
                    </w:rPr>
                  </w:pPr>
                  <w:r>
                    <w:rPr>
                      <w:rFonts w:hint="default" w:ascii="Times New Roman" w:hAnsi="Times New Roman" w:eastAsia="宋体" w:cs="Times New Roman"/>
                      <w:bCs/>
                      <w:color w:val="00B050"/>
                      <w:kern w:val="0"/>
                      <w:sz w:val="21"/>
                      <w:szCs w:val="21"/>
                    </w:rPr>
                    <w:t>1次/年</w:t>
                  </w:r>
                </w:p>
              </w:tc>
              <w:tc>
                <w:tcPr>
                  <w:tcW w:w="1127" w:type="dxa"/>
                  <w:noWrap w:val="0"/>
                  <w:vAlign w:val="center"/>
                </w:tcPr>
                <w:p w14:paraId="240420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00B050"/>
                      <w:kern w:val="0"/>
                      <w:sz w:val="21"/>
                      <w:szCs w:val="21"/>
                      <w:lang w:val="en-US" w:eastAsia="zh-CN"/>
                    </w:rPr>
                  </w:pPr>
                  <w:r>
                    <w:rPr>
                      <w:rFonts w:hint="eastAsia" w:cs="Times New Roman"/>
                      <w:bCs/>
                      <w:color w:val="00B050"/>
                      <w:kern w:val="0"/>
                      <w:sz w:val="21"/>
                      <w:szCs w:val="21"/>
                      <w:lang w:val="en-US" w:eastAsia="zh-CN"/>
                    </w:rPr>
                    <w:t>13.535</w:t>
                  </w:r>
                </w:p>
              </w:tc>
              <w:tc>
                <w:tcPr>
                  <w:tcW w:w="1202" w:type="dxa"/>
                  <w:noWrap w:val="0"/>
                  <w:vAlign w:val="center"/>
                </w:tcPr>
                <w:p w14:paraId="6490EB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rPr>
                  </w:pPr>
                  <w:r>
                    <w:rPr>
                      <w:rFonts w:hint="eastAsia" w:ascii="Times New Roman" w:hAnsi="Times New Roman" w:eastAsia="宋体" w:cs="Times New Roman"/>
                      <w:bCs/>
                      <w:color w:val="000000" w:themeColor="text1"/>
                      <w:kern w:val="0"/>
                      <w:sz w:val="21"/>
                      <w:szCs w:val="21"/>
                      <w:lang w:val="en-US" w:eastAsia="zh-CN"/>
                    </w:rPr>
                    <w:t>200</w:t>
                  </w:r>
                </w:p>
              </w:tc>
            </w:tr>
          </w:tbl>
          <w:p w14:paraId="213F83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Cs/>
                <w:color w:val="000000" w:themeColor="text1"/>
                <w:kern w:val="0"/>
                <w:sz w:val="21"/>
                <w:szCs w:val="21"/>
              </w:rPr>
            </w:pPr>
            <w:r>
              <w:rPr>
                <w:rFonts w:hint="default" w:ascii="Times New Roman" w:hAnsi="Times New Roman" w:eastAsia="宋体" w:cs="Times New Roman"/>
                <w:bCs/>
                <w:color w:val="000000" w:themeColor="text1"/>
                <w:kern w:val="0"/>
                <w:sz w:val="21"/>
                <w:szCs w:val="21"/>
              </w:rPr>
              <w:t>由上表可知，当废气处理设施发生</w:t>
            </w:r>
            <w:r>
              <w:rPr>
                <w:rFonts w:hint="default" w:ascii="Times New Roman" w:hAnsi="Times New Roman" w:eastAsia="宋体" w:cs="Times New Roman"/>
                <w:bCs/>
                <w:color w:val="000000" w:themeColor="text1"/>
                <w:kern w:val="0"/>
                <w:sz w:val="21"/>
                <w:szCs w:val="21"/>
                <w:lang w:val="en-US" w:eastAsia="zh-CN"/>
              </w:rPr>
              <w:t>重大</w:t>
            </w:r>
            <w:r>
              <w:rPr>
                <w:rFonts w:hint="default" w:ascii="Times New Roman" w:hAnsi="Times New Roman" w:eastAsia="宋体" w:cs="Times New Roman"/>
                <w:bCs/>
                <w:color w:val="000000" w:themeColor="text1"/>
                <w:kern w:val="0"/>
                <w:sz w:val="21"/>
                <w:szCs w:val="21"/>
              </w:rPr>
              <w:t>故障时，非正常情况下，颗粒物不能满足相应排放标准要求，因此当废气处理措施发生故障时，应及时对</w:t>
            </w:r>
            <w:r>
              <w:rPr>
                <w:rFonts w:hint="eastAsia" w:ascii="Times New Roman" w:hAnsi="Times New Roman" w:eastAsia="宋体" w:cs="Times New Roman"/>
                <w:bCs/>
                <w:color w:val="000000" w:themeColor="text1"/>
                <w:kern w:val="0"/>
                <w:sz w:val="21"/>
                <w:szCs w:val="21"/>
                <w:lang w:val="en-US" w:eastAsia="zh-CN"/>
              </w:rPr>
              <w:t>以下防治措施</w:t>
            </w:r>
            <w:r>
              <w:rPr>
                <w:rFonts w:hint="default" w:ascii="Times New Roman" w:hAnsi="Times New Roman" w:eastAsia="宋体" w:cs="Times New Roman"/>
                <w:bCs/>
                <w:color w:val="000000" w:themeColor="text1"/>
                <w:kern w:val="0"/>
                <w:sz w:val="21"/>
                <w:szCs w:val="21"/>
              </w:rPr>
              <w:t>，保证处理措施的正常运行。</w:t>
            </w:r>
          </w:p>
          <w:p w14:paraId="7C2DED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jc w:val="both"/>
              <w:textAlignment w:val="auto"/>
              <w:rPr>
                <w:rFonts w:hint="default" w:ascii="Times New Roman" w:hAnsi="Times New Roman" w:cs="Times New Roman"/>
                <w:color w:val="000000" w:themeColor="text1"/>
                <w:sz w:val="21"/>
                <w:szCs w:val="21"/>
                <w:lang w:val="en-US"/>
              </w:rPr>
            </w:pPr>
            <w:r>
              <w:rPr>
                <w:rFonts w:hint="eastAsia" w:ascii="Times New Roman" w:hAnsi="Times New Roman" w:eastAsia="宋体" w:cs="宋体"/>
                <w:color w:val="000000" w:themeColor="text1"/>
                <w:kern w:val="2"/>
                <w:sz w:val="21"/>
                <w:szCs w:val="21"/>
                <w:lang w:val="en-US" w:eastAsia="zh-CN" w:bidi="ar"/>
              </w:rPr>
              <w:t>非正常工况防治措施：</w:t>
            </w:r>
          </w:p>
          <w:p w14:paraId="188A91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jc w:val="both"/>
              <w:textAlignment w:val="auto"/>
              <w:rPr>
                <w:rFonts w:hint="default" w:ascii="Times New Roman" w:hAnsi="Times New Roman" w:cs="Times New Roman"/>
                <w:color w:val="000000" w:themeColor="text1"/>
                <w:sz w:val="21"/>
                <w:szCs w:val="21"/>
                <w:lang w:val="en-US"/>
              </w:rPr>
            </w:pPr>
            <w:r>
              <w:rPr>
                <w:rFonts w:hint="default" w:ascii="Times New Roman" w:hAnsi="Times New Roman" w:eastAsia="宋体" w:cs="Times New Roman"/>
                <w:color w:val="000000" w:themeColor="text1"/>
                <w:kern w:val="2"/>
                <w:sz w:val="21"/>
                <w:szCs w:val="21"/>
                <w:lang w:val="en-US" w:eastAsia="zh-CN" w:bidi="ar"/>
              </w:rPr>
              <w:t>1</w:t>
            </w:r>
            <w:r>
              <w:rPr>
                <w:rFonts w:hint="eastAsia" w:ascii="Times New Roman" w:hAnsi="Times New Roman" w:eastAsia="宋体" w:cs="宋体"/>
                <w:color w:val="000000" w:themeColor="text1"/>
                <w:kern w:val="2"/>
                <w:sz w:val="21"/>
                <w:szCs w:val="21"/>
                <w:lang w:val="en-US" w:eastAsia="zh-CN" w:bidi="ar"/>
              </w:rPr>
              <w:t>）企业在生产过程中加强对废气处理装置的管理和监控，一旦发现废气处理装置出现问题应立即进行检修，确保废气处理装置正常运行。</w:t>
            </w:r>
          </w:p>
          <w:p w14:paraId="334D47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Cs/>
                <w:color w:val="000000" w:themeColor="text1"/>
                <w:kern w:val="0"/>
                <w:sz w:val="21"/>
                <w:szCs w:val="21"/>
              </w:rPr>
            </w:pPr>
            <w:r>
              <w:rPr>
                <w:rFonts w:hint="default" w:ascii="Times New Roman" w:hAnsi="Times New Roman" w:eastAsia="宋体" w:cs="Times New Roman"/>
                <w:color w:val="000000" w:themeColor="text1"/>
                <w:kern w:val="2"/>
                <w:sz w:val="21"/>
                <w:szCs w:val="21"/>
                <w:lang w:val="en-US" w:eastAsia="zh-CN" w:bidi="ar"/>
              </w:rPr>
              <w:t>2</w:t>
            </w:r>
            <w:r>
              <w:rPr>
                <w:rFonts w:hint="eastAsia" w:ascii="Times New Roman" w:hAnsi="Times New Roman" w:eastAsia="宋体" w:cs="宋体"/>
                <w:color w:val="000000" w:themeColor="text1"/>
                <w:kern w:val="2"/>
                <w:sz w:val="21"/>
                <w:szCs w:val="21"/>
                <w:lang w:val="en-US" w:eastAsia="zh-CN" w:bidi="ar"/>
              </w:rPr>
              <w:t>）设备检修及开停车、开车时，首先启动环保装置，然后再按照规程依次启动生产线上各个设备，一般不会出现超标排污的现象；停车时，则需先按照规程依次关停生产线上的设备，然后关闭环保设备，保证污染物达标排放。</w:t>
            </w:r>
          </w:p>
          <w:p w14:paraId="6F5D9F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316" w:firstLineChars="150"/>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（7）自行监测要求</w:t>
            </w:r>
          </w:p>
          <w:p w14:paraId="2A2B16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该项目</w:t>
            </w:r>
            <w:r>
              <w:rPr>
                <w:rFonts w:hint="eastAsia" w:cs="Times New Roman"/>
                <w:color w:val="00B050"/>
                <w:sz w:val="21"/>
                <w:szCs w:val="21"/>
                <w:lang w:val="en-US" w:eastAsia="zh-CN"/>
              </w:rPr>
              <w:t>涉及</w:t>
            </w:r>
            <w:r>
              <w:rPr>
                <w:rFonts w:hint="eastAsia" w:ascii="Times New Roman" w:hAnsi="Times New Roman" w:eastAsia="宋体" w:cs="Times New Roman"/>
                <w:color w:val="00B050"/>
                <w:sz w:val="21"/>
                <w:szCs w:val="21"/>
                <w:lang w:val="en-US" w:eastAsia="zh-CN"/>
              </w:rPr>
              <w:t>纸制品制造</w:t>
            </w:r>
            <w:r>
              <w:rPr>
                <w:rFonts w:hint="eastAsia" w:cs="Times New Roman"/>
                <w:color w:val="00B050"/>
                <w:sz w:val="21"/>
                <w:szCs w:val="21"/>
                <w:lang w:val="en-US" w:eastAsia="zh-CN"/>
              </w:rPr>
              <w:t>和工业炉窑</w:t>
            </w:r>
            <w:r>
              <w:rPr>
                <w:rFonts w:hint="default" w:ascii="Times New Roman" w:hAnsi="Times New Roman" w:eastAsia="宋体" w:cs="Times New Roman"/>
                <w:color w:val="000000" w:themeColor="text1"/>
                <w:sz w:val="21"/>
                <w:szCs w:val="21"/>
              </w:rPr>
              <w:t>，根据《固定污染源排污许可分类管理名录》（2019版），属于排污许可</w:t>
            </w:r>
            <w:r>
              <w:rPr>
                <w:rFonts w:hint="eastAsia" w:ascii="Times New Roman" w:hAnsi="Times New Roman" w:eastAsia="宋体" w:cs="Times New Roman"/>
                <w:color w:val="000000" w:themeColor="text1"/>
                <w:sz w:val="21"/>
                <w:szCs w:val="21"/>
                <w:lang w:val="en-US" w:eastAsia="zh-CN"/>
              </w:rPr>
              <w:t>简化</w:t>
            </w:r>
            <w:r>
              <w:rPr>
                <w:rFonts w:hint="default" w:ascii="Times New Roman" w:hAnsi="Times New Roman" w:eastAsia="宋体" w:cs="Times New Roman"/>
                <w:color w:val="000000" w:themeColor="text1"/>
                <w:sz w:val="21"/>
                <w:szCs w:val="21"/>
              </w:rPr>
              <w:t>管理</w:t>
            </w:r>
            <w:r>
              <w:rPr>
                <w:rFonts w:hint="eastAsia" w:ascii="Times New Roman" w:hAnsi="Times New Roman" w:eastAsia="宋体" w:cs="Times New Roman"/>
                <w:color w:val="000000" w:themeColor="text1"/>
                <w:sz w:val="21"/>
                <w:szCs w:val="21"/>
                <w:lang w:eastAsia="zh-CN"/>
              </w:rPr>
              <w:t>，</w:t>
            </w:r>
            <w:r>
              <w:rPr>
                <w:rFonts w:hint="eastAsia" w:cs="Times New Roman"/>
                <w:color w:val="00B050"/>
                <w:sz w:val="21"/>
                <w:szCs w:val="21"/>
                <w:lang w:val="en-US" w:eastAsia="zh-CN"/>
              </w:rPr>
              <w:t>根据</w:t>
            </w:r>
            <w:r>
              <w:rPr>
                <w:rFonts w:hint="eastAsia" w:ascii="Times New Roman" w:hAnsi="Times New Roman" w:eastAsia="宋体" w:cs="Times New Roman"/>
                <w:color w:val="000000" w:themeColor="text1"/>
                <w:sz w:val="21"/>
                <w:szCs w:val="21"/>
                <w:lang w:val="en-US" w:eastAsia="zh-CN"/>
              </w:rPr>
              <w:t>《排污许可证申请与核发技术规范 工业炉窑》（HJ 1121-2020）制定大气监测计划，</w:t>
            </w:r>
            <w:r>
              <w:rPr>
                <w:rFonts w:hint="default" w:ascii="Times New Roman" w:hAnsi="Times New Roman" w:eastAsia="宋体" w:cs="Times New Roman"/>
                <w:color w:val="000000" w:themeColor="text1"/>
                <w:sz w:val="21"/>
                <w:szCs w:val="21"/>
              </w:rPr>
              <w:t>监测要求如下表所示。</w:t>
            </w:r>
          </w:p>
          <w:p w14:paraId="2F6C51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color w:val="000000" w:themeColor="text1"/>
                <w:sz w:val="21"/>
                <w:szCs w:val="21"/>
              </w:rPr>
            </w:pPr>
          </w:p>
          <w:p w14:paraId="3C0D1E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表4-5  项目运营期废气自行监测计划一览表</w:t>
            </w:r>
          </w:p>
          <w:tbl>
            <w:tblPr>
              <w:tblStyle w:val="43"/>
              <w:tblW w:w="81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672"/>
              <w:gridCol w:w="1134"/>
              <w:gridCol w:w="2915"/>
              <w:gridCol w:w="1635"/>
            </w:tblGrid>
            <w:tr w14:paraId="36EDC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jc w:val="center"/>
              </w:trPr>
              <w:tc>
                <w:tcPr>
                  <w:tcW w:w="767" w:type="dxa"/>
                  <w:noWrap w:val="0"/>
                  <w:vAlign w:val="center"/>
                </w:tcPr>
                <w:p w14:paraId="0E150141">
                  <w:pPr>
                    <w:pStyle w:val="190"/>
                    <w:keepNext w:val="0"/>
                    <w:keepLines w:val="0"/>
                    <w:pageBreakBefore w:val="0"/>
                    <w:widowControl/>
                    <w:suppressLineNumbers w:val="0"/>
                    <w:kinsoku/>
                    <w:wordWrap/>
                    <w:overflowPunct w:val="0"/>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eastAsia="宋体"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对象</w:t>
                  </w:r>
                </w:p>
              </w:tc>
              <w:tc>
                <w:tcPr>
                  <w:tcW w:w="1672" w:type="dxa"/>
                  <w:noWrap w:val="0"/>
                  <w:vAlign w:val="center"/>
                </w:tcPr>
                <w:p w14:paraId="36840205">
                  <w:pPr>
                    <w:pStyle w:val="190"/>
                    <w:keepNext w:val="0"/>
                    <w:keepLines w:val="0"/>
                    <w:pageBreakBefore w:val="0"/>
                    <w:widowControl/>
                    <w:suppressLineNumbers w:val="0"/>
                    <w:kinsoku/>
                    <w:wordWrap/>
                    <w:overflowPunct w:val="0"/>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eastAsia="宋体"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监测点位</w:t>
                  </w:r>
                </w:p>
              </w:tc>
              <w:tc>
                <w:tcPr>
                  <w:tcW w:w="1134" w:type="dxa"/>
                  <w:noWrap w:val="0"/>
                  <w:vAlign w:val="center"/>
                </w:tcPr>
                <w:p w14:paraId="2C30FF71">
                  <w:pPr>
                    <w:pStyle w:val="190"/>
                    <w:keepNext w:val="0"/>
                    <w:keepLines w:val="0"/>
                    <w:pageBreakBefore w:val="0"/>
                    <w:widowControl/>
                    <w:suppressLineNumbers w:val="0"/>
                    <w:kinsoku/>
                    <w:wordWrap/>
                    <w:overflowPunct w:val="0"/>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eastAsia="宋体" w:cs="Times New Roman"/>
                      <w:b/>
                      <w:bCs w:val="0"/>
                      <w:color w:val="000000" w:themeColor="text1"/>
                      <w:sz w:val="21"/>
                      <w:szCs w:val="21"/>
                      <w:lang w:val="en-US" w:eastAsia="zh-CN"/>
                    </w:rPr>
                  </w:pPr>
                  <w:r>
                    <w:rPr>
                      <w:rFonts w:hint="eastAsia" w:ascii="Times New Roman" w:hAnsi="Times New Roman" w:eastAsia="宋体" w:cs="Times New Roman"/>
                      <w:b/>
                      <w:bCs w:val="0"/>
                      <w:color w:val="000000" w:themeColor="text1"/>
                      <w:sz w:val="21"/>
                      <w:szCs w:val="21"/>
                      <w:lang w:val="en-US" w:eastAsia="zh-CN"/>
                    </w:rPr>
                    <w:t>排口类型</w:t>
                  </w:r>
                </w:p>
              </w:tc>
              <w:tc>
                <w:tcPr>
                  <w:tcW w:w="2915" w:type="dxa"/>
                  <w:noWrap w:val="0"/>
                  <w:vAlign w:val="center"/>
                </w:tcPr>
                <w:p w14:paraId="4B8B7381">
                  <w:pPr>
                    <w:pStyle w:val="190"/>
                    <w:keepNext w:val="0"/>
                    <w:keepLines w:val="0"/>
                    <w:pageBreakBefore w:val="0"/>
                    <w:widowControl/>
                    <w:suppressLineNumbers w:val="0"/>
                    <w:kinsoku/>
                    <w:wordWrap/>
                    <w:overflowPunct w:val="0"/>
                    <w:topLinePunct w:val="0"/>
                    <w:autoSpaceDE/>
                    <w:autoSpaceDN/>
                    <w:bidi w:val="0"/>
                    <w:adjustRightInd w:val="0"/>
                    <w:snapToGrid w:val="0"/>
                    <w:spacing w:before="0" w:beforeAutospacing="0" w:after="0" w:afterAutospacing="0" w:line="320" w:lineRule="exact"/>
                    <w:ind w:left="0" w:right="0" w:firstLine="0" w:firstLineChars="0"/>
                    <w:textAlignment w:val="baseline"/>
                    <w:rPr>
                      <w:rFonts w:hint="default" w:ascii="Times New Roman" w:hAnsi="Times New Roman" w:eastAsia="宋体" w:cs="Times New Roman"/>
                      <w:b/>
                      <w:bCs w:val="0"/>
                      <w:snapToGrid w:val="0"/>
                      <w:color w:val="000000" w:themeColor="text1"/>
                      <w:kern w:val="32"/>
                      <w:sz w:val="21"/>
                      <w:szCs w:val="21"/>
                      <w:lang w:val="zh-CN" w:eastAsia="zh-CN" w:bidi="ar-SA"/>
                    </w:rPr>
                  </w:pPr>
                  <w:r>
                    <w:rPr>
                      <w:rFonts w:hint="default" w:ascii="Times New Roman" w:hAnsi="Times New Roman" w:eastAsia="宋体" w:cs="Times New Roman"/>
                      <w:b/>
                      <w:bCs w:val="0"/>
                      <w:color w:val="000000" w:themeColor="text1"/>
                      <w:sz w:val="21"/>
                      <w:szCs w:val="21"/>
                    </w:rPr>
                    <w:t>监测因子</w:t>
                  </w:r>
                </w:p>
              </w:tc>
              <w:tc>
                <w:tcPr>
                  <w:tcW w:w="1635" w:type="dxa"/>
                  <w:noWrap w:val="0"/>
                  <w:vAlign w:val="center"/>
                </w:tcPr>
                <w:p w14:paraId="72CD6334">
                  <w:pPr>
                    <w:pStyle w:val="190"/>
                    <w:keepNext w:val="0"/>
                    <w:keepLines w:val="0"/>
                    <w:pageBreakBefore w:val="0"/>
                    <w:widowControl/>
                    <w:suppressLineNumbers w:val="0"/>
                    <w:kinsoku/>
                    <w:wordWrap/>
                    <w:overflowPunct w:val="0"/>
                    <w:topLinePunct w:val="0"/>
                    <w:autoSpaceDE/>
                    <w:autoSpaceDN/>
                    <w:bidi w:val="0"/>
                    <w:adjustRightInd w:val="0"/>
                    <w:snapToGrid w:val="0"/>
                    <w:spacing w:before="0" w:beforeAutospacing="0" w:after="0" w:afterAutospacing="0" w:line="320" w:lineRule="exact"/>
                    <w:ind w:left="0" w:right="0" w:firstLine="0" w:firstLineChars="0"/>
                    <w:textAlignment w:val="baseline"/>
                    <w:rPr>
                      <w:rFonts w:hint="default" w:ascii="Times New Roman" w:hAnsi="Times New Roman" w:eastAsia="宋体" w:cs="Times New Roman"/>
                      <w:b/>
                      <w:bCs w:val="0"/>
                      <w:snapToGrid w:val="0"/>
                      <w:color w:val="000000" w:themeColor="text1"/>
                      <w:kern w:val="32"/>
                      <w:sz w:val="21"/>
                      <w:szCs w:val="21"/>
                      <w:lang w:val="zh-CN" w:eastAsia="zh-CN" w:bidi="ar-SA"/>
                    </w:rPr>
                  </w:pPr>
                  <w:r>
                    <w:rPr>
                      <w:rFonts w:hint="default" w:ascii="Times New Roman" w:hAnsi="Times New Roman" w:eastAsia="宋体" w:cs="Times New Roman"/>
                      <w:b/>
                      <w:bCs w:val="0"/>
                      <w:color w:val="000000" w:themeColor="text1"/>
                      <w:sz w:val="21"/>
                      <w:szCs w:val="21"/>
                    </w:rPr>
                    <w:t>最低监测频率</w:t>
                  </w:r>
                </w:p>
              </w:tc>
            </w:tr>
            <w:tr w14:paraId="237CB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67" w:type="dxa"/>
                  <w:vMerge w:val="restart"/>
                  <w:noWrap w:val="0"/>
                  <w:vAlign w:val="center"/>
                </w:tcPr>
                <w:p w14:paraId="729D7099">
                  <w:pPr>
                    <w:pStyle w:val="190"/>
                    <w:keepNext w:val="0"/>
                    <w:keepLines w:val="0"/>
                    <w:pageBreakBefore w:val="0"/>
                    <w:widowControl/>
                    <w:suppressLineNumbers w:val="0"/>
                    <w:kinsoku/>
                    <w:wordWrap/>
                    <w:overflowPunct w:val="0"/>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废气</w:t>
                  </w:r>
                </w:p>
              </w:tc>
              <w:tc>
                <w:tcPr>
                  <w:tcW w:w="1672" w:type="dxa"/>
                  <w:noWrap w:val="0"/>
                  <w:vAlign w:val="center"/>
                </w:tcPr>
                <w:p w14:paraId="612AE198">
                  <w:pPr>
                    <w:pStyle w:val="190"/>
                    <w:keepNext w:val="0"/>
                    <w:keepLines w:val="0"/>
                    <w:pageBreakBefore w:val="0"/>
                    <w:widowControl/>
                    <w:suppressLineNumbers w:val="0"/>
                    <w:kinsoku/>
                    <w:wordWrap/>
                    <w:overflowPunct w:val="0"/>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DA001</w:t>
                  </w:r>
                </w:p>
              </w:tc>
              <w:tc>
                <w:tcPr>
                  <w:tcW w:w="1134" w:type="dxa"/>
                  <w:noWrap w:val="0"/>
                  <w:vAlign w:val="center"/>
                </w:tcPr>
                <w:p w14:paraId="047E6A53">
                  <w:pPr>
                    <w:pStyle w:val="190"/>
                    <w:keepNext w:val="0"/>
                    <w:keepLines w:val="0"/>
                    <w:pageBreakBefore w:val="0"/>
                    <w:widowControl/>
                    <w:suppressLineNumbers w:val="0"/>
                    <w:kinsoku/>
                    <w:wordWrap/>
                    <w:overflowPunct w:val="0"/>
                    <w:topLinePunct w:val="0"/>
                    <w:autoSpaceDE/>
                    <w:autoSpaceDN/>
                    <w:bidi w:val="0"/>
                    <w:adjustRightInd w:val="0"/>
                    <w:snapToGrid w:val="0"/>
                    <w:spacing w:before="0" w:beforeAutospacing="0" w:after="0" w:afterAutospacing="0" w:line="320" w:lineRule="exact"/>
                    <w:ind w:left="0" w:right="0"/>
                    <w:jc w:val="both"/>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一般排口</w:t>
                  </w:r>
                </w:p>
              </w:tc>
              <w:tc>
                <w:tcPr>
                  <w:tcW w:w="2915" w:type="dxa"/>
                  <w:noWrap w:val="0"/>
                  <w:vAlign w:val="center"/>
                </w:tcPr>
                <w:p w14:paraId="7150552F">
                  <w:pPr>
                    <w:pStyle w:val="190"/>
                    <w:keepNext w:val="0"/>
                    <w:keepLines w:val="0"/>
                    <w:pageBreakBefore w:val="0"/>
                    <w:widowControl/>
                    <w:suppressLineNumbers w:val="0"/>
                    <w:kinsoku/>
                    <w:wordWrap/>
                    <w:overflowPunct w:val="0"/>
                    <w:topLinePunct w:val="0"/>
                    <w:autoSpaceDE/>
                    <w:autoSpaceDN/>
                    <w:bidi w:val="0"/>
                    <w:adjustRightInd w:val="0"/>
                    <w:snapToGrid w:val="0"/>
                    <w:spacing w:before="0" w:beforeAutospacing="0" w:after="0" w:afterAutospacing="0" w:line="320" w:lineRule="exact"/>
                    <w:ind w:left="0" w:right="0" w:firstLine="0" w:firstLineChars="0"/>
                    <w:jc w:val="center"/>
                    <w:textAlignment w:val="baseline"/>
                    <w:rPr>
                      <w:rFonts w:hint="default" w:ascii="Times New Roman" w:hAnsi="Times New Roman" w:eastAsia="宋体" w:cs="Times New Roman"/>
                      <w:bCs/>
                      <w:snapToGrid w:val="0"/>
                      <w:color w:val="00B050"/>
                      <w:kern w:val="32"/>
                      <w:sz w:val="21"/>
                      <w:szCs w:val="21"/>
                      <w:lang w:val="en-US" w:eastAsia="zh-CN" w:bidi="ar-SA"/>
                    </w:rPr>
                  </w:pPr>
                  <w:r>
                    <w:rPr>
                      <w:rFonts w:hint="eastAsia" w:ascii="Times New Roman" w:hAnsi="Times New Roman" w:eastAsia="宋体" w:cs="Times New Roman"/>
                      <w:color w:val="00B050"/>
                      <w:sz w:val="21"/>
                      <w:szCs w:val="21"/>
                      <w:lang w:val="en-US" w:eastAsia="zh-CN"/>
                    </w:rPr>
                    <w:t>颗粒物、二氧化硫、氮氧化物</w:t>
                  </w:r>
                  <w:r>
                    <w:rPr>
                      <w:rFonts w:hint="eastAsia" w:cs="Times New Roman"/>
                      <w:color w:val="00B050"/>
                      <w:sz w:val="21"/>
                      <w:szCs w:val="21"/>
                      <w:lang w:val="en-US" w:eastAsia="zh-CN"/>
                    </w:rPr>
                    <w:t>、</w:t>
                  </w:r>
                  <w:r>
                    <w:rPr>
                      <w:rFonts w:hint="default" w:ascii="Times New Roman" w:hAnsi="Times New Roman" w:eastAsia="宋体" w:cs="Times New Roman"/>
                      <w:color w:val="00B050"/>
                      <w:sz w:val="21"/>
                      <w:szCs w:val="21"/>
                    </w:rPr>
                    <w:t>烟气黑度</w:t>
                  </w:r>
                </w:p>
              </w:tc>
              <w:tc>
                <w:tcPr>
                  <w:tcW w:w="1635" w:type="dxa"/>
                  <w:noWrap w:val="0"/>
                  <w:vAlign w:val="center"/>
                </w:tcPr>
                <w:p w14:paraId="36EC84BC">
                  <w:pPr>
                    <w:pStyle w:val="190"/>
                    <w:keepNext w:val="0"/>
                    <w:keepLines w:val="0"/>
                    <w:pageBreakBefore w:val="0"/>
                    <w:widowControl/>
                    <w:suppressLineNumbers w:val="0"/>
                    <w:kinsoku/>
                    <w:wordWrap/>
                    <w:overflowPunct w:val="0"/>
                    <w:topLinePunct w:val="0"/>
                    <w:autoSpaceDE/>
                    <w:autoSpaceDN/>
                    <w:bidi w:val="0"/>
                    <w:adjustRightInd w:val="0"/>
                    <w:snapToGrid w:val="0"/>
                    <w:spacing w:before="0" w:beforeAutospacing="0" w:after="0" w:afterAutospacing="0" w:line="320" w:lineRule="exact"/>
                    <w:ind w:left="0" w:right="0" w:firstLine="0" w:firstLineChars="0"/>
                    <w:textAlignment w:val="baseline"/>
                    <w:rPr>
                      <w:rFonts w:hint="default" w:ascii="Times New Roman" w:hAnsi="Times New Roman" w:eastAsia="宋体" w:cs="Times New Roman"/>
                      <w:bCs/>
                      <w:snapToGrid w:val="0"/>
                      <w:color w:val="00B050"/>
                      <w:kern w:val="32"/>
                      <w:sz w:val="21"/>
                      <w:szCs w:val="21"/>
                      <w:lang w:val="en-US" w:eastAsia="zh-CN" w:bidi="ar-SA"/>
                    </w:rPr>
                  </w:pPr>
                  <w:r>
                    <w:rPr>
                      <w:rFonts w:hint="eastAsia" w:ascii="Times New Roman" w:hAnsi="Times New Roman" w:eastAsia="宋体" w:cs="Times New Roman"/>
                      <w:color w:val="00B050"/>
                      <w:sz w:val="21"/>
                      <w:szCs w:val="21"/>
                      <w:lang w:val="en-US" w:eastAsia="zh-CN"/>
                    </w:rPr>
                    <w:t>1次/年</w:t>
                  </w:r>
                </w:p>
              </w:tc>
            </w:tr>
            <w:tr w14:paraId="71B91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67" w:type="dxa"/>
                  <w:vMerge w:val="continue"/>
                  <w:noWrap w:val="0"/>
                  <w:vAlign w:val="center"/>
                </w:tcPr>
                <w:p w14:paraId="6A9C98CE">
                  <w:pPr>
                    <w:pStyle w:val="190"/>
                    <w:keepNext w:val="0"/>
                    <w:keepLines w:val="0"/>
                    <w:pageBreakBefore w:val="0"/>
                    <w:widowControl/>
                    <w:suppressLineNumbers w:val="0"/>
                    <w:kinsoku/>
                    <w:wordWrap/>
                    <w:overflowPunct w:val="0"/>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eastAsia="宋体" w:cs="Times New Roman"/>
                      <w:color w:val="000000" w:themeColor="text1"/>
                      <w:sz w:val="21"/>
                      <w:szCs w:val="21"/>
                    </w:rPr>
                  </w:pPr>
                </w:p>
              </w:tc>
              <w:tc>
                <w:tcPr>
                  <w:tcW w:w="1672" w:type="dxa"/>
                  <w:noWrap w:val="0"/>
                  <w:vAlign w:val="center"/>
                </w:tcPr>
                <w:p w14:paraId="773DC7AA">
                  <w:pPr>
                    <w:pStyle w:val="190"/>
                    <w:keepNext w:val="0"/>
                    <w:keepLines w:val="0"/>
                    <w:pageBreakBefore w:val="0"/>
                    <w:widowControl/>
                    <w:suppressLineNumbers w:val="0"/>
                    <w:kinsoku/>
                    <w:wordWrap/>
                    <w:overflowPunct w:val="0"/>
                    <w:topLinePunct w:val="0"/>
                    <w:autoSpaceDE/>
                    <w:autoSpaceDN/>
                    <w:bidi w:val="0"/>
                    <w:adjustRightInd w:val="0"/>
                    <w:snapToGrid w:val="0"/>
                    <w:spacing w:before="0" w:beforeAutospacing="0" w:after="0" w:afterAutospacing="0" w:line="320" w:lineRule="exact"/>
                    <w:ind w:left="0" w:right="0"/>
                    <w:textAlignment w:val="baseline"/>
                    <w:rPr>
                      <w:rFonts w:hint="eastAsia"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厂界上风向2-50m范围内1个，下风向10m范围内3个</w:t>
                  </w:r>
                </w:p>
              </w:tc>
              <w:tc>
                <w:tcPr>
                  <w:tcW w:w="1134" w:type="dxa"/>
                  <w:noWrap w:val="0"/>
                  <w:vAlign w:val="center"/>
                </w:tcPr>
                <w:p w14:paraId="41C31C8C">
                  <w:pPr>
                    <w:pStyle w:val="190"/>
                    <w:keepNext w:val="0"/>
                    <w:keepLines w:val="0"/>
                    <w:pageBreakBefore w:val="0"/>
                    <w:widowControl/>
                    <w:suppressLineNumbers w:val="0"/>
                    <w:kinsoku/>
                    <w:wordWrap/>
                    <w:overflowPunct w:val="0"/>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2915" w:type="dxa"/>
                  <w:noWrap w:val="0"/>
                  <w:vAlign w:val="center"/>
                </w:tcPr>
                <w:p w14:paraId="4D25C824">
                  <w:pPr>
                    <w:pStyle w:val="190"/>
                    <w:keepNext w:val="0"/>
                    <w:keepLines w:val="0"/>
                    <w:pageBreakBefore w:val="0"/>
                    <w:widowControl/>
                    <w:suppressLineNumbers w:val="0"/>
                    <w:kinsoku/>
                    <w:wordWrap/>
                    <w:overflowPunct w:val="0"/>
                    <w:topLinePunct w:val="0"/>
                    <w:autoSpaceDE/>
                    <w:autoSpaceDN/>
                    <w:bidi w:val="0"/>
                    <w:adjustRightInd w:val="0"/>
                    <w:snapToGrid w:val="0"/>
                    <w:spacing w:before="0" w:beforeAutospacing="0" w:after="0" w:afterAutospacing="0" w:line="320" w:lineRule="exact"/>
                    <w:ind w:left="0" w:right="0" w:firstLine="0" w:firstLineChars="0"/>
                    <w:textAlignment w:val="baseline"/>
                    <w:rPr>
                      <w:rFonts w:hint="default" w:ascii="Times New Roman" w:hAnsi="Times New Roman" w:eastAsia="宋体" w:cs="Times New Roman"/>
                      <w:bCs/>
                      <w:snapToGrid w:val="0"/>
                      <w:color w:val="000000" w:themeColor="text1"/>
                      <w:kern w:val="32"/>
                      <w:sz w:val="21"/>
                      <w:szCs w:val="21"/>
                      <w:lang w:val="en-US" w:eastAsia="zh-CN" w:bidi="ar-SA"/>
                    </w:rPr>
                  </w:pPr>
                  <w:r>
                    <w:rPr>
                      <w:rFonts w:hint="eastAsia" w:ascii="Times New Roman" w:hAnsi="Times New Roman" w:eastAsia="宋体" w:cs="Times New Roman"/>
                      <w:color w:val="000000" w:themeColor="text1"/>
                      <w:sz w:val="21"/>
                      <w:szCs w:val="21"/>
                      <w:lang w:val="en-US" w:eastAsia="zh-CN"/>
                    </w:rPr>
                    <w:t>颗粒物</w:t>
                  </w:r>
                </w:p>
              </w:tc>
              <w:tc>
                <w:tcPr>
                  <w:tcW w:w="1635" w:type="dxa"/>
                  <w:noWrap w:val="0"/>
                  <w:vAlign w:val="center"/>
                </w:tcPr>
                <w:p w14:paraId="2C87F53F">
                  <w:pPr>
                    <w:pStyle w:val="190"/>
                    <w:keepNext w:val="0"/>
                    <w:keepLines w:val="0"/>
                    <w:pageBreakBefore w:val="0"/>
                    <w:widowControl/>
                    <w:suppressLineNumbers w:val="0"/>
                    <w:kinsoku/>
                    <w:wordWrap/>
                    <w:overflowPunct w:val="0"/>
                    <w:topLinePunct w:val="0"/>
                    <w:autoSpaceDE/>
                    <w:autoSpaceDN/>
                    <w:bidi w:val="0"/>
                    <w:adjustRightInd w:val="0"/>
                    <w:snapToGrid w:val="0"/>
                    <w:spacing w:before="0" w:beforeAutospacing="0" w:after="0" w:afterAutospacing="0" w:line="320" w:lineRule="exact"/>
                    <w:ind w:left="0" w:right="0" w:firstLine="0" w:firstLineChars="0"/>
                    <w:textAlignment w:val="baseline"/>
                    <w:rPr>
                      <w:rFonts w:hint="default" w:ascii="Times New Roman" w:hAnsi="Times New Roman" w:eastAsia="宋体" w:cs="Times New Roman"/>
                      <w:bCs/>
                      <w:snapToGrid w:val="0"/>
                      <w:color w:val="000000" w:themeColor="text1"/>
                      <w:kern w:val="32"/>
                      <w:sz w:val="21"/>
                      <w:szCs w:val="21"/>
                      <w:lang w:val="zh-CN" w:eastAsia="zh-CN" w:bidi="ar-SA"/>
                    </w:rPr>
                  </w:pPr>
                  <w:r>
                    <w:rPr>
                      <w:rFonts w:hint="eastAsia" w:ascii="Times New Roman" w:hAnsi="Times New Roman" w:eastAsia="宋体" w:cs="Times New Roman"/>
                      <w:color w:val="000000" w:themeColor="text1"/>
                      <w:sz w:val="21"/>
                      <w:szCs w:val="21"/>
                      <w:lang w:val="en-US" w:eastAsia="zh-CN"/>
                    </w:rPr>
                    <w:t>1次/年</w:t>
                  </w:r>
                </w:p>
              </w:tc>
            </w:tr>
          </w:tbl>
          <w:p w14:paraId="22D588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316" w:firstLineChars="150"/>
              <w:textAlignment w:val="auto"/>
              <w:rPr>
                <w:rFonts w:hint="eastAsia" w:ascii="Times New Roman" w:hAnsi="Times New Roman" w:eastAsia="宋体" w:cs="Times New Roman"/>
                <w:b/>
                <w:color w:val="00B050"/>
                <w:sz w:val="21"/>
                <w:szCs w:val="21"/>
                <w:lang w:val="en-US" w:eastAsia="zh-CN"/>
              </w:rPr>
            </w:pPr>
            <w:r>
              <w:rPr>
                <w:rFonts w:hint="eastAsia" w:ascii="Times New Roman" w:hAnsi="Times New Roman" w:eastAsia="宋体" w:cs="Times New Roman"/>
                <w:b/>
                <w:color w:val="00B050"/>
                <w:sz w:val="21"/>
                <w:szCs w:val="21"/>
                <w:lang w:val="en-US" w:eastAsia="zh-CN"/>
              </w:rPr>
              <w:t>（8）环境影响分析</w:t>
            </w:r>
          </w:p>
          <w:p w14:paraId="62868BE8">
            <w:pPr>
              <w:keepNext w:val="0"/>
              <w:keepLines w:val="0"/>
              <w:widowControl w:val="0"/>
              <w:suppressLineNumbers w:val="0"/>
              <w:bidi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B050"/>
                <w:kern w:val="2"/>
                <w:sz w:val="21"/>
                <w:szCs w:val="21"/>
                <w:lang w:val="en-US" w:eastAsia="zh-CN" w:bidi="ar-SA"/>
              </w:rPr>
            </w:pPr>
            <w:r>
              <w:rPr>
                <w:rFonts w:hint="eastAsia" w:ascii="Times New Roman" w:hAnsi="Times New Roman" w:eastAsia="宋体" w:cs="Times New Roman"/>
                <w:color w:val="00B050"/>
                <w:kern w:val="2"/>
                <w:sz w:val="21"/>
                <w:szCs w:val="21"/>
                <w:lang w:val="en-US" w:eastAsia="zh-CN" w:bidi="ar-SA"/>
              </w:rPr>
              <w:t>项目区域属于环境空气二类功能区，为达标区，环境空气质量满足《环境空气质量标准》（GB3095-2012）中二级标准，环境空气质量现状良好。项目采取的废气污染治理措施为“重力沉降+布袋除尘+水膜除尘设施”，为可行性技术，经处理后颗粒物可达标排放，对周边环境的影响不大。建设单位在严格执行本环评提出的各项污染防治措施后，在开展自行监测和日常环境监理的前提下，有组织和无组织排放废气各因子能够做到稳定达标排放，不会明显降低项目区域大气环境质量。对项目区大气环境的影响较小。</w:t>
            </w:r>
          </w:p>
          <w:p w14:paraId="5DD135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contextualSpacing/>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2、运营期废水污染物影响和保护措施</w:t>
            </w:r>
          </w:p>
          <w:p w14:paraId="74C5FB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jc w:val="left"/>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运营期项目不设实验室，不产生实验类废水；项目区设置生产车间，原材料不露天堆存。生产加工均在车间进行，且项目区道路地面进行硬化，因此不考虑初期雨水的影响，不设置初期雨水收集池。</w:t>
            </w:r>
          </w:p>
          <w:p w14:paraId="0BE661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jc w:val="left"/>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综上所述，项目废水产生类型包括生活污水、成型废水、</w:t>
            </w:r>
            <w:r>
              <w:rPr>
                <w:rFonts w:hint="eastAsia" w:cs="Times New Roman"/>
                <w:color w:val="00B050"/>
                <w:kern w:val="0"/>
                <w:sz w:val="21"/>
                <w:szCs w:val="21"/>
                <w:lang w:val="en-US" w:eastAsia="zh-CN"/>
              </w:rPr>
              <w:t>成型机水环真空泵冷却</w:t>
            </w:r>
            <w:r>
              <w:rPr>
                <w:rFonts w:hint="default" w:ascii="Times New Roman" w:hAnsi="Times New Roman" w:eastAsia="宋体" w:cs="Times New Roman"/>
                <w:color w:val="00B050"/>
                <w:kern w:val="0"/>
                <w:sz w:val="21"/>
                <w:szCs w:val="21"/>
              </w:rPr>
              <w:t>废水、</w:t>
            </w:r>
            <w:r>
              <w:rPr>
                <w:rFonts w:hint="eastAsia" w:cs="Times New Roman"/>
                <w:color w:val="00B050"/>
                <w:kern w:val="0"/>
                <w:sz w:val="21"/>
                <w:szCs w:val="21"/>
                <w:lang w:val="en-US" w:eastAsia="zh-CN"/>
              </w:rPr>
              <w:t>烘干废气进入水膜除尘器的冷却水</w:t>
            </w:r>
            <w:r>
              <w:rPr>
                <w:rFonts w:hint="default" w:ascii="Times New Roman" w:hAnsi="Times New Roman" w:eastAsia="宋体" w:cs="Times New Roman"/>
                <w:color w:val="000000" w:themeColor="text1"/>
                <w:kern w:val="0"/>
                <w:sz w:val="21"/>
                <w:szCs w:val="21"/>
              </w:rPr>
              <w:t>。</w:t>
            </w:r>
          </w:p>
          <w:p w14:paraId="282F5D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（1）源强及排放情况</w:t>
            </w:r>
          </w:p>
          <w:p w14:paraId="4C75B7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jc w:val="left"/>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1）生活污水</w:t>
            </w:r>
          </w:p>
          <w:p w14:paraId="229ABF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jc w:val="left"/>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①产生情况</w:t>
            </w:r>
          </w:p>
          <w:p w14:paraId="7C6230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jc w:val="left"/>
              <w:textAlignment w:val="auto"/>
              <w:rPr>
                <w:rFonts w:hint="default" w:ascii="Times New Roman" w:hAnsi="Times New Roman" w:cs="Times New Roman"/>
                <w:color w:val="000000" w:themeColor="text1"/>
                <w:kern w:val="0"/>
                <w:szCs w:val="21"/>
                <w:lang w:val="en-US"/>
              </w:rPr>
            </w:pPr>
            <w:r>
              <w:rPr>
                <w:rFonts w:hint="default" w:ascii="Times New Roman" w:hAnsi="Times New Roman" w:eastAsia="宋体" w:cs="Times New Roman"/>
                <w:color w:val="000000" w:themeColor="text1"/>
                <w:sz w:val="21"/>
                <w:szCs w:val="21"/>
              </w:rPr>
              <w:t>根据水量平衡分析，本项目食堂废水产生量为</w:t>
            </w:r>
            <w:r>
              <w:rPr>
                <w:rFonts w:hint="eastAsia" w:ascii="Times New Roman" w:hAnsi="Times New Roman" w:eastAsia="宋体" w:cs="Times New Roman"/>
                <w:color w:val="000000" w:themeColor="text1"/>
                <w:sz w:val="21"/>
                <w:szCs w:val="21"/>
                <w:lang w:val="en-US" w:eastAsia="zh-CN"/>
              </w:rPr>
              <w:t>0.304</w:t>
            </w:r>
            <w:r>
              <w:rPr>
                <w:rFonts w:hint="default" w:ascii="Times New Roman" w:hAnsi="Times New Roman" w:eastAsia="宋体" w:cs="Times New Roman"/>
                <w:color w:val="000000" w:themeColor="text1"/>
                <w:sz w:val="21"/>
                <w:szCs w:val="21"/>
              </w:rPr>
              <w:t>m³/d（</w:t>
            </w:r>
            <w:r>
              <w:rPr>
                <w:rFonts w:hint="eastAsia" w:ascii="Times New Roman" w:hAnsi="Times New Roman" w:eastAsia="宋体" w:cs="Times New Roman"/>
                <w:color w:val="000000" w:themeColor="text1"/>
                <w:sz w:val="21"/>
                <w:szCs w:val="21"/>
                <w:lang w:val="en-US" w:eastAsia="zh-CN"/>
              </w:rPr>
              <w:t>91.2</w:t>
            </w:r>
            <w:r>
              <w:rPr>
                <w:rFonts w:hint="default" w:ascii="Times New Roman" w:hAnsi="Times New Roman" w:eastAsia="宋体" w:cs="Times New Roman"/>
                <w:color w:val="000000" w:themeColor="text1"/>
                <w:sz w:val="21"/>
                <w:szCs w:val="21"/>
              </w:rPr>
              <w:t>m³/a），其他办公生活污水产生量为</w:t>
            </w:r>
            <w:r>
              <w:rPr>
                <w:rFonts w:hint="eastAsia" w:ascii="Times New Roman" w:hAnsi="Times New Roman" w:eastAsia="宋体" w:cs="Times New Roman"/>
                <w:color w:val="000000" w:themeColor="text1"/>
                <w:sz w:val="21"/>
                <w:szCs w:val="21"/>
                <w:lang w:val="en-US" w:eastAsia="zh-CN"/>
              </w:rPr>
              <w:t>1.216</w:t>
            </w:r>
            <w:r>
              <w:rPr>
                <w:rFonts w:hint="default" w:ascii="Times New Roman" w:hAnsi="Times New Roman" w:eastAsia="宋体" w:cs="Times New Roman"/>
                <w:color w:val="000000" w:themeColor="text1"/>
                <w:sz w:val="21"/>
                <w:szCs w:val="21"/>
              </w:rPr>
              <w:t xml:space="preserve"> m³/d（</w:t>
            </w:r>
            <w:r>
              <w:rPr>
                <w:rFonts w:hint="eastAsia" w:ascii="Times New Roman" w:hAnsi="Times New Roman" w:eastAsia="宋体" w:cs="Times New Roman"/>
                <w:color w:val="000000" w:themeColor="text1"/>
                <w:sz w:val="21"/>
                <w:szCs w:val="21"/>
                <w:lang w:val="en-US" w:eastAsia="zh-CN"/>
              </w:rPr>
              <w:t>364.8</w:t>
            </w:r>
            <w:r>
              <w:rPr>
                <w:rFonts w:hint="default" w:ascii="Times New Roman" w:hAnsi="Times New Roman" w:eastAsia="宋体" w:cs="Times New Roman"/>
                <w:color w:val="000000" w:themeColor="text1"/>
                <w:sz w:val="21"/>
                <w:szCs w:val="21"/>
              </w:rPr>
              <w:t>m³/a）。</w:t>
            </w:r>
            <w:r>
              <w:rPr>
                <w:rFonts w:hint="eastAsia" w:ascii="Times New Roman" w:hAnsi="Times New Roman" w:eastAsia="宋体" w:cs="宋体"/>
                <w:color w:val="000000" w:themeColor="text1"/>
                <w:kern w:val="0"/>
                <w:sz w:val="21"/>
                <w:szCs w:val="21"/>
                <w:lang w:val="en-US" w:eastAsia="zh-CN" w:bidi="ar"/>
              </w:rPr>
              <w:t>污染物浓度为生活污水中污染因子为</w:t>
            </w:r>
            <w:r>
              <w:rPr>
                <w:rFonts w:hint="default" w:ascii="Times New Roman" w:hAnsi="Times New Roman" w:eastAsia="宋体" w:cs="Times New Roman"/>
                <w:color w:val="000000" w:themeColor="text1"/>
                <w:kern w:val="0"/>
                <w:sz w:val="21"/>
                <w:szCs w:val="21"/>
                <w:lang w:val="en-US" w:eastAsia="zh-CN" w:bidi="ar"/>
              </w:rPr>
              <w:t>COD</w:t>
            </w:r>
            <w:r>
              <w:rPr>
                <w:rFonts w:hint="eastAsia" w:ascii="Times New Roman" w:hAnsi="Times New Roman" w:eastAsia="宋体" w:cs="宋体"/>
                <w:color w:val="000000" w:themeColor="text1"/>
                <w:kern w:val="0"/>
                <w:sz w:val="21"/>
                <w:szCs w:val="21"/>
                <w:lang w:val="en-US" w:eastAsia="zh-CN" w:bidi="ar"/>
              </w:rPr>
              <w:t>、总氮、</w:t>
            </w:r>
            <w:r>
              <w:rPr>
                <w:rFonts w:hint="default" w:ascii="Times New Roman" w:hAnsi="Times New Roman" w:eastAsia="宋体" w:cs="Times New Roman"/>
                <w:color w:val="000000" w:themeColor="text1"/>
                <w:kern w:val="0"/>
                <w:sz w:val="21"/>
                <w:szCs w:val="21"/>
                <w:lang w:val="en-US" w:eastAsia="zh-CN" w:bidi="ar"/>
              </w:rPr>
              <w:t>NH</w:t>
            </w:r>
            <w:r>
              <w:rPr>
                <w:rFonts w:hint="default" w:ascii="Times New Roman" w:hAnsi="Times New Roman" w:eastAsia="宋体" w:cs="Times New Roman"/>
                <w:color w:val="000000" w:themeColor="text1"/>
                <w:kern w:val="0"/>
                <w:sz w:val="21"/>
                <w:szCs w:val="21"/>
                <w:vertAlign w:val="subscript"/>
                <w:lang w:val="en-US" w:eastAsia="zh-CN" w:bidi="ar"/>
              </w:rPr>
              <w:t>3</w:t>
            </w:r>
            <w:r>
              <w:rPr>
                <w:rFonts w:hint="default" w:ascii="Times New Roman" w:hAnsi="Times New Roman" w:eastAsia="宋体" w:cs="Times New Roman"/>
                <w:color w:val="000000" w:themeColor="text1"/>
                <w:kern w:val="0"/>
                <w:sz w:val="21"/>
                <w:szCs w:val="21"/>
                <w:lang w:val="en-US" w:eastAsia="zh-CN" w:bidi="ar"/>
              </w:rPr>
              <w:t>-N</w:t>
            </w:r>
            <w:r>
              <w:rPr>
                <w:rFonts w:hint="eastAsia" w:ascii="Times New Roman" w:hAnsi="Times New Roman" w:eastAsia="宋体" w:cs="宋体"/>
                <w:color w:val="000000" w:themeColor="text1"/>
                <w:kern w:val="0"/>
                <w:sz w:val="21"/>
                <w:szCs w:val="21"/>
                <w:lang w:val="en-US" w:eastAsia="zh-CN" w:bidi="ar"/>
              </w:rPr>
              <w:t>、</w:t>
            </w:r>
            <w:r>
              <w:rPr>
                <w:rFonts w:hint="default" w:ascii="Times New Roman" w:hAnsi="Times New Roman" w:eastAsia="宋体" w:cs="Times New Roman"/>
                <w:color w:val="000000" w:themeColor="text1"/>
                <w:kern w:val="0"/>
                <w:sz w:val="21"/>
                <w:szCs w:val="21"/>
                <w:lang w:val="en-US" w:eastAsia="zh-CN" w:bidi="ar"/>
              </w:rPr>
              <w:t>SS</w:t>
            </w:r>
            <w:r>
              <w:rPr>
                <w:rFonts w:hint="eastAsia" w:ascii="Times New Roman" w:hAnsi="Times New Roman" w:eastAsia="宋体" w:cs="宋体"/>
                <w:color w:val="000000" w:themeColor="text1"/>
                <w:kern w:val="0"/>
                <w:sz w:val="21"/>
                <w:szCs w:val="21"/>
                <w:lang w:val="en-US" w:eastAsia="zh-CN" w:bidi="ar"/>
              </w:rPr>
              <w:t>、</w:t>
            </w:r>
            <w:r>
              <w:rPr>
                <w:rFonts w:hint="default" w:ascii="Times New Roman" w:hAnsi="Times New Roman" w:eastAsia="宋体" w:cs="Times New Roman"/>
                <w:color w:val="000000" w:themeColor="text1"/>
                <w:kern w:val="0"/>
                <w:sz w:val="21"/>
                <w:szCs w:val="21"/>
                <w:lang w:val="en-US" w:eastAsia="zh-CN" w:bidi="ar"/>
              </w:rPr>
              <w:t>TP</w:t>
            </w:r>
            <w:r>
              <w:rPr>
                <w:rFonts w:hint="eastAsia" w:ascii="Times New Roman" w:hAnsi="Times New Roman" w:eastAsia="宋体" w:cs="宋体"/>
                <w:color w:val="000000" w:themeColor="text1"/>
                <w:kern w:val="0"/>
                <w:sz w:val="21"/>
                <w:szCs w:val="21"/>
                <w:lang w:val="en-US" w:eastAsia="zh-CN" w:bidi="ar"/>
              </w:rPr>
              <w:t>、动植物油等。生活污水产生的浓度根据《我国城市生活污水水质统计数据》，生活废水中各种污染物的浓度分别为CODcr：400mg/L，BOD</w:t>
            </w:r>
            <w:r>
              <w:rPr>
                <w:rFonts w:hint="eastAsia" w:ascii="Times New Roman" w:hAnsi="Times New Roman" w:eastAsia="宋体" w:cs="宋体"/>
                <w:color w:val="000000" w:themeColor="text1"/>
                <w:kern w:val="0"/>
                <w:sz w:val="21"/>
                <w:szCs w:val="21"/>
                <w:vertAlign w:val="subscript"/>
                <w:lang w:val="en-US" w:eastAsia="zh-CN" w:bidi="ar"/>
              </w:rPr>
              <w:t>5</w:t>
            </w:r>
            <w:r>
              <w:rPr>
                <w:rFonts w:hint="eastAsia" w:ascii="Times New Roman" w:hAnsi="Times New Roman" w:eastAsia="宋体" w:cs="宋体"/>
                <w:color w:val="000000" w:themeColor="text1"/>
                <w:kern w:val="0"/>
                <w:sz w:val="21"/>
                <w:szCs w:val="21"/>
                <w:lang w:val="en-US" w:eastAsia="zh-CN" w:bidi="ar"/>
              </w:rPr>
              <w:t>：220mg/L，SS：300mg/L，NH</w:t>
            </w:r>
            <w:r>
              <w:rPr>
                <w:rFonts w:hint="eastAsia" w:ascii="Times New Roman" w:hAnsi="Times New Roman" w:eastAsia="宋体" w:cs="宋体"/>
                <w:color w:val="000000" w:themeColor="text1"/>
                <w:kern w:val="0"/>
                <w:sz w:val="21"/>
                <w:szCs w:val="21"/>
                <w:vertAlign w:val="subscript"/>
                <w:lang w:val="en-US" w:eastAsia="zh-CN" w:bidi="ar"/>
              </w:rPr>
              <w:t>3</w:t>
            </w:r>
            <w:r>
              <w:rPr>
                <w:rFonts w:hint="eastAsia" w:ascii="Times New Roman" w:hAnsi="Times New Roman" w:eastAsia="宋体" w:cs="宋体"/>
                <w:color w:val="000000" w:themeColor="text1"/>
                <w:kern w:val="0"/>
                <w:sz w:val="21"/>
                <w:szCs w:val="21"/>
                <w:lang w:val="en-US" w:eastAsia="zh-CN" w:bidi="ar"/>
              </w:rPr>
              <w:t>-N：20mg/L，动植物油：80mg/L，TP：7mg/L。</w:t>
            </w:r>
          </w:p>
          <w:p w14:paraId="04350E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jc w:val="left"/>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②环保措施</w:t>
            </w:r>
          </w:p>
          <w:p w14:paraId="20A041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jc w:val="left"/>
              <w:textAlignment w:val="auto"/>
              <w:rPr>
                <w:rFonts w:hint="default" w:ascii="Times New Roman" w:hAnsi="Times New Roman" w:cs="Times New Roman"/>
                <w:color w:val="000000" w:themeColor="text1"/>
                <w:kern w:val="0"/>
                <w:szCs w:val="21"/>
                <w:lang w:val="en-US"/>
              </w:rPr>
            </w:pPr>
            <w:r>
              <w:rPr>
                <w:rFonts w:hint="default" w:ascii="Times New Roman" w:hAnsi="Times New Roman" w:eastAsia="宋体" w:cs="Times New Roman"/>
                <w:color w:val="000000" w:themeColor="text1"/>
                <w:kern w:val="0"/>
                <w:sz w:val="21"/>
                <w:szCs w:val="21"/>
              </w:rPr>
              <w:t>食堂废水经设置的0.</w:t>
            </w:r>
            <w:r>
              <w:rPr>
                <w:rFonts w:hint="eastAsia" w:ascii="Times New Roman" w:hAnsi="Times New Roman" w:eastAsia="宋体" w:cs="Times New Roman"/>
                <w:color w:val="000000" w:themeColor="text1"/>
                <w:kern w:val="0"/>
                <w:sz w:val="21"/>
                <w:szCs w:val="21"/>
                <w:lang w:val="en-US" w:eastAsia="zh-CN"/>
              </w:rPr>
              <w:t>5</w:t>
            </w:r>
            <w:r>
              <w:rPr>
                <w:rFonts w:hint="default" w:ascii="Times New Roman" w:hAnsi="Times New Roman" w:eastAsia="宋体" w:cs="Times New Roman"/>
                <w:color w:val="000000" w:themeColor="text1"/>
                <w:kern w:val="0"/>
                <w:sz w:val="21"/>
                <w:szCs w:val="21"/>
              </w:rPr>
              <w:t>m</w:t>
            </w:r>
            <w:r>
              <w:rPr>
                <w:rFonts w:hint="default" w:ascii="Times New Roman" w:hAnsi="Times New Roman" w:eastAsia="宋体" w:cs="Times New Roman"/>
                <w:color w:val="000000" w:themeColor="text1"/>
                <w:kern w:val="0"/>
                <w:sz w:val="21"/>
                <w:szCs w:val="21"/>
                <w:vertAlign w:val="superscript"/>
              </w:rPr>
              <w:t>3</w:t>
            </w:r>
            <w:r>
              <w:rPr>
                <w:rFonts w:hint="default" w:ascii="Times New Roman" w:hAnsi="Times New Roman" w:eastAsia="宋体" w:cs="Times New Roman"/>
                <w:color w:val="000000" w:themeColor="text1"/>
                <w:kern w:val="0"/>
                <w:sz w:val="21"/>
                <w:szCs w:val="21"/>
              </w:rPr>
              <w:t>隔油池</w:t>
            </w:r>
            <w:r>
              <w:rPr>
                <w:rFonts w:hint="default" w:ascii="Times New Roman" w:hAnsi="Times New Roman" w:eastAsia="宋体" w:cs="Times New Roman"/>
                <w:color w:val="000000" w:themeColor="text1"/>
                <w:kern w:val="0"/>
                <w:sz w:val="21"/>
                <w:szCs w:val="21"/>
                <w:lang w:val="en-US" w:eastAsia="zh-CN"/>
              </w:rPr>
              <w:t>（TW001）</w:t>
            </w:r>
            <w:r>
              <w:rPr>
                <w:rFonts w:hint="default" w:ascii="Times New Roman" w:hAnsi="Times New Roman" w:eastAsia="宋体" w:cs="Times New Roman"/>
                <w:color w:val="000000" w:themeColor="text1"/>
                <w:kern w:val="0"/>
                <w:sz w:val="21"/>
                <w:szCs w:val="21"/>
              </w:rPr>
              <w:t>预处理后和办公生活污水一起经</w:t>
            </w:r>
            <w:r>
              <w:rPr>
                <w:rFonts w:hint="eastAsia" w:ascii="Times New Roman" w:hAnsi="Times New Roman" w:eastAsia="宋体" w:cs="Times New Roman"/>
                <w:color w:val="000000" w:themeColor="text1"/>
                <w:kern w:val="0"/>
                <w:sz w:val="21"/>
                <w:szCs w:val="21"/>
                <w:lang w:val="en-US" w:eastAsia="zh-CN"/>
              </w:rPr>
              <w:t>5</w:t>
            </w:r>
            <w:r>
              <w:rPr>
                <w:rFonts w:hint="default" w:ascii="Times New Roman" w:hAnsi="Times New Roman" w:eastAsia="宋体" w:cs="Times New Roman"/>
                <w:color w:val="000000" w:themeColor="text1"/>
                <w:kern w:val="0"/>
                <w:sz w:val="21"/>
                <w:szCs w:val="21"/>
              </w:rPr>
              <w:t>m</w:t>
            </w:r>
            <w:r>
              <w:rPr>
                <w:rFonts w:hint="default" w:ascii="Times New Roman" w:hAnsi="Times New Roman" w:eastAsia="宋体" w:cs="Times New Roman"/>
                <w:color w:val="000000" w:themeColor="text1"/>
                <w:kern w:val="0"/>
                <w:sz w:val="21"/>
                <w:szCs w:val="21"/>
                <w:vertAlign w:val="superscript"/>
              </w:rPr>
              <w:t>3</w:t>
            </w:r>
            <w:r>
              <w:rPr>
                <w:rFonts w:hint="default" w:ascii="Times New Roman" w:hAnsi="Times New Roman" w:eastAsia="宋体" w:cs="Times New Roman"/>
                <w:color w:val="000000" w:themeColor="text1"/>
                <w:kern w:val="0"/>
                <w:sz w:val="21"/>
                <w:szCs w:val="21"/>
              </w:rPr>
              <w:t>化粪池</w:t>
            </w:r>
            <w:r>
              <w:rPr>
                <w:rFonts w:hint="default" w:ascii="Times New Roman" w:hAnsi="Times New Roman" w:eastAsia="宋体" w:cs="Times New Roman"/>
                <w:color w:val="000000" w:themeColor="text1"/>
                <w:kern w:val="0"/>
                <w:sz w:val="21"/>
                <w:szCs w:val="21"/>
                <w:lang w:val="en-US" w:eastAsia="zh-CN"/>
              </w:rPr>
              <w:t>（TW00</w:t>
            </w:r>
            <w:r>
              <w:rPr>
                <w:rFonts w:hint="eastAsia" w:cs="Times New Roman"/>
                <w:color w:val="000000" w:themeColor="text1"/>
                <w:kern w:val="0"/>
                <w:sz w:val="21"/>
                <w:szCs w:val="21"/>
                <w:lang w:val="en-US" w:eastAsia="zh-CN"/>
              </w:rPr>
              <w:t>2</w:t>
            </w:r>
            <w:r>
              <w:rPr>
                <w:rFonts w:hint="default" w:ascii="Times New Roman" w:hAnsi="Times New Roman" w:eastAsia="宋体" w:cs="Times New Roman"/>
                <w:color w:val="000000" w:themeColor="text1"/>
                <w:kern w:val="0"/>
                <w:sz w:val="21"/>
                <w:szCs w:val="21"/>
                <w:lang w:val="en-US" w:eastAsia="zh-CN"/>
              </w:rPr>
              <w:t>）</w:t>
            </w:r>
            <w:r>
              <w:rPr>
                <w:rFonts w:hint="default" w:ascii="Times New Roman" w:hAnsi="Times New Roman" w:eastAsia="宋体" w:cs="Times New Roman"/>
                <w:color w:val="000000" w:themeColor="text1"/>
                <w:kern w:val="0"/>
                <w:sz w:val="21"/>
                <w:szCs w:val="21"/>
              </w:rPr>
              <w:t>处理后</w:t>
            </w:r>
            <w:r>
              <w:rPr>
                <w:rFonts w:hint="eastAsia" w:ascii="Times New Roman" w:hAnsi="Times New Roman" w:eastAsia="宋体" w:cs="Times New Roman"/>
                <w:color w:val="000000" w:themeColor="text1"/>
                <w:kern w:val="0"/>
                <w:sz w:val="21"/>
                <w:szCs w:val="21"/>
                <w:lang w:val="en-US" w:eastAsia="zh-CN"/>
              </w:rPr>
              <w:t>接管园区污水处理厂处理</w:t>
            </w:r>
            <w:r>
              <w:rPr>
                <w:rFonts w:hint="default" w:ascii="Times New Roman" w:hAnsi="Times New Roman" w:eastAsia="宋体" w:cs="Times New Roman"/>
                <w:color w:val="000000" w:themeColor="text1"/>
                <w:kern w:val="0"/>
                <w:sz w:val="21"/>
                <w:szCs w:val="21"/>
              </w:rPr>
              <w:t>。</w:t>
            </w:r>
            <w:r>
              <w:rPr>
                <w:rFonts w:hint="eastAsia" w:ascii="Times New Roman" w:hAnsi="Times New Roman" w:eastAsia="宋体" w:cs="宋体"/>
                <w:color w:val="000000" w:themeColor="text1"/>
                <w:kern w:val="0"/>
                <w:sz w:val="21"/>
                <w:szCs w:val="21"/>
                <w:lang w:val="en-US" w:eastAsia="zh-CN" w:bidi="ar"/>
              </w:rPr>
              <w:t>污染物去除效率根据生态环境部</w:t>
            </w:r>
            <w:r>
              <w:rPr>
                <w:rFonts w:hint="default" w:ascii="Times New Roman" w:hAnsi="Times New Roman" w:eastAsia="宋体" w:cs="Times New Roman"/>
                <w:color w:val="000000" w:themeColor="text1"/>
                <w:kern w:val="0"/>
                <w:sz w:val="21"/>
                <w:szCs w:val="21"/>
                <w:lang w:val="en-US" w:eastAsia="zh-CN" w:bidi="ar"/>
              </w:rPr>
              <w:t>2013</w:t>
            </w:r>
            <w:r>
              <w:rPr>
                <w:rFonts w:hint="eastAsia" w:ascii="Times New Roman" w:hAnsi="Times New Roman" w:eastAsia="宋体" w:cs="宋体"/>
                <w:color w:val="000000" w:themeColor="text1"/>
                <w:kern w:val="0"/>
                <w:sz w:val="21"/>
                <w:szCs w:val="21"/>
                <w:lang w:val="en-US" w:eastAsia="zh-CN" w:bidi="ar"/>
              </w:rPr>
              <w:t>年</w:t>
            </w:r>
            <w:r>
              <w:rPr>
                <w:rFonts w:hint="default" w:ascii="Times New Roman" w:hAnsi="Times New Roman" w:eastAsia="宋体" w:cs="Times New Roman"/>
                <w:color w:val="000000" w:themeColor="text1"/>
                <w:kern w:val="0"/>
                <w:sz w:val="21"/>
                <w:szCs w:val="21"/>
                <w:lang w:val="en-US" w:eastAsia="zh-CN" w:bidi="ar"/>
              </w:rPr>
              <w:t>7</w:t>
            </w:r>
            <w:r>
              <w:rPr>
                <w:rFonts w:hint="eastAsia" w:ascii="Times New Roman" w:hAnsi="Times New Roman" w:eastAsia="宋体" w:cs="宋体"/>
                <w:color w:val="000000" w:themeColor="text1"/>
                <w:kern w:val="0"/>
                <w:sz w:val="21"/>
                <w:szCs w:val="21"/>
                <w:lang w:val="en-US" w:eastAsia="zh-CN" w:bidi="ar"/>
              </w:rPr>
              <w:t>月</w:t>
            </w:r>
            <w:r>
              <w:rPr>
                <w:rFonts w:hint="default" w:ascii="Times New Roman" w:hAnsi="Times New Roman" w:eastAsia="宋体" w:cs="Times New Roman"/>
                <w:color w:val="000000" w:themeColor="text1"/>
                <w:kern w:val="0"/>
                <w:sz w:val="21"/>
                <w:szCs w:val="21"/>
                <w:lang w:val="en-US" w:eastAsia="zh-CN" w:bidi="ar"/>
              </w:rPr>
              <w:t>17</w:t>
            </w:r>
            <w:r>
              <w:rPr>
                <w:rFonts w:hint="eastAsia" w:ascii="Times New Roman" w:hAnsi="Times New Roman" w:eastAsia="宋体" w:cs="宋体"/>
                <w:color w:val="000000" w:themeColor="text1"/>
                <w:kern w:val="0"/>
                <w:sz w:val="21"/>
                <w:szCs w:val="21"/>
                <w:lang w:val="en-US" w:eastAsia="zh-CN" w:bidi="ar"/>
              </w:rPr>
              <w:t>日发布的《村镇生活污染防治最佳可行技术指南》（试行）及类比分析，三级化粪池对生活污水污染物的去除效率约为COD：40%，BOD</w:t>
            </w:r>
            <w:r>
              <w:rPr>
                <w:rFonts w:hint="eastAsia" w:ascii="Times New Roman" w:hAnsi="Times New Roman" w:eastAsia="宋体" w:cs="宋体"/>
                <w:color w:val="000000" w:themeColor="text1"/>
                <w:kern w:val="0"/>
                <w:sz w:val="21"/>
                <w:szCs w:val="21"/>
                <w:vertAlign w:val="subscript"/>
                <w:lang w:val="en-US" w:eastAsia="zh-CN" w:bidi="ar"/>
              </w:rPr>
              <w:t>5</w:t>
            </w:r>
            <w:r>
              <w:rPr>
                <w:rFonts w:hint="eastAsia" w:ascii="Times New Roman" w:hAnsi="Times New Roman" w:eastAsia="宋体" w:cs="宋体"/>
                <w:color w:val="000000" w:themeColor="text1"/>
                <w:kern w:val="0"/>
                <w:sz w:val="21"/>
                <w:szCs w:val="21"/>
                <w:lang w:val="en-US" w:eastAsia="zh-CN" w:bidi="ar"/>
              </w:rPr>
              <w:t>：30%，SS：60%，NH</w:t>
            </w:r>
            <w:r>
              <w:rPr>
                <w:rFonts w:hint="eastAsia" w:ascii="Times New Roman" w:hAnsi="Times New Roman" w:eastAsia="宋体" w:cs="宋体"/>
                <w:color w:val="000000" w:themeColor="text1"/>
                <w:kern w:val="0"/>
                <w:sz w:val="21"/>
                <w:szCs w:val="21"/>
                <w:vertAlign w:val="subscript"/>
                <w:lang w:val="en-US" w:eastAsia="zh-CN" w:bidi="ar"/>
              </w:rPr>
              <w:t>3</w:t>
            </w:r>
            <w:r>
              <w:rPr>
                <w:rFonts w:hint="eastAsia" w:ascii="Times New Roman" w:hAnsi="Times New Roman" w:eastAsia="宋体" w:cs="宋体"/>
                <w:color w:val="000000" w:themeColor="text1"/>
                <w:kern w:val="0"/>
                <w:sz w:val="21"/>
                <w:szCs w:val="21"/>
                <w:lang w:val="en-US" w:eastAsia="zh-CN" w:bidi="ar"/>
              </w:rPr>
              <w:t>-N：5%，动植物油：80%。</w:t>
            </w:r>
          </w:p>
          <w:p w14:paraId="740B874A">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③排放情况</w:t>
            </w:r>
          </w:p>
          <w:p w14:paraId="68F690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jc w:val="left"/>
              <w:textAlignment w:val="auto"/>
              <w:rPr>
                <w:rFonts w:hint="eastAsia" w:ascii="Times New Roman" w:hAnsi="Times New Roman" w:eastAsia="宋体" w:cs="宋体"/>
                <w:color w:val="000000" w:themeColor="text1"/>
                <w:kern w:val="0"/>
                <w:sz w:val="21"/>
                <w:szCs w:val="21"/>
                <w:lang w:val="en-US" w:eastAsia="zh-CN" w:bidi="ar"/>
              </w:rPr>
            </w:pPr>
            <w:r>
              <w:rPr>
                <w:rFonts w:hint="eastAsia" w:ascii="Times New Roman" w:hAnsi="Times New Roman" w:eastAsia="宋体" w:cs="宋体"/>
                <w:color w:val="000000" w:themeColor="text1"/>
                <w:kern w:val="0"/>
                <w:sz w:val="21"/>
                <w:szCs w:val="21"/>
                <w:lang w:val="en-US" w:eastAsia="zh-CN" w:bidi="ar"/>
              </w:rPr>
              <w:t>排放的生活污水经隔油池（TW001）和化粪池（TW002）预处理经污水管网排入园区污水处理厂，生活污水接管标准具体执行《污水综合排放标准》（</w:t>
            </w:r>
            <w:r>
              <w:rPr>
                <w:rFonts w:hint="default" w:ascii="Times New Roman" w:hAnsi="Times New Roman" w:eastAsia="宋体" w:cs="Times New Roman"/>
                <w:color w:val="000000" w:themeColor="text1"/>
                <w:kern w:val="0"/>
                <w:sz w:val="21"/>
                <w:szCs w:val="21"/>
                <w:lang w:val="en-US" w:eastAsia="zh-CN" w:bidi="ar"/>
              </w:rPr>
              <w:t>GB 8978-1996</w:t>
            </w:r>
            <w:r>
              <w:rPr>
                <w:rFonts w:hint="eastAsia" w:ascii="Times New Roman" w:hAnsi="Times New Roman" w:eastAsia="宋体" w:cs="宋体"/>
                <w:color w:val="000000" w:themeColor="text1"/>
                <w:kern w:val="0"/>
                <w:sz w:val="21"/>
                <w:szCs w:val="21"/>
                <w:lang w:val="en-US" w:eastAsia="zh-CN" w:bidi="ar"/>
              </w:rPr>
              <w:t>）三级以及《污水排入城镇下水道水质标准》（</w:t>
            </w:r>
            <w:r>
              <w:rPr>
                <w:rFonts w:hint="default" w:ascii="Times New Roman" w:hAnsi="Times New Roman" w:eastAsia="宋体" w:cs="Times New Roman"/>
                <w:color w:val="000000" w:themeColor="text1"/>
                <w:kern w:val="0"/>
                <w:sz w:val="21"/>
                <w:szCs w:val="21"/>
                <w:lang w:val="en-US" w:eastAsia="zh-CN" w:bidi="ar"/>
              </w:rPr>
              <w:t>GB/T31962-2015</w:t>
            </w:r>
            <w:r>
              <w:rPr>
                <w:rFonts w:hint="eastAsia" w:ascii="Times New Roman" w:hAnsi="Times New Roman" w:eastAsia="宋体" w:cs="宋体"/>
                <w:color w:val="000000" w:themeColor="text1"/>
                <w:kern w:val="0"/>
                <w:sz w:val="21"/>
                <w:szCs w:val="21"/>
                <w:lang w:val="en-US" w:eastAsia="zh-CN" w:bidi="ar"/>
              </w:rPr>
              <w:t>）B级标准。</w:t>
            </w:r>
          </w:p>
          <w:p w14:paraId="54F872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szCs w:val="21"/>
                <w:lang w:val="en-US"/>
              </w:rPr>
            </w:pPr>
            <w:r>
              <w:rPr>
                <w:rFonts w:hint="eastAsia" w:ascii="Times New Roman" w:hAnsi="Times New Roman" w:eastAsia="宋体" w:cs="宋体"/>
                <w:b/>
                <w:bCs/>
                <w:color w:val="000000" w:themeColor="text1"/>
                <w:kern w:val="2"/>
                <w:sz w:val="21"/>
                <w:szCs w:val="21"/>
                <w:lang w:val="en-US" w:eastAsia="zh-CN" w:bidi="ar"/>
              </w:rPr>
              <w:t>表</w:t>
            </w:r>
            <w:r>
              <w:rPr>
                <w:rFonts w:hint="default" w:ascii="Times New Roman" w:hAnsi="Times New Roman" w:eastAsia="宋体" w:cs="Times New Roman"/>
                <w:b/>
                <w:bCs/>
                <w:color w:val="000000" w:themeColor="text1"/>
                <w:kern w:val="2"/>
                <w:sz w:val="21"/>
                <w:szCs w:val="21"/>
                <w:lang w:val="en-US" w:eastAsia="zh-CN" w:bidi="ar"/>
              </w:rPr>
              <w:t>4-</w:t>
            </w:r>
            <w:r>
              <w:rPr>
                <w:rFonts w:hint="eastAsia" w:ascii="Times New Roman" w:hAnsi="Times New Roman" w:eastAsia="宋体" w:cs="Times New Roman"/>
                <w:b/>
                <w:bCs/>
                <w:color w:val="000000" w:themeColor="text1"/>
                <w:kern w:val="2"/>
                <w:sz w:val="21"/>
                <w:szCs w:val="21"/>
                <w:lang w:val="en-US" w:eastAsia="zh-CN" w:bidi="ar"/>
              </w:rPr>
              <w:t>6</w:t>
            </w:r>
            <w:r>
              <w:rPr>
                <w:rFonts w:hint="default" w:ascii="Times New Roman" w:hAnsi="Times New Roman" w:eastAsia="宋体" w:cs="Times New Roman"/>
                <w:b/>
                <w:bCs/>
                <w:color w:val="000000" w:themeColor="text1"/>
                <w:kern w:val="2"/>
                <w:sz w:val="21"/>
                <w:szCs w:val="21"/>
                <w:lang w:val="en-US" w:eastAsia="zh-CN" w:bidi="ar"/>
              </w:rPr>
              <w:t xml:space="preserve">  </w:t>
            </w:r>
            <w:r>
              <w:rPr>
                <w:rFonts w:hint="eastAsia" w:ascii="Times New Roman" w:hAnsi="Times New Roman" w:eastAsia="宋体" w:cs="宋体"/>
                <w:b/>
                <w:bCs/>
                <w:color w:val="000000" w:themeColor="text1"/>
                <w:kern w:val="2"/>
                <w:sz w:val="21"/>
                <w:szCs w:val="21"/>
                <w:lang w:val="en-US" w:eastAsia="zh-CN" w:bidi="ar"/>
              </w:rPr>
              <w:t>项目生活污水污染物产生及排放情况</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
              <w:gridCol w:w="1276"/>
              <w:gridCol w:w="850"/>
              <w:gridCol w:w="832"/>
              <w:gridCol w:w="1133"/>
              <w:gridCol w:w="1133"/>
              <w:gridCol w:w="1133"/>
              <w:gridCol w:w="1133"/>
            </w:tblGrid>
            <w:tr w14:paraId="7750E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717" w:type="dxa"/>
                  <w:gridSpan w:val="2"/>
                  <w:tcBorders>
                    <w:top w:val="single" w:color="auto" w:sz="4" w:space="0"/>
                    <w:left w:val="single" w:color="auto" w:sz="4" w:space="0"/>
                    <w:bottom w:val="single" w:color="auto" w:sz="4" w:space="0"/>
                    <w:right w:val="single" w:color="auto" w:sz="4" w:space="0"/>
                  </w:tcBorders>
                  <w:noWrap w:val="0"/>
                  <w:vAlign w:val="center"/>
                </w:tcPr>
                <w:p w14:paraId="3A3C20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污水类型</w:t>
                  </w:r>
                </w:p>
              </w:tc>
              <w:tc>
                <w:tcPr>
                  <w:tcW w:w="6214" w:type="dxa"/>
                  <w:gridSpan w:val="6"/>
                  <w:tcBorders>
                    <w:top w:val="single" w:color="auto" w:sz="4" w:space="0"/>
                    <w:left w:val="single" w:color="auto" w:sz="4" w:space="0"/>
                    <w:bottom w:val="single" w:color="auto" w:sz="4" w:space="0"/>
                    <w:right w:val="single" w:color="auto" w:sz="4" w:space="0"/>
                  </w:tcBorders>
                  <w:noWrap w:val="0"/>
                  <w:vAlign w:val="center"/>
                </w:tcPr>
                <w:p w14:paraId="5B6139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生活污水</w:t>
                  </w:r>
                </w:p>
              </w:tc>
            </w:tr>
            <w:tr w14:paraId="776D2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7" w:type="dxa"/>
                  <w:gridSpan w:val="2"/>
                  <w:tcBorders>
                    <w:top w:val="single" w:color="auto" w:sz="4" w:space="0"/>
                    <w:left w:val="single" w:color="auto" w:sz="4" w:space="0"/>
                    <w:bottom w:val="single" w:color="auto" w:sz="4" w:space="0"/>
                    <w:right w:val="single" w:color="auto" w:sz="4" w:space="0"/>
                  </w:tcBorders>
                  <w:noWrap w:val="0"/>
                  <w:vAlign w:val="center"/>
                </w:tcPr>
                <w:p w14:paraId="2D6D6E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产生量（</w:t>
                  </w:r>
                  <w:r>
                    <w:rPr>
                      <w:rFonts w:hint="default" w:ascii="Times New Roman" w:hAnsi="Times New Roman" w:eastAsia="宋体" w:cs="Times New Roman"/>
                      <w:color w:val="000000" w:themeColor="text1"/>
                      <w:kern w:val="2"/>
                      <w:sz w:val="21"/>
                      <w:szCs w:val="21"/>
                      <w:lang w:val="en-US" w:eastAsia="zh-CN" w:bidi="ar"/>
                    </w:rPr>
                    <w:t>m</w:t>
                  </w:r>
                  <w:r>
                    <w:rPr>
                      <w:rFonts w:hint="default" w:ascii="Times New Roman" w:hAnsi="Times New Roman" w:eastAsia="宋体" w:cs="Times New Roman"/>
                      <w:color w:val="000000" w:themeColor="text1"/>
                      <w:kern w:val="2"/>
                      <w:sz w:val="21"/>
                      <w:szCs w:val="21"/>
                      <w:vertAlign w:val="superscript"/>
                      <w:lang w:val="en-US" w:eastAsia="zh-CN" w:bidi="ar"/>
                    </w:rPr>
                    <w:t>3</w:t>
                  </w:r>
                  <w:r>
                    <w:rPr>
                      <w:rFonts w:hint="default" w:ascii="Times New Roman" w:hAnsi="Times New Roman" w:eastAsia="宋体" w:cs="Times New Roman"/>
                      <w:color w:val="000000" w:themeColor="text1"/>
                      <w:kern w:val="2"/>
                      <w:sz w:val="21"/>
                      <w:szCs w:val="21"/>
                      <w:lang w:val="en-US" w:eastAsia="zh-CN" w:bidi="ar"/>
                    </w:rPr>
                    <w:t>/a</w:t>
                  </w:r>
                  <w:r>
                    <w:rPr>
                      <w:rFonts w:hint="eastAsia" w:ascii="Times New Roman" w:hAnsi="Times New Roman" w:eastAsia="宋体" w:cs="宋体"/>
                      <w:color w:val="000000" w:themeColor="text1"/>
                      <w:kern w:val="2"/>
                      <w:sz w:val="21"/>
                      <w:szCs w:val="21"/>
                      <w:lang w:val="en-US" w:eastAsia="zh-CN" w:bidi="ar"/>
                    </w:rPr>
                    <w:t>）</w:t>
                  </w:r>
                </w:p>
              </w:tc>
              <w:tc>
                <w:tcPr>
                  <w:tcW w:w="6214" w:type="dxa"/>
                  <w:gridSpan w:val="6"/>
                  <w:tcBorders>
                    <w:top w:val="single" w:color="auto" w:sz="4" w:space="0"/>
                    <w:left w:val="single" w:color="auto" w:sz="4" w:space="0"/>
                    <w:bottom w:val="single" w:color="auto" w:sz="4" w:space="0"/>
                    <w:right w:val="single" w:color="auto" w:sz="4" w:space="0"/>
                  </w:tcBorders>
                  <w:noWrap w:val="0"/>
                  <w:vAlign w:val="center"/>
                </w:tcPr>
                <w:p w14:paraId="39FE9E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Cs w:val="21"/>
                      <w:lang w:val="en-US" w:eastAsia="zh-CN"/>
                    </w:rPr>
                  </w:pPr>
                  <w:r>
                    <w:rPr>
                      <w:rFonts w:hint="eastAsia" w:ascii="Times New Roman" w:hAnsi="Times New Roman" w:cs="Times New Roman"/>
                      <w:color w:val="000000" w:themeColor="text1"/>
                      <w:sz w:val="21"/>
                      <w:szCs w:val="21"/>
                      <w:lang w:val="en-US" w:eastAsia="zh-CN"/>
                    </w:rPr>
                    <w:t>456</w:t>
                  </w:r>
                </w:p>
              </w:tc>
            </w:tr>
            <w:tr w14:paraId="1C627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7" w:type="dxa"/>
                  <w:gridSpan w:val="2"/>
                  <w:tcBorders>
                    <w:top w:val="single" w:color="auto" w:sz="4" w:space="0"/>
                    <w:left w:val="single" w:color="auto" w:sz="4" w:space="0"/>
                    <w:bottom w:val="single" w:color="auto" w:sz="4" w:space="0"/>
                    <w:right w:val="single" w:color="auto" w:sz="4" w:space="0"/>
                  </w:tcBorders>
                  <w:noWrap w:val="0"/>
                  <w:vAlign w:val="center"/>
                </w:tcPr>
                <w:p w14:paraId="21546B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污染物种类</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67027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default" w:ascii="Times New Roman" w:hAnsi="Times New Roman" w:eastAsia="宋体" w:cs="Times New Roman"/>
                      <w:color w:val="000000" w:themeColor="text1"/>
                      <w:kern w:val="0"/>
                      <w:sz w:val="21"/>
                      <w:szCs w:val="21"/>
                      <w:lang w:val="en-US" w:eastAsia="zh-CN" w:bidi="ar"/>
                    </w:rPr>
                    <w:t>CODcr</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460A80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default" w:ascii="Times New Roman" w:hAnsi="Times New Roman" w:eastAsia="宋体" w:cs="Times New Roman"/>
                      <w:color w:val="000000" w:themeColor="text1"/>
                      <w:kern w:val="0"/>
                      <w:sz w:val="21"/>
                      <w:szCs w:val="21"/>
                      <w:lang w:val="en-US" w:eastAsia="zh-CN" w:bidi="ar"/>
                    </w:rPr>
                    <w:t>BOD</w:t>
                  </w:r>
                  <w:r>
                    <w:rPr>
                      <w:rStyle w:val="201"/>
                      <w:rFonts w:eastAsia="宋体"/>
                      <w:color w:val="000000" w:themeColor="text1"/>
                      <w:kern w:val="2"/>
                      <w:lang w:val="en-US" w:eastAsia="zh-CN" w:bidi="ar"/>
                    </w:rPr>
                    <w:t>5</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580101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default" w:ascii="Times New Roman" w:hAnsi="Times New Roman" w:eastAsia="宋体" w:cs="Times New Roman"/>
                      <w:color w:val="000000" w:themeColor="text1"/>
                      <w:kern w:val="0"/>
                      <w:sz w:val="21"/>
                      <w:szCs w:val="21"/>
                      <w:lang w:val="en-US" w:eastAsia="zh-CN" w:bidi="ar"/>
                    </w:rPr>
                    <w:t>SS</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45F1FA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0"/>
                      <w:sz w:val="21"/>
                      <w:szCs w:val="21"/>
                      <w:lang w:val="en-US" w:eastAsia="zh-CN" w:bidi="ar"/>
                    </w:rPr>
                    <w:t>氨氮</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648302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0"/>
                      <w:sz w:val="21"/>
                      <w:szCs w:val="21"/>
                      <w:lang w:val="en-US" w:eastAsia="zh-CN" w:bidi="ar"/>
                    </w:rPr>
                    <w:t>总磷</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231714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0"/>
                      <w:sz w:val="21"/>
                      <w:szCs w:val="21"/>
                      <w:lang w:val="en-US" w:eastAsia="zh-CN" w:bidi="ar"/>
                    </w:rPr>
                    <w:t>动植物油</w:t>
                  </w:r>
                </w:p>
              </w:tc>
            </w:tr>
            <w:tr w14:paraId="74D69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7" w:type="dxa"/>
                  <w:gridSpan w:val="2"/>
                  <w:tcBorders>
                    <w:top w:val="single" w:color="auto" w:sz="4" w:space="0"/>
                    <w:left w:val="single" w:color="auto" w:sz="4" w:space="0"/>
                    <w:bottom w:val="single" w:color="auto" w:sz="4" w:space="0"/>
                    <w:right w:val="single" w:color="auto" w:sz="4" w:space="0"/>
                  </w:tcBorders>
                  <w:noWrap w:val="0"/>
                  <w:vAlign w:val="center"/>
                </w:tcPr>
                <w:p w14:paraId="4513FC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0"/>
                      <w:sz w:val="21"/>
                      <w:szCs w:val="21"/>
                      <w:lang w:val="en-US" w:eastAsia="zh-CN" w:bidi="ar"/>
                    </w:rPr>
                    <w:t>污染物产生浓度（</w:t>
                  </w:r>
                  <w:r>
                    <w:rPr>
                      <w:rFonts w:hint="default" w:ascii="Times New Roman" w:hAnsi="Times New Roman" w:eastAsia="宋体" w:cs="Times New Roman"/>
                      <w:color w:val="000000" w:themeColor="text1"/>
                      <w:kern w:val="0"/>
                      <w:sz w:val="21"/>
                      <w:szCs w:val="21"/>
                      <w:lang w:val="en-US" w:eastAsia="zh-CN" w:bidi="ar"/>
                    </w:rPr>
                    <w:t>mg/L</w:t>
                  </w:r>
                  <w:r>
                    <w:rPr>
                      <w:rFonts w:hint="eastAsia" w:ascii="Times New Roman" w:hAnsi="Times New Roman" w:eastAsia="宋体" w:cs="宋体"/>
                      <w:color w:val="000000" w:themeColor="text1"/>
                      <w:kern w:val="0"/>
                      <w:sz w:val="21"/>
                      <w:szCs w:val="21"/>
                      <w:lang w:val="en-US" w:eastAsia="zh-CN" w:bidi="ar"/>
                    </w:rPr>
                    <w:t>）</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98066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kern w:val="0"/>
                      <w:szCs w:val="21"/>
                      <w:lang w:val="en-US" w:bidi="ar"/>
                    </w:rPr>
                  </w:pPr>
                  <w:r>
                    <w:rPr>
                      <w:rFonts w:hint="default" w:ascii="Times New Roman" w:hAnsi="Times New Roman" w:eastAsia="宋体" w:cs="Times New Roman"/>
                      <w:color w:val="000000" w:themeColor="text1"/>
                      <w:kern w:val="0"/>
                      <w:sz w:val="21"/>
                      <w:szCs w:val="21"/>
                      <w:lang w:val="en-US" w:eastAsia="zh-CN" w:bidi="ar"/>
                    </w:rPr>
                    <w:t>400</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7EE91D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kern w:val="0"/>
                      <w:szCs w:val="21"/>
                      <w:lang w:val="en-US" w:bidi="ar"/>
                    </w:rPr>
                  </w:pPr>
                  <w:r>
                    <w:rPr>
                      <w:rFonts w:hint="default" w:ascii="Times New Roman" w:hAnsi="Times New Roman" w:eastAsia="宋体" w:cs="Times New Roman"/>
                      <w:color w:val="000000" w:themeColor="text1"/>
                      <w:kern w:val="0"/>
                      <w:sz w:val="21"/>
                      <w:szCs w:val="21"/>
                      <w:lang w:val="en-US" w:eastAsia="zh-CN" w:bidi="ar"/>
                    </w:rPr>
                    <w:t>220</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1A1E34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kern w:val="0"/>
                      <w:szCs w:val="21"/>
                      <w:lang w:val="en-US" w:bidi="ar"/>
                    </w:rPr>
                  </w:pPr>
                  <w:r>
                    <w:rPr>
                      <w:rFonts w:hint="default" w:ascii="Times New Roman" w:hAnsi="Times New Roman" w:eastAsia="宋体" w:cs="Times New Roman"/>
                      <w:color w:val="000000" w:themeColor="text1"/>
                      <w:kern w:val="0"/>
                      <w:sz w:val="21"/>
                      <w:szCs w:val="21"/>
                      <w:lang w:val="en-US" w:eastAsia="zh-CN" w:bidi="ar"/>
                    </w:rPr>
                    <w:t>300</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6AF1C8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kern w:val="0"/>
                      <w:szCs w:val="21"/>
                      <w:lang w:val="en-US" w:bidi="ar"/>
                    </w:rPr>
                  </w:pPr>
                  <w:r>
                    <w:rPr>
                      <w:rFonts w:hint="default" w:ascii="Times New Roman" w:hAnsi="Times New Roman" w:eastAsia="宋体" w:cs="Times New Roman"/>
                      <w:color w:val="000000" w:themeColor="text1"/>
                      <w:kern w:val="0"/>
                      <w:sz w:val="21"/>
                      <w:szCs w:val="21"/>
                      <w:lang w:val="en-US" w:eastAsia="zh-CN" w:bidi="ar"/>
                    </w:rPr>
                    <w:t>20</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6F4400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kern w:val="0"/>
                      <w:szCs w:val="21"/>
                      <w:lang w:val="en-US" w:bidi="ar"/>
                    </w:rPr>
                  </w:pPr>
                  <w:r>
                    <w:rPr>
                      <w:rFonts w:hint="default" w:ascii="Times New Roman" w:hAnsi="Times New Roman" w:eastAsia="宋体" w:cs="Times New Roman"/>
                      <w:color w:val="000000" w:themeColor="text1"/>
                      <w:kern w:val="0"/>
                      <w:sz w:val="21"/>
                      <w:szCs w:val="21"/>
                      <w:lang w:val="en-US" w:eastAsia="zh-CN" w:bidi="ar"/>
                    </w:rPr>
                    <w:t>7</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2F0C0D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kern w:val="0"/>
                      <w:szCs w:val="21"/>
                      <w:lang w:val="en-US" w:bidi="ar"/>
                    </w:rPr>
                  </w:pPr>
                  <w:r>
                    <w:rPr>
                      <w:rFonts w:hint="default" w:ascii="Times New Roman" w:hAnsi="Times New Roman" w:eastAsia="宋体" w:cs="Times New Roman"/>
                      <w:color w:val="000000" w:themeColor="text1"/>
                      <w:kern w:val="0"/>
                      <w:sz w:val="21"/>
                      <w:szCs w:val="21"/>
                      <w:lang w:val="en-US" w:eastAsia="zh-CN" w:bidi="ar"/>
                    </w:rPr>
                    <w:t>80</w:t>
                  </w:r>
                </w:p>
              </w:tc>
            </w:tr>
            <w:tr w14:paraId="24B40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7" w:type="dxa"/>
                  <w:gridSpan w:val="2"/>
                  <w:tcBorders>
                    <w:top w:val="single" w:color="auto" w:sz="4" w:space="0"/>
                    <w:left w:val="single" w:color="auto" w:sz="4" w:space="0"/>
                    <w:bottom w:val="single" w:color="auto" w:sz="4" w:space="0"/>
                    <w:right w:val="single" w:color="auto" w:sz="4" w:space="0"/>
                  </w:tcBorders>
                  <w:noWrap w:val="0"/>
                  <w:vAlign w:val="center"/>
                </w:tcPr>
                <w:p w14:paraId="78D0A8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0"/>
                      <w:sz w:val="21"/>
                      <w:szCs w:val="21"/>
                      <w:lang w:val="en-US" w:eastAsia="zh-CN" w:bidi="ar"/>
                    </w:rPr>
                    <w:t>污染物产生量（</w:t>
                  </w:r>
                  <w:r>
                    <w:rPr>
                      <w:rFonts w:hint="default" w:ascii="Times New Roman" w:hAnsi="Times New Roman" w:eastAsia="宋体" w:cs="Times New Roman"/>
                      <w:color w:val="000000" w:themeColor="text1"/>
                      <w:kern w:val="0"/>
                      <w:sz w:val="21"/>
                      <w:szCs w:val="21"/>
                      <w:lang w:val="en-US" w:eastAsia="zh-CN" w:bidi="ar"/>
                    </w:rPr>
                    <w:t>t/a</w:t>
                  </w:r>
                  <w:r>
                    <w:rPr>
                      <w:rFonts w:hint="eastAsia" w:ascii="Times New Roman" w:hAnsi="Times New Roman" w:eastAsia="宋体" w:cs="宋体"/>
                      <w:color w:val="000000" w:themeColor="text1"/>
                      <w:kern w:val="0"/>
                      <w:sz w:val="21"/>
                      <w:szCs w:val="21"/>
                      <w:lang w:val="en-US" w:eastAsia="zh-CN" w:bidi="ar"/>
                    </w:rPr>
                    <w:t>）</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5C5AB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0.184</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3C7009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0.101</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3E39A5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0.138</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539FF4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0.009</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247866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0.003</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19710B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0.037</w:t>
                  </w:r>
                </w:p>
              </w:tc>
            </w:tr>
            <w:tr w14:paraId="0B1AE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7" w:type="dxa"/>
                  <w:gridSpan w:val="2"/>
                  <w:tcBorders>
                    <w:top w:val="single" w:color="auto" w:sz="4" w:space="0"/>
                    <w:left w:val="single" w:color="auto" w:sz="4" w:space="0"/>
                    <w:bottom w:val="single" w:color="auto" w:sz="4" w:space="0"/>
                    <w:right w:val="single" w:color="auto" w:sz="4" w:space="0"/>
                  </w:tcBorders>
                  <w:noWrap w:val="0"/>
                  <w:vAlign w:val="center"/>
                </w:tcPr>
                <w:p w14:paraId="051008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排放形式</w:t>
                  </w:r>
                </w:p>
              </w:tc>
              <w:tc>
                <w:tcPr>
                  <w:tcW w:w="6214" w:type="dxa"/>
                  <w:gridSpan w:val="6"/>
                  <w:tcBorders>
                    <w:top w:val="single" w:color="auto" w:sz="4" w:space="0"/>
                    <w:left w:val="single" w:color="auto" w:sz="4" w:space="0"/>
                    <w:bottom w:val="single" w:color="auto" w:sz="4" w:space="0"/>
                    <w:right w:val="single" w:color="auto" w:sz="4" w:space="0"/>
                  </w:tcBorders>
                  <w:noWrap w:val="0"/>
                  <w:vAlign w:val="center"/>
                </w:tcPr>
                <w:p w14:paraId="1FDE5E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间接</w:t>
                  </w:r>
                </w:p>
              </w:tc>
            </w:tr>
            <w:tr w14:paraId="45946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dxa"/>
                  <w:vMerge w:val="restart"/>
                  <w:tcBorders>
                    <w:top w:val="single" w:color="auto" w:sz="4" w:space="0"/>
                    <w:left w:val="single" w:color="auto" w:sz="4" w:space="0"/>
                    <w:bottom w:val="single" w:color="auto" w:sz="4" w:space="0"/>
                    <w:right w:val="single" w:color="auto" w:sz="4" w:space="0"/>
                  </w:tcBorders>
                  <w:noWrap w:val="0"/>
                  <w:vAlign w:val="center"/>
                </w:tcPr>
                <w:p w14:paraId="4B1DB8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治理设施</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C314C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处理能力</w:t>
                  </w:r>
                  <w:r>
                    <w:rPr>
                      <w:rFonts w:hint="default" w:ascii="Times New Roman" w:hAnsi="Times New Roman" w:eastAsia="宋体" w:cs="Times New Roman"/>
                      <w:color w:val="000000" w:themeColor="text1"/>
                      <w:kern w:val="2"/>
                      <w:sz w:val="21"/>
                      <w:szCs w:val="21"/>
                      <w:lang w:val="en-US" w:eastAsia="zh-CN" w:bidi="ar"/>
                    </w:rPr>
                    <w:t>%</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D85E2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default" w:ascii="Times New Roman" w:hAnsi="Times New Roman" w:eastAsia="宋体" w:cs="Times New Roman"/>
                      <w:color w:val="000000" w:themeColor="text1"/>
                      <w:kern w:val="2"/>
                      <w:sz w:val="21"/>
                      <w:szCs w:val="21"/>
                      <w:lang w:val="en-US" w:eastAsia="zh-CN" w:bidi="ar"/>
                    </w:rPr>
                    <w:t>40</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0F99E9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default" w:ascii="Times New Roman" w:hAnsi="Times New Roman" w:eastAsia="宋体" w:cs="Times New Roman"/>
                      <w:color w:val="000000" w:themeColor="text1"/>
                      <w:kern w:val="2"/>
                      <w:sz w:val="21"/>
                      <w:szCs w:val="21"/>
                      <w:lang w:val="en-US" w:eastAsia="zh-CN" w:bidi="ar"/>
                    </w:rPr>
                    <w:t>30</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42E07D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default" w:ascii="Times New Roman" w:hAnsi="Times New Roman" w:eastAsia="宋体" w:cs="Times New Roman"/>
                      <w:color w:val="000000" w:themeColor="text1"/>
                      <w:kern w:val="2"/>
                      <w:sz w:val="21"/>
                      <w:szCs w:val="21"/>
                      <w:lang w:val="en-US" w:eastAsia="zh-CN" w:bidi="ar"/>
                    </w:rPr>
                    <w:t>60</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79D1ED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default" w:ascii="Times New Roman" w:hAnsi="Times New Roman" w:eastAsia="宋体" w:cs="Times New Roman"/>
                      <w:color w:val="000000" w:themeColor="text1"/>
                      <w:kern w:val="2"/>
                      <w:sz w:val="21"/>
                      <w:szCs w:val="21"/>
                      <w:lang w:val="en-US" w:eastAsia="zh-CN" w:bidi="ar"/>
                    </w:rPr>
                    <w:t>5</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5ACB20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default" w:ascii="Times New Roman" w:hAnsi="Times New Roman" w:eastAsia="宋体" w:cs="Times New Roman"/>
                      <w:color w:val="000000" w:themeColor="text1"/>
                      <w:kern w:val="2"/>
                      <w:sz w:val="21"/>
                      <w:szCs w:val="21"/>
                      <w:lang w:val="en-US" w:eastAsia="zh-CN" w:bidi="ar"/>
                    </w:rPr>
                    <w:t>0</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71A96E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Times New Roman"/>
                      <w:color w:val="000000" w:themeColor="text1"/>
                      <w:kern w:val="2"/>
                      <w:sz w:val="21"/>
                      <w:szCs w:val="21"/>
                      <w:lang w:val="en-US" w:eastAsia="zh-CN" w:bidi="ar"/>
                    </w:rPr>
                    <w:t>80</w:t>
                  </w:r>
                </w:p>
              </w:tc>
            </w:tr>
            <w:tr w14:paraId="22B8B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dxa"/>
                  <w:vMerge w:val="continue"/>
                  <w:tcBorders>
                    <w:top w:val="single" w:color="auto" w:sz="4" w:space="0"/>
                    <w:left w:val="single" w:color="auto" w:sz="4" w:space="0"/>
                    <w:bottom w:val="single" w:color="auto" w:sz="4" w:space="0"/>
                    <w:right w:val="single" w:color="auto" w:sz="4" w:space="0"/>
                  </w:tcBorders>
                  <w:noWrap w:val="0"/>
                  <w:vAlign w:val="center"/>
                </w:tcPr>
                <w:p w14:paraId="138622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cs="Times New Roman"/>
                      <w:color w:val="000000" w:themeColor="text1"/>
                      <w:sz w:val="20"/>
                      <w:szCs w:val="20"/>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0BA90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收集效率</w:t>
                  </w:r>
                </w:p>
              </w:tc>
              <w:tc>
                <w:tcPr>
                  <w:tcW w:w="6214" w:type="dxa"/>
                  <w:gridSpan w:val="6"/>
                  <w:tcBorders>
                    <w:top w:val="single" w:color="auto" w:sz="4" w:space="0"/>
                    <w:left w:val="single" w:color="auto" w:sz="4" w:space="0"/>
                    <w:bottom w:val="single" w:color="auto" w:sz="4" w:space="0"/>
                    <w:right w:val="single" w:color="auto" w:sz="4" w:space="0"/>
                  </w:tcBorders>
                  <w:noWrap w:val="0"/>
                  <w:vAlign w:val="center"/>
                </w:tcPr>
                <w:p w14:paraId="5192B0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default" w:ascii="Times New Roman" w:hAnsi="Times New Roman" w:eastAsia="宋体" w:cs="Times New Roman"/>
                      <w:color w:val="000000" w:themeColor="text1"/>
                      <w:kern w:val="2"/>
                      <w:sz w:val="21"/>
                      <w:szCs w:val="21"/>
                      <w:lang w:val="en-US" w:eastAsia="zh-CN" w:bidi="ar"/>
                    </w:rPr>
                    <w:t>100%</w:t>
                  </w:r>
                </w:p>
              </w:tc>
            </w:tr>
            <w:tr w14:paraId="0E168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dxa"/>
                  <w:vMerge w:val="continue"/>
                  <w:tcBorders>
                    <w:top w:val="single" w:color="auto" w:sz="4" w:space="0"/>
                    <w:left w:val="single" w:color="auto" w:sz="4" w:space="0"/>
                    <w:bottom w:val="single" w:color="auto" w:sz="4" w:space="0"/>
                    <w:right w:val="single" w:color="auto" w:sz="4" w:space="0"/>
                  </w:tcBorders>
                  <w:noWrap w:val="0"/>
                  <w:vAlign w:val="center"/>
                </w:tcPr>
                <w:p w14:paraId="02DE9A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cs="Times New Roman"/>
                      <w:color w:val="000000" w:themeColor="text1"/>
                      <w:sz w:val="20"/>
                      <w:szCs w:val="20"/>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AC74E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治理措施</w:t>
                  </w:r>
                </w:p>
              </w:tc>
              <w:tc>
                <w:tcPr>
                  <w:tcW w:w="6214" w:type="dxa"/>
                  <w:gridSpan w:val="6"/>
                  <w:tcBorders>
                    <w:top w:val="single" w:color="auto" w:sz="4" w:space="0"/>
                    <w:left w:val="single" w:color="auto" w:sz="4" w:space="0"/>
                    <w:bottom w:val="single" w:color="auto" w:sz="4" w:space="0"/>
                    <w:right w:val="single" w:color="auto" w:sz="4" w:space="0"/>
                  </w:tcBorders>
                  <w:noWrap w:val="0"/>
                  <w:vAlign w:val="center"/>
                </w:tcPr>
                <w:p w14:paraId="5B2AA1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kern w:val="0"/>
                      <w:szCs w:val="21"/>
                      <w:lang w:val="en-US"/>
                    </w:rPr>
                  </w:pPr>
                  <w:r>
                    <w:rPr>
                      <w:rFonts w:hint="eastAsia" w:ascii="Times New Roman" w:hAnsi="Times New Roman" w:eastAsia="宋体" w:cs="宋体"/>
                      <w:color w:val="000000" w:themeColor="text1"/>
                      <w:kern w:val="0"/>
                      <w:sz w:val="21"/>
                      <w:szCs w:val="21"/>
                      <w:lang w:val="en-US" w:eastAsia="zh-CN" w:bidi="ar"/>
                    </w:rPr>
                    <w:t>隔油池（TW00</w:t>
                  </w:r>
                  <w:r>
                    <w:rPr>
                      <w:rFonts w:hint="eastAsia" w:cs="宋体"/>
                      <w:color w:val="000000" w:themeColor="text1"/>
                      <w:kern w:val="0"/>
                      <w:sz w:val="21"/>
                      <w:szCs w:val="21"/>
                      <w:lang w:val="en-US" w:eastAsia="zh-CN" w:bidi="ar"/>
                    </w:rPr>
                    <w:t>1</w:t>
                  </w:r>
                  <w:r>
                    <w:rPr>
                      <w:rFonts w:hint="eastAsia" w:ascii="Times New Roman" w:hAnsi="Times New Roman" w:eastAsia="宋体" w:cs="宋体"/>
                      <w:color w:val="000000" w:themeColor="text1"/>
                      <w:kern w:val="0"/>
                      <w:sz w:val="21"/>
                      <w:szCs w:val="21"/>
                      <w:lang w:val="en-US" w:eastAsia="zh-CN" w:bidi="ar"/>
                    </w:rPr>
                    <w:t>）</w:t>
                  </w:r>
                  <w:r>
                    <w:rPr>
                      <w:rFonts w:hint="default" w:ascii="Times New Roman" w:hAnsi="Times New Roman" w:eastAsia="宋体" w:cs="Times New Roman"/>
                      <w:color w:val="000000" w:themeColor="text1"/>
                      <w:kern w:val="0"/>
                      <w:sz w:val="21"/>
                      <w:szCs w:val="21"/>
                      <w:lang w:val="en-US" w:eastAsia="zh-CN" w:bidi="ar"/>
                    </w:rPr>
                    <w:t>+</w:t>
                  </w:r>
                  <w:r>
                    <w:rPr>
                      <w:rFonts w:hint="eastAsia" w:ascii="Times New Roman" w:hAnsi="Times New Roman" w:eastAsia="宋体" w:cs="宋体"/>
                      <w:color w:val="000000" w:themeColor="text1"/>
                      <w:kern w:val="0"/>
                      <w:sz w:val="21"/>
                      <w:szCs w:val="21"/>
                      <w:lang w:val="en-US" w:eastAsia="zh-CN" w:bidi="ar"/>
                    </w:rPr>
                    <w:t>化粪池（TW002）</w:t>
                  </w:r>
                </w:p>
              </w:tc>
            </w:tr>
            <w:tr w14:paraId="027AF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dxa"/>
                  <w:vMerge w:val="continue"/>
                  <w:tcBorders>
                    <w:top w:val="single" w:color="auto" w:sz="4" w:space="0"/>
                    <w:left w:val="single" w:color="auto" w:sz="4" w:space="0"/>
                    <w:bottom w:val="single" w:color="auto" w:sz="4" w:space="0"/>
                    <w:right w:val="single" w:color="auto" w:sz="4" w:space="0"/>
                  </w:tcBorders>
                  <w:noWrap w:val="0"/>
                  <w:vAlign w:val="center"/>
                </w:tcPr>
                <w:p w14:paraId="56CADF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cs="Times New Roman"/>
                      <w:color w:val="000000" w:themeColor="text1"/>
                      <w:sz w:val="20"/>
                      <w:szCs w:val="20"/>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03728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是否为</w:t>
                  </w:r>
                </w:p>
                <w:p w14:paraId="6D3EF2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可行技术</w:t>
                  </w:r>
                </w:p>
              </w:tc>
              <w:tc>
                <w:tcPr>
                  <w:tcW w:w="6214" w:type="dxa"/>
                  <w:gridSpan w:val="6"/>
                  <w:tcBorders>
                    <w:top w:val="single" w:color="auto" w:sz="4" w:space="0"/>
                    <w:left w:val="single" w:color="auto" w:sz="4" w:space="0"/>
                    <w:bottom w:val="single" w:color="auto" w:sz="4" w:space="0"/>
                    <w:right w:val="single" w:color="auto" w:sz="4" w:space="0"/>
                  </w:tcBorders>
                  <w:noWrap w:val="0"/>
                  <w:vAlign w:val="center"/>
                </w:tcPr>
                <w:p w14:paraId="65019C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是</w:t>
                  </w:r>
                </w:p>
              </w:tc>
            </w:tr>
            <w:tr w14:paraId="5D386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7" w:type="dxa"/>
                  <w:gridSpan w:val="2"/>
                  <w:tcBorders>
                    <w:top w:val="single" w:color="auto" w:sz="4" w:space="0"/>
                    <w:left w:val="single" w:color="auto" w:sz="4" w:space="0"/>
                    <w:bottom w:val="single" w:color="auto" w:sz="4" w:space="0"/>
                    <w:right w:val="single" w:color="auto" w:sz="4" w:space="0"/>
                  </w:tcBorders>
                  <w:noWrap w:val="0"/>
                  <w:vAlign w:val="center"/>
                </w:tcPr>
                <w:p w14:paraId="3EA85D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污染物排放浓度</w:t>
                  </w:r>
                  <w:r>
                    <w:rPr>
                      <w:rFonts w:hint="eastAsia" w:ascii="Times New Roman" w:hAnsi="Times New Roman" w:eastAsia="宋体" w:cs="宋体"/>
                      <w:color w:val="000000" w:themeColor="text1"/>
                      <w:kern w:val="0"/>
                      <w:sz w:val="21"/>
                      <w:szCs w:val="21"/>
                      <w:lang w:val="en-US" w:eastAsia="zh-CN" w:bidi="ar"/>
                    </w:rPr>
                    <w:t>（</w:t>
                  </w:r>
                  <w:r>
                    <w:rPr>
                      <w:rFonts w:hint="default" w:ascii="Times New Roman" w:hAnsi="Times New Roman" w:eastAsia="宋体" w:cs="Times New Roman"/>
                      <w:color w:val="000000" w:themeColor="text1"/>
                      <w:kern w:val="0"/>
                      <w:sz w:val="21"/>
                      <w:szCs w:val="21"/>
                      <w:lang w:val="en-US" w:eastAsia="zh-CN" w:bidi="ar"/>
                    </w:rPr>
                    <w:t>mg/L</w:t>
                  </w:r>
                  <w:r>
                    <w:rPr>
                      <w:rFonts w:hint="eastAsia" w:ascii="Times New Roman" w:hAnsi="Times New Roman" w:eastAsia="宋体" w:cs="宋体"/>
                      <w:color w:val="000000" w:themeColor="text1"/>
                      <w:kern w:val="0"/>
                      <w:sz w:val="21"/>
                      <w:szCs w:val="21"/>
                      <w:lang w:val="en-US" w:eastAsia="zh-CN" w:bidi="ar"/>
                    </w:rPr>
                    <w:t>）</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226D4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default" w:ascii="Times New Roman" w:hAnsi="Times New Roman" w:eastAsia="宋体" w:cs="Times New Roman"/>
                      <w:color w:val="000000" w:themeColor="text1"/>
                      <w:kern w:val="2"/>
                      <w:sz w:val="21"/>
                      <w:szCs w:val="21"/>
                      <w:lang w:val="en-US" w:eastAsia="zh-CN" w:bidi="ar"/>
                    </w:rPr>
                    <w:t>240</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648521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default" w:ascii="Times New Roman" w:hAnsi="Times New Roman" w:eastAsia="宋体" w:cs="Times New Roman"/>
                      <w:color w:val="000000" w:themeColor="text1"/>
                      <w:kern w:val="2"/>
                      <w:sz w:val="21"/>
                      <w:szCs w:val="21"/>
                      <w:lang w:val="en-US" w:eastAsia="zh-CN" w:bidi="ar"/>
                    </w:rPr>
                    <w:t>154</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76712A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default" w:ascii="Times New Roman" w:hAnsi="Times New Roman" w:eastAsia="宋体" w:cs="Times New Roman"/>
                      <w:color w:val="000000" w:themeColor="text1"/>
                      <w:kern w:val="2"/>
                      <w:sz w:val="21"/>
                      <w:szCs w:val="21"/>
                      <w:lang w:val="en-US" w:eastAsia="zh-CN" w:bidi="ar"/>
                    </w:rPr>
                    <w:t>120</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6E1448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default" w:ascii="Times New Roman" w:hAnsi="Times New Roman" w:eastAsia="宋体" w:cs="Times New Roman"/>
                      <w:color w:val="000000" w:themeColor="text1"/>
                      <w:kern w:val="2"/>
                      <w:sz w:val="21"/>
                      <w:szCs w:val="21"/>
                      <w:lang w:val="en-US" w:eastAsia="zh-CN" w:bidi="ar"/>
                    </w:rPr>
                    <w:t>19</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2AD8E3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default" w:ascii="Times New Roman" w:hAnsi="Times New Roman" w:eastAsia="宋体" w:cs="Times New Roman"/>
                      <w:color w:val="000000" w:themeColor="text1"/>
                      <w:kern w:val="2"/>
                      <w:sz w:val="21"/>
                      <w:szCs w:val="21"/>
                      <w:lang w:val="en-US" w:eastAsia="zh-CN" w:bidi="ar"/>
                    </w:rPr>
                    <w:t>7</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3E5BC9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Times New Roman"/>
                      <w:color w:val="000000" w:themeColor="text1"/>
                      <w:kern w:val="2"/>
                      <w:sz w:val="21"/>
                      <w:szCs w:val="21"/>
                      <w:lang w:val="en-US" w:eastAsia="zh-CN" w:bidi="ar"/>
                    </w:rPr>
                    <w:t>16</w:t>
                  </w:r>
                </w:p>
              </w:tc>
            </w:tr>
            <w:tr w14:paraId="2049A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7" w:type="dxa"/>
                  <w:gridSpan w:val="2"/>
                  <w:tcBorders>
                    <w:top w:val="single" w:color="auto" w:sz="4" w:space="0"/>
                    <w:left w:val="single" w:color="auto" w:sz="4" w:space="0"/>
                    <w:bottom w:val="single" w:color="auto" w:sz="4" w:space="0"/>
                    <w:right w:val="single" w:color="auto" w:sz="4" w:space="0"/>
                  </w:tcBorders>
                  <w:noWrap w:val="0"/>
                  <w:vAlign w:val="center"/>
                </w:tcPr>
                <w:p w14:paraId="04C2D1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污染物排放量</w:t>
                  </w:r>
                  <w:r>
                    <w:rPr>
                      <w:rFonts w:hint="eastAsia" w:ascii="Times New Roman" w:hAnsi="Times New Roman" w:eastAsia="宋体" w:cs="宋体"/>
                      <w:color w:val="000000" w:themeColor="text1"/>
                      <w:kern w:val="0"/>
                      <w:sz w:val="21"/>
                      <w:szCs w:val="21"/>
                      <w:lang w:val="en-US" w:eastAsia="zh-CN" w:bidi="ar"/>
                    </w:rPr>
                    <w:t>（</w:t>
                  </w:r>
                  <w:r>
                    <w:rPr>
                      <w:rFonts w:hint="default" w:ascii="Times New Roman" w:hAnsi="Times New Roman" w:eastAsia="宋体" w:cs="Times New Roman"/>
                      <w:color w:val="000000" w:themeColor="text1"/>
                      <w:kern w:val="0"/>
                      <w:sz w:val="21"/>
                      <w:szCs w:val="21"/>
                      <w:lang w:val="en-US" w:eastAsia="zh-CN" w:bidi="ar"/>
                    </w:rPr>
                    <w:t>t/a</w:t>
                  </w:r>
                  <w:r>
                    <w:rPr>
                      <w:rFonts w:hint="eastAsia" w:ascii="Times New Roman" w:hAnsi="Times New Roman" w:eastAsia="宋体" w:cs="宋体"/>
                      <w:color w:val="000000" w:themeColor="text1"/>
                      <w:kern w:val="0"/>
                      <w:sz w:val="21"/>
                      <w:szCs w:val="21"/>
                      <w:lang w:val="en-US" w:eastAsia="zh-CN" w:bidi="ar"/>
                    </w:rPr>
                    <w:t>）</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F6E85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0.110</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318F90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0.071</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1B2D67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0.055</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6F9D6C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0.009</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0A053C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0.003</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53888F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0.007</w:t>
                  </w:r>
                </w:p>
              </w:tc>
            </w:tr>
            <w:tr w14:paraId="02FFB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7" w:type="dxa"/>
                  <w:gridSpan w:val="2"/>
                  <w:tcBorders>
                    <w:top w:val="single" w:color="auto" w:sz="4" w:space="0"/>
                    <w:left w:val="single" w:color="auto" w:sz="4" w:space="0"/>
                    <w:bottom w:val="single" w:color="auto" w:sz="4" w:space="0"/>
                    <w:right w:val="single" w:color="auto" w:sz="4" w:space="0"/>
                  </w:tcBorders>
                  <w:noWrap w:val="0"/>
                  <w:vAlign w:val="center"/>
                </w:tcPr>
                <w:p w14:paraId="7D71F2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排放标准</w:t>
                  </w:r>
                </w:p>
              </w:tc>
              <w:tc>
                <w:tcPr>
                  <w:tcW w:w="6214" w:type="dxa"/>
                  <w:gridSpan w:val="6"/>
                  <w:tcBorders>
                    <w:top w:val="single" w:color="auto" w:sz="4" w:space="0"/>
                    <w:left w:val="single" w:color="auto" w:sz="4" w:space="0"/>
                    <w:bottom w:val="single" w:color="auto" w:sz="4" w:space="0"/>
                    <w:right w:val="single" w:color="auto" w:sz="4" w:space="0"/>
                  </w:tcBorders>
                  <w:noWrap w:val="0"/>
                  <w:vAlign w:val="center"/>
                </w:tcPr>
                <w:p w14:paraId="1E8F80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《污水综合排放标准》（</w:t>
                  </w:r>
                  <w:r>
                    <w:rPr>
                      <w:rFonts w:hint="default" w:ascii="Times New Roman" w:hAnsi="Times New Roman" w:eastAsia="宋体" w:cs="Times New Roman"/>
                      <w:color w:val="000000" w:themeColor="text1"/>
                      <w:kern w:val="2"/>
                      <w:sz w:val="21"/>
                      <w:szCs w:val="21"/>
                      <w:lang w:val="en-US" w:eastAsia="zh-CN" w:bidi="ar"/>
                    </w:rPr>
                    <w:t>GB8978-1996</w:t>
                  </w:r>
                  <w:r>
                    <w:rPr>
                      <w:rFonts w:hint="eastAsia" w:ascii="Times New Roman" w:hAnsi="Times New Roman" w:eastAsia="宋体" w:cs="宋体"/>
                      <w:color w:val="000000" w:themeColor="text1"/>
                      <w:kern w:val="2"/>
                      <w:sz w:val="21"/>
                      <w:szCs w:val="21"/>
                      <w:lang w:val="en-US" w:eastAsia="zh-CN" w:bidi="ar"/>
                    </w:rPr>
                    <w:t>）三级以及《污水排入城镇下水道水质标准》（</w:t>
                  </w:r>
                  <w:r>
                    <w:rPr>
                      <w:rFonts w:hint="default" w:ascii="Times New Roman" w:hAnsi="Times New Roman" w:eastAsia="宋体" w:cs="Times New Roman"/>
                      <w:color w:val="000000" w:themeColor="text1"/>
                      <w:kern w:val="2"/>
                      <w:sz w:val="21"/>
                      <w:szCs w:val="21"/>
                      <w:lang w:val="en-US" w:eastAsia="zh-CN" w:bidi="ar"/>
                    </w:rPr>
                    <w:t>GB/T 31962-2015</w:t>
                  </w:r>
                  <w:r>
                    <w:rPr>
                      <w:rFonts w:hint="eastAsia" w:ascii="Times New Roman" w:hAnsi="Times New Roman" w:eastAsia="宋体" w:cs="宋体"/>
                      <w:color w:val="000000" w:themeColor="text1"/>
                      <w:kern w:val="2"/>
                      <w:sz w:val="21"/>
                      <w:szCs w:val="21"/>
                      <w:lang w:val="en-US" w:eastAsia="zh-CN" w:bidi="ar"/>
                    </w:rPr>
                    <w:t>）B级标准</w:t>
                  </w:r>
                </w:p>
              </w:tc>
            </w:tr>
            <w:tr w14:paraId="4AE91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7" w:type="dxa"/>
                  <w:gridSpan w:val="2"/>
                  <w:tcBorders>
                    <w:top w:val="single" w:color="auto" w:sz="4" w:space="0"/>
                    <w:left w:val="single" w:color="auto" w:sz="4" w:space="0"/>
                    <w:bottom w:val="single" w:color="auto" w:sz="4" w:space="0"/>
                    <w:right w:val="single" w:color="auto" w:sz="4" w:space="0"/>
                  </w:tcBorders>
                  <w:noWrap w:val="0"/>
                  <w:vAlign w:val="center"/>
                </w:tcPr>
                <w:p w14:paraId="44E387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排放标准限值</w:t>
                  </w:r>
                  <w:r>
                    <w:rPr>
                      <w:rFonts w:hint="eastAsia" w:ascii="Times New Roman" w:hAnsi="Times New Roman" w:eastAsia="宋体" w:cs="宋体"/>
                      <w:color w:val="000000" w:themeColor="text1"/>
                      <w:kern w:val="0"/>
                      <w:sz w:val="21"/>
                      <w:szCs w:val="21"/>
                      <w:lang w:val="en-US" w:eastAsia="zh-CN" w:bidi="ar"/>
                    </w:rPr>
                    <w:t>（</w:t>
                  </w:r>
                  <w:r>
                    <w:rPr>
                      <w:rFonts w:hint="default" w:ascii="Times New Roman" w:hAnsi="Times New Roman" w:eastAsia="宋体" w:cs="Times New Roman"/>
                      <w:color w:val="000000" w:themeColor="text1"/>
                      <w:kern w:val="0"/>
                      <w:sz w:val="21"/>
                      <w:szCs w:val="21"/>
                      <w:lang w:val="en-US" w:eastAsia="zh-CN" w:bidi="ar"/>
                    </w:rPr>
                    <w:t>mg/L</w:t>
                  </w:r>
                  <w:r>
                    <w:rPr>
                      <w:rFonts w:hint="eastAsia" w:ascii="Times New Roman" w:hAnsi="Times New Roman" w:eastAsia="宋体" w:cs="宋体"/>
                      <w:color w:val="000000" w:themeColor="text1"/>
                      <w:kern w:val="0"/>
                      <w:sz w:val="21"/>
                      <w:szCs w:val="21"/>
                      <w:lang w:val="en-US" w:eastAsia="zh-CN" w:bidi="ar"/>
                    </w:rPr>
                    <w:t>）</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76724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default" w:ascii="Times New Roman" w:hAnsi="Times New Roman" w:eastAsia="宋体" w:cs="Times New Roman"/>
                      <w:color w:val="000000" w:themeColor="text1"/>
                      <w:kern w:val="2"/>
                      <w:sz w:val="21"/>
                      <w:szCs w:val="21"/>
                      <w:lang w:val="en-US" w:eastAsia="zh-CN" w:bidi="ar"/>
                    </w:rPr>
                    <w:t>500</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199979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default" w:ascii="Times New Roman" w:hAnsi="Times New Roman" w:eastAsia="宋体" w:cs="Times New Roman"/>
                      <w:color w:val="000000" w:themeColor="text1"/>
                      <w:kern w:val="2"/>
                      <w:sz w:val="21"/>
                      <w:szCs w:val="21"/>
                      <w:lang w:val="en-US" w:eastAsia="zh-CN" w:bidi="ar"/>
                    </w:rPr>
                    <w:t>300</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17F324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default" w:ascii="Times New Roman" w:hAnsi="Times New Roman" w:eastAsia="宋体" w:cs="Times New Roman"/>
                      <w:color w:val="000000" w:themeColor="text1"/>
                      <w:kern w:val="2"/>
                      <w:sz w:val="21"/>
                      <w:szCs w:val="21"/>
                      <w:lang w:val="en-US" w:eastAsia="zh-CN" w:bidi="ar"/>
                    </w:rPr>
                    <w:t>400</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24CA66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default" w:ascii="Times New Roman" w:hAnsi="Times New Roman" w:eastAsia="宋体" w:cs="Times New Roman"/>
                      <w:color w:val="000000" w:themeColor="text1"/>
                      <w:kern w:val="2"/>
                      <w:sz w:val="21"/>
                      <w:szCs w:val="21"/>
                      <w:lang w:val="en-US" w:eastAsia="zh-CN" w:bidi="ar"/>
                    </w:rPr>
                    <w:t>45</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1982CC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default" w:ascii="Times New Roman" w:hAnsi="Times New Roman" w:eastAsia="宋体" w:cs="Times New Roman"/>
                      <w:color w:val="000000" w:themeColor="text1"/>
                      <w:kern w:val="2"/>
                      <w:sz w:val="21"/>
                      <w:szCs w:val="21"/>
                      <w:lang w:val="en-US" w:eastAsia="zh-CN" w:bidi="ar"/>
                    </w:rPr>
                    <w:t>8</w:t>
                  </w:r>
                </w:p>
              </w:tc>
              <w:tc>
                <w:tcPr>
                  <w:tcW w:w="1133" w:type="dxa"/>
                  <w:tcBorders>
                    <w:top w:val="single" w:color="auto" w:sz="4" w:space="0"/>
                    <w:left w:val="single" w:color="auto" w:sz="4" w:space="0"/>
                    <w:bottom w:val="single" w:color="auto" w:sz="4" w:space="0"/>
                    <w:right w:val="single" w:color="auto" w:sz="4" w:space="0"/>
                  </w:tcBorders>
                  <w:noWrap w:val="0"/>
                  <w:vAlign w:val="center"/>
                </w:tcPr>
                <w:p w14:paraId="3FBE33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Times New Roman"/>
                      <w:color w:val="000000" w:themeColor="text1"/>
                      <w:kern w:val="2"/>
                      <w:sz w:val="21"/>
                      <w:szCs w:val="21"/>
                      <w:lang w:val="en-US" w:eastAsia="zh-CN" w:bidi="ar"/>
                    </w:rPr>
                    <w:t>20</w:t>
                  </w:r>
                </w:p>
              </w:tc>
            </w:tr>
            <w:tr w14:paraId="6F96F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7" w:type="dxa"/>
                  <w:gridSpan w:val="2"/>
                  <w:tcBorders>
                    <w:top w:val="single" w:color="auto" w:sz="4" w:space="0"/>
                    <w:left w:val="single" w:color="auto" w:sz="4" w:space="0"/>
                    <w:bottom w:val="single" w:color="auto" w:sz="4" w:space="0"/>
                    <w:right w:val="single" w:color="auto" w:sz="4" w:space="0"/>
                  </w:tcBorders>
                  <w:noWrap w:val="0"/>
                  <w:vAlign w:val="center"/>
                </w:tcPr>
                <w:p w14:paraId="7F1FF9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是否达标</w:t>
                  </w:r>
                </w:p>
              </w:tc>
              <w:tc>
                <w:tcPr>
                  <w:tcW w:w="6214" w:type="dxa"/>
                  <w:gridSpan w:val="6"/>
                  <w:tcBorders>
                    <w:top w:val="single" w:color="auto" w:sz="4" w:space="0"/>
                    <w:left w:val="single" w:color="auto" w:sz="4" w:space="0"/>
                    <w:bottom w:val="single" w:color="auto" w:sz="4" w:space="0"/>
                    <w:right w:val="single" w:color="auto" w:sz="4" w:space="0"/>
                  </w:tcBorders>
                  <w:noWrap w:val="0"/>
                  <w:vAlign w:val="center"/>
                </w:tcPr>
                <w:p w14:paraId="5E12B2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达标</w:t>
                  </w:r>
                </w:p>
              </w:tc>
            </w:tr>
            <w:tr w14:paraId="48343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7" w:type="dxa"/>
                  <w:gridSpan w:val="2"/>
                  <w:tcBorders>
                    <w:top w:val="single" w:color="auto" w:sz="4" w:space="0"/>
                    <w:left w:val="single" w:color="auto" w:sz="4" w:space="0"/>
                    <w:bottom w:val="single" w:color="auto" w:sz="4" w:space="0"/>
                    <w:right w:val="single" w:color="auto" w:sz="4" w:space="0"/>
                  </w:tcBorders>
                  <w:noWrap w:val="0"/>
                  <w:vAlign w:val="center"/>
                </w:tcPr>
                <w:p w14:paraId="6A5E9E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排放去向</w:t>
                  </w:r>
                </w:p>
              </w:tc>
              <w:tc>
                <w:tcPr>
                  <w:tcW w:w="6214" w:type="dxa"/>
                  <w:gridSpan w:val="6"/>
                  <w:tcBorders>
                    <w:top w:val="single" w:color="auto" w:sz="4" w:space="0"/>
                    <w:left w:val="single" w:color="auto" w:sz="4" w:space="0"/>
                    <w:bottom w:val="single" w:color="auto" w:sz="4" w:space="0"/>
                    <w:right w:val="single" w:color="auto" w:sz="4" w:space="0"/>
                  </w:tcBorders>
                  <w:noWrap w:val="0"/>
                  <w:vAlign w:val="center"/>
                </w:tcPr>
                <w:p w14:paraId="19D108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园区污水处理厂</w:t>
                  </w:r>
                </w:p>
              </w:tc>
            </w:tr>
            <w:tr w14:paraId="5C00E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7" w:type="dxa"/>
                  <w:gridSpan w:val="2"/>
                  <w:tcBorders>
                    <w:top w:val="single" w:color="auto" w:sz="4" w:space="0"/>
                    <w:left w:val="single" w:color="auto" w:sz="4" w:space="0"/>
                    <w:bottom w:val="single" w:color="auto" w:sz="4" w:space="0"/>
                    <w:right w:val="single" w:color="auto" w:sz="4" w:space="0"/>
                  </w:tcBorders>
                  <w:noWrap w:val="0"/>
                  <w:vAlign w:val="center"/>
                </w:tcPr>
                <w:p w14:paraId="71673A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排放规律</w:t>
                  </w:r>
                </w:p>
              </w:tc>
              <w:tc>
                <w:tcPr>
                  <w:tcW w:w="6214" w:type="dxa"/>
                  <w:gridSpan w:val="6"/>
                  <w:tcBorders>
                    <w:top w:val="single" w:color="auto" w:sz="4" w:space="0"/>
                    <w:left w:val="single" w:color="auto" w:sz="4" w:space="0"/>
                    <w:bottom w:val="single" w:color="auto" w:sz="4" w:space="0"/>
                    <w:right w:val="single" w:color="auto" w:sz="4" w:space="0"/>
                  </w:tcBorders>
                  <w:noWrap w:val="0"/>
                  <w:vAlign w:val="center"/>
                </w:tcPr>
                <w:p w14:paraId="63E65D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间接</w:t>
                  </w:r>
                </w:p>
              </w:tc>
            </w:tr>
            <w:tr w14:paraId="5108C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dxa"/>
                  <w:vMerge w:val="restart"/>
                  <w:tcBorders>
                    <w:top w:val="single" w:color="auto" w:sz="4" w:space="0"/>
                    <w:left w:val="single" w:color="auto" w:sz="4" w:space="0"/>
                    <w:bottom w:val="single" w:color="auto" w:sz="4" w:space="0"/>
                    <w:right w:val="single" w:color="auto" w:sz="4" w:space="0"/>
                  </w:tcBorders>
                  <w:noWrap w:val="0"/>
                  <w:vAlign w:val="center"/>
                </w:tcPr>
                <w:p w14:paraId="375816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排放口</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04D56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编号</w:t>
                  </w:r>
                </w:p>
              </w:tc>
              <w:tc>
                <w:tcPr>
                  <w:tcW w:w="6214" w:type="dxa"/>
                  <w:gridSpan w:val="6"/>
                  <w:tcBorders>
                    <w:top w:val="single" w:color="auto" w:sz="4" w:space="0"/>
                    <w:left w:val="single" w:color="auto" w:sz="4" w:space="0"/>
                    <w:bottom w:val="single" w:color="auto" w:sz="4" w:space="0"/>
                    <w:right w:val="single" w:color="auto" w:sz="4" w:space="0"/>
                  </w:tcBorders>
                  <w:noWrap w:val="0"/>
                  <w:vAlign w:val="center"/>
                </w:tcPr>
                <w:p w14:paraId="64B5F9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default" w:ascii="Times New Roman" w:hAnsi="Times New Roman" w:eastAsia="宋体" w:cs="Times New Roman"/>
                      <w:color w:val="000000" w:themeColor="text1"/>
                      <w:kern w:val="2"/>
                      <w:sz w:val="21"/>
                      <w:szCs w:val="21"/>
                      <w:lang w:val="en-US" w:eastAsia="zh-CN" w:bidi="ar"/>
                    </w:rPr>
                    <w:t>1#</w:t>
                  </w:r>
                </w:p>
              </w:tc>
            </w:tr>
            <w:tr w14:paraId="5A80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dxa"/>
                  <w:vMerge w:val="continue"/>
                  <w:tcBorders>
                    <w:top w:val="single" w:color="auto" w:sz="4" w:space="0"/>
                    <w:left w:val="single" w:color="auto" w:sz="4" w:space="0"/>
                    <w:bottom w:val="single" w:color="auto" w:sz="4" w:space="0"/>
                    <w:right w:val="single" w:color="auto" w:sz="4" w:space="0"/>
                  </w:tcBorders>
                  <w:noWrap w:val="0"/>
                  <w:vAlign w:val="center"/>
                </w:tcPr>
                <w:p w14:paraId="6AEFB5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cs="Times New Roman"/>
                      <w:color w:val="000000" w:themeColor="text1"/>
                      <w:sz w:val="20"/>
                      <w:szCs w:val="20"/>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19A8D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类型</w:t>
                  </w:r>
                </w:p>
              </w:tc>
              <w:tc>
                <w:tcPr>
                  <w:tcW w:w="6214" w:type="dxa"/>
                  <w:gridSpan w:val="6"/>
                  <w:tcBorders>
                    <w:top w:val="single" w:color="auto" w:sz="4" w:space="0"/>
                    <w:left w:val="single" w:color="auto" w:sz="4" w:space="0"/>
                    <w:bottom w:val="single" w:color="auto" w:sz="4" w:space="0"/>
                    <w:right w:val="single" w:color="auto" w:sz="4" w:space="0"/>
                  </w:tcBorders>
                  <w:noWrap w:val="0"/>
                  <w:vAlign w:val="center"/>
                </w:tcPr>
                <w:p w14:paraId="32FE22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一般排口</w:t>
                  </w:r>
                </w:p>
              </w:tc>
            </w:tr>
          </w:tbl>
          <w:p w14:paraId="506EF3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jc w:val="left"/>
              <w:textAlignment w:val="auto"/>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rPr>
              <w:t>2）成型废水</w:t>
            </w:r>
            <w:r>
              <w:rPr>
                <w:rFonts w:hint="eastAsia" w:ascii="Times New Roman" w:hAnsi="Times New Roman" w:eastAsia="宋体" w:cs="Times New Roman"/>
                <w:color w:val="000000" w:themeColor="text1"/>
                <w:kern w:val="0"/>
                <w:sz w:val="21"/>
                <w:szCs w:val="21"/>
                <w:lang w:val="en-US" w:eastAsia="zh-CN"/>
              </w:rPr>
              <w:t>产排情况</w:t>
            </w:r>
          </w:p>
          <w:p w14:paraId="5D964C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jc w:val="left"/>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sz w:val="21"/>
                <w:szCs w:val="21"/>
              </w:rPr>
              <w:t>根据水量平衡分析，</w:t>
            </w:r>
            <w:r>
              <w:rPr>
                <w:rFonts w:hint="default" w:ascii="Times New Roman" w:hAnsi="Times New Roman" w:eastAsia="宋体" w:cs="Times New Roman"/>
                <w:color w:val="000000" w:themeColor="text1"/>
                <w:kern w:val="0"/>
                <w:sz w:val="21"/>
                <w:szCs w:val="21"/>
              </w:rPr>
              <w:t>成型</w:t>
            </w:r>
            <w:r>
              <w:rPr>
                <w:rFonts w:hint="eastAsia" w:ascii="Times New Roman" w:hAnsi="Times New Roman" w:eastAsia="宋体" w:cs="Times New Roman"/>
                <w:color w:val="000000" w:themeColor="text1"/>
                <w:kern w:val="0"/>
                <w:sz w:val="21"/>
                <w:szCs w:val="21"/>
                <w:lang w:val="en-US" w:eastAsia="zh-CN"/>
              </w:rPr>
              <w:t>废水</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B050"/>
                <w:kern w:val="0"/>
                <w:sz w:val="21"/>
                <w:szCs w:val="21"/>
                <w:lang w:val="en-US" w:eastAsia="zh-CN"/>
              </w:rPr>
              <w:t>214050</w:t>
            </w:r>
            <w:r>
              <w:rPr>
                <w:rFonts w:hint="default" w:ascii="Times New Roman" w:hAnsi="Times New Roman" w:eastAsia="宋体" w:cs="Times New Roman"/>
                <w:color w:val="00B050"/>
                <w:kern w:val="0"/>
                <w:sz w:val="21"/>
                <w:szCs w:val="21"/>
              </w:rPr>
              <w:t>m</w:t>
            </w:r>
            <w:r>
              <w:rPr>
                <w:rFonts w:hint="default" w:ascii="Times New Roman" w:hAnsi="Times New Roman" w:eastAsia="宋体" w:cs="Times New Roman"/>
                <w:color w:val="00B050"/>
                <w:kern w:val="0"/>
                <w:sz w:val="21"/>
                <w:szCs w:val="21"/>
                <w:vertAlign w:val="superscript"/>
              </w:rPr>
              <w:t>3</w:t>
            </w:r>
            <w:r>
              <w:rPr>
                <w:rFonts w:hint="default" w:ascii="Times New Roman" w:hAnsi="Times New Roman" w:eastAsia="宋体" w:cs="Times New Roman"/>
                <w:color w:val="00B050"/>
                <w:kern w:val="0"/>
                <w:sz w:val="21"/>
                <w:szCs w:val="21"/>
              </w:rPr>
              <w:t>/a，</w:t>
            </w:r>
            <w:r>
              <w:rPr>
                <w:rFonts w:hint="default" w:ascii="Times New Roman" w:hAnsi="Times New Roman" w:eastAsia="宋体" w:cs="Times New Roman"/>
                <w:color w:val="00B050"/>
                <w:kern w:val="0"/>
                <w:sz w:val="21"/>
                <w:szCs w:val="21"/>
                <w:lang w:val="en-US" w:eastAsia="zh-CN"/>
              </w:rPr>
              <w:t>713.5</w:t>
            </w:r>
            <w:r>
              <w:rPr>
                <w:rFonts w:hint="default" w:ascii="Times New Roman" w:hAnsi="Times New Roman" w:eastAsia="宋体" w:cs="Times New Roman"/>
                <w:color w:val="00B050"/>
                <w:kern w:val="0"/>
                <w:sz w:val="21"/>
                <w:szCs w:val="21"/>
              </w:rPr>
              <w:t>m</w:t>
            </w:r>
            <w:r>
              <w:rPr>
                <w:rFonts w:hint="default" w:ascii="Times New Roman" w:hAnsi="Times New Roman" w:eastAsia="宋体" w:cs="Times New Roman"/>
                <w:color w:val="00B050"/>
                <w:kern w:val="0"/>
                <w:sz w:val="21"/>
                <w:szCs w:val="21"/>
                <w:vertAlign w:val="superscript"/>
              </w:rPr>
              <w:t>3</w:t>
            </w:r>
            <w:r>
              <w:rPr>
                <w:rFonts w:hint="default" w:ascii="Times New Roman" w:hAnsi="Times New Roman" w:eastAsia="宋体" w:cs="Times New Roman"/>
                <w:color w:val="00B050"/>
                <w:kern w:val="0"/>
                <w:sz w:val="21"/>
                <w:szCs w:val="21"/>
              </w:rPr>
              <w:t>/d</w:t>
            </w:r>
            <w:r>
              <w:rPr>
                <w:rFonts w:hint="default" w:ascii="Times New Roman" w:hAnsi="Times New Roman" w:eastAsia="宋体" w:cs="Times New Roman"/>
                <w:color w:val="000000" w:themeColor="text1"/>
                <w:kern w:val="0"/>
                <w:sz w:val="21"/>
                <w:szCs w:val="21"/>
              </w:rPr>
              <w:t>）通过回流管道回用于</w:t>
            </w:r>
            <w:r>
              <w:rPr>
                <w:rFonts w:hint="eastAsia" w:ascii="Times New Roman" w:hAnsi="Times New Roman" w:eastAsia="宋体" w:cs="Times New Roman"/>
                <w:color w:val="000000" w:themeColor="text1"/>
                <w:kern w:val="0"/>
                <w:sz w:val="21"/>
                <w:szCs w:val="21"/>
                <w:lang w:val="en-US" w:eastAsia="zh-CN"/>
              </w:rPr>
              <w:t>制料</w:t>
            </w:r>
            <w:r>
              <w:rPr>
                <w:rFonts w:hint="default" w:ascii="Times New Roman" w:hAnsi="Times New Roman" w:eastAsia="宋体" w:cs="Times New Roman"/>
                <w:color w:val="000000" w:themeColor="text1"/>
                <w:kern w:val="0"/>
                <w:sz w:val="21"/>
                <w:szCs w:val="21"/>
              </w:rPr>
              <w:t>工序。</w:t>
            </w:r>
          </w:p>
          <w:p w14:paraId="55B50D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jc w:val="left"/>
              <w:textAlignment w:val="auto"/>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rPr>
              <w:t>3）</w:t>
            </w:r>
            <w:r>
              <w:rPr>
                <w:rFonts w:hint="eastAsia" w:cs="Times New Roman"/>
                <w:color w:val="000000" w:themeColor="text1"/>
                <w:kern w:val="0"/>
                <w:sz w:val="21"/>
                <w:szCs w:val="21"/>
                <w:lang w:val="en-US" w:eastAsia="zh-CN"/>
              </w:rPr>
              <w:t>成型机水环真空泵冷却</w:t>
            </w:r>
            <w:r>
              <w:rPr>
                <w:rFonts w:hint="default" w:ascii="Times New Roman" w:hAnsi="Times New Roman" w:eastAsia="宋体" w:cs="Times New Roman"/>
                <w:color w:val="000000" w:themeColor="text1"/>
                <w:kern w:val="0"/>
                <w:sz w:val="21"/>
                <w:szCs w:val="21"/>
              </w:rPr>
              <w:t>废水</w:t>
            </w:r>
            <w:r>
              <w:rPr>
                <w:rFonts w:hint="eastAsia" w:ascii="Times New Roman" w:hAnsi="Times New Roman" w:eastAsia="宋体" w:cs="Times New Roman"/>
                <w:color w:val="000000" w:themeColor="text1"/>
                <w:kern w:val="0"/>
                <w:sz w:val="21"/>
                <w:szCs w:val="21"/>
                <w:lang w:val="en-US" w:eastAsia="zh-CN"/>
              </w:rPr>
              <w:t>产排情况</w:t>
            </w:r>
          </w:p>
          <w:p w14:paraId="4EE0DE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jc w:val="left"/>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sz w:val="21"/>
                <w:szCs w:val="21"/>
              </w:rPr>
              <w:t>根据水量平衡分析，</w:t>
            </w:r>
            <w:r>
              <w:rPr>
                <w:rFonts w:hint="eastAsia" w:cs="Times New Roman"/>
                <w:color w:val="000000" w:themeColor="text1"/>
                <w:sz w:val="21"/>
                <w:szCs w:val="21"/>
                <w:lang w:val="en-US" w:eastAsia="zh-CN"/>
              </w:rPr>
              <w:t>成型机水环真空泵冷却</w:t>
            </w:r>
            <w:r>
              <w:rPr>
                <w:rFonts w:hint="default" w:ascii="Times New Roman" w:hAnsi="Times New Roman" w:eastAsia="宋体" w:cs="Times New Roman"/>
                <w:color w:val="000000" w:themeColor="text1"/>
                <w:kern w:val="0"/>
                <w:sz w:val="21"/>
                <w:szCs w:val="21"/>
              </w:rPr>
              <w:t>废水产生量为102.6m</w:t>
            </w:r>
            <w:r>
              <w:rPr>
                <w:rFonts w:hint="default" w:ascii="Times New Roman" w:hAnsi="Times New Roman" w:eastAsia="宋体" w:cs="Times New Roman"/>
                <w:color w:val="000000" w:themeColor="text1"/>
                <w:kern w:val="0"/>
                <w:sz w:val="21"/>
                <w:szCs w:val="21"/>
                <w:vertAlign w:val="superscript"/>
              </w:rPr>
              <w:t>3</w:t>
            </w:r>
            <w:r>
              <w:rPr>
                <w:rFonts w:hint="default" w:ascii="Times New Roman" w:hAnsi="Times New Roman" w:eastAsia="宋体" w:cs="Times New Roman"/>
                <w:color w:val="000000" w:themeColor="text1"/>
                <w:kern w:val="0"/>
                <w:sz w:val="21"/>
                <w:szCs w:val="21"/>
              </w:rPr>
              <w:t>/d；该废水通过回流管道回用于</w:t>
            </w:r>
            <w:r>
              <w:rPr>
                <w:rFonts w:hint="eastAsia" w:ascii="Times New Roman" w:hAnsi="Times New Roman" w:eastAsia="宋体" w:cs="Times New Roman"/>
                <w:color w:val="000000" w:themeColor="text1"/>
                <w:kern w:val="0"/>
                <w:sz w:val="21"/>
                <w:szCs w:val="21"/>
                <w:lang w:val="en-US" w:eastAsia="zh-CN"/>
              </w:rPr>
              <w:t>制料</w:t>
            </w:r>
            <w:r>
              <w:rPr>
                <w:rFonts w:hint="default" w:ascii="Times New Roman" w:hAnsi="Times New Roman" w:eastAsia="宋体" w:cs="Times New Roman"/>
                <w:color w:val="000000" w:themeColor="text1"/>
                <w:kern w:val="0"/>
                <w:sz w:val="21"/>
                <w:szCs w:val="21"/>
              </w:rPr>
              <w:t>工序。</w:t>
            </w:r>
          </w:p>
          <w:p w14:paraId="598901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jc w:val="left"/>
              <w:textAlignment w:val="auto"/>
              <w:rPr>
                <w:rFonts w:hint="default" w:ascii="Times New Roman" w:hAnsi="Times New Roman" w:eastAsia="宋体" w:cs="Times New Roman"/>
                <w:color w:val="00B050"/>
                <w:kern w:val="0"/>
                <w:sz w:val="21"/>
                <w:szCs w:val="21"/>
                <w:lang w:val="en-US" w:eastAsia="zh-CN"/>
              </w:rPr>
            </w:pPr>
            <w:r>
              <w:rPr>
                <w:rFonts w:hint="default" w:ascii="Times New Roman" w:hAnsi="Times New Roman" w:eastAsia="宋体" w:cs="Times New Roman"/>
                <w:color w:val="00B050"/>
                <w:kern w:val="0"/>
                <w:sz w:val="21"/>
                <w:szCs w:val="21"/>
              </w:rPr>
              <w:t>4）</w:t>
            </w:r>
            <w:r>
              <w:rPr>
                <w:rFonts w:hint="eastAsia" w:ascii="Times New Roman" w:hAnsi="Times New Roman" w:eastAsia="宋体" w:cs="Times New Roman"/>
                <w:color w:val="00B050"/>
                <w:kern w:val="0"/>
                <w:sz w:val="21"/>
                <w:szCs w:val="21"/>
                <w:lang w:val="en-US" w:eastAsia="zh-CN"/>
              </w:rPr>
              <w:t>烘干废气进入水膜除尘器的冷却水产排情况</w:t>
            </w:r>
          </w:p>
          <w:p w14:paraId="41637D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jc w:val="left"/>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B050"/>
                <w:sz w:val="21"/>
                <w:szCs w:val="21"/>
              </w:rPr>
              <w:t>根据水量平衡分析，</w:t>
            </w:r>
            <w:r>
              <w:rPr>
                <w:rFonts w:hint="default" w:ascii="Times New Roman" w:hAnsi="Times New Roman" w:eastAsia="宋体" w:cs="Times New Roman"/>
                <w:color w:val="00B050"/>
                <w:sz w:val="21"/>
                <w:szCs w:val="21"/>
                <w:lang w:val="en-US" w:eastAsia="zh-CN"/>
              </w:rPr>
              <w:t>烘干废气进入水膜除尘器的</w:t>
            </w:r>
            <w:r>
              <w:rPr>
                <w:rFonts w:hint="eastAsia" w:cs="Times New Roman"/>
                <w:color w:val="00B050"/>
                <w:sz w:val="21"/>
                <w:szCs w:val="21"/>
                <w:lang w:val="en-US" w:eastAsia="zh-CN"/>
              </w:rPr>
              <w:t>水蒸气有</w:t>
            </w:r>
            <w:r>
              <w:rPr>
                <w:rFonts w:hint="eastAsia" w:cs="Times New Roman"/>
                <w:color w:val="00B050"/>
                <w:kern w:val="0"/>
                <w:sz w:val="21"/>
                <w:szCs w:val="21"/>
                <w:lang w:val="en-US" w:eastAsia="zh-CN"/>
              </w:rPr>
              <w:t>37931</w:t>
            </w:r>
            <w:r>
              <w:rPr>
                <w:rFonts w:hint="default" w:ascii="Times New Roman" w:hAnsi="Times New Roman" w:eastAsia="宋体" w:cs="Times New Roman"/>
                <w:color w:val="00B050"/>
                <w:kern w:val="0"/>
                <w:sz w:val="21"/>
                <w:szCs w:val="21"/>
              </w:rPr>
              <w:t>m</w:t>
            </w:r>
            <w:r>
              <w:rPr>
                <w:rFonts w:hint="default" w:ascii="Times New Roman" w:hAnsi="Times New Roman" w:eastAsia="宋体" w:cs="Times New Roman"/>
                <w:color w:val="00B050"/>
                <w:kern w:val="0"/>
                <w:sz w:val="21"/>
                <w:szCs w:val="21"/>
                <w:vertAlign w:val="superscript"/>
              </w:rPr>
              <w:t>3</w:t>
            </w:r>
            <w:r>
              <w:rPr>
                <w:rFonts w:hint="default" w:ascii="Times New Roman" w:hAnsi="Times New Roman" w:eastAsia="宋体" w:cs="Times New Roman"/>
                <w:color w:val="00B050"/>
                <w:kern w:val="0"/>
                <w:sz w:val="21"/>
                <w:szCs w:val="21"/>
              </w:rPr>
              <w:t>/a（</w:t>
            </w:r>
            <w:r>
              <w:rPr>
                <w:rFonts w:hint="default" w:ascii="Times New Roman" w:hAnsi="Times New Roman" w:eastAsia="宋体" w:cs="Times New Roman"/>
                <w:color w:val="00B050"/>
                <w:kern w:val="0"/>
                <w:sz w:val="21"/>
                <w:szCs w:val="21"/>
                <w:lang w:val="en-US" w:eastAsia="zh-CN"/>
              </w:rPr>
              <w:t>126.4</w:t>
            </w:r>
            <w:r>
              <w:rPr>
                <w:rFonts w:hint="default" w:ascii="Times New Roman" w:hAnsi="Times New Roman" w:eastAsia="宋体" w:cs="Times New Roman"/>
                <w:color w:val="00B050"/>
                <w:kern w:val="0"/>
                <w:sz w:val="21"/>
                <w:szCs w:val="21"/>
              </w:rPr>
              <w:t>m</w:t>
            </w:r>
            <w:r>
              <w:rPr>
                <w:rFonts w:hint="default" w:ascii="Times New Roman" w:hAnsi="Times New Roman" w:eastAsia="宋体" w:cs="Times New Roman"/>
                <w:color w:val="00B050"/>
                <w:kern w:val="0"/>
                <w:sz w:val="21"/>
                <w:szCs w:val="21"/>
                <w:vertAlign w:val="superscript"/>
              </w:rPr>
              <w:t>3</w:t>
            </w:r>
            <w:r>
              <w:rPr>
                <w:rFonts w:hint="default" w:ascii="Times New Roman" w:hAnsi="Times New Roman" w:eastAsia="宋体" w:cs="Times New Roman"/>
                <w:color w:val="00B050"/>
                <w:kern w:val="0"/>
                <w:sz w:val="21"/>
                <w:szCs w:val="21"/>
              </w:rPr>
              <w:t>/d）</w:t>
            </w:r>
            <w:r>
              <w:rPr>
                <w:rFonts w:hint="eastAsia" w:cs="Times New Roman"/>
                <w:color w:val="00B050"/>
                <w:sz w:val="21"/>
                <w:szCs w:val="21"/>
                <w:lang w:val="en-US" w:eastAsia="zh-CN"/>
              </w:rPr>
              <w:t>被</w:t>
            </w:r>
            <w:r>
              <w:rPr>
                <w:rFonts w:hint="default" w:ascii="Times New Roman" w:hAnsi="Times New Roman" w:eastAsia="宋体" w:cs="Times New Roman"/>
                <w:color w:val="00B050"/>
                <w:sz w:val="21"/>
                <w:szCs w:val="21"/>
                <w:lang w:val="en-US" w:eastAsia="zh-CN"/>
              </w:rPr>
              <w:t>冷却</w:t>
            </w:r>
            <w:r>
              <w:rPr>
                <w:rFonts w:hint="eastAsia" w:cs="Times New Roman"/>
                <w:color w:val="00B050"/>
                <w:sz w:val="21"/>
                <w:szCs w:val="21"/>
                <w:lang w:val="en-US" w:eastAsia="zh-CN"/>
              </w:rPr>
              <w:t>，</w:t>
            </w:r>
            <w:r>
              <w:rPr>
                <w:rFonts w:hint="default" w:ascii="Times New Roman" w:hAnsi="Times New Roman" w:eastAsia="宋体" w:cs="Times New Roman"/>
                <w:color w:val="000000" w:themeColor="text1"/>
                <w:kern w:val="0"/>
                <w:sz w:val="21"/>
                <w:szCs w:val="21"/>
              </w:rPr>
              <w:t>通过回流管道回用于制</w:t>
            </w:r>
            <w:r>
              <w:rPr>
                <w:rFonts w:hint="eastAsia" w:ascii="Times New Roman" w:hAnsi="Times New Roman" w:eastAsia="宋体" w:cs="Times New Roman"/>
                <w:color w:val="000000" w:themeColor="text1"/>
                <w:kern w:val="0"/>
                <w:sz w:val="21"/>
                <w:szCs w:val="21"/>
                <w:lang w:val="en-US" w:eastAsia="zh-CN"/>
              </w:rPr>
              <w:t>料</w:t>
            </w:r>
            <w:r>
              <w:rPr>
                <w:rFonts w:hint="default" w:ascii="Times New Roman" w:hAnsi="Times New Roman" w:eastAsia="宋体" w:cs="Times New Roman"/>
                <w:color w:val="000000" w:themeColor="text1"/>
                <w:kern w:val="0"/>
                <w:sz w:val="21"/>
                <w:szCs w:val="21"/>
              </w:rPr>
              <w:t>工序。</w:t>
            </w:r>
          </w:p>
          <w:p w14:paraId="40ACF539">
            <w:pPr>
              <w:pStyle w:val="8"/>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表4-</w:t>
            </w:r>
            <w:r>
              <w:rPr>
                <w:rFonts w:hint="eastAsia" w:cs="Times New Roman"/>
                <w:color w:val="000000" w:themeColor="text1"/>
                <w:sz w:val="21"/>
                <w:szCs w:val="21"/>
                <w:lang w:val="en-US" w:eastAsia="zh-CN"/>
              </w:rPr>
              <w:t>7</w:t>
            </w:r>
            <w:r>
              <w:rPr>
                <w:rFonts w:hint="default" w:ascii="Times New Roman" w:hAnsi="Times New Roman" w:eastAsia="宋体" w:cs="Times New Roman"/>
                <w:color w:val="000000" w:themeColor="text1"/>
                <w:sz w:val="21"/>
                <w:szCs w:val="21"/>
              </w:rPr>
              <w:t xml:space="preserve">  项目运营期用排水情况</w:t>
            </w:r>
          </w:p>
          <w:tbl>
            <w:tblPr>
              <w:tblStyle w:val="43"/>
              <w:tblW w:w="8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1"/>
              <w:gridCol w:w="801"/>
              <w:gridCol w:w="992"/>
              <w:gridCol w:w="1168"/>
              <w:gridCol w:w="567"/>
              <w:gridCol w:w="940"/>
              <w:gridCol w:w="851"/>
              <w:gridCol w:w="838"/>
              <w:gridCol w:w="1460"/>
            </w:tblGrid>
            <w:tr w14:paraId="5DCEB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1" w:type="dxa"/>
                  <w:noWrap w:val="0"/>
                  <w:vAlign w:val="center"/>
                </w:tcPr>
                <w:p w14:paraId="3E6D586B">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类别</w:t>
                  </w:r>
                </w:p>
              </w:tc>
              <w:tc>
                <w:tcPr>
                  <w:tcW w:w="801" w:type="dxa"/>
                  <w:noWrap w:val="0"/>
                  <w:vAlign w:val="center"/>
                </w:tcPr>
                <w:p w14:paraId="7F89D27D">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规模</w:t>
                  </w:r>
                </w:p>
              </w:tc>
              <w:tc>
                <w:tcPr>
                  <w:tcW w:w="992" w:type="dxa"/>
                  <w:noWrap w:val="0"/>
                  <w:vAlign w:val="center"/>
                </w:tcPr>
                <w:p w14:paraId="3F9A3290">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用水量</w:t>
                  </w:r>
                </w:p>
                <w:p w14:paraId="10E78FB7">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标准</w:t>
                  </w:r>
                </w:p>
              </w:tc>
              <w:tc>
                <w:tcPr>
                  <w:tcW w:w="1168" w:type="dxa"/>
                  <w:noWrap w:val="0"/>
                  <w:vAlign w:val="center"/>
                </w:tcPr>
                <w:p w14:paraId="32BF4B7F">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用水量(m</w:t>
                  </w:r>
                  <w:r>
                    <w:rPr>
                      <w:rFonts w:hint="default" w:ascii="Times New Roman" w:hAnsi="Times New Roman" w:eastAsia="宋体" w:cs="Times New Roman"/>
                      <w:b/>
                      <w:bCs/>
                      <w:color w:val="000000" w:themeColor="text1"/>
                      <w:sz w:val="21"/>
                      <w:szCs w:val="21"/>
                      <w:vertAlign w:val="superscript"/>
                    </w:rPr>
                    <w:t>3</w:t>
                  </w:r>
                  <w:r>
                    <w:rPr>
                      <w:rFonts w:hint="default" w:ascii="Times New Roman" w:hAnsi="Times New Roman" w:eastAsia="宋体" w:cs="Times New Roman"/>
                      <w:b/>
                      <w:bCs/>
                      <w:color w:val="000000" w:themeColor="text1"/>
                      <w:sz w:val="21"/>
                      <w:szCs w:val="21"/>
                    </w:rPr>
                    <w:t>/d)</w:t>
                  </w:r>
                </w:p>
              </w:tc>
              <w:tc>
                <w:tcPr>
                  <w:tcW w:w="567" w:type="dxa"/>
                  <w:noWrap w:val="0"/>
                  <w:vAlign w:val="center"/>
                </w:tcPr>
                <w:p w14:paraId="347B8FA5">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废水类型</w:t>
                  </w:r>
                </w:p>
              </w:tc>
              <w:tc>
                <w:tcPr>
                  <w:tcW w:w="940" w:type="dxa"/>
                  <w:noWrap w:val="0"/>
                  <w:vAlign w:val="center"/>
                </w:tcPr>
                <w:p w14:paraId="53E01980">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损耗量(m</w:t>
                  </w:r>
                  <w:r>
                    <w:rPr>
                      <w:rFonts w:hint="default" w:ascii="Times New Roman" w:hAnsi="Times New Roman" w:eastAsia="宋体" w:cs="Times New Roman"/>
                      <w:b/>
                      <w:bCs/>
                      <w:color w:val="000000" w:themeColor="text1"/>
                      <w:sz w:val="21"/>
                      <w:szCs w:val="21"/>
                      <w:vertAlign w:val="superscript"/>
                    </w:rPr>
                    <w:t>3</w:t>
                  </w:r>
                  <w:r>
                    <w:rPr>
                      <w:rFonts w:hint="default" w:ascii="Times New Roman" w:hAnsi="Times New Roman" w:eastAsia="宋体" w:cs="Times New Roman"/>
                      <w:b/>
                      <w:bCs/>
                      <w:color w:val="000000" w:themeColor="text1"/>
                      <w:sz w:val="21"/>
                      <w:szCs w:val="21"/>
                    </w:rPr>
                    <w:t>/d)</w:t>
                  </w:r>
                </w:p>
              </w:tc>
              <w:tc>
                <w:tcPr>
                  <w:tcW w:w="851" w:type="dxa"/>
                  <w:noWrap w:val="0"/>
                  <w:vAlign w:val="center"/>
                </w:tcPr>
                <w:p w14:paraId="758316A4">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废水排放量(m</w:t>
                  </w:r>
                  <w:r>
                    <w:rPr>
                      <w:rFonts w:hint="default" w:ascii="Times New Roman" w:hAnsi="Times New Roman" w:eastAsia="宋体" w:cs="Times New Roman"/>
                      <w:b/>
                      <w:bCs/>
                      <w:color w:val="000000" w:themeColor="text1"/>
                      <w:sz w:val="21"/>
                      <w:szCs w:val="21"/>
                      <w:vertAlign w:val="superscript"/>
                    </w:rPr>
                    <w:t>3</w:t>
                  </w:r>
                  <w:r>
                    <w:rPr>
                      <w:rFonts w:hint="default" w:ascii="Times New Roman" w:hAnsi="Times New Roman" w:eastAsia="宋体" w:cs="Times New Roman"/>
                      <w:b/>
                      <w:bCs/>
                      <w:color w:val="000000" w:themeColor="text1"/>
                      <w:sz w:val="21"/>
                      <w:szCs w:val="21"/>
                    </w:rPr>
                    <w:t>/d)</w:t>
                  </w:r>
                </w:p>
              </w:tc>
              <w:tc>
                <w:tcPr>
                  <w:tcW w:w="838" w:type="dxa"/>
                  <w:noWrap w:val="0"/>
                  <w:vAlign w:val="center"/>
                </w:tcPr>
                <w:p w14:paraId="1ED74CBF">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回用水(m</w:t>
                  </w:r>
                  <w:r>
                    <w:rPr>
                      <w:rFonts w:hint="default" w:ascii="Times New Roman" w:hAnsi="Times New Roman" w:eastAsia="宋体" w:cs="Times New Roman"/>
                      <w:b/>
                      <w:bCs/>
                      <w:color w:val="000000" w:themeColor="text1"/>
                      <w:sz w:val="21"/>
                      <w:szCs w:val="21"/>
                      <w:vertAlign w:val="superscript"/>
                    </w:rPr>
                    <w:t>3</w:t>
                  </w:r>
                  <w:r>
                    <w:rPr>
                      <w:rFonts w:hint="default" w:ascii="Times New Roman" w:hAnsi="Times New Roman" w:eastAsia="宋体" w:cs="Times New Roman"/>
                      <w:b/>
                      <w:bCs/>
                      <w:color w:val="000000" w:themeColor="text1"/>
                      <w:sz w:val="21"/>
                      <w:szCs w:val="21"/>
                    </w:rPr>
                    <w:t>/d)</w:t>
                  </w:r>
                </w:p>
              </w:tc>
              <w:tc>
                <w:tcPr>
                  <w:tcW w:w="1460" w:type="dxa"/>
                  <w:noWrap w:val="0"/>
                  <w:vAlign w:val="center"/>
                </w:tcPr>
                <w:p w14:paraId="6AE223A9">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排水去向</w:t>
                  </w:r>
                </w:p>
              </w:tc>
            </w:tr>
            <w:tr w14:paraId="7F6A6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noWrap w:val="0"/>
                  <w:vAlign w:val="center"/>
                </w:tcPr>
                <w:p w14:paraId="5861C67D">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办公生活</w:t>
                  </w:r>
                </w:p>
              </w:tc>
              <w:tc>
                <w:tcPr>
                  <w:tcW w:w="801" w:type="dxa"/>
                  <w:noWrap w:val="0"/>
                  <w:vAlign w:val="center"/>
                </w:tcPr>
                <w:p w14:paraId="51685ED7">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40</w:t>
                  </w:r>
                  <w:r>
                    <w:rPr>
                      <w:rFonts w:hint="default" w:ascii="Times New Roman" w:hAnsi="Times New Roman" w:eastAsia="宋体" w:cs="Times New Roman"/>
                      <w:color w:val="000000" w:themeColor="text1"/>
                      <w:sz w:val="21"/>
                      <w:szCs w:val="21"/>
                    </w:rPr>
                    <w:t>人（1</w:t>
                  </w:r>
                  <w:r>
                    <w:rPr>
                      <w:rFonts w:hint="eastAsia" w:ascii="Times New Roman" w:hAnsi="Times New Roman" w:eastAsia="宋体" w:cs="Times New Roman"/>
                      <w:color w:val="000000" w:themeColor="text1"/>
                      <w:sz w:val="21"/>
                      <w:szCs w:val="21"/>
                      <w:lang w:val="en-US" w:eastAsia="zh-CN"/>
                    </w:rPr>
                    <w:t>0</w:t>
                  </w:r>
                  <w:r>
                    <w:rPr>
                      <w:rFonts w:hint="default" w:ascii="Times New Roman" w:hAnsi="Times New Roman" w:eastAsia="宋体" w:cs="Times New Roman"/>
                      <w:color w:val="000000" w:themeColor="text1"/>
                      <w:sz w:val="21"/>
                      <w:szCs w:val="21"/>
                    </w:rPr>
                    <w:t>人在厂区食宿）</w:t>
                  </w:r>
                </w:p>
              </w:tc>
              <w:tc>
                <w:tcPr>
                  <w:tcW w:w="992" w:type="dxa"/>
                  <w:noWrap w:val="0"/>
                  <w:vAlign w:val="center"/>
                </w:tcPr>
                <w:p w14:paraId="49B36256">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食宿100L/人·d；其他30L/人.天</w:t>
                  </w:r>
                </w:p>
              </w:tc>
              <w:tc>
                <w:tcPr>
                  <w:tcW w:w="1168" w:type="dxa"/>
                  <w:noWrap w:val="0"/>
                  <w:vAlign w:val="center"/>
                </w:tcPr>
                <w:p w14:paraId="1E1A7099">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1.9</w:t>
                  </w:r>
                </w:p>
              </w:tc>
              <w:tc>
                <w:tcPr>
                  <w:tcW w:w="567" w:type="dxa"/>
                  <w:noWrap w:val="0"/>
                  <w:vAlign w:val="center"/>
                </w:tcPr>
                <w:p w14:paraId="06A795D8">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生活污水</w:t>
                  </w:r>
                </w:p>
              </w:tc>
              <w:tc>
                <w:tcPr>
                  <w:tcW w:w="940" w:type="dxa"/>
                  <w:noWrap w:val="0"/>
                  <w:vAlign w:val="center"/>
                </w:tcPr>
                <w:p w14:paraId="5FADB4C7">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0.38</w:t>
                  </w:r>
                </w:p>
              </w:tc>
              <w:tc>
                <w:tcPr>
                  <w:tcW w:w="851" w:type="dxa"/>
                  <w:noWrap w:val="0"/>
                  <w:vAlign w:val="center"/>
                </w:tcPr>
                <w:p w14:paraId="29935CDA">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1.52</w:t>
                  </w:r>
                </w:p>
              </w:tc>
              <w:tc>
                <w:tcPr>
                  <w:tcW w:w="838" w:type="dxa"/>
                  <w:noWrap w:val="0"/>
                  <w:vAlign w:val="center"/>
                </w:tcPr>
                <w:p w14:paraId="215D2937">
                  <w:pPr>
                    <w:pStyle w:val="9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w:t>
                  </w:r>
                </w:p>
              </w:tc>
              <w:tc>
                <w:tcPr>
                  <w:tcW w:w="1460" w:type="dxa"/>
                  <w:noWrap w:val="0"/>
                  <w:vAlign w:val="center"/>
                </w:tcPr>
                <w:p w14:paraId="541F8BF2">
                  <w:pPr>
                    <w:pStyle w:val="9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eastAsia="zh-CN"/>
                    </w:rPr>
                  </w:pPr>
                  <w:r>
                    <w:rPr>
                      <w:rFonts w:hint="default" w:ascii="Times New Roman" w:hAnsi="Times New Roman" w:eastAsia="宋体" w:cs="Times New Roman"/>
                      <w:bCs/>
                      <w:color w:val="000000" w:themeColor="text1"/>
                      <w:sz w:val="21"/>
                      <w:szCs w:val="21"/>
                      <w:lang w:eastAsia="zh-CN"/>
                    </w:rPr>
                    <w:t>经隔油池</w:t>
                  </w:r>
                  <w:r>
                    <w:rPr>
                      <w:rFonts w:hint="default" w:ascii="Times New Roman" w:hAnsi="Times New Roman" w:eastAsia="宋体" w:cs="Times New Roman"/>
                      <w:bCs/>
                      <w:color w:val="000000" w:themeColor="text1"/>
                      <w:sz w:val="21"/>
                      <w:szCs w:val="21"/>
                      <w:lang w:val="en-US" w:eastAsia="zh-CN"/>
                    </w:rPr>
                    <w:t>（TW001）</w:t>
                  </w:r>
                  <w:r>
                    <w:rPr>
                      <w:rFonts w:hint="default" w:ascii="Times New Roman" w:hAnsi="Times New Roman" w:eastAsia="宋体" w:cs="Times New Roman"/>
                      <w:bCs/>
                      <w:color w:val="000000" w:themeColor="text1"/>
                      <w:sz w:val="21"/>
                      <w:szCs w:val="21"/>
                      <w:lang w:eastAsia="zh-CN"/>
                    </w:rPr>
                    <w:t>和化粪池</w:t>
                  </w:r>
                  <w:r>
                    <w:rPr>
                      <w:rFonts w:hint="default" w:ascii="Times New Roman" w:hAnsi="Times New Roman" w:eastAsia="宋体" w:cs="Times New Roman"/>
                      <w:bCs/>
                      <w:color w:val="000000" w:themeColor="text1"/>
                      <w:sz w:val="21"/>
                      <w:szCs w:val="21"/>
                      <w:lang w:val="en-US" w:eastAsia="zh-CN"/>
                    </w:rPr>
                    <w:t>（TW00</w:t>
                  </w:r>
                  <w:r>
                    <w:rPr>
                      <w:rFonts w:hint="eastAsia" w:ascii="Times New Roman" w:hAnsi="Times New Roman" w:cs="Times New Roman"/>
                      <w:bCs/>
                      <w:color w:val="000000" w:themeColor="text1"/>
                      <w:sz w:val="21"/>
                      <w:szCs w:val="21"/>
                      <w:lang w:val="en-US" w:eastAsia="zh-CN"/>
                    </w:rPr>
                    <w:t>2</w:t>
                  </w:r>
                  <w:r>
                    <w:rPr>
                      <w:rFonts w:hint="default" w:ascii="Times New Roman" w:hAnsi="Times New Roman" w:eastAsia="宋体" w:cs="Times New Roman"/>
                      <w:bCs/>
                      <w:color w:val="000000" w:themeColor="text1"/>
                      <w:sz w:val="21"/>
                      <w:szCs w:val="21"/>
                      <w:lang w:val="en-US" w:eastAsia="zh-CN"/>
                    </w:rPr>
                    <w:t>）</w:t>
                  </w:r>
                  <w:r>
                    <w:rPr>
                      <w:rFonts w:hint="eastAsia" w:ascii="Times New Roman" w:hAnsi="Times New Roman" w:cs="Times New Roman"/>
                      <w:bCs/>
                      <w:color w:val="000000" w:themeColor="text1"/>
                      <w:sz w:val="21"/>
                      <w:szCs w:val="21"/>
                      <w:lang w:val="en-US" w:eastAsia="zh-CN"/>
                    </w:rPr>
                    <w:t>预</w:t>
                  </w:r>
                  <w:r>
                    <w:rPr>
                      <w:rFonts w:hint="default" w:ascii="Times New Roman" w:hAnsi="Times New Roman" w:eastAsia="宋体" w:cs="Times New Roman"/>
                      <w:bCs/>
                      <w:color w:val="000000" w:themeColor="text1"/>
                      <w:sz w:val="21"/>
                      <w:szCs w:val="21"/>
                      <w:lang w:eastAsia="zh-CN"/>
                    </w:rPr>
                    <w:t>处理</w:t>
                  </w:r>
                  <w:r>
                    <w:rPr>
                      <w:rFonts w:hint="eastAsia" w:ascii="Times New Roman" w:hAnsi="Times New Roman" w:cs="Times New Roman"/>
                      <w:bCs/>
                      <w:color w:val="000000" w:themeColor="text1"/>
                      <w:sz w:val="21"/>
                      <w:szCs w:val="21"/>
                      <w:lang w:val="en-US" w:eastAsia="zh-CN"/>
                    </w:rPr>
                    <w:t>后接管</w:t>
                  </w:r>
                  <w:r>
                    <w:rPr>
                      <w:rFonts w:hint="eastAsia" w:ascii="Times New Roman" w:hAnsi="Times New Roman" w:eastAsia="宋体" w:cs="Times New Roman"/>
                      <w:color w:val="000000" w:themeColor="text1"/>
                      <w:kern w:val="2"/>
                      <w:sz w:val="21"/>
                      <w:szCs w:val="24"/>
                      <w:lang w:val="en-US" w:eastAsia="zh-CN" w:bidi="ar"/>
                    </w:rPr>
                    <w:t>园区污水处理厂处理</w:t>
                  </w:r>
                  <w:r>
                    <w:rPr>
                      <w:rFonts w:hint="default" w:ascii="Times New Roman" w:hAnsi="Times New Roman" w:eastAsia="宋体" w:cs="Times New Roman"/>
                      <w:bCs/>
                      <w:color w:val="000000" w:themeColor="text1"/>
                      <w:sz w:val="21"/>
                      <w:szCs w:val="21"/>
                      <w:lang w:eastAsia="zh-CN"/>
                    </w:rPr>
                    <w:t>。</w:t>
                  </w:r>
                </w:p>
              </w:tc>
            </w:tr>
            <w:tr w14:paraId="57BEE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vMerge w:val="restart"/>
                  <w:noWrap w:val="0"/>
                  <w:vAlign w:val="center"/>
                </w:tcPr>
                <w:p w14:paraId="39756DB5">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制料用水</w:t>
                  </w:r>
                </w:p>
              </w:tc>
              <w:tc>
                <w:tcPr>
                  <w:tcW w:w="1793" w:type="dxa"/>
                  <w:gridSpan w:val="2"/>
                  <w:vMerge w:val="restart"/>
                  <w:noWrap w:val="0"/>
                  <w:vAlign w:val="center"/>
                </w:tcPr>
                <w:p w14:paraId="3A94EE03">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1168" w:type="dxa"/>
                  <w:vMerge w:val="restart"/>
                  <w:noWrap w:val="0"/>
                  <w:vAlign w:val="center"/>
                </w:tcPr>
                <w:p w14:paraId="04A298FA">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B050"/>
                      <w:sz w:val="21"/>
                      <w:szCs w:val="21"/>
                      <w:lang w:val="en-US" w:eastAsia="zh-CN"/>
                    </w:rPr>
                  </w:pPr>
                  <w:r>
                    <w:rPr>
                      <w:rFonts w:hint="eastAsia" w:ascii="Times New Roman" w:hAnsi="Times New Roman" w:eastAsia="宋体" w:cs="Times New Roman"/>
                      <w:color w:val="00B050"/>
                      <w:sz w:val="21"/>
                      <w:szCs w:val="21"/>
                      <w:lang w:val="en-US" w:eastAsia="zh-CN"/>
                    </w:rPr>
                    <w:t>1000（其中新鲜用水</w:t>
                  </w:r>
                  <w:r>
                    <w:rPr>
                      <w:rFonts w:hint="eastAsia" w:cs="Times New Roman"/>
                      <w:color w:val="00B050"/>
                      <w:sz w:val="21"/>
                      <w:szCs w:val="21"/>
                      <w:lang w:val="en-US" w:eastAsia="zh-CN"/>
                    </w:rPr>
                    <w:t>57.5</w:t>
                  </w:r>
                  <w:r>
                    <w:rPr>
                      <w:rFonts w:hint="eastAsia" w:ascii="Times New Roman" w:hAnsi="Times New Roman" w:eastAsia="宋体" w:cs="Times New Roman"/>
                      <w:color w:val="00B050"/>
                      <w:sz w:val="21"/>
                      <w:szCs w:val="21"/>
                      <w:lang w:val="en-US" w:eastAsia="zh-CN"/>
                    </w:rPr>
                    <w:t>，回用水9</w:t>
                  </w:r>
                  <w:r>
                    <w:rPr>
                      <w:rFonts w:hint="eastAsia" w:cs="Times New Roman"/>
                      <w:color w:val="00B050"/>
                      <w:sz w:val="21"/>
                      <w:szCs w:val="21"/>
                      <w:lang w:val="en-US" w:eastAsia="zh-CN"/>
                    </w:rPr>
                    <w:t>42.5</w:t>
                  </w:r>
                  <w:r>
                    <w:rPr>
                      <w:rFonts w:hint="eastAsia" w:ascii="Times New Roman" w:hAnsi="Times New Roman" w:eastAsia="宋体" w:cs="Times New Roman"/>
                      <w:color w:val="00B050"/>
                      <w:sz w:val="21"/>
                      <w:szCs w:val="21"/>
                      <w:lang w:val="en-US" w:eastAsia="zh-CN"/>
                    </w:rPr>
                    <w:t>）</w:t>
                  </w:r>
                </w:p>
              </w:tc>
              <w:tc>
                <w:tcPr>
                  <w:tcW w:w="567" w:type="dxa"/>
                  <w:noWrap w:val="0"/>
                  <w:vAlign w:val="center"/>
                </w:tcPr>
                <w:p w14:paraId="69946277">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B050"/>
                      <w:sz w:val="21"/>
                      <w:szCs w:val="21"/>
                      <w:lang w:val="en-US" w:eastAsia="zh-CN"/>
                    </w:rPr>
                  </w:pPr>
                  <w:r>
                    <w:rPr>
                      <w:rFonts w:hint="eastAsia" w:ascii="Times New Roman" w:hAnsi="Times New Roman" w:eastAsia="宋体" w:cs="Times New Roman"/>
                      <w:color w:val="00B050"/>
                      <w:sz w:val="21"/>
                      <w:szCs w:val="21"/>
                      <w:lang w:val="en-US" w:eastAsia="zh-CN"/>
                    </w:rPr>
                    <w:t>成型废水</w:t>
                  </w:r>
                </w:p>
              </w:tc>
              <w:tc>
                <w:tcPr>
                  <w:tcW w:w="940" w:type="dxa"/>
                  <w:noWrap w:val="0"/>
                  <w:vAlign w:val="center"/>
                </w:tcPr>
                <w:p w14:paraId="42C27D20">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B050"/>
                      <w:sz w:val="21"/>
                      <w:szCs w:val="21"/>
                      <w:lang w:val="en-US" w:eastAsia="zh-CN"/>
                    </w:rPr>
                  </w:pPr>
                  <w:r>
                    <w:rPr>
                      <w:rFonts w:hint="eastAsia" w:ascii="Times New Roman" w:hAnsi="Times New Roman" w:eastAsia="宋体" w:cs="Times New Roman"/>
                      <w:color w:val="00B050"/>
                      <w:sz w:val="21"/>
                      <w:szCs w:val="21"/>
                      <w:lang w:val="en-US" w:eastAsia="zh-CN"/>
                    </w:rPr>
                    <w:t>97.5（制料过程损耗50、成型过程损耗47.5）</w:t>
                  </w:r>
                </w:p>
              </w:tc>
              <w:tc>
                <w:tcPr>
                  <w:tcW w:w="851" w:type="dxa"/>
                  <w:noWrap w:val="0"/>
                  <w:vAlign w:val="center"/>
                </w:tcPr>
                <w:p w14:paraId="2F1EAA3B">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B050"/>
                      <w:sz w:val="21"/>
                      <w:szCs w:val="21"/>
                      <w:lang w:val="en-US" w:eastAsia="zh-CN"/>
                    </w:rPr>
                  </w:pPr>
                  <w:r>
                    <w:rPr>
                      <w:rFonts w:hint="eastAsia" w:ascii="Times New Roman" w:hAnsi="Times New Roman" w:eastAsia="宋体" w:cs="Times New Roman"/>
                      <w:color w:val="00B050"/>
                      <w:sz w:val="21"/>
                      <w:szCs w:val="21"/>
                      <w:lang w:val="en-US" w:eastAsia="zh-CN"/>
                    </w:rPr>
                    <w:t>/</w:t>
                  </w:r>
                </w:p>
              </w:tc>
              <w:tc>
                <w:tcPr>
                  <w:tcW w:w="838" w:type="dxa"/>
                  <w:noWrap w:val="0"/>
                  <w:vAlign w:val="center"/>
                </w:tcPr>
                <w:p w14:paraId="6ECF345C">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00B050"/>
                      <w:sz w:val="21"/>
                      <w:szCs w:val="21"/>
                      <w:lang w:eastAsia="zh-CN"/>
                    </w:rPr>
                  </w:pPr>
                  <w:r>
                    <w:rPr>
                      <w:rFonts w:hint="eastAsia" w:ascii="Times New Roman" w:hAnsi="Times New Roman" w:eastAsia="宋体" w:cs="Times New Roman"/>
                      <w:color w:val="00B050"/>
                      <w:sz w:val="21"/>
                      <w:szCs w:val="21"/>
                      <w:lang w:val="en-US" w:eastAsia="zh-CN"/>
                    </w:rPr>
                    <w:t>71</w:t>
                  </w:r>
                  <w:r>
                    <w:rPr>
                      <w:rFonts w:hint="eastAsia" w:cs="Times New Roman"/>
                      <w:color w:val="00B050"/>
                      <w:sz w:val="21"/>
                      <w:szCs w:val="21"/>
                      <w:lang w:val="en-US" w:eastAsia="zh-CN"/>
                    </w:rPr>
                    <w:t>3.5</w:t>
                  </w:r>
                </w:p>
              </w:tc>
              <w:tc>
                <w:tcPr>
                  <w:tcW w:w="1460" w:type="dxa"/>
                  <w:vMerge w:val="restart"/>
                  <w:noWrap w:val="0"/>
                  <w:vAlign w:val="center"/>
                </w:tcPr>
                <w:p w14:paraId="4364A0AB">
                  <w:pPr>
                    <w:pStyle w:val="9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eastAsia="zh-CN"/>
                    </w:rPr>
                  </w:pPr>
                  <w:r>
                    <w:rPr>
                      <w:rFonts w:hint="default" w:ascii="Times New Roman" w:hAnsi="Times New Roman" w:eastAsia="宋体" w:cs="Times New Roman"/>
                      <w:color w:val="000000" w:themeColor="text1"/>
                      <w:kern w:val="0"/>
                      <w:sz w:val="21"/>
                      <w:szCs w:val="21"/>
                    </w:rPr>
                    <w:t>通过回流管道回用于制</w:t>
                  </w:r>
                  <w:r>
                    <w:rPr>
                      <w:rFonts w:hint="eastAsia" w:ascii="Times New Roman" w:hAnsi="Times New Roman" w:cs="Times New Roman"/>
                      <w:color w:val="000000" w:themeColor="text1"/>
                      <w:kern w:val="0"/>
                      <w:sz w:val="21"/>
                      <w:szCs w:val="21"/>
                      <w:lang w:val="en-US" w:eastAsia="zh-CN"/>
                    </w:rPr>
                    <w:t>料</w:t>
                  </w:r>
                  <w:r>
                    <w:rPr>
                      <w:rFonts w:hint="default" w:ascii="Times New Roman" w:hAnsi="Times New Roman" w:eastAsia="宋体" w:cs="Times New Roman"/>
                      <w:color w:val="000000" w:themeColor="text1"/>
                      <w:kern w:val="0"/>
                      <w:sz w:val="21"/>
                      <w:szCs w:val="21"/>
                    </w:rPr>
                    <w:t>工序</w:t>
                  </w:r>
                </w:p>
              </w:tc>
            </w:tr>
            <w:tr w14:paraId="528F9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vMerge w:val="continue"/>
                  <w:noWrap w:val="0"/>
                  <w:vAlign w:val="center"/>
                </w:tcPr>
                <w:p w14:paraId="3A9066C5">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p>
              </w:tc>
              <w:tc>
                <w:tcPr>
                  <w:tcW w:w="1793" w:type="dxa"/>
                  <w:gridSpan w:val="2"/>
                  <w:vMerge w:val="continue"/>
                  <w:noWrap w:val="0"/>
                  <w:vAlign w:val="center"/>
                </w:tcPr>
                <w:p w14:paraId="53BFD238">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rPr>
                  </w:pPr>
                </w:p>
              </w:tc>
              <w:tc>
                <w:tcPr>
                  <w:tcW w:w="1168" w:type="dxa"/>
                  <w:vMerge w:val="continue"/>
                  <w:noWrap w:val="0"/>
                  <w:vAlign w:val="center"/>
                </w:tcPr>
                <w:p w14:paraId="35095275">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B050"/>
                      <w:sz w:val="21"/>
                      <w:szCs w:val="21"/>
                    </w:rPr>
                  </w:pPr>
                </w:p>
              </w:tc>
              <w:tc>
                <w:tcPr>
                  <w:tcW w:w="567" w:type="dxa"/>
                  <w:noWrap w:val="0"/>
                  <w:vAlign w:val="center"/>
                </w:tcPr>
                <w:p w14:paraId="3D1E1723">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B050"/>
                      <w:sz w:val="21"/>
                      <w:szCs w:val="21"/>
                      <w:lang w:val="en-US" w:eastAsia="zh-CN"/>
                    </w:rPr>
                  </w:pPr>
                  <w:r>
                    <w:rPr>
                      <w:rFonts w:hint="eastAsia" w:ascii="Times New Roman" w:hAnsi="Times New Roman" w:eastAsia="宋体" w:cs="Times New Roman"/>
                      <w:color w:val="00B050"/>
                      <w:sz w:val="21"/>
                      <w:szCs w:val="21"/>
                      <w:lang w:val="en-US" w:eastAsia="zh-CN"/>
                    </w:rPr>
                    <w:t>冷凝废水</w:t>
                  </w:r>
                </w:p>
              </w:tc>
              <w:tc>
                <w:tcPr>
                  <w:tcW w:w="940" w:type="dxa"/>
                  <w:noWrap w:val="0"/>
                  <w:vAlign w:val="center"/>
                </w:tcPr>
                <w:p w14:paraId="3093B2E6">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B050"/>
                      <w:sz w:val="21"/>
                      <w:szCs w:val="21"/>
                      <w:lang w:val="en-US" w:eastAsia="zh-CN"/>
                    </w:rPr>
                  </w:pPr>
                  <w:r>
                    <w:rPr>
                      <w:rFonts w:hint="eastAsia" w:cs="Times New Roman"/>
                      <w:color w:val="00B050"/>
                      <w:sz w:val="21"/>
                      <w:szCs w:val="21"/>
                      <w:lang w:val="en-US" w:eastAsia="zh-CN"/>
                    </w:rPr>
                    <w:t>62.6</w:t>
                  </w:r>
                  <w:r>
                    <w:rPr>
                      <w:rFonts w:hint="eastAsia" w:ascii="Times New Roman" w:hAnsi="Times New Roman" w:eastAsia="宋体" w:cs="Times New Roman"/>
                      <w:color w:val="00B050"/>
                      <w:sz w:val="21"/>
                      <w:szCs w:val="21"/>
                      <w:lang w:val="en-US" w:eastAsia="zh-CN"/>
                    </w:rPr>
                    <w:t>（</w:t>
                  </w:r>
                  <w:r>
                    <w:rPr>
                      <w:rFonts w:hint="eastAsia" w:cs="Times New Roman"/>
                      <w:color w:val="00B050"/>
                      <w:sz w:val="21"/>
                      <w:szCs w:val="21"/>
                      <w:lang w:val="en-US" w:eastAsia="zh-CN"/>
                    </w:rPr>
                    <w:t>进入产品9.3</w:t>
                  </w:r>
                  <w:r>
                    <w:rPr>
                      <w:rFonts w:hint="eastAsia" w:ascii="Times New Roman" w:hAnsi="Times New Roman" w:eastAsia="宋体" w:cs="Times New Roman"/>
                      <w:color w:val="00B050"/>
                      <w:sz w:val="21"/>
                      <w:szCs w:val="21"/>
                      <w:lang w:val="en-US" w:eastAsia="zh-CN"/>
                    </w:rPr>
                    <w:t>，</w:t>
                  </w:r>
                  <w:r>
                    <w:rPr>
                      <w:rFonts w:hint="eastAsia" w:cs="Times New Roman"/>
                      <w:color w:val="00B050"/>
                      <w:sz w:val="21"/>
                      <w:szCs w:val="21"/>
                      <w:lang w:val="en-US" w:eastAsia="zh-CN"/>
                    </w:rPr>
                    <w:t>烘干过程损耗8.8，</w:t>
                  </w:r>
                  <w:r>
                    <w:rPr>
                      <w:rFonts w:hint="eastAsia" w:ascii="Times New Roman" w:hAnsi="Times New Roman" w:eastAsia="宋体" w:cs="Times New Roman"/>
                      <w:color w:val="00B050"/>
                      <w:sz w:val="21"/>
                      <w:szCs w:val="21"/>
                      <w:lang w:val="en-US" w:eastAsia="zh-CN"/>
                    </w:rPr>
                    <w:t>随废气外排</w:t>
                  </w:r>
                  <w:r>
                    <w:rPr>
                      <w:rFonts w:hint="eastAsia" w:cs="Times New Roman"/>
                      <w:color w:val="00B050"/>
                      <w:sz w:val="21"/>
                      <w:szCs w:val="21"/>
                      <w:lang w:val="en-US" w:eastAsia="zh-CN"/>
                    </w:rPr>
                    <w:t>44.5</w:t>
                  </w:r>
                  <w:r>
                    <w:rPr>
                      <w:rFonts w:hint="eastAsia" w:ascii="Times New Roman" w:hAnsi="Times New Roman" w:eastAsia="宋体" w:cs="Times New Roman"/>
                      <w:color w:val="00B050"/>
                      <w:sz w:val="21"/>
                      <w:szCs w:val="21"/>
                      <w:lang w:val="en-US" w:eastAsia="zh-CN"/>
                    </w:rPr>
                    <w:t>）</w:t>
                  </w:r>
                </w:p>
              </w:tc>
              <w:tc>
                <w:tcPr>
                  <w:tcW w:w="851" w:type="dxa"/>
                  <w:noWrap w:val="0"/>
                  <w:vAlign w:val="center"/>
                </w:tcPr>
                <w:p w14:paraId="11FA64CD">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B050"/>
                      <w:kern w:val="2"/>
                      <w:sz w:val="21"/>
                      <w:szCs w:val="21"/>
                      <w:lang w:val="en-US" w:eastAsia="zh-CN" w:bidi="ar-SA"/>
                    </w:rPr>
                  </w:pPr>
                  <w:r>
                    <w:rPr>
                      <w:rFonts w:hint="eastAsia" w:ascii="Times New Roman" w:hAnsi="Times New Roman" w:eastAsia="宋体" w:cs="Times New Roman"/>
                      <w:color w:val="00B050"/>
                      <w:kern w:val="2"/>
                      <w:sz w:val="21"/>
                      <w:szCs w:val="21"/>
                      <w:lang w:val="en-US" w:eastAsia="zh-CN" w:bidi="ar-SA"/>
                    </w:rPr>
                    <w:t>/</w:t>
                  </w:r>
                </w:p>
              </w:tc>
              <w:tc>
                <w:tcPr>
                  <w:tcW w:w="838" w:type="dxa"/>
                  <w:noWrap w:val="0"/>
                  <w:vAlign w:val="center"/>
                </w:tcPr>
                <w:p w14:paraId="01314639">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00B050"/>
                      <w:kern w:val="2"/>
                      <w:sz w:val="21"/>
                      <w:szCs w:val="21"/>
                      <w:lang w:val="en-US" w:eastAsia="zh-CN" w:bidi="ar-SA"/>
                    </w:rPr>
                  </w:pPr>
                  <w:r>
                    <w:rPr>
                      <w:rFonts w:hint="eastAsia" w:cs="Times New Roman"/>
                      <w:color w:val="00B050"/>
                      <w:sz w:val="21"/>
                      <w:szCs w:val="21"/>
                      <w:lang w:val="en-US" w:eastAsia="zh-CN"/>
                    </w:rPr>
                    <w:t>126.4</w:t>
                  </w:r>
                </w:p>
              </w:tc>
              <w:tc>
                <w:tcPr>
                  <w:tcW w:w="1460" w:type="dxa"/>
                  <w:vMerge w:val="continue"/>
                  <w:noWrap w:val="0"/>
                  <w:vAlign w:val="center"/>
                </w:tcPr>
                <w:p w14:paraId="55691D32">
                  <w:pPr>
                    <w:pStyle w:val="9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eastAsia="zh-CN"/>
                    </w:rPr>
                  </w:pPr>
                </w:p>
              </w:tc>
            </w:tr>
            <w:tr w14:paraId="7CD46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noWrap w:val="0"/>
                  <w:vAlign w:val="center"/>
                </w:tcPr>
                <w:p w14:paraId="515A4330">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冷却用水</w:t>
                  </w:r>
                </w:p>
              </w:tc>
              <w:tc>
                <w:tcPr>
                  <w:tcW w:w="1793" w:type="dxa"/>
                  <w:gridSpan w:val="2"/>
                  <w:noWrap w:val="0"/>
                  <w:vAlign w:val="center"/>
                </w:tcPr>
                <w:p w14:paraId="5B847A1D">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1168" w:type="dxa"/>
                  <w:noWrap w:val="0"/>
                  <w:vAlign w:val="center"/>
                </w:tcPr>
                <w:p w14:paraId="4396CB2C">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B050"/>
                      <w:sz w:val="21"/>
                      <w:szCs w:val="21"/>
                      <w:lang w:val="en-US" w:eastAsia="zh-CN"/>
                    </w:rPr>
                  </w:pPr>
                  <w:r>
                    <w:rPr>
                      <w:rFonts w:hint="eastAsia" w:ascii="Times New Roman" w:hAnsi="Times New Roman" w:eastAsia="宋体" w:cs="Times New Roman"/>
                      <w:color w:val="00B050"/>
                      <w:sz w:val="21"/>
                      <w:szCs w:val="21"/>
                      <w:lang w:val="en-US" w:eastAsia="zh-CN"/>
                    </w:rPr>
                    <w:t>108</w:t>
                  </w:r>
                </w:p>
              </w:tc>
              <w:tc>
                <w:tcPr>
                  <w:tcW w:w="567" w:type="dxa"/>
                  <w:noWrap w:val="0"/>
                  <w:vAlign w:val="center"/>
                </w:tcPr>
                <w:p w14:paraId="2EFE2543">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B050"/>
                      <w:sz w:val="21"/>
                      <w:szCs w:val="21"/>
                    </w:rPr>
                  </w:pPr>
                  <w:r>
                    <w:rPr>
                      <w:rFonts w:hint="eastAsia" w:ascii="Times New Roman" w:hAnsi="Times New Roman" w:eastAsia="宋体" w:cs="Times New Roman"/>
                      <w:color w:val="00B050"/>
                      <w:sz w:val="21"/>
                      <w:szCs w:val="21"/>
                      <w:lang w:val="en-US" w:eastAsia="zh-CN"/>
                    </w:rPr>
                    <w:t>冷却废水</w:t>
                  </w:r>
                </w:p>
              </w:tc>
              <w:tc>
                <w:tcPr>
                  <w:tcW w:w="940" w:type="dxa"/>
                  <w:noWrap w:val="0"/>
                  <w:vAlign w:val="center"/>
                </w:tcPr>
                <w:p w14:paraId="6FEDB422">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B050"/>
                      <w:sz w:val="21"/>
                      <w:szCs w:val="21"/>
                      <w:lang w:val="en-US" w:eastAsia="zh-CN"/>
                    </w:rPr>
                  </w:pPr>
                  <w:r>
                    <w:rPr>
                      <w:rFonts w:hint="eastAsia" w:ascii="Times New Roman" w:hAnsi="Times New Roman" w:eastAsia="宋体" w:cs="Times New Roman"/>
                      <w:color w:val="00B050"/>
                      <w:sz w:val="21"/>
                      <w:szCs w:val="21"/>
                      <w:lang w:val="en-US" w:eastAsia="zh-CN"/>
                    </w:rPr>
                    <w:t>5.4</w:t>
                  </w:r>
                </w:p>
              </w:tc>
              <w:tc>
                <w:tcPr>
                  <w:tcW w:w="851" w:type="dxa"/>
                  <w:noWrap w:val="0"/>
                  <w:vAlign w:val="center"/>
                </w:tcPr>
                <w:p w14:paraId="4EA49425">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B050"/>
                      <w:kern w:val="2"/>
                      <w:sz w:val="21"/>
                      <w:szCs w:val="21"/>
                      <w:lang w:val="en-US" w:eastAsia="zh-CN" w:bidi="ar-SA"/>
                    </w:rPr>
                  </w:pPr>
                  <w:r>
                    <w:rPr>
                      <w:rFonts w:hint="eastAsia" w:ascii="Times New Roman" w:hAnsi="Times New Roman" w:eastAsia="宋体" w:cs="Times New Roman"/>
                      <w:color w:val="00B050"/>
                      <w:kern w:val="2"/>
                      <w:sz w:val="21"/>
                      <w:szCs w:val="21"/>
                      <w:lang w:val="en-US" w:eastAsia="zh-CN" w:bidi="ar-SA"/>
                    </w:rPr>
                    <w:t>/</w:t>
                  </w:r>
                </w:p>
              </w:tc>
              <w:tc>
                <w:tcPr>
                  <w:tcW w:w="838" w:type="dxa"/>
                  <w:noWrap w:val="0"/>
                  <w:vAlign w:val="center"/>
                </w:tcPr>
                <w:p w14:paraId="52B8C41D">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00B050"/>
                      <w:kern w:val="2"/>
                      <w:sz w:val="21"/>
                      <w:szCs w:val="21"/>
                      <w:lang w:val="en-US" w:eastAsia="zh-CN" w:bidi="ar-SA"/>
                    </w:rPr>
                  </w:pPr>
                  <w:r>
                    <w:rPr>
                      <w:rFonts w:hint="eastAsia" w:ascii="Times New Roman" w:hAnsi="Times New Roman" w:eastAsia="宋体" w:cs="Times New Roman"/>
                      <w:color w:val="00B050"/>
                      <w:sz w:val="21"/>
                      <w:szCs w:val="21"/>
                      <w:lang w:val="en-US" w:eastAsia="zh-CN"/>
                    </w:rPr>
                    <w:t>102.6</w:t>
                  </w:r>
                </w:p>
              </w:tc>
              <w:tc>
                <w:tcPr>
                  <w:tcW w:w="1460" w:type="dxa"/>
                  <w:vMerge w:val="continue"/>
                  <w:noWrap w:val="0"/>
                  <w:vAlign w:val="center"/>
                </w:tcPr>
                <w:p w14:paraId="2675E671">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000000" w:themeColor="text1"/>
                      <w:sz w:val="21"/>
                      <w:szCs w:val="21"/>
                    </w:rPr>
                  </w:pPr>
                </w:p>
              </w:tc>
            </w:tr>
            <w:tr w14:paraId="1BBA8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304" w:type="dxa"/>
                  <w:gridSpan w:val="3"/>
                  <w:noWrap w:val="0"/>
                  <w:vAlign w:val="center"/>
                </w:tcPr>
                <w:p w14:paraId="185037C2">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合计</w:t>
                  </w:r>
                </w:p>
              </w:tc>
              <w:tc>
                <w:tcPr>
                  <w:tcW w:w="1168" w:type="dxa"/>
                  <w:noWrap w:val="0"/>
                  <w:vAlign w:val="center"/>
                </w:tcPr>
                <w:p w14:paraId="238FF12C">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B050"/>
                      <w:sz w:val="21"/>
                      <w:szCs w:val="21"/>
                      <w:lang w:val="en-US" w:eastAsia="zh-CN"/>
                    </w:rPr>
                  </w:pPr>
                  <w:r>
                    <w:rPr>
                      <w:rFonts w:hint="eastAsia" w:ascii="Times New Roman" w:hAnsi="Times New Roman" w:eastAsia="宋体" w:cs="Times New Roman"/>
                      <w:color w:val="00B050"/>
                      <w:sz w:val="21"/>
                      <w:szCs w:val="21"/>
                      <w:lang w:val="en-US" w:eastAsia="zh-CN"/>
                    </w:rPr>
                    <w:t>110</w:t>
                  </w:r>
                  <w:r>
                    <w:rPr>
                      <w:rFonts w:hint="eastAsia" w:cs="Times New Roman"/>
                      <w:color w:val="00B050"/>
                      <w:sz w:val="21"/>
                      <w:szCs w:val="21"/>
                      <w:lang w:val="en-US" w:eastAsia="zh-CN"/>
                    </w:rPr>
                    <w:t>9</w:t>
                  </w:r>
                  <w:r>
                    <w:rPr>
                      <w:rFonts w:hint="eastAsia" w:ascii="Times New Roman" w:hAnsi="Times New Roman" w:eastAsia="宋体" w:cs="Times New Roman"/>
                      <w:color w:val="00B050"/>
                      <w:sz w:val="21"/>
                      <w:szCs w:val="21"/>
                      <w:lang w:val="en-US" w:eastAsia="zh-CN"/>
                    </w:rPr>
                    <w:t>.9（新鲜用水</w:t>
                  </w:r>
                  <w:r>
                    <w:rPr>
                      <w:rFonts w:hint="eastAsia" w:cs="Times New Roman"/>
                      <w:color w:val="00B050"/>
                      <w:sz w:val="21"/>
                      <w:szCs w:val="21"/>
                      <w:lang w:val="en-US" w:eastAsia="zh-CN"/>
                    </w:rPr>
                    <w:t>167.4</w:t>
                  </w:r>
                  <w:r>
                    <w:rPr>
                      <w:rFonts w:hint="eastAsia" w:ascii="Times New Roman" w:hAnsi="Times New Roman" w:eastAsia="宋体" w:cs="Times New Roman"/>
                      <w:color w:val="00B050"/>
                      <w:sz w:val="21"/>
                      <w:szCs w:val="21"/>
                      <w:lang w:val="en-US" w:eastAsia="zh-CN"/>
                    </w:rPr>
                    <w:t>，回用水9</w:t>
                  </w:r>
                  <w:r>
                    <w:rPr>
                      <w:rFonts w:hint="eastAsia" w:cs="Times New Roman"/>
                      <w:color w:val="00B050"/>
                      <w:sz w:val="21"/>
                      <w:szCs w:val="21"/>
                      <w:lang w:val="en-US" w:eastAsia="zh-CN"/>
                    </w:rPr>
                    <w:t>42</w:t>
                  </w:r>
                  <w:r>
                    <w:rPr>
                      <w:rFonts w:hint="eastAsia" w:ascii="Times New Roman" w:hAnsi="Times New Roman" w:eastAsia="宋体" w:cs="Times New Roman"/>
                      <w:color w:val="00B050"/>
                      <w:sz w:val="21"/>
                      <w:szCs w:val="21"/>
                      <w:lang w:val="en-US" w:eastAsia="zh-CN"/>
                    </w:rPr>
                    <w:t>.5）</w:t>
                  </w:r>
                </w:p>
              </w:tc>
              <w:tc>
                <w:tcPr>
                  <w:tcW w:w="567" w:type="dxa"/>
                  <w:noWrap w:val="0"/>
                  <w:vAlign w:val="center"/>
                </w:tcPr>
                <w:p w14:paraId="2D1CAABD">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B050"/>
                      <w:sz w:val="21"/>
                      <w:szCs w:val="21"/>
                      <w:lang w:val="en-US" w:eastAsia="zh-CN"/>
                    </w:rPr>
                  </w:pPr>
                  <w:r>
                    <w:rPr>
                      <w:rFonts w:hint="eastAsia" w:ascii="Times New Roman" w:hAnsi="Times New Roman" w:eastAsia="宋体" w:cs="Times New Roman"/>
                      <w:color w:val="00B050"/>
                      <w:sz w:val="21"/>
                      <w:szCs w:val="21"/>
                      <w:lang w:val="en-US" w:eastAsia="zh-CN"/>
                    </w:rPr>
                    <w:t>/</w:t>
                  </w:r>
                </w:p>
              </w:tc>
              <w:tc>
                <w:tcPr>
                  <w:tcW w:w="940" w:type="dxa"/>
                  <w:noWrap w:val="0"/>
                  <w:vAlign w:val="center"/>
                </w:tcPr>
                <w:p w14:paraId="16F800F3">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B050"/>
                      <w:sz w:val="21"/>
                      <w:szCs w:val="21"/>
                      <w:lang w:val="en-US" w:eastAsia="zh-CN"/>
                    </w:rPr>
                  </w:pPr>
                  <w:r>
                    <w:rPr>
                      <w:rFonts w:hint="eastAsia" w:ascii="Times New Roman" w:hAnsi="Times New Roman" w:eastAsia="宋体" w:cs="Times New Roman"/>
                      <w:color w:val="00B050"/>
                      <w:sz w:val="21"/>
                      <w:szCs w:val="21"/>
                      <w:lang w:val="en-US" w:eastAsia="zh-CN"/>
                    </w:rPr>
                    <w:t>1</w:t>
                  </w:r>
                  <w:r>
                    <w:rPr>
                      <w:rFonts w:hint="eastAsia" w:cs="Times New Roman"/>
                      <w:color w:val="00B050"/>
                      <w:sz w:val="21"/>
                      <w:szCs w:val="21"/>
                      <w:lang w:val="en-US" w:eastAsia="zh-CN"/>
                    </w:rPr>
                    <w:t>65.88</w:t>
                  </w:r>
                </w:p>
              </w:tc>
              <w:tc>
                <w:tcPr>
                  <w:tcW w:w="851" w:type="dxa"/>
                  <w:noWrap w:val="0"/>
                  <w:vAlign w:val="center"/>
                </w:tcPr>
                <w:p w14:paraId="121AEA30">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B050"/>
                      <w:sz w:val="21"/>
                      <w:szCs w:val="21"/>
                      <w:lang w:val="en-US" w:eastAsia="zh-CN"/>
                    </w:rPr>
                  </w:pPr>
                  <w:r>
                    <w:rPr>
                      <w:rFonts w:hint="eastAsia" w:ascii="Times New Roman" w:hAnsi="Times New Roman" w:eastAsia="宋体" w:cs="Times New Roman"/>
                      <w:color w:val="00B050"/>
                      <w:sz w:val="21"/>
                      <w:szCs w:val="21"/>
                      <w:lang w:val="en-US" w:eastAsia="zh-CN"/>
                    </w:rPr>
                    <w:t>1.52</w:t>
                  </w:r>
                </w:p>
              </w:tc>
              <w:tc>
                <w:tcPr>
                  <w:tcW w:w="838" w:type="dxa"/>
                  <w:noWrap w:val="0"/>
                  <w:vAlign w:val="center"/>
                </w:tcPr>
                <w:p w14:paraId="325B367D">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00B050"/>
                      <w:sz w:val="21"/>
                      <w:szCs w:val="21"/>
                      <w:lang w:val="en-US" w:eastAsia="zh-CN"/>
                    </w:rPr>
                  </w:pPr>
                  <w:r>
                    <w:rPr>
                      <w:rFonts w:hint="eastAsia" w:ascii="Times New Roman" w:hAnsi="Times New Roman" w:eastAsia="宋体" w:cs="Times New Roman"/>
                      <w:bCs/>
                      <w:color w:val="00B050"/>
                      <w:sz w:val="21"/>
                      <w:szCs w:val="21"/>
                      <w:lang w:val="en-US" w:eastAsia="zh-CN"/>
                    </w:rPr>
                    <w:t>9</w:t>
                  </w:r>
                  <w:r>
                    <w:rPr>
                      <w:rFonts w:hint="eastAsia" w:cs="Times New Roman"/>
                      <w:bCs/>
                      <w:color w:val="00B050"/>
                      <w:sz w:val="21"/>
                      <w:szCs w:val="21"/>
                      <w:lang w:val="en-US" w:eastAsia="zh-CN"/>
                    </w:rPr>
                    <w:t>4</w:t>
                  </w:r>
                  <w:r>
                    <w:rPr>
                      <w:rFonts w:hint="eastAsia" w:ascii="Times New Roman" w:hAnsi="Times New Roman" w:eastAsia="宋体" w:cs="Times New Roman"/>
                      <w:bCs/>
                      <w:color w:val="00B050"/>
                      <w:sz w:val="21"/>
                      <w:szCs w:val="21"/>
                      <w:lang w:val="en-US" w:eastAsia="zh-CN"/>
                    </w:rPr>
                    <w:t>2.5</w:t>
                  </w:r>
                </w:p>
              </w:tc>
              <w:tc>
                <w:tcPr>
                  <w:tcW w:w="1460" w:type="dxa"/>
                  <w:noWrap w:val="0"/>
                  <w:vAlign w:val="center"/>
                </w:tcPr>
                <w:p w14:paraId="04C504E2">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000000" w:themeColor="text1"/>
                      <w:sz w:val="21"/>
                      <w:szCs w:val="21"/>
                    </w:rPr>
                  </w:pPr>
                </w:p>
              </w:tc>
            </w:tr>
          </w:tbl>
          <w:p w14:paraId="11E133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（2）排放形式和治理设施</w:t>
            </w:r>
          </w:p>
          <w:p w14:paraId="5A7FAC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表4-</w:t>
            </w:r>
            <w:r>
              <w:rPr>
                <w:rFonts w:hint="eastAsia" w:ascii="Times New Roman" w:hAnsi="Times New Roman" w:eastAsia="宋体" w:cs="Times New Roman"/>
                <w:b/>
                <w:bCs/>
                <w:color w:val="000000" w:themeColor="text1"/>
                <w:sz w:val="21"/>
                <w:szCs w:val="21"/>
                <w:lang w:val="en-US" w:eastAsia="zh-CN"/>
              </w:rPr>
              <w:t>8</w:t>
            </w:r>
            <w:r>
              <w:rPr>
                <w:rFonts w:hint="default" w:ascii="Times New Roman" w:hAnsi="Times New Roman" w:eastAsia="宋体" w:cs="Times New Roman"/>
                <w:b/>
                <w:bCs/>
                <w:color w:val="000000" w:themeColor="text1"/>
                <w:sz w:val="21"/>
                <w:szCs w:val="21"/>
              </w:rPr>
              <w:t xml:space="preserve">  废水排放形式及污染治理设施信息表</w:t>
            </w:r>
          </w:p>
          <w:tbl>
            <w:tblPr>
              <w:tblStyle w:val="43"/>
              <w:tblW w:w="7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716"/>
              <w:gridCol w:w="1843"/>
              <w:gridCol w:w="709"/>
              <w:gridCol w:w="1552"/>
              <w:gridCol w:w="1134"/>
              <w:gridCol w:w="1543"/>
            </w:tblGrid>
            <w:tr w14:paraId="12C31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restart"/>
                  <w:noWrap w:val="0"/>
                  <w:vAlign w:val="center"/>
                </w:tcPr>
                <w:p w14:paraId="577CD951">
                  <w:pPr>
                    <w:keepNext w:val="0"/>
                    <w:keepLines w:val="0"/>
                    <w:pageBreakBefore w:val="0"/>
                    <w:widowControl w:val="0"/>
                    <w:suppressLineNumbers w:val="0"/>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kern w:val="0"/>
                      <w:sz w:val="21"/>
                      <w:szCs w:val="21"/>
                    </w:rPr>
                  </w:pPr>
                  <w:r>
                    <w:rPr>
                      <w:rFonts w:hint="default" w:ascii="Times New Roman" w:hAnsi="Times New Roman" w:eastAsia="宋体" w:cs="Times New Roman"/>
                      <w:b/>
                      <w:bCs/>
                      <w:color w:val="000000" w:themeColor="text1"/>
                      <w:kern w:val="0"/>
                      <w:sz w:val="21"/>
                      <w:szCs w:val="21"/>
                    </w:rPr>
                    <w:t>序号</w:t>
                  </w:r>
                </w:p>
              </w:tc>
              <w:tc>
                <w:tcPr>
                  <w:tcW w:w="716" w:type="dxa"/>
                  <w:vMerge w:val="restart"/>
                  <w:noWrap w:val="0"/>
                  <w:vAlign w:val="center"/>
                </w:tcPr>
                <w:p w14:paraId="26BDA739">
                  <w:pPr>
                    <w:keepNext w:val="0"/>
                    <w:keepLines w:val="0"/>
                    <w:pageBreakBefore w:val="0"/>
                    <w:widowControl w:val="0"/>
                    <w:suppressLineNumbers w:val="0"/>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kern w:val="0"/>
                      <w:sz w:val="21"/>
                      <w:szCs w:val="21"/>
                    </w:rPr>
                  </w:pPr>
                  <w:r>
                    <w:rPr>
                      <w:rFonts w:hint="default" w:ascii="Times New Roman" w:hAnsi="Times New Roman" w:eastAsia="宋体" w:cs="Times New Roman"/>
                      <w:b/>
                      <w:bCs/>
                      <w:color w:val="000000" w:themeColor="text1"/>
                      <w:kern w:val="0"/>
                      <w:sz w:val="21"/>
                      <w:szCs w:val="21"/>
                    </w:rPr>
                    <w:t>废水类别</w:t>
                  </w:r>
                </w:p>
              </w:tc>
              <w:tc>
                <w:tcPr>
                  <w:tcW w:w="1843" w:type="dxa"/>
                  <w:vMerge w:val="restart"/>
                  <w:noWrap w:val="0"/>
                  <w:vAlign w:val="center"/>
                </w:tcPr>
                <w:p w14:paraId="7A890AD6">
                  <w:pPr>
                    <w:pStyle w:val="25"/>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排放去向</w:t>
                  </w:r>
                </w:p>
              </w:tc>
              <w:tc>
                <w:tcPr>
                  <w:tcW w:w="709" w:type="dxa"/>
                  <w:vMerge w:val="restart"/>
                  <w:noWrap w:val="0"/>
                  <w:vAlign w:val="center"/>
                </w:tcPr>
                <w:p w14:paraId="31121EA2">
                  <w:pPr>
                    <w:pStyle w:val="25"/>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排放规律</w:t>
                  </w:r>
                </w:p>
              </w:tc>
              <w:tc>
                <w:tcPr>
                  <w:tcW w:w="4229" w:type="dxa"/>
                  <w:gridSpan w:val="3"/>
                  <w:noWrap w:val="0"/>
                  <w:vAlign w:val="center"/>
                </w:tcPr>
                <w:p w14:paraId="764B85EC">
                  <w:pPr>
                    <w:pStyle w:val="25"/>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污染治理设施</w:t>
                  </w:r>
                </w:p>
              </w:tc>
            </w:tr>
            <w:tr w14:paraId="34064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continue"/>
                  <w:noWrap w:val="0"/>
                  <w:vAlign w:val="center"/>
                </w:tcPr>
                <w:p w14:paraId="3E7A4100">
                  <w:pPr>
                    <w:keepNext w:val="0"/>
                    <w:keepLines w:val="0"/>
                    <w:pageBreakBefore w:val="0"/>
                    <w:widowControl w:val="0"/>
                    <w:suppressLineNumbers w:val="0"/>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kern w:val="0"/>
                      <w:sz w:val="21"/>
                      <w:szCs w:val="21"/>
                    </w:rPr>
                  </w:pPr>
                </w:p>
              </w:tc>
              <w:tc>
                <w:tcPr>
                  <w:tcW w:w="716" w:type="dxa"/>
                  <w:vMerge w:val="continue"/>
                  <w:noWrap w:val="0"/>
                  <w:vAlign w:val="center"/>
                </w:tcPr>
                <w:p w14:paraId="2188EBB2">
                  <w:pPr>
                    <w:keepNext w:val="0"/>
                    <w:keepLines w:val="0"/>
                    <w:pageBreakBefore w:val="0"/>
                    <w:widowControl w:val="0"/>
                    <w:suppressLineNumbers w:val="0"/>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kern w:val="0"/>
                      <w:sz w:val="21"/>
                      <w:szCs w:val="21"/>
                    </w:rPr>
                  </w:pPr>
                </w:p>
              </w:tc>
              <w:tc>
                <w:tcPr>
                  <w:tcW w:w="1843" w:type="dxa"/>
                  <w:vMerge w:val="continue"/>
                  <w:noWrap w:val="0"/>
                  <w:vAlign w:val="center"/>
                </w:tcPr>
                <w:p w14:paraId="37042C4C">
                  <w:pPr>
                    <w:pStyle w:val="25"/>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bCs/>
                      <w:color w:val="000000" w:themeColor="text1"/>
                      <w:sz w:val="21"/>
                      <w:szCs w:val="21"/>
                    </w:rPr>
                  </w:pPr>
                </w:p>
              </w:tc>
              <w:tc>
                <w:tcPr>
                  <w:tcW w:w="709" w:type="dxa"/>
                  <w:vMerge w:val="continue"/>
                  <w:noWrap w:val="0"/>
                  <w:vAlign w:val="center"/>
                </w:tcPr>
                <w:p w14:paraId="463338E3">
                  <w:pPr>
                    <w:pStyle w:val="25"/>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bCs/>
                      <w:color w:val="000000" w:themeColor="text1"/>
                      <w:sz w:val="21"/>
                      <w:szCs w:val="21"/>
                    </w:rPr>
                  </w:pPr>
                </w:p>
              </w:tc>
              <w:tc>
                <w:tcPr>
                  <w:tcW w:w="1552" w:type="dxa"/>
                  <w:noWrap w:val="0"/>
                  <w:vAlign w:val="center"/>
                </w:tcPr>
                <w:p w14:paraId="534E513A">
                  <w:pPr>
                    <w:pStyle w:val="25"/>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污染治理设施编号</w:t>
                  </w:r>
                </w:p>
              </w:tc>
              <w:tc>
                <w:tcPr>
                  <w:tcW w:w="1134" w:type="dxa"/>
                  <w:noWrap w:val="0"/>
                  <w:vAlign w:val="center"/>
                </w:tcPr>
                <w:p w14:paraId="11699599">
                  <w:pPr>
                    <w:pStyle w:val="25"/>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污染治理设施名称</w:t>
                  </w:r>
                </w:p>
              </w:tc>
              <w:tc>
                <w:tcPr>
                  <w:tcW w:w="1543" w:type="dxa"/>
                  <w:noWrap w:val="0"/>
                  <w:vAlign w:val="center"/>
                </w:tcPr>
                <w:p w14:paraId="1700516E">
                  <w:pPr>
                    <w:pStyle w:val="25"/>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污染治理设施工艺</w:t>
                  </w:r>
                </w:p>
              </w:tc>
            </w:tr>
            <w:tr w14:paraId="33E22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noWrap w:val="0"/>
                  <w:vAlign w:val="center"/>
                </w:tcPr>
                <w:p w14:paraId="6FE14E53">
                  <w:pPr>
                    <w:keepNext w:val="0"/>
                    <w:keepLines w:val="0"/>
                    <w:pageBreakBefore w:val="0"/>
                    <w:widowControl w:val="0"/>
                    <w:suppressLineNumbers w:val="0"/>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1</w:t>
                  </w:r>
                </w:p>
              </w:tc>
              <w:tc>
                <w:tcPr>
                  <w:tcW w:w="716" w:type="dxa"/>
                  <w:noWrap w:val="0"/>
                  <w:vAlign w:val="center"/>
                </w:tcPr>
                <w:p w14:paraId="63BBF09A">
                  <w:pPr>
                    <w:keepNext w:val="0"/>
                    <w:keepLines w:val="0"/>
                    <w:pageBreakBefore w:val="0"/>
                    <w:widowControl w:val="0"/>
                    <w:suppressLineNumbers w:val="0"/>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生活污水</w:t>
                  </w:r>
                </w:p>
              </w:tc>
              <w:tc>
                <w:tcPr>
                  <w:tcW w:w="1843" w:type="dxa"/>
                  <w:noWrap w:val="0"/>
                  <w:vAlign w:val="center"/>
                </w:tcPr>
                <w:p w14:paraId="483F780D">
                  <w:pPr>
                    <w:pStyle w:val="25"/>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园区污水处理厂</w:t>
                  </w:r>
                </w:p>
              </w:tc>
              <w:tc>
                <w:tcPr>
                  <w:tcW w:w="709" w:type="dxa"/>
                  <w:noWrap w:val="0"/>
                  <w:vAlign w:val="center"/>
                </w:tcPr>
                <w:p w14:paraId="38496B99">
                  <w:pPr>
                    <w:pStyle w:val="25"/>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552" w:type="dxa"/>
                  <w:noWrap w:val="0"/>
                  <w:vAlign w:val="center"/>
                </w:tcPr>
                <w:p w14:paraId="5ACD3850">
                  <w:pPr>
                    <w:pStyle w:val="25"/>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001</w:t>
                  </w:r>
                </w:p>
              </w:tc>
              <w:tc>
                <w:tcPr>
                  <w:tcW w:w="1134" w:type="dxa"/>
                  <w:noWrap w:val="0"/>
                  <w:vAlign w:val="center"/>
                </w:tcPr>
                <w:p w14:paraId="312C762D">
                  <w:pPr>
                    <w:pStyle w:val="25"/>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隔油池、化粪池</w:t>
                  </w:r>
                </w:p>
              </w:tc>
              <w:tc>
                <w:tcPr>
                  <w:tcW w:w="1543" w:type="dxa"/>
                  <w:noWrap w:val="0"/>
                  <w:vAlign w:val="center"/>
                </w:tcPr>
                <w:p w14:paraId="4F91F4A5">
                  <w:pPr>
                    <w:pStyle w:val="25"/>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隔油、</w:t>
                  </w:r>
                </w:p>
                <w:p w14:paraId="06FF4B6B">
                  <w:pPr>
                    <w:pStyle w:val="25"/>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厌氧发酵</w:t>
                  </w:r>
                </w:p>
              </w:tc>
            </w:tr>
          </w:tbl>
          <w:p w14:paraId="4BB86628">
            <w:pPr>
              <w:keepNext w:val="0"/>
              <w:keepLines w:val="0"/>
              <w:suppressLineNumbers w:val="0"/>
              <w:spacing w:before="0" w:beforeAutospacing="0" w:after="0" w:afterAutospacing="0"/>
              <w:ind w:left="0" w:right="0" w:firstLine="422"/>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（3）污水治理技术可行性分析</w:t>
            </w:r>
          </w:p>
          <w:p w14:paraId="6EE89DF9">
            <w:pPr>
              <w:keepNext w:val="0"/>
              <w:keepLines w:val="0"/>
              <w:widowControl w:val="0"/>
              <w:suppressLineNumbers w:val="0"/>
              <w:spacing w:before="0" w:beforeAutospacing="0" w:after="0" w:afterAutospacing="0" w:line="360" w:lineRule="auto"/>
              <w:ind w:left="0" w:right="0" w:firstLine="480"/>
              <w:jc w:val="both"/>
              <w:rPr>
                <w:rFonts w:hint="eastAsia" w:ascii="宋体" w:hAnsi="宋体" w:eastAsia="宋体" w:cs="宋体"/>
                <w:bCs/>
                <w:color w:val="000000" w:themeColor="text1"/>
                <w:szCs w:val="21"/>
                <w:lang w:val="en-US"/>
              </w:rPr>
            </w:pPr>
            <w:r>
              <w:rPr>
                <w:rFonts w:hint="default" w:ascii="Times New Roman" w:hAnsi="Times New Roman" w:eastAsia="宋体" w:cs="Times New Roman"/>
                <w:color w:val="000000" w:themeColor="text1"/>
                <w:sz w:val="21"/>
                <w:szCs w:val="21"/>
              </w:rPr>
              <w:t>1）</w:t>
            </w:r>
            <w:r>
              <w:rPr>
                <w:rFonts w:hint="eastAsia" w:ascii="宋体" w:hAnsi="宋体" w:eastAsia="宋体" w:cs="宋体"/>
                <w:bCs/>
                <w:color w:val="000000" w:themeColor="text1"/>
                <w:kern w:val="2"/>
                <w:sz w:val="21"/>
                <w:szCs w:val="21"/>
                <w:lang w:val="en-US" w:eastAsia="zh-CN" w:bidi="ar"/>
              </w:rPr>
              <w:t>隔油池和化粪池设置合理性分析</w:t>
            </w:r>
          </w:p>
          <w:p w14:paraId="5C1AF2FB">
            <w:pPr>
              <w:keepNext w:val="0"/>
              <w:keepLines w:val="0"/>
              <w:widowControl w:val="0"/>
              <w:suppressLineNumbers w:val="0"/>
              <w:spacing w:before="0" w:beforeAutospacing="0" w:after="0" w:afterAutospacing="0" w:line="360" w:lineRule="auto"/>
              <w:ind w:left="0" w:right="0" w:firstLine="480"/>
              <w:jc w:val="both"/>
              <w:rPr>
                <w:rFonts w:hint="default" w:ascii="Times New Roman" w:hAnsi="Times New Roman" w:cs="Times New Roman"/>
                <w:color w:val="000000" w:themeColor="text1"/>
                <w:lang w:val="en-US"/>
              </w:rPr>
            </w:pPr>
            <w:r>
              <w:rPr>
                <w:rFonts w:hint="eastAsia" w:ascii="Times New Roman" w:hAnsi="Times New Roman" w:eastAsia="宋体" w:cs="宋体"/>
                <w:color w:val="000000" w:themeColor="text1"/>
                <w:kern w:val="2"/>
                <w:sz w:val="21"/>
                <w:szCs w:val="24"/>
                <w:lang w:val="en-US" w:eastAsia="zh-CN" w:bidi="ar"/>
              </w:rPr>
              <w:t>本项目生活污水经化粪池（TW00</w:t>
            </w:r>
            <w:r>
              <w:rPr>
                <w:rFonts w:hint="eastAsia" w:cs="宋体"/>
                <w:color w:val="000000" w:themeColor="text1"/>
                <w:kern w:val="2"/>
                <w:sz w:val="21"/>
                <w:szCs w:val="24"/>
                <w:lang w:val="en-US" w:eastAsia="zh-CN" w:bidi="ar"/>
              </w:rPr>
              <w:t>2</w:t>
            </w:r>
            <w:r>
              <w:rPr>
                <w:rFonts w:hint="eastAsia" w:ascii="Times New Roman" w:hAnsi="Times New Roman" w:eastAsia="宋体" w:cs="宋体"/>
                <w:color w:val="000000" w:themeColor="text1"/>
                <w:kern w:val="2"/>
                <w:sz w:val="21"/>
                <w:szCs w:val="24"/>
                <w:lang w:val="en-US" w:eastAsia="zh-CN" w:bidi="ar"/>
              </w:rPr>
              <w:t>）和隔油池（TW001）预处理。本项目生活污水处理设施为化粪池和隔油池，参照《排污许可证申请与核发技术规范</w:t>
            </w:r>
            <w:r>
              <w:rPr>
                <w:rFonts w:hint="default" w:ascii="Times New Roman" w:hAnsi="Times New Roman" w:eastAsia="宋体" w:cs="Times New Roman"/>
                <w:color w:val="000000" w:themeColor="text1"/>
                <w:kern w:val="2"/>
                <w:sz w:val="21"/>
                <w:szCs w:val="24"/>
                <w:lang w:val="en-US" w:eastAsia="zh-CN" w:bidi="ar"/>
              </w:rPr>
              <w:t xml:space="preserve"> </w:t>
            </w:r>
            <w:r>
              <w:rPr>
                <w:rFonts w:hint="eastAsia" w:ascii="Times New Roman" w:hAnsi="Times New Roman" w:eastAsia="宋体" w:cs="宋体"/>
                <w:color w:val="000000" w:themeColor="text1"/>
                <w:kern w:val="2"/>
                <w:sz w:val="21"/>
                <w:szCs w:val="24"/>
                <w:lang w:val="en-US" w:eastAsia="zh-CN" w:bidi="ar"/>
              </w:rPr>
              <w:t>总则》（</w:t>
            </w:r>
            <w:r>
              <w:rPr>
                <w:rFonts w:hint="default" w:ascii="Times New Roman" w:hAnsi="Times New Roman" w:eastAsia="宋体" w:cs="Times New Roman"/>
                <w:color w:val="000000" w:themeColor="text1"/>
                <w:kern w:val="2"/>
                <w:sz w:val="21"/>
                <w:szCs w:val="24"/>
                <w:lang w:val="en-US" w:eastAsia="zh-CN" w:bidi="ar"/>
              </w:rPr>
              <w:t>HJ942-2018</w:t>
            </w:r>
            <w:r>
              <w:rPr>
                <w:rFonts w:hint="eastAsia" w:ascii="Times New Roman" w:hAnsi="Times New Roman" w:eastAsia="宋体" w:cs="宋体"/>
                <w:color w:val="000000" w:themeColor="text1"/>
                <w:kern w:val="2"/>
                <w:sz w:val="21"/>
                <w:szCs w:val="24"/>
                <w:lang w:val="en-US" w:eastAsia="zh-CN" w:bidi="ar"/>
              </w:rPr>
              <w:t>）所列的可行技术，符合规范。</w:t>
            </w:r>
          </w:p>
          <w:p w14:paraId="3DFB01FB">
            <w:pPr>
              <w:keepNext w:val="0"/>
              <w:keepLines w:val="0"/>
              <w:suppressLineNumbers w:val="0"/>
              <w:adjustRightInd w:val="0"/>
              <w:snapToGrid w:val="0"/>
              <w:spacing w:before="0" w:beforeAutospacing="0" w:after="0" w:afterAutospacing="0"/>
              <w:ind w:left="0" w:right="0" w:firstLine="420"/>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2</w:t>
            </w:r>
            <w:r>
              <w:rPr>
                <w:rFonts w:hint="default" w:ascii="Times New Roman" w:hAnsi="Times New Roman" w:eastAsia="宋体" w:cs="Times New Roman"/>
                <w:color w:val="000000" w:themeColor="text1"/>
                <w:sz w:val="21"/>
                <w:szCs w:val="21"/>
              </w:rPr>
              <w:t>）隔油池</w:t>
            </w:r>
            <w:r>
              <w:rPr>
                <w:rFonts w:hint="eastAsia" w:ascii="Times New Roman" w:hAnsi="Times New Roman" w:eastAsia="宋体" w:cs="Times New Roman"/>
                <w:color w:val="000000" w:themeColor="text1"/>
                <w:sz w:val="21"/>
                <w:szCs w:val="21"/>
                <w:lang w:val="en-US" w:eastAsia="zh-CN"/>
              </w:rPr>
              <w:t>容积设置</w:t>
            </w:r>
            <w:r>
              <w:rPr>
                <w:rFonts w:hint="default" w:ascii="Times New Roman" w:hAnsi="Times New Roman" w:eastAsia="宋体" w:cs="Times New Roman"/>
                <w:color w:val="000000" w:themeColor="text1"/>
                <w:sz w:val="21"/>
                <w:szCs w:val="21"/>
              </w:rPr>
              <w:t>可行性分析</w:t>
            </w:r>
          </w:p>
          <w:p w14:paraId="3DE68E4D">
            <w:pPr>
              <w:keepNext w:val="0"/>
              <w:keepLines w:val="0"/>
              <w:suppressLineNumbers w:val="0"/>
              <w:adjustRightInd w:val="0"/>
              <w:snapToGrid w:val="0"/>
              <w:spacing w:before="0" w:beforeAutospacing="0" w:after="0" w:afterAutospacing="0"/>
              <w:ind w:left="0" w:right="0" w:firstLine="42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根据《建筑给水排水设计规范2009年版》（GB50015-2003）：</w:t>
            </w:r>
            <w:r>
              <w:rPr>
                <w:rFonts w:hint="default" w:ascii="Times New Roman" w:hAnsi="Times New Roman" w:eastAsia="宋体" w:cs="Times New Roman"/>
                <w:color w:val="000000" w:themeColor="text1"/>
                <w:sz w:val="21"/>
                <w:szCs w:val="21"/>
                <w:lang w:val="zh-CN"/>
              </w:rPr>
              <w:t>污水在隔油池内的流速控制在0.005m/s之内，有利于油脂颗粒上浮。污水在池内的停留时间的选择，可根据建筑物性质确定，用油量较多者取上限值，用油量较少者取下限值。参照实践经验，存油部分的容积不宜小于该池有效容积的25%；隔油池的有效容积可根据厨房洗涤废水的流量和废水在池内停留时间决定，其有效容积是指隔油池出口管管底标高以下的池容积。存油部分容积是指出水挡板的下端至水面油水分离室的容积。</w:t>
            </w:r>
          </w:p>
          <w:p w14:paraId="3B5BA39B">
            <w:pPr>
              <w:keepNext w:val="0"/>
              <w:keepLines w:val="0"/>
              <w:suppressLineNumbers w:val="0"/>
              <w:adjustRightInd w:val="0"/>
              <w:snapToGrid w:val="0"/>
              <w:spacing w:before="0" w:beforeAutospacing="0" w:after="0" w:afterAutospacing="0"/>
              <w:ind w:left="0" w:right="0" w:firstLine="42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根据餐饮隔油池容积计算公式：</w:t>
            </w:r>
          </w:p>
          <w:p w14:paraId="4ED6ED21">
            <w:pPr>
              <w:keepNext w:val="0"/>
              <w:keepLines w:val="0"/>
              <w:suppressLineNumbers w:val="0"/>
              <w:adjustRightInd w:val="0"/>
              <w:snapToGrid w:val="0"/>
              <w:spacing w:before="0" w:beforeAutospacing="0" w:after="0" w:afterAutospacing="0"/>
              <w:ind w:left="0" w:right="0" w:firstLine="42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object>
                <v:shape id="_x0000_i1030" o:spt="75" type="#_x0000_t75" style="height:18pt;width:78.95pt;" o:ole="t" filled="f" o:preferrelative="t" stroked="f" coordsize="21600,21600">
                  <v:path/>
                  <v:fill on="f" focussize="0,0"/>
                  <v:stroke on="f"/>
                  <v:imagedata r:id="rId24" o:title=""/>
                  <o:lock v:ext="edit" aspectratio="t"/>
                  <w10:wrap type="none"/>
                  <w10:anchorlock/>
                </v:shape>
                <o:OLEObject Type="Embed" ProgID="Equation.KSEE3" ShapeID="_x0000_i1030" DrawAspect="Content" ObjectID="_1468075725" r:id="rId23">
                  <o:LockedField>false</o:LockedField>
                </o:OLEObject>
              </w:object>
            </w:r>
          </w:p>
          <w:p w14:paraId="7A096C5D">
            <w:pPr>
              <w:keepNext w:val="0"/>
              <w:keepLines w:val="0"/>
              <w:suppressLineNumbers w:val="0"/>
              <w:adjustRightInd w:val="0"/>
              <w:snapToGrid w:val="0"/>
              <w:spacing w:before="0" w:beforeAutospacing="0" w:after="0" w:afterAutospacing="0"/>
              <w:ind w:left="0" w:right="0" w:firstLine="42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式中：V-----隔油池有效容积，m³；</w:t>
            </w:r>
          </w:p>
          <w:p w14:paraId="1350F204">
            <w:pPr>
              <w:keepNext w:val="0"/>
              <w:keepLines w:val="0"/>
              <w:suppressLineNumbers w:val="0"/>
              <w:adjustRightInd w:val="0"/>
              <w:snapToGrid w:val="0"/>
              <w:spacing w:before="0" w:beforeAutospacing="0" w:after="0" w:afterAutospacing="0"/>
              <w:ind w:left="0" w:right="0" w:firstLine="42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Qmax-----最大秒流量，食堂废水为</w:t>
            </w:r>
            <w:r>
              <w:rPr>
                <w:rFonts w:hint="eastAsia" w:ascii="Times New Roman" w:hAnsi="Times New Roman" w:eastAsia="宋体" w:cs="Times New Roman"/>
                <w:color w:val="000000" w:themeColor="text1"/>
                <w:sz w:val="21"/>
                <w:szCs w:val="21"/>
                <w:lang w:val="en-US" w:eastAsia="zh-CN"/>
              </w:rPr>
              <w:t>0.304</w:t>
            </w:r>
            <w:r>
              <w:rPr>
                <w:rFonts w:hint="default" w:ascii="Times New Roman" w:hAnsi="Times New Roman" w:eastAsia="宋体" w:cs="Times New Roman"/>
                <w:color w:val="000000" w:themeColor="text1"/>
                <w:sz w:val="21"/>
                <w:szCs w:val="21"/>
              </w:rPr>
              <w:t>m³/d，每天运营3小时，则最大秒流量为0.00</w:t>
            </w:r>
            <w:r>
              <w:rPr>
                <w:rFonts w:hint="eastAsia" w:ascii="Times New Roman" w:hAnsi="Times New Roman" w:eastAsia="宋体" w:cs="Times New Roman"/>
                <w:color w:val="000000" w:themeColor="text1"/>
                <w:sz w:val="21"/>
                <w:szCs w:val="21"/>
                <w:lang w:val="en-US" w:eastAsia="zh-CN"/>
              </w:rPr>
              <w:t>2</w:t>
            </w:r>
            <w:r>
              <w:rPr>
                <w:rFonts w:hint="default" w:ascii="Times New Roman" w:hAnsi="Times New Roman" w:eastAsia="宋体" w:cs="Times New Roman"/>
                <w:color w:val="000000" w:themeColor="text1"/>
                <w:sz w:val="21"/>
                <w:szCs w:val="21"/>
              </w:rPr>
              <w:t>m³/min；</w:t>
            </w:r>
          </w:p>
          <w:p w14:paraId="55EE32B7">
            <w:pPr>
              <w:keepNext w:val="0"/>
              <w:keepLines w:val="0"/>
              <w:suppressLineNumbers w:val="0"/>
              <w:adjustRightInd w:val="0"/>
              <w:snapToGrid w:val="0"/>
              <w:spacing w:before="0" w:beforeAutospacing="0" w:after="0" w:afterAutospacing="0"/>
              <w:ind w:left="0" w:right="0" w:firstLine="42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t-----停留时间不宜小于0.5h，本项目取值2h；</w:t>
            </w:r>
          </w:p>
          <w:p w14:paraId="49A8078B">
            <w:pPr>
              <w:keepNext w:val="0"/>
              <w:keepLines w:val="0"/>
              <w:suppressLineNumbers w:val="0"/>
              <w:adjustRightInd w:val="0"/>
              <w:snapToGrid w:val="0"/>
              <w:spacing w:before="0" w:beforeAutospacing="0" w:after="0" w:afterAutospacing="0"/>
              <w:ind w:left="0" w:right="0" w:firstLine="42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经计算，本项目需建设有效容积不低于0.</w:t>
            </w:r>
            <w:r>
              <w:rPr>
                <w:rFonts w:hint="eastAsia" w:ascii="Times New Roman" w:hAnsi="Times New Roman" w:eastAsia="宋体" w:cs="Times New Roman"/>
                <w:color w:val="000000" w:themeColor="text1"/>
                <w:sz w:val="21"/>
                <w:szCs w:val="21"/>
                <w:lang w:val="en-US" w:eastAsia="zh-CN"/>
              </w:rPr>
              <w:t>24</w:t>
            </w:r>
            <w:r>
              <w:rPr>
                <w:rFonts w:hint="default" w:ascii="Times New Roman" w:hAnsi="Times New Roman" w:eastAsia="宋体" w:cs="Times New Roman"/>
                <w:color w:val="000000" w:themeColor="text1"/>
                <w:sz w:val="21"/>
                <w:szCs w:val="21"/>
              </w:rPr>
              <w:t>m³隔油池，考虑1.2的安全序数。则项目隔油池最小容积为</w:t>
            </w:r>
            <w:r>
              <w:rPr>
                <w:rFonts w:hint="eastAsia" w:ascii="Times New Roman" w:hAnsi="Times New Roman" w:eastAsia="宋体" w:cs="Times New Roman"/>
                <w:color w:val="000000" w:themeColor="text1"/>
                <w:sz w:val="21"/>
                <w:szCs w:val="21"/>
                <w:lang w:val="en-US" w:eastAsia="zh-CN"/>
              </w:rPr>
              <w:t>0.29</w:t>
            </w:r>
            <w:r>
              <w:rPr>
                <w:rFonts w:hint="default" w:ascii="Times New Roman" w:hAnsi="Times New Roman" w:eastAsia="宋体" w:cs="Times New Roman"/>
                <w:color w:val="000000" w:themeColor="text1"/>
                <w:sz w:val="21"/>
                <w:szCs w:val="21"/>
              </w:rPr>
              <w:t>m</w:t>
            </w:r>
            <w:r>
              <w:rPr>
                <w:rFonts w:hint="default" w:ascii="Times New Roman" w:hAnsi="Times New Roman" w:eastAsia="宋体" w:cs="Times New Roman"/>
                <w:color w:val="000000" w:themeColor="text1"/>
                <w:sz w:val="21"/>
                <w:szCs w:val="21"/>
                <w:vertAlign w:val="superscript"/>
              </w:rPr>
              <w:t>3</w:t>
            </w:r>
            <w:r>
              <w:rPr>
                <w:rFonts w:hint="default" w:ascii="Times New Roman" w:hAnsi="Times New Roman" w:eastAsia="宋体" w:cs="Times New Roman"/>
                <w:color w:val="000000" w:themeColor="text1"/>
                <w:sz w:val="21"/>
                <w:szCs w:val="21"/>
              </w:rPr>
              <w:t>，本次环评要求项目设置0.</w:t>
            </w:r>
            <w:r>
              <w:rPr>
                <w:rFonts w:hint="eastAsia" w:ascii="Times New Roman" w:hAnsi="Times New Roman" w:eastAsia="宋体" w:cs="Times New Roman"/>
                <w:color w:val="000000" w:themeColor="text1"/>
                <w:sz w:val="21"/>
                <w:szCs w:val="21"/>
                <w:lang w:val="en-US" w:eastAsia="zh-CN"/>
              </w:rPr>
              <w:t>5</w:t>
            </w:r>
            <w:r>
              <w:rPr>
                <w:rFonts w:hint="default" w:ascii="Times New Roman" w:hAnsi="Times New Roman" w:eastAsia="宋体" w:cs="Times New Roman"/>
                <w:color w:val="000000" w:themeColor="text1"/>
                <w:sz w:val="21"/>
                <w:szCs w:val="21"/>
              </w:rPr>
              <w:t>m³的隔油池是可行的。</w:t>
            </w:r>
          </w:p>
          <w:p w14:paraId="262FD2C5">
            <w:pPr>
              <w:keepNext w:val="0"/>
              <w:keepLines w:val="0"/>
              <w:suppressLineNumbers w:val="0"/>
              <w:adjustRightInd w:val="0"/>
              <w:snapToGrid w:val="0"/>
              <w:spacing w:before="0" w:beforeAutospacing="0" w:after="0" w:afterAutospacing="0"/>
              <w:ind w:left="0" w:right="0" w:firstLine="420"/>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3</w:t>
            </w:r>
            <w:r>
              <w:rPr>
                <w:rFonts w:hint="default" w:ascii="Times New Roman" w:hAnsi="Times New Roman" w:eastAsia="宋体" w:cs="Times New Roman"/>
                <w:color w:val="000000" w:themeColor="text1"/>
                <w:sz w:val="21"/>
                <w:szCs w:val="21"/>
              </w:rPr>
              <w:t>）化粪池</w:t>
            </w:r>
            <w:r>
              <w:rPr>
                <w:rFonts w:hint="eastAsia" w:ascii="Times New Roman" w:hAnsi="Times New Roman" w:eastAsia="宋体" w:cs="Times New Roman"/>
                <w:color w:val="000000" w:themeColor="text1"/>
                <w:sz w:val="21"/>
                <w:szCs w:val="21"/>
                <w:lang w:val="en-US" w:eastAsia="zh-CN"/>
              </w:rPr>
              <w:t>容积设置</w:t>
            </w:r>
            <w:r>
              <w:rPr>
                <w:rFonts w:hint="default" w:ascii="Times New Roman" w:hAnsi="Times New Roman" w:eastAsia="宋体" w:cs="Times New Roman"/>
                <w:color w:val="000000" w:themeColor="text1"/>
                <w:sz w:val="21"/>
                <w:szCs w:val="21"/>
              </w:rPr>
              <w:t>可行性分析</w:t>
            </w:r>
          </w:p>
          <w:p w14:paraId="15012260">
            <w:pPr>
              <w:keepNext w:val="0"/>
              <w:keepLines w:val="0"/>
              <w:suppressLineNumbers w:val="0"/>
              <w:adjustRightInd w:val="0"/>
              <w:snapToGrid w:val="0"/>
              <w:spacing w:before="0" w:beforeAutospacing="0" w:after="0" w:afterAutospacing="0"/>
              <w:ind w:left="0" w:right="0" w:firstLine="42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化粪池容积根据《钢筋混凝土化粪池》（03S702）确定：</w:t>
            </w:r>
          </w:p>
          <w:p w14:paraId="025B1861">
            <w:pPr>
              <w:keepNext w:val="0"/>
              <w:keepLines w:val="0"/>
              <w:suppressLineNumbers w:val="0"/>
              <w:adjustRightInd w:val="0"/>
              <w:snapToGrid w:val="0"/>
              <w:spacing w:before="0" w:beforeAutospacing="0" w:after="0" w:afterAutospacing="0"/>
              <w:ind w:left="0" w:right="0" w:firstLine="42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化粪池有效容积：</w:t>
            </w:r>
            <w:r>
              <w:rPr>
                <w:rFonts w:hint="default" w:ascii="Times New Roman" w:hAnsi="Times New Roman" w:eastAsia="宋体" w:cs="Times New Roman"/>
                <w:color w:val="000000" w:themeColor="text1"/>
                <w:sz w:val="21"/>
                <w:szCs w:val="21"/>
              </w:rPr>
              <w:object>
                <v:shape id="_x0000_i1031" o:spt="75" type="#_x0000_t75" style="height:17pt;width:62pt;" o:ole="t" filled="f" o:preferrelative="t" stroked="f" coordsize="21600,21600">
                  <v:path/>
                  <v:fill on="f" focussize="0,0"/>
                  <v:stroke on="f"/>
                  <v:imagedata r:id="rId26" o:title=""/>
                  <o:lock v:ext="edit" aspectratio="t"/>
                  <w10:wrap type="none"/>
                  <w10:anchorlock/>
                </v:shape>
                <o:OLEObject Type="Embed" ProgID="Equation.KSEE3" ShapeID="_x0000_i1031" DrawAspect="Content" ObjectID="_1468075726" r:id="rId25">
                  <o:LockedField>false</o:LockedField>
                </o:OLEObject>
              </w:object>
            </w:r>
          </w:p>
          <w:p w14:paraId="1EC7732F">
            <w:pPr>
              <w:keepNext w:val="0"/>
              <w:keepLines w:val="0"/>
              <w:suppressLineNumbers w:val="0"/>
              <w:adjustRightInd w:val="0"/>
              <w:snapToGrid w:val="0"/>
              <w:spacing w:before="0" w:beforeAutospacing="0" w:after="0" w:afterAutospacing="0"/>
              <w:ind w:left="0" w:right="0" w:firstLine="42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式中：W-----化粪池有效容积；</w:t>
            </w:r>
          </w:p>
          <w:p w14:paraId="7B6B126A">
            <w:pPr>
              <w:keepNext w:val="0"/>
              <w:keepLines w:val="0"/>
              <w:suppressLineNumbers w:val="0"/>
              <w:adjustRightInd w:val="0"/>
              <w:snapToGrid w:val="0"/>
              <w:spacing w:before="0" w:beforeAutospacing="0" w:after="0" w:afterAutospacing="0"/>
              <w:ind w:left="0" w:right="0" w:firstLine="42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W1-----化粪池内污水部分容积；</w:t>
            </w:r>
          </w:p>
          <w:p w14:paraId="63CEA345">
            <w:pPr>
              <w:keepNext w:val="0"/>
              <w:keepLines w:val="0"/>
              <w:suppressLineNumbers w:val="0"/>
              <w:adjustRightInd w:val="0"/>
              <w:snapToGrid w:val="0"/>
              <w:spacing w:before="0" w:beforeAutospacing="0" w:after="0" w:afterAutospacing="0"/>
              <w:ind w:left="0" w:right="0" w:firstLine="42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W2-----化粪池内污泥部分容积；</w:t>
            </w:r>
          </w:p>
          <w:p w14:paraId="3A14722E">
            <w:pPr>
              <w:keepNext w:val="0"/>
              <w:keepLines w:val="0"/>
              <w:suppressLineNumbers w:val="0"/>
              <w:adjustRightInd w:val="0"/>
              <w:snapToGrid w:val="0"/>
              <w:spacing w:before="0" w:beforeAutospacing="0" w:after="0" w:afterAutospacing="0"/>
              <w:ind w:left="0" w:right="0" w:firstLine="42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污水量计算公式：</w:t>
            </w:r>
            <w:r>
              <w:rPr>
                <w:rFonts w:hint="default" w:ascii="Times New Roman" w:hAnsi="Times New Roman" w:eastAsia="宋体" w:cs="Times New Roman"/>
                <w:color w:val="000000" w:themeColor="text1"/>
                <w:sz w:val="21"/>
                <w:szCs w:val="21"/>
              </w:rPr>
              <w:object>
                <v:shape id="_x0000_i1032" o:spt="75" type="#_x0000_t75" style="height:31pt;width:74pt;" o:ole="t" filled="f" o:preferrelative="t" stroked="f" coordsize="21600,21600">
                  <v:path/>
                  <v:fill on="f" focussize="0,0"/>
                  <v:stroke on="f"/>
                  <v:imagedata r:id="rId28" o:title=""/>
                  <o:lock v:ext="edit" aspectratio="t"/>
                  <w10:wrap type="none"/>
                  <w10:anchorlock/>
                </v:shape>
                <o:OLEObject Type="Embed" ProgID="Equation.KSEE3" ShapeID="_x0000_i1032" DrawAspect="Content" ObjectID="_1468075727" r:id="rId27">
                  <o:LockedField>false</o:LockedField>
                </o:OLEObject>
              </w:object>
            </w:r>
          </w:p>
          <w:p w14:paraId="6C1494D1">
            <w:pPr>
              <w:keepNext w:val="0"/>
              <w:keepLines w:val="0"/>
              <w:suppressLineNumbers w:val="0"/>
              <w:adjustRightInd w:val="0"/>
              <w:snapToGrid w:val="0"/>
              <w:spacing w:before="0" w:beforeAutospacing="0" w:after="0" w:afterAutospacing="0"/>
              <w:ind w:left="0" w:right="0" w:firstLine="42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式中：Nz-----化粪池设计总人数，</w:t>
            </w:r>
            <w:r>
              <w:rPr>
                <w:rFonts w:hint="eastAsia" w:ascii="Times New Roman" w:hAnsi="Times New Roman" w:eastAsia="宋体" w:cs="Times New Roman"/>
                <w:color w:val="000000" w:themeColor="text1"/>
                <w:sz w:val="21"/>
                <w:szCs w:val="21"/>
                <w:lang w:val="en-US" w:eastAsia="zh-CN"/>
              </w:rPr>
              <w:t>40</w:t>
            </w:r>
            <w:r>
              <w:rPr>
                <w:rFonts w:hint="default" w:ascii="Times New Roman" w:hAnsi="Times New Roman" w:eastAsia="宋体" w:cs="Times New Roman"/>
                <w:color w:val="000000" w:themeColor="text1"/>
                <w:sz w:val="21"/>
                <w:szCs w:val="21"/>
              </w:rPr>
              <w:t>人；</w:t>
            </w:r>
          </w:p>
          <w:p w14:paraId="1500A3A7">
            <w:pPr>
              <w:keepNext w:val="0"/>
              <w:keepLines w:val="0"/>
              <w:suppressLineNumbers w:val="0"/>
              <w:adjustRightInd w:val="0"/>
              <w:snapToGrid w:val="0"/>
              <w:spacing w:before="0" w:beforeAutospacing="0" w:after="0" w:afterAutospacing="0"/>
              <w:ind w:left="0" w:right="0" w:firstLine="42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q-----每人每日污水定额，</w:t>
            </w:r>
            <w:r>
              <w:rPr>
                <w:rFonts w:hint="eastAsia" w:ascii="Times New Roman" w:hAnsi="Times New Roman" w:eastAsia="宋体" w:cs="Times New Roman"/>
                <w:color w:val="000000" w:themeColor="text1"/>
                <w:sz w:val="21"/>
                <w:szCs w:val="21"/>
                <w:lang w:val="en-US" w:eastAsia="zh-CN"/>
              </w:rPr>
              <w:t>50</w:t>
            </w:r>
            <w:r>
              <w:rPr>
                <w:rFonts w:hint="default" w:ascii="Times New Roman" w:hAnsi="Times New Roman" w:eastAsia="宋体" w:cs="Times New Roman"/>
                <w:color w:val="000000" w:themeColor="text1"/>
                <w:sz w:val="21"/>
                <w:szCs w:val="21"/>
              </w:rPr>
              <w:t>L/人▪d；</w:t>
            </w:r>
          </w:p>
          <w:p w14:paraId="2491F4B0">
            <w:pPr>
              <w:keepNext w:val="0"/>
              <w:keepLines w:val="0"/>
              <w:suppressLineNumbers w:val="0"/>
              <w:adjustRightInd w:val="0"/>
              <w:snapToGrid w:val="0"/>
              <w:spacing w:before="0" w:beforeAutospacing="0" w:after="0" w:afterAutospacing="0"/>
              <w:ind w:left="0" w:right="0" w:firstLine="42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t-----污水在化粪池内停留的时间，24h；</w:t>
            </w:r>
          </w:p>
          <w:p w14:paraId="2E2B1225">
            <w:pPr>
              <w:keepNext w:val="0"/>
              <w:keepLines w:val="0"/>
              <w:suppressLineNumbers w:val="0"/>
              <w:adjustRightInd w:val="0"/>
              <w:snapToGrid w:val="0"/>
              <w:spacing w:before="0" w:beforeAutospacing="0" w:after="0" w:afterAutospacing="0"/>
              <w:ind w:left="0" w:right="0" w:firstLine="42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α-----实际使用卫生器具的人数与设计总人数的百分比，本项目为工业企业生活区，本项目取值100%；</w:t>
            </w:r>
          </w:p>
          <w:p w14:paraId="1C3F2564">
            <w:pPr>
              <w:keepNext w:val="0"/>
              <w:keepLines w:val="0"/>
              <w:suppressLineNumbers w:val="0"/>
              <w:adjustRightInd w:val="0"/>
              <w:snapToGrid w:val="0"/>
              <w:spacing w:before="0" w:beforeAutospacing="0" w:after="0" w:afterAutospacing="0"/>
              <w:ind w:left="0" w:right="0" w:firstLine="42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污泥容积计算公式：</w:t>
            </w:r>
            <w:r>
              <w:rPr>
                <w:rFonts w:hint="default" w:ascii="Times New Roman" w:hAnsi="Times New Roman" w:eastAsia="宋体" w:cs="Times New Roman"/>
                <w:color w:val="000000" w:themeColor="text1"/>
                <w:sz w:val="21"/>
                <w:szCs w:val="21"/>
              </w:rPr>
              <w:object>
                <v:shape id="_x0000_i1033" o:spt="75" type="#_x0000_t75" style="height:31pt;width:139pt;" o:ole="t" filled="f" o:preferrelative="t" stroked="f" coordsize="21600,21600">
                  <v:path/>
                  <v:fill on="f" focussize="0,0"/>
                  <v:stroke on="f"/>
                  <v:imagedata r:id="rId30" o:title=""/>
                  <o:lock v:ext="edit" aspectratio="t"/>
                  <w10:wrap type="none"/>
                  <w10:anchorlock/>
                </v:shape>
                <o:OLEObject Type="Embed" ProgID="Equation.KSEE3" ShapeID="_x0000_i1033" DrawAspect="Content" ObjectID="_1468075728" r:id="rId29">
                  <o:LockedField>false</o:LockedField>
                </o:OLEObject>
              </w:object>
            </w:r>
          </w:p>
          <w:p w14:paraId="63A26C32">
            <w:pPr>
              <w:keepNext w:val="0"/>
              <w:keepLines w:val="0"/>
              <w:suppressLineNumbers w:val="0"/>
              <w:adjustRightInd w:val="0"/>
              <w:snapToGrid w:val="0"/>
              <w:spacing w:before="0" w:beforeAutospacing="0" w:after="0" w:afterAutospacing="0"/>
              <w:ind w:left="0" w:right="0" w:firstLine="42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式中：a-----合流系统，a=0.7L/人▪d；</w:t>
            </w:r>
          </w:p>
          <w:p w14:paraId="63355A05">
            <w:pPr>
              <w:keepNext w:val="0"/>
              <w:keepLines w:val="0"/>
              <w:suppressLineNumbers w:val="0"/>
              <w:adjustRightInd w:val="0"/>
              <w:snapToGrid w:val="0"/>
              <w:spacing w:before="0" w:beforeAutospacing="0" w:after="0" w:afterAutospacing="0"/>
              <w:ind w:left="0" w:right="0" w:firstLine="42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b-----污泥含水率，b=95%；</w:t>
            </w:r>
          </w:p>
          <w:p w14:paraId="48A95F78">
            <w:pPr>
              <w:keepNext w:val="0"/>
              <w:keepLines w:val="0"/>
              <w:suppressLineNumbers w:val="0"/>
              <w:adjustRightInd w:val="0"/>
              <w:snapToGrid w:val="0"/>
              <w:spacing w:before="0" w:beforeAutospacing="0" w:after="0" w:afterAutospacing="0"/>
              <w:ind w:left="0" w:right="0" w:firstLine="42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c-----浓缩后污泥含水率，c=90%；</w:t>
            </w:r>
          </w:p>
          <w:p w14:paraId="43C66130">
            <w:pPr>
              <w:keepNext w:val="0"/>
              <w:keepLines w:val="0"/>
              <w:suppressLineNumbers w:val="0"/>
              <w:adjustRightInd w:val="0"/>
              <w:snapToGrid w:val="0"/>
              <w:spacing w:before="0" w:beforeAutospacing="0" w:after="0" w:afterAutospacing="0"/>
              <w:ind w:left="0" w:right="0" w:firstLine="42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K-----腐化期间污泥缩减系数，K=0.8；</w:t>
            </w:r>
          </w:p>
          <w:p w14:paraId="2AC56A40">
            <w:pPr>
              <w:keepNext w:val="0"/>
              <w:keepLines w:val="0"/>
              <w:suppressLineNumbers w:val="0"/>
              <w:adjustRightInd w:val="0"/>
              <w:snapToGrid w:val="0"/>
              <w:spacing w:before="0" w:beforeAutospacing="0" w:after="0" w:afterAutospacing="0"/>
              <w:ind w:left="0" w:right="0" w:firstLine="42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T-----化粪池清掏周期，按360d计算；</w:t>
            </w:r>
          </w:p>
          <w:p w14:paraId="4983E5C3">
            <w:pPr>
              <w:keepNext w:val="0"/>
              <w:keepLines w:val="0"/>
              <w:suppressLineNumbers w:val="0"/>
              <w:adjustRightInd w:val="0"/>
              <w:snapToGrid w:val="0"/>
              <w:spacing w:before="0" w:beforeAutospacing="0" w:after="0" w:afterAutospacing="0"/>
              <w:ind w:left="0" w:right="0" w:firstLine="42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粪便污水与生活废水合流时：</w:t>
            </w:r>
            <w:r>
              <w:rPr>
                <w:rFonts w:hint="default" w:ascii="Times New Roman" w:hAnsi="Times New Roman" w:eastAsia="宋体" w:cs="Times New Roman"/>
                <w:color w:val="000000" w:themeColor="text1"/>
                <w:sz w:val="21"/>
                <w:szCs w:val="21"/>
              </w:rPr>
              <w:object>
                <v:shape id="_x0000_i1034" o:spt="75" type="#_x0000_t75" style="height:17pt;width:62pt;" o:ole="t" filled="f" o:preferrelative="t" stroked="f" coordsize="21600,21600">
                  <v:path/>
                  <v:fill on="f" focussize="0,0"/>
                  <v:stroke on="f"/>
                  <v:imagedata r:id="rId32" o:title=""/>
                  <o:lock v:ext="edit" aspectratio="t"/>
                  <w10:wrap type="none"/>
                  <w10:anchorlock/>
                </v:shape>
                <o:OLEObject Type="Embed" ProgID="Equation.KSEE3" ShapeID="_x0000_i1034" DrawAspect="Content" ObjectID="_1468075729" r:id="rId31">
                  <o:LockedField>false</o:LockedField>
                </o:OLEObject>
              </w:object>
            </w:r>
          </w:p>
          <w:p w14:paraId="49B14E28">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根据计算W1为</w:t>
            </w:r>
            <w:r>
              <w:rPr>
                <w:rFonts w:hint="eastAsia" w:ascii="Times New Roman" w:hAnsi="Times New Roman" w:eastAsia="宋体" w:cs="Times New Roman"/>
                <w:color w:val="000000" w:themeColor="text1"/>
                <w:sz w:val="21"/>
                <w:szCs w:val="21"/>
                <w:lang w:val="en-US" w:eastAsia="zh-CN"/>
              </w:rPr>
              <w:t>2.0</w:t>
            </w:r>
            <w:r>
              <w:rPr>
                <w:rFonts w:hint="default" w:ascii="Times New Roman" w:hAnsi="Times New Roman" w:eastAsia="宋体" w:cs="Times New Roman"/>
                <w:color w:val="000000" w:themeColor="text1"/>
                <w:sz w:val="21"/>
                <w:szCs w:val="21"/>
              </w:rPr>
              <w:t>m³，W2为</w:t>
            </w:r>
            <w:r>
              <w:rPr>
                <w:rFonts w:hint="eastAsia" w:ascii="Times New Roman" w:hAnsi="Times New Roman" w:eastAsia="宋体" w:cs="Times New Roman"/>
                <w:color w:val="000000" w:themeColor="text1"/>
                <w:sz w:val="21"/>
                <w:szCs w:val="21"/>
                <w:lang w:val="en-US" w:eastAsia="zh-CN"/>
              </w:rPr>
              <w:t>0.672</w:t>
            </w:r>
            <w:r>
              <w:rPr>
                <w:rFonts w:hint="default" w:ascii="Times New Roman" w:hAnsi="Times New Roman" w:eastAsia="宋体" w:cs="Times New Roman"/>
                <w:color w:val="000000" w:themeColor="text1"/>
                <w:sz w:val="21"/>
                <w:szCs w:val="21"/>
              </w:rPr>
              <w:t>m³，则W约为2.6</w:t>
            </w:r>
            <w:r>
              <w:rPr>
                <w:rFonts w:hint="eastAsia" w:ascii="Times New Roman" w:hAnsi="Times New Roman" w:eastAsia="宋体" w:cs="Times New Roman"/>
                <w:color w:val="000000" w:themeColor="text1"/>
                <w:sz w:val="21"/>
                <w:szCs w:val="21"/>
                <w:lang w:val="en-US" w:eastAsia="zh-CN"/>
              </w:rPr>
              <w:t>7</w:t>
            </w:r>
            <w:r>
              <w:rPr>
                <w:rFonts w:hint="default" w:ascii="Times New Roman" w:hAnsi="Times New Roman" w:eastAsia="宋体" w:cs="Times New Roman"/>
                <w:color w:val="000000" w:themeColor="text1"/>
                <w:sz w:val="21"/>
                <w:szCs w:val="21"/>
              </w:rPr>
              <w:t>m³，考虑1.2的安全序数，其最小容积为3.</w:t>
            </w:r>
            <w:r>
              <w:rPr>
                <w:rFonts w:hint="eastAsia" w:ascii="Times New Roman" w:hAnsi="Times New Roman" w:eastAsia="宋体" w:cs="Times New Roman"/>
                <w:color w:val="000000" w:themeColor="text1"/>
                <w:sz w:val="21"/>
                <w:szCs w:val="21"/>
                <w:lang w:val="en-US" w:eastAsia="zh-CN"/>
              </w:rPr>
              <w:t>2</w:t>
            </w:r>
            <w:r>
              <w:rPr>
                <w:rFonts w:hint="default" w:ascii="Times New Roman" w:hAnsi="Times New Roman" w:eastAsia="宋体" w:cs="Times New Roman"/>
                <w:color w:val="000000" w:themeColor="text1"/>
                <w:sz w:val="21"/>
                <w:szCs w:val="21"/>
              </w:rPr>
              <w:t>m</w:t>
            </w:r>
            <w:r>
              <w:rPr>
                <w:rFonts w:hint="default" w:ascii="Times New Roman" w:hAnsi="Times New Roman" w:eastAsia="宋体" w:cs="Times New Roman"/>
                <w:color w:val="000000" w:themeColor="text1"/>
                <w:sz w:val="21"/>
                <w:szCs w:val="21"/>
                <w:vertAlign w:val="superscript"/>
              </w:rPr>
              <w:t>3</w:t>
            </w:r>
            <w:r>
              <w:rPr>
                <w:rFonts w:hint="default" w:ascii="Times New Roman" w:hAnsi="Times New Roman" w:eastAsia="宋体" w:cs="Times New Roman"/>
                <w:color w:val="000000" w:themeColor="text1"/>
                <w:sz w:val="21"/>
                <w:szCs w:val="21"/>
              </w:rPr>
              <w:t>/d。根据业主提供资料，项目现建有一个容积</w:t>
            </w:r>
            <w:r>
              <w:rPr>
                <w:rFonts w:hint="eastAsia" w:ascii="Times New Roman" w:hAnsi="Times New Roman" w:eastAsia="宋体" w:cs="Times New Roman"/>
                <w:color w:val="000000" w:themeColor="text1"/>
                <w:sz w:val="21"/>
                <w:szCs w:val="21"/>
                <w:lang w:val="en-US" w:eastAsia="zh-CN"/>
              </w:rPr>
              <w:t>5</w:t>
            </w:r>
            <w:r>
              <w:rPr>
                <w:rFonts w:hint="default" w:ascii="Times New Roman" w:hAnsi="Times New Roman" w:eastAsia="宋体" w:cs="Times New Roman"/>
                <w:color w:val="000000" w:themeColor="text1"/>
                <w:sz w:val="21"/>
                <w:szCs w:val="21"/>
              </w:rPr>
              <w:t>m³化粪池，满足《钢筋混凝土化粪池》（03S702）要求。</w:t>
            </w:r>
          </w:p>
          <w:p w14:paraId="41709A97">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440" w:lineRule="exact"/>
              <w:ind w:left="0" w:right="0" w:firstLine="422" w:firstLineChars="200"/>
              <w:jc w:val="both"/>
              <w:textAlignment w:val="auto"/>
              <w:rPr>
                <w:rFonts w:hint="default" w:cs="Times New Roman"/>
                <w:b/>
                <w:bCs/>
                <w:color w:val="000000" w:themeColor="text1"/>
                <w:sz w:val="21"/>
                <w:szCs w:val="21"/>
                <w:lang w:val="en-US"/>
              </w:rPr>
            </w:pPr>
            <w:r>
              <w:rPr>
                <w:rFonts w:hint="eastAsia" w:ascii="Times New Roman" w:hAnsi="Times New Roman" w:eastAsia="宋体" w:cs="Times New Roman"/>
                <w:b/>
                <w:bCs/>
                <w:color w:val="000000" w:themeColor="text1"/>
                <w:sz w:val="21"/>
                <w:szCs w:val="21"/>
                <w:lang w:val="en-US" w:eastAsia="zh-CN"/>
              </w:rPr>
              <w:t>4</w:t>
            </w:r>
            <w:r>
              <w:rPr>
                <w:rFonts w:hint="default" w:ascii="Times New Roman" w:hAnsi="Times New Roman" w:eastAsia="宋体" w:cs="Times New Roman"/>
                <w:b/>
                <w:bCs/>
                <w:color w:val="000000" w:themeColor="text1"/>
                <w:sz w:val="21"/>
                <w:szCs w:val="21"/>
              </w:rPr>
              <w:t>）</w:t>
            </w:r>
            <w:r>
              <w:rPr>
                <w:rFonts w:hint="eastAsia" w:ascii="Times New Roman" w:hAnsi="Times New Roman" w:eastAsia="宋体" w:cs="宋体"/>
                <w:b/>
                <w:bCs/>
                <w:color w:val="000000" w:themeColor="text1"/>
                <w:kern w:val="0"/>
                <w:sz w:val="21"/>
                <w:szCs w:val="21"/>
                <w:lang w:val="en-US" w:eastAsia="zh-CN" w:bidi="ar"/>
              </w:rPr>
              <w:t>生活污水排入园区污水处理厂处理可行性分析</w:t>
            </w:r>
          </w:p>
          <w:p w14:paraId="2796C451">
            <w:pPr>
              <w:keepNext w:val="0"/>
              <w:keepLines w:val="0"/>
              <w:widowControl w:val="0"/>
              <w:suppressLineNumbers w:val="0"/>
              <w:spacing w:before="0" w:beforeAutospacing="0" w:after="0" w:afterAutospacing="0" w:line="360" w:lineRule="auto"/>
              <w:ind w:left="0" w:right="0" w:firstLine="422" w:firstLineChars="200"/>
              <w:jc w:val="both"/>
              <w:rPr>
                <w:rFonts w:hint="default" w:ascii="Times New Roman" w:hAnsi="Times New Roman" w:cs="Times New Roman"/>
                <w:b/>
                <w:bCs/>
                <w:color w:val="000000" w:themeColor="text1"/>
                <w:szCs w:val="21"/>
                <w:lang w:val="en-US"/>
              </w:rPr>
            </w:pPr>
            <w:r>
              <w:rPr>
                <w:rFonts w:hint="eastAsia" w:ascii="Times New Roman" w:hAnsi="Times New Roman" w:eastAsia="宋体" w:cs="宋体"/>
                <w:b/>
                <w:bCs/>
                <w:color w:val="000000" w:themeColor="text1"/>
                <w:kern w:val="2"/>
                <w:sz w:val="21"/>
                <w:szCs w:val="21"/>
                <w:lang w:val="en-US" w:eastAsia="zh-CN" w:bidi="ar"/>
              </w:rPr>
              <w:t>①生活污水进入市政污水管网的可行性分析</w:t>
            </w:r>
          </w:p>
          <w:p w14:paraId="25975E3F">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000000" w:themeColor="text1"/>
                <w:lang w:val="en-US"/>
              </w:rPr>
            </w:pPr>
            <w:r>
              <w:rPr>
                <w:rFonts w:hint="eastAsia" w:ascii="宋体" w:hAnsi="宋体" w:eastAsia="宋体" w:cs="宋体"/>
                <w:color w:val="000000" w:themeColor="text1"/>
                <w:kern w:val="2"/>
                <w:sz w:val="21"/>
                <w:szCs w:val="24"/>
                <w:lang w:val="en-US" w:eastAsia="zh-CN" w:bidi="ar"/>
              </w:rPr>
              <w:t>根据现场踏勘及建设单位提供资料，本项目周边园区雨污管网建设完善，本项目污水排入项目西侧园区污水管网，本项目产生的污水进入市政污水管网是可行的。</w:t>
            </w:r>
          </w:p>
          <w:p w14:paraId="3E8ABFCA">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440" w:lineRule="exact"/>
              <w:ind w:left="0" w:right="0" w:firstLine="480"/>
              <w:jc w:val="left"/>
              <w:textAlignment w:val="auto"/>
              <w:rPr>
                <w:rFonts w:hint="default" w:ascii="Times New Roman" w:hAnsi="Times New Roman" w:cs="Times New Roman"/>
                <w:b/>
                <w:bCs/>
                <w:color w:val="000000" w:themeColor="text1"/>
                <w:sz w:val="21"/>
                <w:szCs w:val="21"/>
                <w:lang w:val="en-US"/>
              </w:rPr>
            </w:pPr>
            <w:r>
              <w:rPr>
                <w:rFonts w:hint="eastAsia" w:ascii="Times New Roman" w:hAnsi="Times New Roman" w:eastAsia="宋体" w:cs="宋体"/>
                <w:b/>
                <w:bCs/>
                <w:color w:val="000000" w:themeColor="text1"/>
                <w:kern w:val="2"/>
                <w:sz w:val="21"/>
                <w:szCs w:val="21"/>
                <w:lang w:val="en-US" w:eastAsia="zh-CN" w:bidi="ar"/>
              </w:rPr>
              <w:t>②处理规模可行性</w:t>
            </w:r>
          </w:p>
          <w:p w14:paraId="24A5EF5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440" w:lineRule="exact"/>
              <w:ind w:left="0" w:right="0" w:firstLine="420" w:firstLineChars="200"/>
              <w:jc w:val="both"/>
              <w:textAlignment w:val="auto"/>
              <w:rPr>
                <w:rFonts w:hint="eastAsia" w:ascii="宋体" w:hAnsi="宋体" w:eastAsia="宋体" w:cs="宋体"/>
                <w:snapToGrid w:val="0"/>
                <w:color w:val="000000" w:themeColor="text1"/>
                <w:kern w:val="0"/>
                <w:sz w:val="21"/>
                <w:szCs w:val="21"/>
                <w:lang w:val="en-US"/>
              </w:rPr>
            </w:pPr>
            <w:r>
              <w:rPr>
                <w:rFonts w:hint="eastAsia" w:ascii="宋体" w:hAnsi="宋体" w:eastAsia="宋体" w:cs="宋体"/>
                <w:bCs/>
                <w:snapToGrid w:val="0"/>
                <w:color w:val="000000" w:themeColor="text1"/>
                <w:kern w:val="0"/>
                <w:sz w:val="21"/>
                <w:szCs w:val="21"/>
                <w:lang w:val="en-US" w:eastAsia="zh-CN" w:bidi="ar"/>
              </w:rPr>
              <w:t>根据调查,通海县五金产业园区生活污水处理厂位于</w:t>
            </w:r>
            <w:r>
              <w:rPr>
                <w:rFonts w:hint="eastAsia" w:ascii="宋体" w:hAnsi="宋体" w:eastAsia="宋体" w:cs="宋体"/>
                <w:snapToGrid w:val="0"/>
                <w:color w:val="000000" w:themeColor="text1"/>
                <w:kern w:val="0"/>
                <w:sz w:val="21"/>
                <w:szCs w:val="21"/>
                <w:lang w:val="en-US" w:eastAsia="zh-CN" w:bidi="ar"/>
              </w:rPr>
              <w:t>云南省玉溪市通海县五金产业园区，刘家坝梅子园西北侧，本项目区周边污水管网已建成，项目</w:t>
            </w:r>
            <w:r>
              <w:rPr>
                <w:rFonts w:hint="eastAsia" w:ascii="宋体" w:hAnsi="宋体" w:eastAsia="宋体" w:cs="宋体"/>
                <w:bCs/>
                <w:snapToGrid w:val="0"/>
                <w:color w:val="000000" w:themeColor="text1"/>
                <w:kern w:val="0"/>
                <w:sz w:val="21"/>
                <w:szCs w:val="21"/>
                <w:lang w:val="en-US" w:eastAsia="zh-CN" w:bidi="ar"/>
              </w:rPr>
              <w:t>生活污水</w:t>
            </w:r>
            <w:r>
              <w:rPr>
                <w:rFonts w:hint="eastAsia" w:ascii="宋体" w:hAnsi="宋体" w:eastAsia="宋体" w:cs="宋体"/>
                <w:snapToGrid w:val="0"/>
                <w:color w:val="000000" w:themeColor="text1"/>
                <w:kern w:val="0"/>
                <w:sz w:val="21"/>
                <w:szCs w:val="21"/>
                <w:lang w:val="en-US" w:eastAsia="zh-CN" w:bidi="ar"/>
              </w:rPr>
              <w:t>能够经污水管网进入</w:t>
            </w:r>
            <w:r>
              <w:rPr>
                <w:rFonts w:hint="eastAsia" w:ascii="宋体" w:hAnsi="宋体" w:eastAsia="宋体" w:cs="宋体"/>
                <w:bCs/>
                <w:snapToGrid w:val="0"/>
                <w:color w:val="000000" w:themeColor="text1"/>
                <w:kern w:val="0"/>
                <w:sz w:val="21"/>
                <w:szCs w:val="21"/>
                <w:lang w:val="en-US" w:eastAsia="zh-CN" w:bidi="ar"/>
              </w:rPr>
              <w:t>通海县五金产业园区生活污水处理</w:t>
            </w:r>
            <w:r>
              <w:rPr>
                <w:rFonts w:hint="default" w:ascii="Times New Roman" w:hAnsi="Times New Roman" w:eastAsia="宋体" w:cs="Times New Roman"/>
                <w:bCs/>
                <w:snapToGrid w:val="0"/>
                <w:color w:val="000000" w:themeColor="text1"/>
                <w:kern w:val="0"/>
                <w:sz w:val="21"/>
                <w:szCs w:val="21"/>
                <w:lang w:val="en-US" w:eastAsia="zh-CN" w:bidi="ar"/>
              </w:rPr>
              <w:t>厂。污水处理厂</w:t>
            </w:r>
            <w:r>
              <w:rPr>
                <w:rFonts w:hint="default" w:ascii="Times New Roman" w:hAnsi="Times New Roman" w:eastAsia="宋体" w:cs="Times New Roman"/>
                <w:snapToGrid w:val="0"/>
                <w:color w:val="000000" w:themeColor="text1"/>
                <w:kern w:val="0"/>
                <w:sz w:val="21"/>
                <w:szCs w:val="21"/>
                <w:lang w:val="en-US" w:eastAsia="zh-CN" w:bidi="ar"/>
              </w:rPr>
              <w:t>于2017年8月投入运行，</w:t>
            </w:r>
            <w:r>
              <w:rPr>
                <w:rFonts w:hint="default" w:ascii="Times New Roman" w:hAnsi="Times New Roman" w:eastAsia="宋体" w:cs="Times New Roman"/>
                <w:bCs/>
                <w:snapToGrid w:val="0"/>
                <w:color w:val="000000" w:themeColor="text1"/>
                <w:kern w:val="0"/>
                <w:sz w:val="21"/>
                <w:szCs w:val="21"/>
                <w:lang w:val="en-US" w:eastAsia="zh-CN" w:bidi="ar"/>
              </w:rPr>
              <w:t>已建</w:t>
            </w:r>
            <w:r>
              <w:rPr>
                <w:rFonts w:hint="default" w:ascii="Times New Roman" w:hAnsi="Times New Roman" w:eastAsia="宋体" w:cs="Times New Roman"/>
                <w:snapToGrid w:val="0"/>
                <w:color w:val="000000" w:themeColor="text1"/>
                <w:kern w:val="0"/>
                <w:sz w:val="21"/>
                <w:szCs w:val="21"/>
                <w:lang w:val="en-US" w:eastAsia="zh-CN" w:bidi="ar"/>
              </w:rPr>
              <w:t>规模为1.5万m³/d处理量，远期扩建使总规模达到2.5万m³/d。里</w:t>
            </w:r>
            <w:r>
              <w:rPr>
                <w:rFonts w:hint="eastAsia" w:ascii="宋体" w:hAnsi="宋体" w:eastAsia="宋体" w:cs="宋体"/>
                <w:snapToGrid w:val="0"/>
                <w:color w:val="000000" w:themeColor="text1"/>
                <w:kern w:val="0"/>
                <w:sz w:val="21"/>
                <w:szCs w:val="21"/>
                <w:lang w:val="en-US" w:eastAsia="zh-CN" w:bidi="ar"/>
              </w:rPr>
              <w:t>山片区内企业产生污水经过自行预处理，达到污水处理厂接纳污水水质要求后，由园区污水管网进入污水处理厂处理。</w:t>
            </w:r>
          </w:p>
          <w:p w14:paraId="7E1B2221">
            <w:pPr>
              <w:keepNext w:val="0"/>
              <w:keepLines w:val="0"/>
              <w:pageBreakBefore w:val="0"/>
              <w:widowControl w:val="0"/>
              <w:suppressLineNumbers w:val="0"/>
              <w:tabs>
                <w:tab w:val="left" w:pos="0"/>
                <w:tab w:val="left" w:pos="3150"/>
              </w:tabs>
              <w:kinsoku/>
              <w:wordWrap/>
              <w:overflowPunct/>
              <w:topLinePunct/>
              <w:autoSpaceDE/>
              <w:autoSpaceDN/>
              <w:bidi w:val="0"/>
              <w:adjustRightInd w:val="0"/>
              <w:snapToGrid w:val="0"/>
              <w:spacing w:before="0" w:beforeAutospacing="0" w:after="0" w:afterAutospacing="0" w:line="440" w:lineRule="exact"/>
              <w:ind w:left="0" w:right="0" w:firstLine="420" w:firstLineChars="200"/>
              <w:jc w:val="both"/>
              <w:textAlignment w:val="auto"/>
              <w:rPr>
                <w:rFonts w:hint="default" w:ascii="Times New Roman" w:hAnsi="Times New Roman" w:cs="Times New Roman"/>
                <w:color w:val="000000" w:themeColor="text1"/>
                <w:sz w:val="21"/>
                <w:szCs w:val="21"/>
                <w:lang w:val="en-US"/>
              </w:rPr>
            </w:pPr>
            <w:r>
              <w:rPr>
                <w:rFonts w:hint="eastAsia" w:ascii="Times New Roman" w:hAnsi="Times New Roman" w:eastAsia="宋体" w:cs="宋体"/>
                <w:color w:val="000000" w:themeColor="text1"/>
                <w:kern w:val="0"/>
                <w:sz w:val="21"/>
                <w:szCs w:val="21"/>
                <w:lang w:val="en-US" w:eastAsia="zh-CN" w:bidi="ar"/>
              </w:rPr>
              <w:t>本项目建设完成后，全厂职工</w:t>
            </w:r>
            <w:r>
              <w:rPr>
                <w:rFonts w:hint="eastAsia" w:ascii="Times New Roman" w:hAnsi="Times New Roman" w:eastAsia="宋体" w:cs="宋体"/>
                <w:bCs/>
                <w:color w:val="000000" w:themeColor="text1"/>
                <w:kern w:val="2"/>
                <w:sz w:val="21"/>
                <w:szCs w:val="21"/>
                <w:lang w:val="en-US" w:eastAsia="zh-CN" w:bidi="ar"/>
              </w:rPr>
              <w:t>生活污水</w:t>
            </w:r>
            <w:r>
              <w:rPr>
                <w:rFonts w:hint="eastAsia" w:ascii="Times New Roman" w:hAnsi="Times New Roman" w:eastAsia="宋体" w:cs="宋体"/>
                <w:color w:val="000000" w:themeColor="text1"/>
                <w:kern w:val="0"/>
                <w:sz w:val="21"/>
                <w:szCs w:val="21"/>
                <w:lang w:val="en-US" w:eastAsia="zh-CN" w:bidi="ar"/>
              </w:rPr>
              <w:t>产生量为1.52</w:t>
            </w:r>
            <w:r>
              <w:rPr>
                <w:rFonts w:hint="default" w:ascii="Times New Roman" w:hAnsi="Times New Roman" w:eastAsia="宋体" w:cs="Times New Roman"/>
                <w:color w:val="000000" w:themeColor="text1"/>
                <w:kern w:val="0"/>
                <w:sz w:val="21"/>
                <w:szCs w:val="21"/>
                <w:lang w:val="en-US" w:eastAsia="zh-CN" w:bidi="ar"/>
              </w:rPr>
              <w:t>m</w:t>
            </w:r>
            <w:r>
              <w:rPr>
                <w:rFonts w:hint="default" w:ascii="Times New Roman" w:hAnsi="Times New Roman" w:eastAsia="宋体" w:cs="Times New Roman"/>
                <w:color w:val="000000" w:themeColor="text1"/>
                <w:kern w:val="0"/>
                <w:sz w:val="21"/>
                <w:szCs w:val="21"/>
                <w:vertAlign w:val="superscript"/>
                <w:lang w:val="en-US" w:eastAsia="zh-CN" w:bidi="ar"/>
              </w:rPr>
              <w:t>3</w:t>
            </w:r>
            <w:r>
              <w:rPr>
                <w:rFonts w:hint="default" w:ascii="Times New Roman" w:hAnsi="Times New Roman" w:eastAsia="宋体" w:cs="Times New Roman"/>
                <w:color w:val="000000" w:themeColor="text1"/>
                <w:kern w:val="0"/>
                <w:sz w:val="21"/>
                <w:szCs w:val="21"/>
                <w:lang w:val="en-US" w:eastAsia="zh-CN" w:bidi="ar"/>
              </w:rPr>
              <w:t>/d</w:t>
            </w:r>
            <w:r>
              <w:rPr>
                <w:rFonts w:hint="eastAsia" w:ascii="Times New Roman" w:hAnsi="Times New Roman" w:eastAsia="宋体" w:cs="宋体"/>
                <w:color w:val="000000" w:themeColor="text1"/>
                <w:kern w:val="0"/>
                <w:sz w:val="21"/>
                <w:szCs w:val="21"/>
                <w:lang w:val="zh-CN" w:eastAsia="zh-CN" w:bidi="ar"/>
              </w:rPr>
              <w:t>，</w:t>
            </w:r>
            <w:r>
              <w:rPr>
                <w:rFonts w:hint="eastAsia" w:ascii="Times New Roman" w:hAnsi="Times New Roman" w:eastAsia="宋体" w:cs="宋体"/>
                <w:color w:val="000000" w:themeColor="text1"/>
                <w:kern w:val="0"/>
                <w:sz w:val="21"/>
                <w:szCs w:val="21"/>
                <w:lang w:val="en-US" w:eastAsia="zh-CN" w:bidi="ar"/>
              </w:rPr>
              <w:t>因此园区</w:t>
            </w:r>
            <w:r>
              <w:rPr>
                <w:rFonts w:hint="eastAsia" w:ascii="Times New Roman" w:hAnsi="Times New Roman" w:eastAsia="宋体" w:cs="宋体"/>
                <w:color w:val="000000" w:themeColor="text1"/>
                <w:kern w:val="2"/>
                <w:sz w:val="21"/>
                <w:szCs w:val="21"/>
                <w:lang w:val="en-US" w:eastAsia="zh-CN" w:bidi="ar"/>
              </w:rPr>
              <w:t>污水处理厂处理规模足以容纳本项目</w:t>
            </w:r>
            <w:r>
              <w:rPr>
                <w:rFonts w:hint="eastAsia" w:ascii="Times New Roman" w:hAnsi="Times New Roman" w:eastAsia="宋体" w:cs="宋体"/>
                <w:bCs/>
                <w:color w:val="000000" w:themeColor="text1"/>
                <w:kern w:val="2"/>
                <w:sz w:val="21"/>
                <w:szCs w:val="21"/>
                <w:lang w:val="en-US" w:eastAsia="zh-CN" w:bidi="ar"/>
              </w:rPr>
              <w:t>生活污水</w:t>
            </w:r>
            <w:r>
              <w:rPr>
                <w:rFonts w:hint="eastAsia" w:ascii="Times New Roman" w:hAnsi="Times New Roman" w:eastAsia="宋体" w:cs="宋体"/>
                <w:color w:val="000000" w:themeColor="text1"/>
                <w:kern w:val="2"/>
                <w:sz w:val="21"/>
                <w:szCs w:val="21"/>
                <w:lang w:val="en-US" w:eastAsia="zh-CN" w:bidi="ar"/>
              </w:rPr>
              <w:t>。</w:t>
            </w:r>
          </w:p>
          <w:p w14:paraId="508771C8">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440" w:lineRule="exact"/>
              <w:ind w:left="0" w:right="0" w:firstLine="422" w:firstLineChars="200"/>
              <w:jc w:val="both"/>
              <w:textAlignment w:val="auto"/>
              <w:rPr>
                <w:rFonts w:hint="default" w:ascii="Times New Roman" w:hAnsi="Times New Roman" w:cs="Times New Roman"/>
                <w:b/>
                <w:bCs/>
                <w:color w:val="000000" w:themeColor="text1"/>
                <w:sz w:val="21"/>
                <w:szCs w:val="21"/>
                <w:lang w:val="en-US"/>
              </w:rPr>
            </w:pPr>
            <w:r>
              <w:rPr>
                <w:rFonts w:hint="eastAsia" w:ascii="Times New Roman" w:hAnsi="Times New Roman" w:eastAsia="宋体" w:cs="宋体"/>
                <w:b/>
                <w:bCs/>
                <w:color w:val="000000" w:themeColor="text1"/>
                <w:kern w:val="2"/>
                <w:sz w:val="21"/>
                <w:szCs w:val="21"/>
                <w:lang w:val="en-US" w:eastAsia="zh-CN" w:bidi="ar"/>
              </w:rPr>
              <w:t>③处理工艺可行性</w:t>
            </w:r>
          </w:p>
          <w:p w14:paraId="189F3E9D">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440" w:lineRule="exact"/>
              <w:ind w:left="0" w:right="0" w:firstLine="420" w:firstLineChars="200"/>
              <w:jc w:val="both"/>
              <w:textAlignment w:val="auto"/>
              <w:rPr>
                <w:rFonts w:hint="default" w:ascii="Times New Roman" w:hAnsi="Times New Roman" w:cs="Times New Roman"/>
                <w:color w:val="000000" w:themeColor="text1"/>
                <w:sz w:val="24"/>
                <w:szCs w:val="24"/>
                <w:lang w:val="en-US"/>
              </w:rPr>
            </w:pPr>
            <w:r>
              <w:rPr>
                <w:rFonts w:hint="eastAsia" w:ascii="Times New Roman" w:hAnsi="Times New Roman" w:eastAsia="宋体" w:cs="宋体"/>
                <w:bCs/>
                <w:color w:val="000000" w:themeColor="text1"/>
                <w:kern w:val="2"/>
                <w:sz w:val="21"/>
                <w:szCs w:val="21"/>
                <w:lang w:val="en-US" w:eastAsia="zh-CN" w:bidi="ar"/>
              </w:rPr>
              <w:t>通海县五金产业园区生活污水处理厂</w:t>
            </w:r>
            <w:r>
              <w:rPr>
                <w:rFonts w:hint="eastAsia" w:ascii="Times New Roman" w:hAnsi="Times New Roman" w:eastAsia="宋体" w:cs="宋体"/>
                <w:color w:val="000000" w:themeColor="text1"/>
                <w:kern w:val="2"/>
                <w:sz w:val="21"/>
                <w:szCs w:val="21"/>
                <w:lang w:val="en-US" w:eastAsia="zh-CN" w:bidi="ar"/>
              </w:rPr>
              <w:t>处理流程见图</w:t>
            </w:r>
            <w:r>
              <w:rPr>
                <w:rFonts w:hint="default" w:ascii="Times New Roman" w:hAnsi="Times New Roman" w:eastAsia="宋体" w:cs="Times New Roman"/>
                <w:color w:val="000000" w:themeColor="text1"/>
                <w:kern w:val="2"/>
                <w:sz w:val="21"/>
                <w:szCs w:val="21"/>
                <w:lang w:val="en-US" w:eastAsia="zh-CN" w:bidi="ar"/>
              </w:rPr>
              <w:t>4-1</w:t>
            </w:r>
            <w:r>
              <w:rPr>
                <w:rFonts w:hint="eastAsia" w:ascii="Times New Roman" w:hAnsi="Times New Roman" w:eastAsia="宋体" w:cs="宋体"/>
                <w:color w:val="000000" w:themeColor="text1"/>
                <w:kern w:val="2"/>
                <w:sz w:val="21"/>
                <w:szCs w:val="21"/>
                <w:lang w:val="en-US" w:eastAsia="zh-CN" w:bidi="ar"/>
              </w:rPr>
              <w:t>。</w:t>
            </w:r>
          </w:p>
          <w:p w14:paraId="36BFDF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Cs w:val="21"/>
                <w:lang w:val="en-US"/>
              </w:rPr>
            </w:pPr>
            <w:r>
              <w:rPr>
                <w:rFonts w:hint="default" w:ascii="Times New Roman" w:hAnsi="Times New Roman" w:eastAsia="宋体" w:cs="Times New Roman"/>
                <w:color w:val="000000" w:themeColor="text1"/>
                <w:kern w:val="2"/>
                <w:sz w:val="21"/>
                <w:szCs w:val="24"/>
                <w:lang w:val="en-US" w:eastAsia="zh-CN" w:bidi="ar"/>
              </w:rPr>
              <w:object>
                <v:shape id="_x0000_i1035" o:spt="75" type="#_x0000_t75" style="height:163.85pt;width:400.85pt;" o:ole="t" filled="f" o:preferrelative="t" stroked="f" coordsize="21600,21600">
                  <v:path/>
                  <v:fill on="f" focussize="0,0"/>
                  <v:stroke on="f"/>
                  <v:imagedata r:id="rId34" o:title=""/>
                  <o:lock v:ext="edit" aspectratio="f"/>
                  <w10:wrap type="none"/>
                  <w10:anchorlock/>
                </v:shape>
                <o:OLEObject Type="Embed" ProgID="Visio.Drawing.11" ShapeID="_x0000_i1035" DrawAspect="Content" ObjectID="_1468075730" r:id="rId33">
                  <o:LockedField>false</o:LockedField>
                </o:OLEObject>
              </w:object>
            </w:r>
            <w:r>
              <w:rPr>
                <w:rFonts w:hint="eastAsia" w:ascii="Times New Roman" w:hAnsi="Times New Roman" w:eastAsia="宋体" w:cs="宋体"/>
                <w:b/>
                <w:bCs/>
                <w:color w:val="000000" w:themeColor="text1"/>
                <w:kern w:val="2"/>
                <w:sz w:val="21"/>
                <w:szCs w:val="21"/>
                <w:lang w:val="en-US" w:eastAsia="zh-CN" w:bidi="ar"/>
              </w:rPr>
              <w:t>图</w:t>
            </w:r>
            <w:r>
              <w:rPr>
                <w:rFonts w:hint="default" w:ascii="Times New Roman" w:hAnsi="Times New Roman" w:eastAsia="宋体" w:cs="Times New Roman"/>
                <w:b/>
                <w:bCs/>
                <w:color w:val="000000" w:themeColor="text1"/>
                <w:kern w:val="2"/>
                <w:sz w:val="21"/>
                <w:szCs w:val="21"/>
                <w:lang w:val="en-US" w:eastAsia="zh-CN" w:bidi="ar"/>
              </w:rPr>
              <w:t xml:space="preserve">4-1  </w:t>
            </w:r>
            <w:r>
              <w:rPr>
                <w:rFonts w:hint="eastAsia" w:ascii="Times New Roman" w:hAnsi="Times New Roman" w:eastAsia="宋体" w:cs="宋体"/>
                <w:b/>
                <w:bCs/>
                <w:color w:val="000000" w:themeColor="text1"/>
                <w:kern w:val="2"/>
                <w:sz w:val="21"/>
                <w:szCs w:val="21"/>
                <w:lang w:val="en-US" w:eastAsia="zh-CN" w:bidi="ar"/>
              </w:rPr>
              <w:t>通海县五金产业园区生活污水处理厂处理流程图</w:t>
            </w:r>
          </w:p>
          <w:p w14:paraId="7D49F0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jc w:val="left"/>
              <w:textAlignment w:val="auto"/>
              <w:rPr>
                <w:rFonts w:hint="default" w:ascii="Times New Roman" w:hAnsi="Times New Roman" w:cs="Times New Roman"/>
                <w:bCs/>
                <w:color w:val="000000" w:themeColor="text1"/>
                <w:sz w:val="21"/>
                <w:szCs w:val="21"/>
                <w:lang w:val="en-US"/>
              </w:rPr>
            </w:pPr>
            <w:r>
              <w:rPr>
                <w:rFonts w:hint="eastAsia" w:ascii="Times New Roman" w:hAnsi="Times New Roman" w:eastAsia="宋体" w:cs="宋体"/>
                <w:bCs/>
                <w:color w:val="000000" w:themeColor="text1"/>
                <w:kern w:val="2"/>
                <w:sz w:val="21"/>
                <w:szCs w:val="21"/>
                <w:lang w:val="en-US" w:eastAsia="zh-CN" w:bidi="ar"/>
              </w:rPr>
              <w:t>通海县五金产业园区生活污水处理厂</w:t>
            </w:r>
            <w:r>
              <w:rPr>
                <w:rFonts w:hint="eastAsia" w:ascii="Times New Roman" w:hAnsi="Times New Roman" w:eastAsia="宋体" w:cs="宋体"/>
                <w:color w:val="000000" w:themeColor="text1"/>
                <w:kern w:val="2"/>
                <w:sz w:val="21"/>
                <w:szCs w:val="21"/>
                <w:lang w:val="en-US" w:eastAsia="zh-CN" w:bidi="ar"/>
              </w:rPr>
              <w:t>其接管要求是进水水质必须满足</w:t>
            </w:r>
            <w:r>
              <w:rPr>
                <w:rFonts w:hint="eastAsia" w:ascii="Times New Roman" w:hAnsi="Times New Roman" w:eastAsia="宋体" w:cs="宋体"/>
                <w:bCs/>
                <w:color w:val="000000" w:themeColor="text1"/>
                <w:kern w:val="2"/>
                <w:sz w:val="21"/>
                <w:szCs w:val="21"/>
                <w:lang w:val="en-US" w:eastAsia="zh-CN" w:bidi="ar"/>
              </w:rPr>
              <w:t>《污水排入城镇下水道水质标准》（</w:t>
            </w:r>
            <w:r>
              <w:rPr>
                <w:rFonts w:hint="default" w:ascii="Times New Roman" w:hAnsi="Times New Roman" w:eastAsia="宋体" w:cs="Times New Roman"/>
                <w:bCs/>
                <w:color w:val="000000" w:themeColor="text1"/>
                <w:kern w:val="2"/>
                <w:sz w:val="21"/>
                <w:szCs w:val="21"/>
                <w:lang w:val="en-US" w:eastAsia="zh-CN" w:bidi="ar"/>
              </w:rPr>
              <w:t>GB/T31962-2015</w:t>
            </w:r>
            <w:r>
              <w:rPr>
                <w:rFonts w:hint="eastAsia" w:ascii="Times New Roman" w:hAnsi="Times New Roman" w:eastAsia="宋体" w:cs="宋体"/>
                <w:bCs/>
                <w:color w:val="000000" w:themeColor="text1"/>
                <w:kern w:val="2"/>
                <w:sz w:val="21"/>
                <w:szCs w:val="21"/>
                <w:lang w:val="en-US" w:eastAsia="zh-CN" w:bidi="ar"/>
              </w:rPr>
              <w:t>）表</w:t>
            </w:r>
            <w:r>
              <w:rPr>
                <w:rFonts w:hint="default" w:ascii="Times New Roman" w:hAnsi="Times New Roman" w:eastAsia="宋体" w:cs="Times New Roman"/>
                <w:bCs/>
                <w:color w:val="000000" w:themeColor="text1"/>
                <w:kern w:val="2"/>
                <w:sz w:val="21"/>
                <w:szCs w:val="21"/>
                <w:lang w:val="en-US" w:eastAsia="zh-CN" w:bidi="ar"/>
              </w:rPr>
              <w:t>1</w:t>
            </w:r>
            <w:r>
              <w:rPr>
                <w:rFonts w:hint="eastAsia" w:ascii="Times New Roman" w:hAnsi="Times New Roman" w:eastAsia="宋体" w:cs="宋体"/>
                <w:bCs/>
                <w:color w:val="000000" w:themeColor="text1"/>
                <w:kern w:val="2"/>
                <w:sz w:val="21"/>
                <w:szCs w:val="21"/>
                <w:lang w:val="en-US" w:eastAsia="zh-CN" w:bidi="ar"/>
              </w:rPr>
              <w:t>中</w:t>
            </w:r>
            <w:r>
              <w:rPr>
                <w:rFonts w:hint="default" w:ascii="Times New Roman" w:hAnsi="Times New Roman" w:eastAsia="宋体" w:cs="Times New Roman"/>
                <w:bCs/>
                <w:color w:val="000000" w:themeColor="text1"/>
                <w:kern w:val="2"/>
                <w:sz w:val="21"/>
                <w:szCs w:val="21"/>
                <w:lang w:val="en-US" w:eastAsia="zh-CN" w:bidi="ar"/>
              </w:rPr>
              <w:t>B</w:t>
            </w:r>
            <w:r>
              <w:rPr>
                <w:rFonts w:hint="eastAsia" w:ascii="Times New Roman" w:hAnsi="Times New Roman" w:eastAsia="宋体" w:cs="宋体"/>
                <w:bCs/>
                <w:color w:val="000000" w:themeColor="text1"/>
                <w:kern w:val="2"/>
                <w:sz w:val="21"/>
                <w:szCs w:val="21"/>
                <w:lang w:val="en-US" w:eastAsia="zh-CN" w:bidi="ar"/>
              </w:rPr>
              <w:t>级标准</w:t>
            </w:r>
            <w:r>
              <w:rPr>
                <w:rFonts w:hint="eastAsia" w:ascii="Times New Roman" w:hAnsi="Times New Roman" w:eastAsia="宋体" w:cs="宋体"/>
                <w:color w:val="000000" w:themeColor="text1"/>
                <w:kern w:val="2"/>
                <w:sz w:val="21"/>
                <w:szCs w:val="21"/>
                <w:lang w:val="en-US" w:eastAsia="zh-CN" w:bidi="ar"/>
              </w:rPr>
              <w:t>和《污水综合排放标准》（</w:t>
            </w:r>
            <w:r>
              <w:rPr>
                <w:rFonts w:hint="default" w:ascii="Times New Roman" w:hAnsi="Times New Roman" w:eastAsia="宋体" w:cs="Times New Roman"/>
                <w:color w:val="000000" w:themeColor="text1"/>
                <w:kern w:val="2"/>
                <w:sz w:val="21"/>
                <w:szCs w:val="21"/>
                <w:lang w:val="en-US" w:eastAsia="zh-CN" w:bidi="ar"/>
              </w:rPr>
              <w:t>GB8978-1996</w:t>
            </w:r>
            <w:r>
              <w:rPr>
                <w:rFonts w:hint="eastAsia" w:ascii="Times New Roman" w:hAnsi="Times New Roman" w:eastAsia="宋体" w:cs="宋体"/>
                <w:color w:val="000000" w:themeColor="text1"/>
                <w:kern w:val="2"/>
                <w:sz w:val="21"/>
                <w:szCs w:val="21"/>
                <w:lang w:val="en-US" w:eastAsia="zh-CN" w:bidi="ar"/>
              </w:rPr>
              <w:t>）三级标准（两者相同污染物取较严执行）</w:t>
            </w:r>
            <w:r>
              <w:rPr>
                <w:rFonts w:hint="eastAsia" w:ascii="Times New Roman" w:hAnsi="Times New Roman" w:eastAsia="宋体" w:cs="宋体"/>
                <w:bCs/>
                <w:color w:val="000000" w:themeColor="text1"/>
                <w:kern w:val="2"/>
                <w:sz w:val="21"/>
                <w:szCs w:val="21"/>
                <w:lang w:val="en-US" w:eastAsia="zh-CN" w:bidi="ar"/>
              </w:rPr>
              <w:t>，本项目生活污水</w:t>
            </w:r>
            <w:r>
              <w:rPr>
                <w:rFonts w:hint="eastAsia" w:ascii="Times New Roman" w:hAnsi="Times New Roman" w:eastAsia="宋体" w:cs="宋体"/>
                <w:color w:val="000000" w:themeColor="text1"/>
                <w:kern w:val="2"/>
                <w:sz w:val="21"/>
                <w:szCs w:val="21"/>
                <w:lang w:val="en-US" w:eastAsia="zh-CN" w:bidi="ar"/>
              </w:rPr>
              <w:t>主要污染物排放浓度为</w:t>
            </w:r>
            <w:r>
              <w:rPr>
                <w:rFonts w:hint="default" w:ascii="Times New Roman" w:hAnsi="Times New Roman" w:eastAsia="宋体" w:cs="Times New Roman"/>
                <w:color w:val="000000" w:themeColor="text1"/>
                <w:kern w:val="2"/>
                <w:sz w:val="21"/>
                <w:szCs w:val="21"/>
                <w:lang w:val="en-US" w:eastAsia="zh-CN" w:bidi="ar"/>
              </w:rPr>
              <w:t>COD</w:t>
            </w:r>
            <w:r>
              <w:rPr>
                <w:rFonts w:hint="default" w:ascii="Times New Roman" w:hAnsi="Times New Roman" w:eastAsia="宋体" w:cs="Times New Roman"/>
                <w:color w:val="000000" w:themeColor="text1"/>
                <w:kern w:val="2"/>
                <w:sz w:val="21"/>
                <w:szCs w:val="21"/>
                <w:vertAlign w:val="subscript"/>
                <w:lang w:val="en-US" w:eastAsia="zh-CN" w:bidi="ar"/>
              </w:rPr>
              <w:t>cr</w:t>
            </w:r>
            <w:r>
              <w:rPr>
                <w:rFonts w:hint="eastAsia" w:ascii="Times New Roman" w:hAnsi="Times New Roman" w:eastAsia="宋体" w:cs="宋体"/>
                <w:color w:val="000000" w:themeColor="text1"/>
                <w:kern w:val="2"/>
                <w:sz w:val="21"/>
                <w:szCs w:val="21"/>
                <w:lang w:val="en-US" w:eastAsia="zh-CN" w:bidi="ar"/>
              </w:rPr>
              <w:t>：</w:t>
            </w:r>
            <w:r>
              <w:rPr>
                <w:rFonts w:hint="default" w:ascii="Times New Roman" w:hAnsi="Times New Roman" w:eastAsia="宋体" w:cs="Times New Roman"/>
                <w:color w:val="000000" w:themeColor="text1"/>
                <w:kern w:val="2"/>
                <w:sz w:val="21"/>
                <w:szCs w:val="21"/>
                <w:lang w:val="en-US" w:eastAsia="zh-CN" w:bidi="ar"/>
              </w:rPr>
              <w:t>2</w:t>
            </w:r>
            <w:r>
              <w:rPr>
                <w:rFonts w:hint="eastAsia" w:ascii="Times New Roman" w:hAnsi="Times New Roman" w:eastAsia="宋体" w:cs="Times New Roman"/>
                <w:color w:val="000000" w:themeColor="text1"/>
                <w:kern w:val="2"/>
                <w:sz w:val="21"/>
                <w:szCs w:val="21"/>
                <w:lang w:val="en-US" w:eastAsia="zh-CN" w:bidi="ar"/>
              </w:rPr>
              <w:t>40</w:t>
            </w:r>
            <w:r>
              <w:rPr>
                <w:rFonts w:hint="default" w:ascii="Times New Roman" w:hAnsi="Times New Roman" w:eastAsia="宋体" w:cs="Times New Roman"/>
                <w:color w:val="000000" w:themeColor="text1"/>
                <w:kern w:val="2"/>
                <w:sz w:val="21"/>
                <w:szCs w:val="21"/>
                <w:lang w:val="en-US" w:eastAsia="zh-CN" w:bidi="ar"/>
              </w:rPr>
              <w:t>mg/L</w:t>
            </w:r>
            <w:r>
              <w:rPr>
                <w:rFonts w:hint="eastAsia" w:ascii="Times New Roman" w:hAnsi="Times New Roman" w:eastAsia="宋体" w:cs="宋体"/>
                <w:color w:val="000000" w:themeColor="text1"/>
                <w:kern w:val="2"/>
                <w:sz w:val="21"/>
                <w:szCs w:val="21"/>
                <w:lang w:val="en-US" w:eastAsia="zh-CN" w:bidi="ar"/>
              </w:rPr>
              <w:t>、</w:t>
            </w:r>
            <w:r>
              <w:rPr>
                <w:rFonts w:hint="default" w:ascii="Times New Roman" w:hAnsi="Times New Roman" w:eastAsia="宋体" w:cs="Times New Roman"/>
                <w:color w:val="000000" w:themeColor="text1"/>
                <w:kern w:val="2"/>
                <w:sz w:val="21"/>
                <w:szCs w:val="21"/>
                <w:lang w:val="en-US" w:eastAsia="zh-CN" w:bidi="ar"/>
              </w:rPr>
              <w:t>BOD</w:t>
            </w:r>
            <w:r>
              <w:rPr>
                <w:rFonts w:hint="default" w:ascii="Times New Roman" w:hAnsi="Times New Roman" w:eastAsia="宋体" w:cs="Times New Roman"/>
                <w:color w:val="000000" w:themeColor="text1"/>
                <w:kern w:val="2"/>
                <w:sz w:val="21"/>
                <w:szCs w:val="21"/>
                <w:vertAlign w:val="subscript"/>
                <w:lang w:val="en-US" w:eastAsia="zh-CN" w:bidi="ar"/>
              </w:rPr>
              <w:t>5</w:t>
            </w:r>
            <w:r>
              <w:rPr>
                <w:rFonts w:hint="eastAsia" w:ascii="Times New Roman" w:hAnsi="Times New Roman" w:eastAsia="宋体" w:cs="宋体"/>
                <w:color w:val="000000" w:themeColor="text1"/>
                <w:kern w:val="2"/>
                <w:sz w:val="21"/>
                <w:szCs w:val="21"/>
                <w:lang w:val="en-US" w:eastAsia="zh-CN" w:bidi="ar"/>
              </w:rPr>
              <w:t>：154</w:t>
            </w:r>
            <w:r>
              <w:rPr>
                <w:rFonts w:hint="default" w:ascii="Times New Roman" w:hAnsi="Times New Roman" w:eastAsia="宋体" w:cs="Times New Roman"/>
                <w:color w:val="000000" w:themeColor="text1"/>
                <w:kern w:val="2"/>
                <w:sz w:val="21"/>
                <w:szCs w:val="21"/>
                <w:lang w:val="en-US" w:eastAsia="zh-CN" w:bidi="ar"/>
              </w:rPr>
              <w:t>mg/L</w:t>
            </w:r>
            <w:r>
              <w:rPr>
                <w:rFonts w:hint="eastAsia" w:ascii="Times New Roman" w:hAnsi="Times New Roman" w:eastAsia="宋体" w:cs="宋体"/>
                <w:color w:val="000000" w:themeColor="text1"/>
                <w:kern w:val="2"/>
                <w:sz w:val="21"/>
                <w:szCs w:val="21"/>
                <w:lang w:val="en-US" w:eastAsia="zh-CN" w:bidi="ar"/>
              </w:rPr>
              <w:t>、</w:t>
            </w:r>
            <w:r>
              <w:rPr>
                <w:rFonts w:hint="default" w:ascii="Times New Roman" w:hAnsi="Times New Roman" w:eastAsia="宋体" w:cs="Times New Roman"/>
                <w:color w:val="000000" w:themeColor="text1"/>
                <w:kern w:val="2"/>
                <w:sz w:val="21"/>
                <w:szCs w:val="21"/>
                <w:lang w:val="en-US" w:eastAsia="zh-CN" w:bidi="ar"/>
              </w:rPr>
              <w:t>SS</w:t>
            </w:r>
            <w:r>
              <w:rPr>
                <w:rFonts w:hint="eastAsia" w:ascii="Times New Roman" w:hAnsi="Times New Roman" w:eastAsia="宋体" w:cs="宋体"/>
                <w:color w:val="000000" w:themeColor="text1"/>
                <w:kern w:val="2"/>
                <w:sz w:val="21"/>
                <w:szCs w:val="21"/>
                <w:lang w:val="en-US" w:eastAsia="zh-CN" w:bidi="ar"/>
              </w:rPr>
              <w:t>：120</w:t>
            </w:r>
            <w:r>
              <w:rPr>
                <w:rFonts w:hint="default" w:ascii="Times New Roman" w:hAnsi="Times New Roman" w:eastAsia="宋体" w:cs="Times New Roman"/>
                <w:color w:val="000000" w:themeColor="text1"/>
                <w:kern w:val="2"/>
                <w:sz w:val="21"/>
                <w:szCs w:val="21"/>
                <w:lang w:val="en-US" w:eastAsia="zh-CN" w:bidi="ar"/>
              </w:rPr>
              <w:t>mg/L</w:t>
            </w:r>
            <w:r>
              <w:rPr>
                <w:rFonts w:hint="eastAsia" w:ascii="Times New Roman" w:hAnsi="Times New Roman" w:eastAsia="宋体" w:cs="宋体"/>
                <w:color w:val="000000" w:themeColor="text1"/>
                <w:kern w:val="2"/>
                <w:sz w:val="21"/>
                <w:szCs w:val="21"/>
                <w:lang w:val="en-US" w:eastAsia="zh-CN" w:bidi="ar"/>
              </w:rPr>
              <w:t>、氨氮：19</w:t>
            </w:r>
            <w:r>
              <w:rPr>
                <w:rFonts w:hint="default" w:ascii="Times New Roman" w:hAnsi="Times New Roman" w:eastAsia="宋体" w:cs="Times New Roman"/>
                <w:color w:val="000000" w:themeColor="text1"/>
                <w:kern w:val="2"/>
                <w:sz w:val="21"/>
                <w:szCs w:val="21"/>
                <w:lang w:val="en-US" w:eastAsia="zh-CN" w:bidi="ar"/>
              </w:rPr>
              <w:t>mg/L</w:t>
            </w:r>
            <w:r>
              <w:rPr>
                <w:rFonts w:hint="eastAsia" w:ascii="Times New Roman" w:hAnsi="Times New Roman" w:eastAsia="宋体" w:cs="宋体"/>
                <w:color w:val="000000" w:themeColor="text1"/>
                <w:kern w:val="2"/>
                <w:sz w:val="21"/>
                <w:szCs w:val="21"/>
                <w:lang w:val="en-US" w:eastAsia="zh-CN" w:bidi="ar"/>
              </w:rPr>
              <w:t>，</w:t>
            </w:r>
            <w:r>
              <w:rPr>
                <w:rFonts w:hint="eastAsia" w:ascii="Times New Roman" w:hAnsi="Times New Roman" w:eastAsia="宋体" w:cs="宋体"/>
                <w:bCs/>
                <w:color w:val="000000" w:themeColor="text1"/>
                <w:kern w:val="2"/>
                <w:sz w:val="21"/>
                <w:szCs w:val="21"/>
                <w:lang w:val="en-US" w:eastAsia="zh-CN" w:bidi="ar"/>
              </w:rPr>
              <w:t>因此本项目生活污水排放水质满足通海县五金产业园区生活污水处理厂进水水质要求。</w:t>
            </w:r>
          </w:p>
          <w:p w14:paraId="4D5A14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jc w:val="left"/>
              <w:textAlignment w:val="auto"/>
              <w:rPr>
                <w:rFonts w:hint="eastAsia" w:ascii="Times New Roman" w:hAnsi="Times New Roman" w:eastAsia="宋体" w:cs="宋体"/>
                <w:color w:val="000000" w:themeColor="text1"/>
                <w:kern w:val="2"/>
                <w:sz w:val="21"/>
                <w:szCs w:val="21"/>
                <w:lang w:val="en-US" w:eastAsia="zh-CN" w:bidi="ar"/>
              </w:rPr>
            </w:pPr>
            <w:r>
              <w:rPr>
                <w:rFonts w:hint="eastAsia" w:ascii="Times New Roman" w:hAnsi="Times New Roman" w:eastAsia="宋体" w:cs="宋体"/>
                <w:color w:val="000000" w:themeColor="text1"/>
                <w:kern w:val="2"/>
                <w:sz w:val="21"/>
                <w:szCs w:val="21"/>
                <w:lang w:val="en-US" w:eastAsia="zh-CN" w:bidi="ar"/>
              </w:rPr>
              <w:t>根据调查园区污水处理厂出水在线数据监测情况，园区污水处理厂出水能够长期稳定达标，运行较稳定，环境管理制度较完善，因此本项目</w:t>
            </w:r>
            <w:r>
              <w:rPr>
                <w:rFonts w:hint="eastAsia" w:ascii="Times New Roman" w:hAnsi="Times New Roman" w:eastAsia="宋体" w:cs="宋体"/>
                <w:bCs/>
                <w:color w:val="000000" w:themeColor="text1"/>
                <w:kern w:val="2"/>
                <w:sz w:val="21"/>
                <w:szCs w:val="21"/>
                <w:lang w:val="en-US" w:eastAsia="zh-CN" w:bidi="ar"/>
              </w:rPr>
              <w:t>生活污水</w:t>
            </w:r>
            <w:r>
              <w:rPr>
                <w:rFonts w:hint="eastAsia" w:ascii="Times New Roman" w:hAnsi="Times New Roman" w:eastAsia="宋体" w:cs="宋体"/>
                <w:color w:val="000000" w:themeColor="text1"/>
                <w:kern w:val="2"/>
                <w:sz w:val="21"/>
                <w:szCs w:val="21"/>
                <w:lang w:val="en-US" w:eastAsia="zh-CN" w:bidi="ar"/>
              </w:rPr>
              <w:t>排入园区污水处理厂处理是可行性。</w:t>
            </w:r>
          </w:p>
          <w:p w14:paraId="14E10B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（4）水污染源监测</w:t>
            </w:r>
          </w:p>
          <w:p w14:paraId="01665D7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jc w:val="left"/>
              <w:textAlignment w:val="auto"/>
              <w:rPr>
                <w:rFonts w:hint="default" w:ascii="Times New Roman" w:hAnsi="Times New Roman" w:cs="Times New Roman"/>
                <w:color w:val="000000" w:themeColor="text1"/>
                <w:lang w:val="en-US"/>
              </w:rPr>
            </w:pPr>
            <w:r>
              <w:rPr>
                <w:rFonts w:hint="eastAsia" w:ascii="Times New Roman" w:hAnsi="Times New Roman" w:eastAsia="宋体" w:cs="宋体"/>
                <w:color w:val="000000" w:themeColor="text1"/>
                <w:kern w:val="2"/>
                <w:sz w:val="21"/>
                <w:szCs w:val="24"/>
                <w:lang w:val="en-US" w:eastAsia="zh-CN" w:bidi="ar"/>
              </w:rPr>
              <w:t>根据《排污单位自行监测技术指南</w:t>
            </w:r>
            <w:r>
              <w:rPr>
                <w:rFonts w:hint="default" w:ascii="Times New Roman" w:hAnsi="Times New Roman" w:eastAsia="宋体" w:cs="Times New Roman"/>
                <w:color w:val="000000" w:themeColor="text1"/>
                <w:kern w:val="2"/>
                <w:sz w:val="21"/>
                <w:szCs w:val="24"/>
                <w:lang w:val="en-US" w:eastAsia="zh-CN" w:bidi="ar"/>
              </w:rPr>
              <w:t xml:space="preserve"> </w:t>
            </w:r>
            <w:r>
              <w:rPr>
                <w:rFonts w:hint="eastAsia" w:ascii="Times New Roman" w:hAnsi="Times New Roman" w:eastAsia="宋体" w:cs="宋体"/>
                <w:color w:val="000000" w:themeColor="text1"/>
                <w:kern w:val="2"/>
                <w:sz w:val="21"/>
                <w:szCs w:val="24"/>
                <w:lang w:val="en-US" w:eastAsia="zh-CN" w:bidi="ar"/>
              </w:rPr>
              <w:t>总则》</w:t>
            </w:r>
            <w:r>
              <w:rPr>
                <w:rFonts w:hint="default" w:ascii="Times New Roman" w:hAnsi="Times New Roman" w:eastAsia="宋体" w:cs="Times New Roman"/>
                <w:color w:val="000000" w:themeColor="text1"/>
                <w:kern w:val="2"/>
                <w:sz w:val="21"/>
                <w:szCs w:val="24"/>
                <w:lang w:val="en-US" w:eastAsia="zh-CN" w:bidi="ar"/>
              </w:rPr>
              <w:t>(HJ819-2017)</w:t>
            </w:r>
            <w:r>
              <w:rPr>
                <w:rFonts w:hint="eastAsia" w:ascii="Times New Roman" w:hAnsi="Times New Roman" w:eastAsia="宋体" w:cs="宋体"/>
                <w:color w:val="000000" w:themeColor="text1"/>
                <w:kern w:val="2"/>
                <w:sz w:val="21"/>
                <w:szCs w:val="24"/>
                <w:lang w:val="en-US" w:eastAsia="zh-CN" w:bidi="ar"/>
              </w:rPr>
              <w:t>的要求对项目各类污染治理设施的运转情况进行定期检查，监测可委托有资质的单位实施。监测方法按环境监测技术规范进行，监测统计报表根据国家和省、市生态环境部门有关规定进行。</w:t>
            </w:r>
          </w:p>
          <w:p w14:paraId="668E584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atLeast"/>
              <w:ind w:left="0" w:right="0" w:firstLine="0" w:firstLineChars="0"/>
              <w:jc w:val="center"/>
              <w:textAlignment w:val="auto"/>
              <w:rPr>
                <w:rFonts w:hint="default" w:ascii="Times New Roman" w:hAnsi="Times New Roman" w:cs="Times New Roman"/>
                <w:b/>
                <w:bCs w:val="0"/>
                <w:color w:val="000000" w:themeColor="text1"/>
                <w:szCs w:val="21"/>
                <w:lang w:val="en-US"/>
              </w:rPr>
            </w:pPr>
            <w:r>
              <w:rPr>
                <w:rFonts w:hint="eastAsia" w:ascii="Times New Roman" w:hAnsi="Times New Roman" w:eastAsia="宋体" w:cs="宋体"/>
                <w:b/>
                <w:bCs w:val="0"/>
                <w:color w:val="000000" w:themeColor="text1"/>
                <w:kern w:val="2"/>
                <w:sz w:val="21"/>
                <w:szCs w:val="21"/>
                <w:lang w:val="en-US" w:eastAsia="zh-CN" w:bidi="ar"/>
              </w:rPr>
              <w:t>表</w:t>
            </w:r>
            <w:r>
              <w:rPr>
                <w:rFonts w:hint="default" w:ascii="Times New Roman" w:hAnsi="Times New Roman" w:eastAsia="宋体" w:cs="Times New Roman"/>
                <w:b/>
                <w:bCs w:val="0"/>
                <w:color w:val="000000" w:themeColor="text1"/>
                <w:kern w:val="2"/>
                <w:sz w:val="21"/>
                <w:szCs w:val="21"/>
                <w:lang w:val="en-US" w:eastAsia="zh-CN" w:bidi="ar"/>
              </w:rPr>
              <w:t>4-</w:t>
            </w:r>
            <w:r>
              <w:rPr>
                <w:rFonts w:hint="eastAsia" w:ascii="Times New Roman" w:hAnsi="Times New Roman" w:eastAsia="宋体" w:cs="Times New Roman"/>
                <w:b/>
                <w:bCs w:val="0"/>
                <w:color w:val="000000" w:themeColor="text1"/>
                <w:kern w:val="2"/>
                <w:sz w:val="21"/>
                <w:szCs w:val="21"/>
                <w:lang w:val="en-US" w:eastAsia="zh-CN" w:bidi="ar"/>
              </w:rPr>
              <w:t>9</w:t>
            </w:r>
            <w:r>
              <w:rPr>
                <w:rFonts w:hint="default" w:ascii="Times New Roman" w:hAnsi="Times New Roman" w:eastAsia="宋体" w:cs="Times New Roman"/>
                <w:b/>
                <w:bCs w:val="0"/>
                <w:color w:val="000000" w:themeColor="text1"/>
                <w:kern w:val="2"/>
                <w:sz w:val="21"/>
                <w:szCs w:val="21"/>
                <w:lang w:val="en-US" w:eastAsia="zh-CN" w:bidi="ar"/>
              </w:rPr>
              <w:t xml:space="preserve">   </w:t>
            </w:r>
            <w:r>
              <w:rPr>
                <w:rFonts w:hint="eastAsia" w:ascii="Times New Roman" w:hAnsi="Times New Roman" w:eastAsia="宋体" w:cs="宋体"/>
                <w:b/>
                <w:bCs w:val="0"/>
                <w:color w:val="000000" w:themeColor="text1"/>
                <w:kern w:val="2"/>
                <w:sz w:val="21"/>
                <w:szCs w:val="21"/>
                <w:lang w:val="en-US" w:eastAsia="zh-CN" w:bidi="ar"/>
              </w:rPr>
              <w:t>项目废水污染源监测计划一览表</w:t>
            </w:r>
          </w:p>
          <w:tbl>
            <w:tblPr>
              <w:tblStyle w:val="43"/>
              <w:tblW w:w="7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140"/>
              <w:gridCol w:w="1572"/>
              <w:gridCol w:w="1152"/>
              <w:gridCol w:w="3074"/>
            </w:tblGrid>
            <w:tr w14:paraId="50E45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3" w:type="dxa"/>
                  <w:tcBorders>
                    <w:top w:val="single" w:color="auto" w:sz="4" w:space="0"/>
                    <w:left w:val="single" w:color="auto" w:sz="4" w:space="0"/>
                    <w:bottom w:val="single" w:color="auto" w:sz="4" w:space="0"/>
                    <w:right w:val="single" w:color="auto" w:sz="4" w:space="0"/>
                  </w:tcBorders>
                  <w:noWrap w:val="0"/>
                  <w:vAlign w:val="center"/>
                </w:tcPr>
                <w:p w14:paraId="7ED546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kern w:val="0"/>
                      <w:szCs w:val="21"/>
                      <w:lang w:val="en-US"/>
                    </w:rPr>
                  </w:pPr>
                  <w:r>
                    <w:rPr>
                      <w:rFonts w:hint="eastAsia" w:ascii="Times New Roman" w:hAnsi="Times New Roman" w:eastAsia="宋体" w:cs="宋体"/>
                      <w:b/>
                      <w:bCs w:val="0"/>
                      <w:color w:val="000000" w:themeColor="text1"/>
                      <w:kern w:val="0"/>
                      <w:sz w:val="21"/>
                      <w:szCs w:val="21"/>
                      <w:lang w:val="en-US" w:eastAsia="zh-CN" w:bidi="ar"/>
                    </w:rPr>
                    <w:t>项目</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397BBD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kern w:val="0"/>
                      <w:szCs w:val="21"/>
                      <w:lang w:val="en-US"/>
                    </w:rPr>
                  </w:pPr>
                  <w:r>
                    <w:rPr>
                      <w:rFonts w:hint="eastAsia" w:ascii="Times New Roman" w:hAnsi="Times New Roman" w:eastAsia="宋体" w:cs="宋体"/>
                      <w:b/>
                      <w:bCs w:val="0"/>
                      <w:color w:val="000000" w:themeColor="text1"/>
                      <w:kern w:val="0"/>
                      <w:sz w:val="21"/>
                      <w:szCs w:val="21"/>
                      <w:lang w:val="en-US" w:eastAsia="zh-CN" w:bidi="ar"/>
                    </w:rPr>
                    <w:t>监测点位</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09857D3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kern w:val="0"/>
                      <w:szCs w:val="21"/>
                      <w:lang w:val="en-US"/>
                    </w:rPr>
                  </w:pPr>
                  <w:r>
                    <w:rPr>
                      <w:rFonts w:hint="eastAsia" w:ascii="Times New Roman" w:hAnsi="Times New Roman" w:eastAsia="宋体" w:cs="宋体"/>
                      <w:b/>
                      <w:bCs w:val="0"/>
                      <w:color w:val="000000" w:themeColor="text1"/>
                      <w:kern w:val="0"/>
                      <w:sz w:val="21"/>
                      <w:szCs w:val="21"/>
                      <w:lang w:val="en-US" w:eastAsia="zh-CN" w:bidi="ar"/>
                    </w:rPr>
                    <w:t>监测指标</w:t>
                  </w:r>
                </w:p>
              </w:tc>
              <w:tc>
                <w:tcPr>
                  <w:tcW w:w="1152" w:type="dxa"/>
                  <w:tcBorders>
                    <w:top w:val="single" w:color="auto" w:sz="4" w:space="0"/>
                    <w:left w:val="single" w:color="auto" w:sz="4" w:space="0"/>
                    <w:bottom w:val="single" w:color="auto" w:sz="4" w:space="0"/>
                    <w:right w:val="single" w:color="auto" w:sz="4" w:space="0"/>
                  </w:tcBorders>
                  <w:noWrap w:val="0"/>
                  <w:vAlign w:val="center"/>
                </w:tcPr>
                <w:p w14:paraId="2CA5006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kern w:val="0"/>
                      <w:szCs w:val="21"/>
                      <w:lang w:val="en-US"/>
                    </w:rPr>
                  </w:pPr>
                  <w:r>
                    <w:rPr>
                      <w:rFonts w:hint="eastAsia" w:ascii="Times New Roman" w:hAnsi="Times New Roman" w:eastAsia="宋体" w:cs="宋体"/>
                      <w:b/>
                      <w:bCs w:val="0"/>
                      <w:color w:val="000000" w:themeColor="text1"/>
                      <w:kern w:val="0"/>
                      <w:sz w:val="21"/>
                      <w:szCs w:val="21"/>
                      <w:lang w:val="en-US" w:eastAsia="zh-CN" w:bidi="ar"/>
                    </w:rPr>
                    <w:t>监测频率</w:t>
                  </w:r>
                </w:p>
              </w:tc>
              <w:tc>
                <w:tcPr>
                  <w:tcW w:w="3074" w:type="dxa"/>
                  <w:tcBorders>
                    <w:top w:val="single" w:color="auto" w:sz="4" w:space="0"/>
                    <w:left w:val="single" w:color="auto" w:sz="4" w:space="0"/>
                    <w:bottom w:val="single" w:color="auto" w:sz="4" w:space="0"/>
                    <w:right w:val="single" w:color="auto" w:sz="4" w:space="0"/>
                  </w:tcBorders>
                  <w:noWrap w:val="0"/>
                  <w:vAlign w:val="center"/>
                </w:tcPr>
                <w:p w14:paraId="1576FBD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kern w:val="0"/>
                      <w:szCs w:val="21"/>
                      <w:lang w:val="en-US"/>
                    </w:rPr>
                  </w:pPr>
                  <w:r>
                    <w:rPr>
                      <w:rFonts w:hint="eastAsia" w:ascii="Times New Roman" w:hAnsi="Times New Roman" w:eastAsia="宋体" w:cs="宋体"/>
                      <w:b/>
                      <w:bCs w:val="0"/>
                      <w:color w:val="000000" w:themeColor="text1"/>
                      <w:kern w:val="0"/>
                      <w:sz w:val="21"/>
                      <w:szCs w:val="21"/>
                      <w:lang w:val="en-US" w:eastAsia="zh-CN" w:bidi="ar"/>
                    </w:rPr>
                    <w:t>执行排放标准</w:t>
                  </w:r>
                </w:p>
              </w:tc>
            </w:tr>
            <w:tr w14:paraId="03D8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3" w:type="dxa"/>
                  <w:tcBorders>
                    <w:top w:val="single" w:color="auto" w:sz="4" w:space="0"/>
                    <w:left w:val="single" w:color="auto" w:sz="4" w:space="0"/>
                    <w:bottom w:val="single" w:color="auto" w:sz="4" w:space="0"/>
                    <w:right w:val="single" w:color="auto" w:sz="4" w:space="0"/>
                  </w:tcBorders>
                  <w:noWrap w:val="0"/>
                  <w:vAlign w:val="center"/>
                </w:tcPr>
                <w:p w14:paraId="38E3154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kern w:val="0"/>
                      <w:szCs w:val="21"/>
                      <w:lang w:val="en-US"/>
                    </w:rPr>
                  </w:pPr>
                  <w:r>
                    <w:rPr>
                      <w:rFonts w:hint="eastAsia" w:ascii="Times New Roman" w:hAnsi="Times New Roman" w:eastAsia="宋体" w:cs="宋体"/>
                      <w:bCs/>
                      <w:color w:val="000000" w:themeColor="text1"/>
                      <w:kern w:val="0"/>
                      <w:sz w:val="21"/>
                      <w:szCs w:val="21"/>
                      <w:lang w:val="en-US" w:eastAsia="zh-CN" w:bidi="ar"/>
                    </w:rPr>
                    <w:t>废水</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0932EA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kern w:val="0"/>
                      <w:szCs w:val="21"/>
                      <w:lang w:val="en-US"/>
                    </w:rPr>
                  </w:pPr>
                  <w:r>
                    <w:rPr>
                      <w:rFonts w:hint="eastAsia" w:ascii="Times New Roman" w:hAnsi="Times New Roman" w:eastAsia="宋体" w:cs="宋体"/>
                      <w:bCs/>
                      <w:color w:val="000000" w:themeColor="text1"/>
                      <w:kern w:val="0"/>
                      <w:sz w:val="21"/>
                      <w:szCs w:val="21"/>
                      <w:lang w:val="en-US" w:eastAsia="zh-CN" w:bidi="ar"/>
                    </w:rPr>
                    <w:t>化粪池出口</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1509006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kern w:val="0"/>
                      <w:szCs w:val="21"/>
                      <w:lang w:val="en-US"/>
                    </w:rPr>
                  </w:pPr>
                  <w:r>
                    <w:rPr>
                      <w:rFonts w:hint="default" w:ascii="Times New Roman" w:hAnsi="Times New Roman" w:eastAsia="宋体" w:cs="Times New Roman"/>
                      <w:bCs/>
                      <w:color w:val="000000" w:themeColor="text1"/>
                      <w:kern w:val="0"/>
                      <w:sz w:val="21"/>
                      <w:szCs w:val="21"/>
                      <w:lang w:val="en-US" w:eastAsia="zh-CN" w:bidi="ar"/>
                    </w:rPr>
                    <w:t>pH</w:t>
                  </w:r>
                  <w:r>
                    <w:rPr>
                      <w:rFonts w:hint="eastAsia" w:ascii="Times New Roman" w:hAnsi="Times New Roman" w:eastAsia="宋体" w:cs="宋体"/>
                      <w:bCs/>
                      <w:color w:val="000000" w:themeColor="text1"/>
                      <w:kern w:val="0"/>
                      <w:sz w:val="21"/>
                      <w:szCs w:val="21"/>
                      <w:lang w:val="en-US" w:eastAsia="zh-CN" w:bidi="ar"/>
                    </w:rPr>
                    <w:t>、</w:t>
                  </w:r>
                  <w:r>
                    <w:rPr>
                      <w:rFonts w:hint="default" w:ascii="Times New Roman" w:hAnsi="Times New Roman" w:eastAsia="宋体" w:cs="Times New Roman"/>
                      <w:bCs/>
                      <w:color w:val="000000" w:themeColor="text1"/>
                      <w:kern w:val="0"/>
                      <w:sz w:val="21"/>
                      <w:szCs w:val="21"/>
                      <w:lang w:val="en-US" w:eastAsia="zh-CN" w:bidi="ar"/>
                    </w:rPr>
                    <w:t>COD</w:t>
                  </w:r>
                  <w:r>
                    <w:rPr>
                      <w:rFonts w:hint="eastAsia" w:ascii="Times New Roman" w:hAnsi="Times New Roman" w:eastAsia="宋体" w:cs="宋体"/>
                      <w:bCs/>
                      <w:color w:val="000000" w:themeColor="text1"/>
                      <w:kern w:val="0"/>
                      <w:sz w:val="21"/>
                      <w:szCs w:val="21"/>
                      <w:lang w:val="en-US" w:eastAsia="zh-CN" w:bidi="ar"/>
                    </w:rPr>
                    <w:t>、</w:t>
                  </w:r>
                  <w:r>
                    <w:rPr>
                      <w:rFonts w:hint="default" w:ascii="Times New Roman" w:hAnsi="Times New Roman" w:eastAsia="宋体" w:cs="Times New Roman"/>
                      <w:bCs/>
                      <w:color w:val="000000" w:themeColor="text1"/>
                      <w:kern w:val="0"/>
                      <w:sz w:val="21"/>
                      <w:szCs w:val="21"/>
                      <w:lang w:val="en-US" w:eastAsia="zh-CN" w:bidi="ar"/>
                    </w:rPr>
                    <w:t>BOD</w:t>
                  </w:r>
                  <w:r>
                    <w:rPr>
                      <w:rFonts w:hint="default" w:ascii="Times New Roman" w:hAnsi="Times New Roman" w:eastAsia="宋体" w:cs="Times New Roman"/>
                      <w:bCs/>
                      <w:color w:val="000000" w:themeColor="text1"/>
                      <w:kern w:val="0"/>
                      <w:sz w:val="21"/>
                      <w:szCs w:val="21"/>
                      <w:vertAlign w:val="subscript"/>
                      <w:lang w:val="en-US" w:eastAsia="zh-CN" w:bidi="ar"/>
                    </w:rPr>
                    <w:t>5</w:t>
                  </w:r>
                  <w:r>
                    <w:rPr>
                      <w:rFonts w:hint="eastAsia" w:ascii="Times New Roman" w:hAnsi="Times New Roman" w:eastAsia="宋体" w:cs="宋体"/>
                      <w:bCs/>
                      <w:color w:val="000000" w:themeColor="text1"/>
                      <w:kern w:val="0"/>
                      <w:sz w:val="21"/>
                      <w:szCs w:val="21"/>
                      <w:lang w:val="en-US" w:eastAsia="zh-CN" w:bidi="ar"/>
                    </w:rPr>
                    <w:t>、</w:t>
                  </w:r>
                  <w:r>
                    <w:rPr>
                      <w:rFonts w:hint="default" w:ascii="Times New Roman" w:hAnsi="Times New Roman" w:eastAsia="宋体" w:cs="Times New Roman"/>
                      <w:bCs/>
                      <w:color w:val="000000" w:themeColor="text1"/>
                      <w:kern w:val="0"/>
                      <w:sz w:val="21"/>
                      <w:szCs w:val="21"/>
                      <w:lang w:val="en-US" w:eastAsia="zh-CN" w:bidi="ar"/>
                    </w:rPr>
                    <w:t>SS</w:t>
                  </w:r>
                  <w:r>
                    <w:rPr>
                      <w:rFonts w:hint="eastAsia" w:ascii="Times New Roman" w:hAnsi="Times New Roman" w:eastAsia="宋体" w:cs="宋体"/>
                      <w:bCs/>
                      <w:color w:val="000000" w:themeColor="text1"/>
                      <w:kern w:val="0"/>
                      <w:sz w:val="21"/>
                      <w:szCs w:val="21"/>
                      <w:lang w:val="en-US" w:eastAsia="zh-CN" w:bidi="ar"/>
                    </w:rPr>
                    <w:t>、</w:t>
                  </w:r>
                  <w:r>
                    <w:rPr>
                      <w:rFonts w:hint="default" w:ascii="Times New Roman" w:hAnsi="Times New Roman" w:eastAsia="宋体" w:cs="Times New Roman"/>
                      <w:bCs/>
                      <w:color w:val="000000" w:themeColor="text1"/>
                      <w:kern w:val="0"/>
                      <w:sz w:val="21"/>
                      <w:szCs w:val="21"/>
                      <w:lang w:val="en-US" w:eastAsia="zh-CN" w:bidi="ar"/>
                    </w:rPr>
                    <w:t>NH</w:t>
                  </w:r>
                  <w:r>
                    <w:rPr>
                      <w:rFonts w:hint="default" w:ascii="Times New Roman" w:hAnsi="Times New Roman" w:eastAsia="宋体" w:cs="Times New Roman"/>
                      <w:bCs/>
                      <w:color w:val="000000" w:themeColor="text1"/>
                      <w:kern w:val="0"/>
                      <w:sz w:val="21"/>
                      <w:szCs w:val="21"/>
                      <w:vertAlign w:val="subscript"/>
                      <w:lang w:val="en-US" w:eastAsia="zh-CN" w:bidi="ar"/>
                    </w:rPr>
                    <w:t>3</w:t>
                  </w:r>
                  <w:r>
                    <w:rPr>
                      <w:rFonts w:hint="default" w:ascii="Times New Roman" w:hAnsi="Times New Roman" w:eastAsia="宋体" w:cs="Times New Roman"/>
                      <w:bCs/>
                      <w:color w:val="000000" w:themeColor="text1"/>
                      <w:kern w:val="0"/>
                      <w:sz w:val="21"/>
                      <w:szCs w:val="21"/>
                      <w:lang w:val="en-US" w:eastAsia="zh-CN" w:bidi="ar"/>
                    </w:rPr>
                    <w:t>-N</w:t>
                  </w:r>
                  <w:r>
                    <w:rPr>
                      <w:rFonts w:hint="eastAsia" w:ascii="Times New Roman" w:hAnsi="Times New Roman" w:eastAsia="宋体" w:cs="宋体"/>
                      <w:bCs/>
                      <w:color w:val="000000" w:themeColor="text1"/>
                      <w:kern w:val="0"/>
                      <w:sz w:val="21"/>
                      <w:szCs w:val="21"/>
                      <w:lang w:val="en-US" w:eastAsia="zh-CN" w:bidi="ar"/>
                    </w:rPr>
                    <w:t>、总磷、动植物油</w:t>
                  </w:r>
                </w:p>
              </w:tc>
              <w:tc>
                <w:tcPr>
                  <w:tcW w:w="1152" w:type="dxa"/>
                  <w:tcBorders>
                    <w:top w:val="single" w:color="auto" w:sz="4" w:space="0"/>
                    <w:left w:val="single" w:color="auto" w:sz="4" w:space="0"/>
                    <w:bottom w:val="single" w:color="auto" w:sz="4" w:space="0"/>
                    <w:right w:val="single" w:color="auto" w:sz="4" w:space="0"/>
                  </w:tcBorders>
                  <w:noWrap w:val="0"/>
                  <w:vAlign w:val="center"/>
                </w:tcPr>
                <w:p w14:paraId="6DBBDB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kern w:val="0"/>
                      <w:szCs w:val="21"/>
                      <w:lang w:val="en-US"/>
                    </w:rPr>
                  </w:pPr>
                  <w:r>
                    <w:rPr>
                      <w:rFonts w:hint="default" w:ascii="Times New Roman" w:hAnsi="Times New Roman" w:eastAsia="宋体" w:cs="Times New Roman"/>
                      <w:bCs/>
                      <w:color w:val="000000" w:themeColor="text1"/>
                      <w:kern w:val="0"/>
                      <w:sz w:val="21"/>
                      <w:szCs w:val="21"/>
                      <w:lang w:val="en-US" w:eastAsia="zh-CN" w:bidi="ar"/>
                    </w:rPr>
                    <w:t>1</w:t>
                  </w:r>
                  <w:r>
                    <w:rPr>
                      <w:rFonts w:hint="eastAsia" w:ascii="Times New Roman" w:hAnsi="Times New Roman" w:eastAsia="宋体" w:cs="宋体"/>
                      <w:bCs/>
                      <w:color w:val="000000" w:themeColor="text1"/>
                      <w:kern w:val="0"/>
                      <w:sz w:val="21"/>
                      <w:szCs w:val="21"/>
                      <w:lang w:val="en-US" w:eastAsia="zh-CN" w:bidi="ar"/>
                    </w:rPr>
                    <w:t>次</w:t>
                  </w:r>
                  <w:r>
                    <w:rPr>
                      <w:rFonts w:hint="default" w:ascii="Times New Roman" w:hAnsi="Times New Roman" w:eastAsia="宋体" w:cs="Times New Roman"/>
                      <w:bCs/>
                      <w:color w:val="000000" w:themeColor="text1"/>
                      <w:kern w:val="0"/>
                      <w:sz w:val="21"/>
                      <w:szCs w:val="21"/>
                      <w:lang w:val="en-US" w:eastAsia="zh-CN" w:bidi="ar"/>
                    </w:rPr>
                    <w:t>/</w:t>
                  </w:r>
                  <w:r>
                    <w:rPr>
                      <w:rFonts w:hint="eastAsia" w:ascii="Times New Roman" w:hAnsi="Times New Roman" w:eastAsia="宋体" w:cs="宋体"/>
                      <w:bCs/>
                      <w:color w:val="000000" w:themeColor="text1"/>
                      <w:kern w:val="0"/>
                      <w:sz w:val="21"/>
                      <w:szCs w:val="21"/>
                      <w:lang w:val="en-US" w:eastAsia="zh-CN" w:bidi="ar"/>
                    </w:rPr>
                    <w:t>年</w:t>
                  </w:r>
                </w:p>
              </w:tc>
              <w:tc>
                <w:tcPr>
                  <w:tcW w:w="3074" w:type="dxa"/>
                  <w:tcBorders>
                    <w:top w:val="single" w:color="auto" w:sz="4" w:space="0"/>
                    <w:left w:val="single" w:color="auto" w:sz="4" w:space="0"/>
                    <w:bottom w:val="single" w:color="auto" w:sz="4" w:space="0"/>
                    <w:right w:val="single" w:color="auto" w:sz="4" w:space="0"/>
                  </w:tcBorders>
                  <w:noWrap w:val="0"/>
                  <w:vAlign w:val="center"/>
                </w:tcPr>
                <w:p w14:paraId="2218EFE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kern w:val="0"/>
                      <w:szCs w:val="21"/>
                      <w:lang w:val="en-US"/>
                    </w:rPr>
                  </w:pPr>
                  <w:r>
                    <w:rPr>
                      <w:rFonts w:hint="eastAsia" w:ascii="Times New Roman" w:hAnsi="Times New Roman" w:eastAsia="宋体" w:cs="宋体"/>
                      <w:color w:val="000000" w:themeColor="text1"/>
                      <w:kern w:val="2"/>
                      <w:sz w:val="21"/>
                      <w:szCs w:val="24"/>
                      <w:lang w:val="en-US" w:eastAsia="zh-CN" w:bidi="ar"/>
                    </w:rPr>
                    <w:t>《污水排入城市下水道水质标准》（</w:t>
                  </w:r>
                  <w:r>
                    <w:rPr>
                      <w:rFonts w:hint="default" w:ascii="Times New Roman" w:hAnsi="Times New Roman" w:eastAsia="宋体" w:cs="Times New Roman"/>
                      <w:color w:val="000000" w:themeColor="text1"/>
                      <w:kern w:val="2"/>
                      <w:sz w:val="21"/>
                      <w:szCs w:val="24"/>
                      <w:lang w:val="en-US" w:eastAsia="zh-CN" w:bidi="ar"/>
                    </w:rPr>
                    <w:t>GB/T 31962-2015</w:t>
                  </w:r>
                  <w:r>
                    <w:rPr>
                      <w:rFonts w:hint="eastAsia" w:ascii="Times New Roman" w:hAnsi="Times New Roman" w:eastAsia="宋体" w:cs="宋体"/>
                      <w:color w:val="000000" w:themeColor="text1"/>
                      <w:kern w:val="2"/>
                      <w:sz w:val="21"/>
                      <w:szCs w:val="24"/>
                      <w:lang w:val="en-US" w:eastAsia="zh-CN" w:bidi="ar"/>
                    </w:rPr>
                    <w:t>）和《污水综合排放标准》（</w:t>
                  </w:r>
                  <w:r>
                    <w:rPr>
                      <w:rFonts w:hint="default" w:ascii="Times New Roman" w:hAnsi="Times New Roman" w:eastAsia="宋体" w:cs="Times New Roman"/>
                      <w:color w:val="000000" w:themeColor="text1"/>
                      <w:kern w:val="2"/>
                      <w:sz w:val="21"/>
                      <w:szCs w:val="24"/>
                      <w:lang w:val="en-US" w:eastAsia="zh-CN" w:bidi="ar"/>
                    </w:rPr>
                    <w:t>GB 8978-1996</w:t>
                  </w:r>
                  <w:r>
                    <w:rPr>
                      <w:rFonts w:hint="eastAsia" w:ascii="Times New Roman" w:hAnsi="Times New Roman" w:eastAsia="宋体" w:cs="宋体"/>
                      <w:color w:val="000000" w:themeColor="text1"/>
                      <w:kern w:val="2"/>
                      <w:sz w:val="21"/>
                      <w:szCs w:val="24"/>
                      <w:lang w:val="en-US" w:eastAsia="zh-CN" w:bidi="ar"/>
                    </w:rPr>
                    <w:t>）三级标准</w:t>
                  </w:r>
                </w:p>
              </w:tc>
            </w:tr>
          </w:tbl>
          <w:p w14:paraId="21B279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（5）地表水环境影响结论</w:t>
            </w:r>
          </w:p>
          <w:p w14:paraId="2E0F21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jc w:val="both"/>
              <w:textAlignment w:val="auto"/>
              <w:rPr>
                <w:rFonts w:hint="default" w:ascii="Times New Roman" w:hAnsi="Times New Roman" w:cs="Times New Roman"/>
                <w:color w:val="000000" w:themeColor="text1"/>
                <w:spacing w:val="-2"/>
                <w:szCs w:val="21"/>
                <w:lang w:val="en-US"/>
              </w:rPr>
            </w:pPr>
            <w:r>
              <w:rPr>
                <w:rFonts w:hint="eastAsia" w:ascii="Times New Roman" w:hAnsi="Times New Roman" w:eastAsia="宋体" w:cs="宋体"/>
                <w:color w:val="000000" w:themeColor="text1"/>
                <w:kern w:val="2"/>
                <w:sz w:val="21"/>
                <w:szCs w:val="21"/>
                <w:lang w:val="en-US" w:eastAsia="zh-CN" w:bidi="ar"/>
              </w:rPr>
              <w:t>本项目采用</w:t>
            </w:r>
            <w:r>
              <w:rPr>
                <w:rFonts w:hint="default" w:ascii="Times New Roman" w:hAnsi="Times New Roman" w:eastAsia="宋体" w:cs="Times New Roman"/>
                <w:color w:val="000000" w:themeColor="text1"/>
                <w:kern w:val="2"/>
                <w:sz w:val="21"/>
                <w:szCs w:val="21"/>
                <w:lang w:val="en-US" w:eastAsia="zh-CN" w:bidi="ar"/>
              </w:rPr>
              <w:t>“</w:t>
            </w:r>
            <w:r>
              <w:rPr>
                <w:rFonts w:hint="eastAsia" w:ascii="Times New Roman" w:hAnsi="Times New Roman" w:eastAsia="宋体" w:cs="宋体"/>
                <w:color w:val="000000" w:themeColor="text1"/>
                <w:kern w:val="2"/>
                <w:sz w:val="21"/>
                <w:szCs w:val="21"/>
                <w:lang w:val="en-US" w:eastAsia="zh-CN" w:bidi="ar"/>
              </w:rPr>
              <w:t>雨污分流制</w:t>
            </w:r>
            <w:r>
              <w:rPr>
                <w:rFonts w:hint="default" w:ascii="Times New Roman" w:hAnsi="Times New Roman" w:eastAsia="宋体" w:cs="Times New Roman"/>
                <w:color w:val="000000" w:themeColor="text1"/>
                <w:kern w:val="2"/>
                <w:sz w:val="21"/>
                <w:szCs w:val="21"/>
                <w:lang w:val="en-US" w:eastAsia="zh-CN" w:bidi="ar"/>
              </w:rPr>
              <w:t>”</w:t>
            </w:r>
            <w:r>
              <w:rPr>
                <w:rFonts w:hint="eastAsia" w:ascii="Times New Roman" w:hAnsi="Times New Roman" w:eastAsia="宋体" w:cs="宋体"/>
                <w:color w:val="000000" w:themeColor="text1"/>
                <w:kern w:val="2"/>
                <w:sz w:val="21"/>
                <w:szCs w:val="21"/>
                <w:lang w:val="en-US" w:eastAsia="zh-CN" w:bidi="ar"/>
              </w:rPr>
              <w:t>排水系统。雨水直接进入市政雨水管网，排入项目区附近地表水系。</w:t>
            </w:r>
            <w:r>
              <w:rPr>
                <w:rFonts w:hint="eastAsia" w:ascii="Times New Roman" w:hAnsi="Times New Roman" w:eastAsia="宋体" w:cs="宋体"/>
                <w:color w:val="000000" w:themeColor="text1"/>
                <w:spacing w:val="-2"/>
                <w:kern w:val="2"/>
                <w:sz w:val="21"/>
                <w:szCs w:val="21"/>
                <w:lang w:val="en-US" w:eastAsia="zh-CN" w:bidi="ar"/>
              </w:rPr>
              <w:t>本项目废水排放在水质水量上均满足污水处理厂的接管标准，从运行时间、处理余量、管网铺设、接管要求等方面具有接管可行性。项目废水不直接排入区域地表水环境，对区域水环境质量影响较小。</w:t>
            </w:r>
          </w:p>
          <w:p w14:paraId="179A1D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3、运营期厂界噪声影响和保护措施</w:t>
            </w:r>
          </w:p>
          <w:p w14:paraId="086A6F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（1）源强</w:t>
            </w:r>
          </w:p>
          <w:p w14:paraId="2E5B63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本项目属于工业类项目，噪声主要来自于生产装备运行产生，根据类比同类项目，</w:t>
            </w:r>
            <w:r>
              <w:rPr>
                <w:rFonts w:hint="eastAsia" w:ascii="Times New Roman" w:hAnsi="Times New Roman" w:eastAsia="宋体" w:cs="Times New Roman"/>
                <w:color w:val="000000" w:themeColor="text1"/>
                <w:sz w:val="21"/>
                <w:szCs w:val="21"/>
                <w:lang w:val="en-US" w:eastAsia="zh-CN"/>
              </w:rPr>
              <w:t>噪声来源于搅拌机</w:t>
            </w:r>
            <w:r>
              <w:rPr>
                <w:rFonts w:hint="default" w:ascii="Times New Roman" w:hAnsi="Times New Roman" w:eastAsia="宋体" w:cs="Times New Roman"/>
                <w:color w:val="000000" w:themeColor="text1"/>
                <w:sz w:val="21"/>
                <w:szCs w:val="21"/>
              </w:rPr>
              <w:t>、成型机、空压机、真空泵、热风炉、包装机、风机等设备的机械摩擦、机械振动所产生的机械噪声，主要设备噪声源强在70~</w:t>
            </w:r>
            <w:r>
              <w:rPr>
                <w:rFonts w:hint="eastAsia" w:ascii="Times New Roman" w:hAnsi="Times New Roman" w:eastAsia="宋体" w:cs="Times New Roman"/>
                <w:color w:val="000000" w:themeColor="text1"/>
                <w:sz w:val="21"/>
                <w:szCs w:val="21"/>
                <w:lang w:val="en-US" w:eastAsia="zh-CN"/>
              </w:rPr>
              <w:t>85</w:t>
            </w:r>
            <w:r>
              <w:rPr>
                <w:rFonts w:hint="default" w:ascii="Times New Roman" w:hAnsi="Times New Roman" w:eastAsia="宋体" w:cs="Times New Roman"/>
                <w:color w:val="000000" w:themeColor="text1"/>
                <w:sz w:val="21"/>
                <w:szCs w:val="21"/>
              </w:rPr>
              <w:t>dB（A）之间，通过建筑基座减振、墙体隔声、消声吸声等措施进行处理，同时合理布局，可减少噪声污染约20dB(A)左右。</w:t>
            </w:r>
          </w:p>
        </w:tc>
      </w:tr>
    </w:tbl>
    <w:p w14:paraId="46F871BD">
      <w:pPr>
        <w:ind w:firstLine="0" w:firstLineChars="0"/>
        <w:rPr>
          <w:color w:val="000000" w:themeColor="text1"/>
          <w:sz w:val="21"/>
          <w:szCs w:val="21"/>
        </w:rPr>
        <w:sectPr>
          <w:pgSz w:w="11906" w:h="16838"/>
          <w:pgMar w:top="1440" w:right="1701" w:bottom="1440" w:left="1701" w:header="851" w:footer="992" w:gutter="0"/>
          <w:pgBorders>
            <w:top w:val="none" w:sz="0" w:space="0"/>
            <w:left w:val="none" w:sz="0" w:space="0"/>
            <w:bottom w:val="none" w:sz="0" w:space="0"/>
            <w:right w:val="none" w:sz="0" w:space="0"/>
          </w:pgBorders>
          <w:cols w:space="720" w:num="1"/>
          <w:docGrid w:type="lines" w:linePitch="312" w:charSpace="0"/>
        </w:sectPr>
      </w:pPr>
    </w:p>
    <w:tbl>
      <w:tblPr>
        <w:tblStyle w:val="43"/>
        <w:tblW w:w="13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2625"/>
      </w:tblGrid>
      <w:tr w14:paraId="2D29E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6" w:type="dxa"/>
            <w:noWrap w:val="0"/>
            <w:vAlign w:val="center"/>
          </w:tcPr>
          <w:p w14:paraId="043F8275">
            <w:pPr>
              <w:keepNext w:val="0"/>
              <w:keepLines w:val="0"/>
              <w:suppressLineNumbers w:val="0"/>
              <w:spacing w:before="0" w:beforeAutospacing="0" w:after="0" w:afterAutospacing="0"/>
              <w:ind w:left="0" w:right="0" w:firstLine="0" w:firstLineChars="0"/>
              <w:rPr>
                <w:rFonts w:hint="eastAsia" w:ascii="Times New Roman" w:hAnsi="Times New Roman" w:cs="Times New Roman"/>
                <w:color w:val="000000" w:themeColor="text1"/>
                <w:sz w:val="21"/>
                <w:szCs w:val="21"/>
              </w:rPr>
            </w:pPr>
          </w:p>
        </w:tc>
        <w:tc>
          <w:tcPr>
            <w:tcW w:w="12625" w:type="dxa"/>
            <w:noWrap w:val="0"/>
            <w:vAlign w:val="center"/>
          </w:tcPr>
          <w:p w14:paraId="5D4A55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szCs w:val="21"/>
              </w:rPr>
            </w:pPr>
            <w:r>
              <w:rPr>
                <w:rFonts w:hint="eastAsia" w:ascii="Times New Roman" w:hAnsi="Times New Roman" w:cs="Times New Roman"/>
                <w:b/>
                <w:bCs/>
                <w:color w:val="000000" w:themeColor="text1"/>
              </w:rPr>
              <w:t>表</w:t>
            </w:r>
            <w:r>
              <w:rPr>
                <w:rFonts w:hint="default" w:ascii="Times New Roman" w:hAnsi="Times New Roman" w:cs="Times New Roman"/>
                <w:b/>
                <w:bCs/>
                <w:color w:val="000000" w:themeColor="text1"/>
              </w:rPr>
              <w:t>4-</w:t>
            </w:r>
            <w:r>
              <w:rPr>
                <w:rFonts w:hint="eastAsia" w:ascii="Times New Roman" w:hAnsi="Times New Roman" w:cs="Times New Roman"/>
                <w:b/>
                <w:bCs/>
                <w:color w:val="000000" w:themeColor="text1"/>
                <w:lang w:val="en-US" w:eastAsia="zh-CN"/>
              </w:rPr>
              <w:t>10</w:t>
            </w:r>
            <w:r>
              <w:rPr>
                <w:rFonts w:hint="default" w:ascii="Times New Roman" w:hAnsi="Times New Roman" w:cs="Times New Roman"/>
                <w:b/>
                <w:bCs/>
                <w:color w:val="000000" w:themeColor="text1"/>
              </w:rPr>
              <w:t xml:space="preserve">  </w:t>
            </w:r>
            <w:r>
              <w:rPr>
                <w:rFonts w:hint="eastAsia" w:ascii="Times New Roman" w:hAnsi="Times New Roman" w:cs="Times New Roman"/>
                <w:b/>
                <w:bCs/>
                <w:color w:val="000000" w:themeColor="text1"/>
              </w:rPr>
              <w:t>工业企业噪声源强调查清单（室内）</w:t>
            </w:r>
          </w:p>
          <w:tbl>
            <w:tblPr>
              <w:tblStyle w:val="43"/>
              <w:tblW w:w="11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648"/>
              <w:gridCol w:w="978"/>
              <w:gridCol w:w="817"/>
              <w:gridCol w:w="850"/>
              <w:gridCol w:w="709"/>
              <w:gridCol w:w="513"/>
              <w:gridCol w:w="708"/>
              <w:gridCol w:w="851"/>
              <w:gridCol w:w="1690"/>
              <w:gridCol w:w="1692"/>
            </w:tblGrid>
            <w:tr w14:paraId="7B300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6" w:type="dxa"/>
                  <w:vMerge w:val="restart"/>
                  <w:noWrap w:val="0"/>
                  <w:vAlign w:val="center"/>
                </w:tcPr>
                <w:p w14:paraId="75DE7B8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建筑物</w:t>
                  </w:r>
                </w:p>
              </w:tc>
              <w:tc>
                <w:tcPr>
                  <w:tcW w:w="1648" w:type="dxa"/>
                  <w:vMerge w:val="restart"/>
                  <w:noWrap w:val="0"/>
                  <w:vAlign w:val="center"/>
                </w:tcPr>
                <w:p w14:paraId="011E64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声源</w:t>
                  </w:r>
                </w:p>
              </w:tc>
              <w:tc>
                <w:tcPr>
                  <w:tcW w:w="978" w:type="dxa"/>
                  <w:vMerge w:val="restart"/>
                  <w:noWrap w:val="0"/>
                  <w:vAlign w:val="center"/>
                </w:tcPr>
                <w:p w14:paraId="5C743E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源强dB</w:t>
                  </w:r>
                </w:p>
              </w:tc>
              <w:tc>
                <w:tcPr>
                  <w:tcW w:w="817" w:type="dxa"/>
                  <w:vMerge w:val="restart"/>
                  <w:noWrap w:val="0"/>
                  <w:vAlign w:val="center"/>
                </w:tcPr>
                <w:p w14:paraId="23D13E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控制措施</w:t>
                  </w:r>
                </w:p>
              </w:tc>
              <w:tc>
                <w:tcPr>
                  <w:tcW w:w="2072" w:type="dxa"/>
                  <w:gridSpan w:val="3"/>
                  <w:noWrap w:val="0"/>
                  <w:vAlign w:val="center"/>
                </w:tcPr>
                <w:p w14:paraId="231F459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相对空间位置</w:t>
                  </w:r>
                </w:p>
              </w:tc>
              <w:tc>
                <w:tcPr>
                  <w:tcW w:w="708" w:type="dxa"/>
                  <w:vMerge w:val="restart"/>
                  <w:noWrap w:val="0"/>
                  <w:vAlign w:val="center"/>
                </w:tcPr>
                <w:p w14:paraId="0FC62A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运行时段</w:t>
                  </w:r>
                </w:p>
              </w:tc>
              <w:tc>
                <w:tcPr>
                  <w:tcW w:w="851" w:type="dxa"/>
                  <w:vMerge w:val="restart"/>
                  <w:noWrap w:val="0"/>
                  <w:vAlign w:val="center"/>
                </w:tcPr>
                <w:p w14:paraId="4FABE3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建筑插入损失</w:t>
                  </w:r>
                </w:p>
              </w:tc>
              <w:tc>
                <w:tcPr>
                  <w:tcW w:w="3382" w:type="dxa"/>
                  <w:gridSpan w:val="2"/>
                  <w:noWrap w:val="0"/>
                  <w:vAlign w:val="center"/>
                </w:tcPr>
                <w:p w14:paraId="65784A1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建筑物外噪声</w:t>
                  </w:r>
                </w:p>
              </w:tc>
            </w:tr>
            <w:tr w14:paraId="414B2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6" w:type="dxa"/>
                  <w:vMerge w:val="continue"/>
                  <w:noWrap w:val="0"/>
                  <w:vAlign w:val="center"/>
                </w:tcPr>
                <w:p w14:paraId="38887C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1648" w:type="dxa"/>
                  <w:vMerge w:val="continue"/>
                  <w:noWrap w:val="0"/>
                  <w:vAlign w:val="center"/>
                </w:tcPr>
                <w:p w14:paraId="668C42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978" w:type="dxa"/>
                  <w:vMerge w:val="continue"/>
                  <w:noWrap w:val="0"/>
                  <w:vAlign w:val="center"/>
                </w:tcPr>
                <w:p w14:paraId="50E62E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17" w:type="dxa"/>
                  <w:vMerge w:val="continue"/>
                  <w:noWrap w:val="0"/>
                  <w:vAlign w:val="center"/>
                </w:tcPr>
                <w:p w14:paraId="44B2FB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0" w:type="dxa"/>
                  <w:noWrap w:val="0"/>
                  <w:vAlign w:val="center"/>
                </w:tcPr>
                <w:p w14:paraId="3F55AD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X</w:t>
                  </w:r>
                </w:p>
              </w:tc>
              <w:tc>
                <w:tcPr>
                  <w:tcW w:w="709" w:type="dxa"/>
                  <w:noWrap w:val="0"/>
                  <w:vAlign w:val="center"/>
                </w:tcPr>
                <w:p w14:paraId="55C12B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Y</w:t>
                  </w:r>
                </w:p>
              </w:tc>
              <w:tc>
                <w:tcPr>
                  <w:tcW w:w="513" w:type="dxa"/>
                  <w:noWrap w:val="0"/>
                  <w:vAlign w:val="center"/>
                </w:tcPr>
                <w:p w14:paraId="40FAA1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Z</w:t>
                  </w:r>
                </w:p>
              </w:tc>
              <w:tc>
                <w:tcPr>
                  <w:tcW w:w="708" w:type="dxa"/>
                  <w:vMerge w:val="continue"/>
                  <w:noWrap w:val="0"/>
                  <w:vAlign w:val="center"/>
                </w:tcPr>
                <w:p w14:paraId="37ECEC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1" w:type="dxa"/>
                  <w:vMerge w:val="continue"/>
                  <w:noWrap w:val="0"/>
                  <w:vAlign w:val="center"/>
                </w:tcPr>
                <w:p w14:paraId="65A81A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1690" w:type="dxa"/>
                  <w:noWrap w:val="0"/>
                  <w:vAlign w:val="center"/>
                </w:tcPr>
                <w:p w14:paraId="001AF5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声压级/dB(A)</w:t>
                  </w:r>
                </w:p>
              </w:tc>
              <w:tc>
                <w:tcPr>
                  <w:tcW w:w="1692" w:type="dxa"/>
                  <w:noWrap w:val="0"/>
                  <w:vAlign w:val="center"/>
                </w:tcPr>
                <w:p w14:paraId="6D777B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建筑物外距离</w:t>
                  </w:r>
                </w:p>
              </w:tc>
            </w:tr>
            <w:tr w14:paraId="2B26D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6" w:type="dxa"/>
                  <w:vMerge w:val="restart"/>
                  <w:noWrap w:val="0"/>
                  <w:vAlign w:val="center"/>
                </w:tcPr>
                <w:p w14:paraId="334517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1#生产车间</w:t>
                  </w:r>
                </w:p>
              </w:tc>
              <w:tc>
                <w:tcPr>
                  <w:tcW w:w="1648" w:type="dxa"/>
                  <w:noWrap w:val="0"/>
                  <w:vAlign w:val="center"/>
                </w:tcPr>
                <w:p w14:paraId="01A770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3#水力制料机</w:t>
                  </w:r>
                </w:p>
              </w:tc>
              <w:tc>
                <w:tcPr>
                  <w:tcW w:w="978" w:type="dxa"/>
                  <w:noWrap w:val="0"/>
                  <w:vAlign w:val="center"/>
                </w:tcPr>
                <w:p w14:paraId="44EE37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80</w:t>
                  </w:r>
                </w:p>
              </w:tc>
              <w:tc>
                <w:tcPr>
                  <w:tcW w:w="817" w:type="dxa"/>
                  <w:vMerge w:val="restart"/>
                  <w:noWrap w:val="0"/>
                  <w:vAlign w:val="center"/>
                </w:tcPr>
                <w:p w14:paraId="357154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rPr>
                    <w:t>选用低噪声设备，并采取减振、隔声措施</w:t>
                  </w:r>
                  <w:r>
                    <w:rPr>
                      <w:rFonts w:hint="eastAsia" w:cs="Times New Roman"/>
                      <w:color w:val="000000" w:themeColor="text1"/>
                      <w:sz w:val="21"/>
                      <w:szCs w:val="21"/>
                      <w:lang w:eastAsia="zh-CN"/>
                    </w:rPr>
                    <w:t>，</w:t>
                  </w:r>
                  <w:r>
                    <w:rPr>
                      <w:rFonts w:hint="eastAsia" w:cs="Times New Roman"/>
                      <w:color w:val="000000" w:themeColor="text1"/>
                      <w:sz w:val="21"/>
                      <w:szCs w:val="21"/>
                      <w:lang w:val="en-US" w:eastAsia="zh-CN"/>
                    </w:rPr>
                    <w:t>风机设置消声器</w:t>
                  </w:r>
                </w:p>
              </w:tc>
              <w:tc>
                <w:tcPr>
                  <w:tcW w:w="850" w:type="dxa"/>
                  <w:noWrap w:val="0"/>
                  <w:vAlign w:val="center"/>
                </w:tcPr>
                <w:p w14:paraId="1864624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23.42</w:t>
                  </w:r>
                </w:p>
              </w:tc>
              <w:tc>
                <w:tcPr>
                  <w:tcW w:w="709" w:type="dxa"/>
                  <w:noWrap w:val="0"/>
                  <w:vAlign w:val="center"/>
                </w:tcPr>
                <w:p w14:paraId="5E6C279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55.28</w:t>
                  </w:r>
                </w:p>
              </w:tc>
              <w:tc>
                <w:tcPr>
                  <w:tcW w:w="513" w:type="dxa"/>
                  <w:noWrap w:val="0"/>
                  <w:vAlign w:val="center"/>
                </w:tcPr>
                <w:p w14:paraId="32EA02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0.5</w:t>
                  </w:r>
                </w:p>
              </w:tc>
              <w:tc>
                <w:tcPr>
                  <w:tcW w:w="708" w:type="dxa"/>
                  <w:vMerge w:val="restart"/>
                  <w:noWrap w:val="0"/>
                  <w:vAlign w:val="center"/>
                </w:tcPr>
                <w:p w14:paraId="11CB55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lang w:val="en-US" w:eastAsia="zh-CN"/>
                    </w:rPr>
                    <w:t>24</w:t>
                  </w:r>
                  <w:r>
                    <w:rPr>
                      <w:rFonts w:hint="default" w:ascii="Times New Roman" w:hAnsi="Times New Roman" w:cs="Times New Roman"/>
                      <w:color w:val="000000" w:themeColor="text1"/>
                      <w:sz w:val="21"/>
                      <w:szCs w:val="21"/>
                    </w:rPr>
                    <w:t>小时连续</w:t>
                  </w:r>
                </w:p>
              </w:tc>
              <w:tc>
                <w:tcPr>
                  <w:tcW w:w="851" w:type="dxa"/>
                  <w:noWrap w:val="0"/>
                  <w:vAlign w:val="center"/>
                </w:tcPr>
                <w:p w14:paraId="0BBE0F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w:t>
                  </w:r>
                </w:p>
              </w:tc>
              <w:tc>
                <w:tcPr>
                  <w:tcW w:w="1690" w:type="dxa"/>
                  <w:noWrap w:val="0"/>
                  <w:vAlign w:val="center"/>
                </w:tcPr>
                <w:p w14:paraId="621C686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60</w:t>
                  </w:r>
                </w:p>
              </w:tc>
              <w:tc>
                <w:tcPr>
                  <w:tcW w:w="1692" w:type="dxa"/>
                  <w:vMerge w:val="restart"/>
                  <w:noWrap w:val="0"/>
                  <w:vAlign w:val="center"/>
                </w:tcPr>
                <w:p w14:paraId="63F710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边界外</w:t>
                  </w:r>
                </w:p>
                <w:p w14:paraId="0CA3AD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1m</w:t>
                  </w:r>
                </w:p>
              </w:tc>
            </w:tr>
            <w:tr w14:paraId="07D97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6" w:type="dxa"/>
                  <w:vMerge w:val="continue"/>
                  <w:noWrap w:val="0"/>
                  <w:vAlign w:val="center"/>
                </w:tcPr>
                <w:p w14:paraId="03E719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kern w:val="0"/>
                      <w:sz w:val="21"/>
                      <w:szCs w:val="21"/>
                    </w:rPr>
                  </w:pPr>
                </w:p>
              </w:tc>
              <w:tc>
                <w:tcPr>
                  <w:tcW w:w="1648" w:type="dxa"/>
                  <w:noWrap w:val="0"/>
                  <w:vAlign w:val="center"/>
                </w:tcPr>
                <w:p w14:paraId="1E19FC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kern w:val="0"/>
                      <w:sz w:val="21"/>
                      <w:szCs w:val="21"/>
                    </w:rPr>
                  </w:pPr>
                  <w:r>
                    <w:rPr>
                      <w:rFonts w:hint="eastAsia" w:ascii="Times New Roman" w:hAnsi="Times New Roman" w:cs="Times New Roman"/>
                      <w:color w:val="000000" w:themeColor="text1"/>
                      <w:sz w:val="21"/>
                      <w:szCs w:val="21"/>
                      <w:lang w:val="en-US" w:eastAsia="zh-CN"/>
                    </w:rPr>
                    <w:t>4#水力制料机</w:t>
                  </w:r>
                </w:p>
              </w:tc>
              <w:tc>
                <w:tcPr>
                  <w:tcW w:w="978" w:type="dxa"/>
                  <w:noWrap w:val="0"/>
                  <w:vAlign w:val="center"/>
                </w:tcPr>
                <w:p w14:paraId="4F6274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80</w:t>
                  </w:r>
                </w:p>
              </w:tc>
              <w:tc>
                <w:tcPr>
                  <w:tcW w:w="817" w:type="dxa"/>
                  <w:vMerge w:val="continue"/>
                  <w:noWrap w:val="0"/>
                  <w:vAlign w:val="center"/>
                </w:tcPr>
                <w:p w14:paraId="78652E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0" w:type="dxa"/>
                  <w:noWrap w:val="0"/>
                  <w:vAlign w:val="center"/>
                </w:tcPr>
                <w:p w14:paraId="7DEBD45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29.84</w:t>
                  </w:r>
                </w:p>
              </w:tc>
              <w:tc>
                <w:tcPr>
                  <w:tcW w:w="709" w:type="dxa"/>
                  <w:noWrap w:val="0"/>
                  <w:vAlign w:val="center"/>
                </w:tcPr>
                <w:p w14:paraId="040EE39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57.65</w:t>
                  </w:r>
                </w:p>
              </w:tc>
              <w:tc>
                <w:tcPr>
                  <w:tcW w:w="513" w:type="dxa"/>
                  <w:noWrap w:val="0"/>
                  <w:vAlign w:val="center"/>
                </w:tcPr>
                <w:p w14:paraId="2B24994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0.5</w:t>
                  </w:r>
                </w:p>
              </w:tc>
              <w:tc>
                <w:tcPr>
                  <w:tcW w:w="708" w:type="dxa"/>
                  <w:vMerge w:val="continue"/>
                  <w:noWrap w:val="0"/>
                  <w:vAlign w:val="center"/>
                </w:tcPr>
                <w:p w14:paraId="5827C6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1" w:type="dxa"/>
                  <w:noWrap w:val="0"/>
                  <w:vAlign w:val="center"/>
                </w:tcPr>
                <w:p w14:paraId="241FF6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w:t>
                  </w:r>
                </w:p>
              </w:tc>
              <w:tc>
                <w:tcPr>
                  <w:tcW w:w="1690" w:type="dxa"/>
                  <w:noWrap w:val="0"/>
                  <w:vAlign w:val="center"/>
                </w:tcPr>
                <w:p w14:paraId="604752E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60</w:t>
                  </w:r>
                </w:p>
              </w:tc>
              <w:tc>
                <w:tcPr>
                  <w:tcW w:w="1692" w:type="dxa"/>
                  <w:vMerge w:val="continue"/>
                  <w:noWrap w:val="0"/>
                  <w:vAlign w:val="center"/>
                </w:tcPr>
                <w:p w14:paraId="4C0076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r>
            <w:tr w14:paraId="1583D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6" w:type="dxa"/>
                  <w:vMerge w:val="continue"/>
                  <w:noWrap w:val="0"/>
                  <w:vAlign w:val="center"/>
                </w:tcPr>
                <w:p w14:paraId="50EF21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kern w:val="0"/>
                      <w:sz w:val="21"/>
                      <w:szCs w:val="21"/>
                    </w:rPr>
                  </w:pPr>
                </w:p>
              </w:tc>
              <w:tc>
                <w:tcPr>
                  <w:tcW w:w="1648" w:type="dxa"/>
                  <w:noWrap w:val="0"/>
                  <w:vAlign w:val="center"/>
                </w:tcPr>
                <w:p w14:paraId="7A2583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cs="Times New Roman"/>
                      <w:color w:val="000000" w:themeColor="text1"/>
                      <w:kern w:val="0"/>
                      <w:sz w:val="21"/>
                      <w:szCs w:val="21"/>
                    </w:rPr>
                  </w:pPr>
                  <w:r>
                    <w:rPr>
                      <w:rFonts w:hint="eastAsia" w:ascii="Times New Roman" w:hAnsi="Times New Roman" w:cs="Times New Roman"/>
                      <w:color w:val="000000" w:themeColor="text1"/>
                      <w:kern w:val="0"/>
                      <w:sz w:val="21"/>
                      <w:szCs w:val="21"/>
                      <w:lang w:val="en-US" w:eastAsia="zh-CN"/>
                    </w:rPr>
                    <w:t>2#搅拌机</w:t>
                  </w:r>
                </w:p>
              </w:tc>
              <w:tc>
                <w:tcPr>
                  <w:tcW w:w="978" w:type="dxa"/>
                  <w:noWrap w:val="0"/>
                  <w:vAlign w:val="center"/>
                </w:tcPr>
                <w:p w14:paraId="10DE44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85</w:t>
                  </w:r>
                </w:p>
              </w:tc>
              <w:tc>
                <w:tcPr>
                  <w:tcW w:w="817" w:type="dxa"/>
                  <w:vMerge w:val="continue"/>
                  <w:noWrap w:val="0"/>
                  <w:vAlign w:val="center"/>
                </w:tcPr>
                <w:p w14:paraId="623165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0" w:type="dxa"/>
                  <w:noWrap w:val="0"/>
                  <w:vAlign w:val="center"/>
                </w:tcPr>
                <w:p w14:paraId="4C1B77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20.88</w:t>
                  </w:r>
                </w:p>
              </w:tc>
              <w:tc>
                <w:tcPr>
                  <w:tcW w:w="709" w:type="dxa"/>
                  <w:noWrap w:val="0"/>
                  <w:vAlign w:val="center"/>
                </w:tcPr>
                <w:p w14:paraId="670A79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63.84</w:t>
                  </w:r>
                </w:p>
              </w:tc>
              <w:tc>
                <w:tcPr>
                  <w:tcW w:w="513" w:type="dxa"/>
                  <w:noWrap w:val="0"/>
                  <w:vAlign w:val="center"/>
                </w:tcPr>
                <w:p w14:paraId="0545B1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0.2</w:t>
                  </w:r>
                </w:p>
              </w:tc>
              <w:tc>
                <w:tcPr>
                  <w:tcW w:w="708" w:type="dxa"/>
                  <w:vMerge w:val="continue"/>
                  <w:noWrap w:val="0"/>
                  <w:vAlign w:val="center"/>
                </w:tcPr>
                <w:p w14:paraId="4DE6A5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1" w:type="dxa"/>
                  <w:noWrap w:val="0"/>
                  <w:vAlign w:val="center"/>
                </w:tcPr>
                <w:p w14:paraId="37658B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w:t>
                  </w:r>
                </w:p>
              </w:tc>
              <w:tc>
                <w:tcPr>
                  <w:tcW w:w="1690" w:type="dxa"/>
                  <w:noWrap w:val="0"/>
                  <w:vAlign w:val="center"/>
                </w:tcPr>
                <w:p w14:paraId="2B5A94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65</w:t>
                  </w:r>
                </w:p>
              </w:tc>
              <w:tc>
                <w:tcPr>
                  <w:tcW w:w="1692" w:type="dxa"/>
                  <w:vMerge w:val="continue"/>
                  <w:noWrap w:val="0"/>
                  <w:vAlign w:val="center"/>
                </w:tcPr>
                <w:p w14:paraId="6E7B872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r>
            <w:tr w14:paraId="62B97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6" w:type="dxa"/>
                  <w:vMerge w:val="continue"/>
                  <w:noWrap w:val="0"/>
                  <w:vAlign w:val="center"/>
                </w:tcPr>
                <w:p w14:paraId="688181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kern w:val="0"/>
                      <w:sz w:val="21"/>
                      <w:szCs w:val="21"/>
                    </w:rPr>
                  </w:pPr>
                </w:p>
              </w:tc>
              <w:tc>
                <w:tcPr>
                  <w:tcW w:w="1648" w:type="dxa"/>
                  <w:noWrap w:val="0"/>
                  <w:vAlign w:val="center"/>
                </w:tcPr>
                <w:p w14:paraId="22592E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cs="Times New Roman"/>
                      <w:color w:val="000000" w:themeColor="text1"/>
                      <w:kern w:val="0"/>
                      <w:sz w:val="21"/>
                      <w:szCs w:val="21"/>
                    </w:rPr>
                  </w:pPr>
                  <w:r>
                    <w:rPr>
                      <w:rFonts w:hint="eastAsia" w:ascii="Times New Roman" w:hAnsi="Times New Roman" w:cs="Times New Roman"/>
                      <w:color w:val="000000" w:themeColor="text1"/>
                      <w:kern w:val="0"/>
                      <w:sz w:val="21"/>
                      <w:szCs w:val="21"/>
                      <w:lang w:val="en-US" w:eastAsia="zh-CN"/>
                    </w:rPr>
                    <w:t>3#搅拌机</w:t>
                  </w:r>
                </w:p>
              </w:tc>
              <w:tc>
                <w:tcPr>
                  <w:tcW w:w="978" w:type="dxa"/>
                  <w:noWrap w:val="0"/>
                  <w:vAlign w:val="center"/>
                </w:tcPr>
                <w:p w14:paraId="0646A0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85</w:t>
                  </w:r>
                </w:p>
              </w:tc>
              <w:tc>
                <w:tcPr>
                  <w:tcW w:w="817" w:type="dxa"/>
                  <w:vMerge w:val="continue"/>
                  <w:noWrap w:val="0"/>
                  <w:vAlign w:val="center"/>
                </w:tcPr>
                <w:p w14:paraId="23AB85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0" w:type="dxa"/>
                  <w:noWrap w:val="0"/>
                  <w:vAlign w:val="center"/>
                </w:tcPr>
                <w:p w14:paraId="10970CF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28.49</w:t>
                  </w:r>
                </w:p>
              </w:tc>
              <w:tc>
                <w:tcPr>
                  <w:tcW w:w="709" w:type="dxa"/>
                  <w:noWrap w:val="0"/>
                  <w:vAlign w:val="center"/>
                </w:tcPr>
                <w:p w14:paraId="0931DE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63.26</w:t>
                  </w:r>
                </w:p>
              </w:tc>
              <w:tc>
                <w:tcPr>
                  <w:tcW w:w="513" w:type="dxa"/>
                  <w:noWrap w:val="0"/>
                  <w:vAlign w:val="center"/>
                </w:tcPr>
                <w:p w14:paraId="001FE5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0.2</w:t>
                  </w:r>
                </w:p>
              </w:tc>
              <w:tc>
                <w:tcPr>
                  <w:tcW w:w="708" w:type="dxa"/>
                  <w:vMerge w:val="continue"/>
                  <w:noWrap w:val="0"/>
                  <w:vAlign w:val="center"/>
                </w:tcPr>
                <w:p w14:paraId="65BCEA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1" w:type="dxa"/>
                  <w:noWrap w:val="0"/>
                  <w:vAlign w:val="center"/>
                </w:tcPr>
                <w:p w14:paraId="198DCF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w:t>
                  </w:r>
                </w:p>
              </w:tc>
              <w:tc>
                <w:tcPr>
                  <w:tcW w:w="1690" w:type="dxa"/>
                  <w:noWrap w:val="0"/>
                  <w:vAlign w:val="center"/>
                </w:tcPr>
                <w:p w14:paraId="191AF5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65</w:t>
                  </w:r>
                </w:p>
              </w:tc>
              <w:tc>
                <w:tcPr>
                  <w:tcW w:w="1692" w:type="dxa"/>
                  <w:vMerge w:val="continue"/>
                  <w:noWrap w:val="0"/>
                  <w:vAlign w:val="center"/>
                </w:tcPr>
                <w:p w14:paraId="5A7AF7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r>
            <w:tr w14:paraId="6271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6" w:type="dxa"/>
                  <w:vMerge w:val="continue"/>
                  <w:noWrap w:val="0"/>
                  <w:vAlign w:val="center"/>
                </w:tcPr>
                <w:p w14:paraId="77C0DE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kern w:val="0"/>
                      <w:sz w:val="21"/>
                      <w:szCs w:val="21"/>
                    </w:rPr>
                  </w:pPr>
                </w:p>
              </w:tc>
              <w:tc>
                <w:tcPr>
                  <w:tcW w:w="1648" w:type="dxa"/>
                  <w:noWrap w:val="0"/>
                  <w:vAlign w:val="center"/>
                </w:tcPr>
                <w:p w14:paraId="680A5D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翻板成型机</w:t>
                  </w:r>
                </w:p>
              </w:tc>
              <w:tc>
                <w:tcPr>
                  <w:tcW w:w="978" w:type="dxa"/>
                  <w:noWrap w:val="0"/>
                  <w:vAlign w:val="center"/>
                </w:tcPr>
                <w:p w14:paraId="46F035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80</w:t>
                  </w:r>
                </w:p>
              </w:tc>
              <w:tc>
                <w:tcPr>
                  <w:tcW w:w="817" w:type="dxa"/>
                  <w:vMerge w:val="continue"/>
                  <w:noWrap w:val="0"/>
                  <w:vAlign w:val="center"/>
                </w:tcPr>
                <w:p w14:paraId="5D43AF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0" w:type="dxa"/>
                  <w:noWrap w:val="0"/>
                  <w:vAlign w:val="center"/>
                </w:tcPr>
                <w:p w14:paraId="248DC01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37.54</w:t>
                  </w:r>
                </w:p>
              </w:tc>
              <w:tc>
                <w:tcPr>
                  <w:tcW w:w="709" w:type="dxa"/>
                  <w:noWrap w:val="0"/>
                  <w:vAlign w:val="center"/>
                </w:tcPr>
                <w:p w14:paraId="3848F2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57.23</w:t>
                  </w:r>
                </w:p>
              </w:tc>
              <w:tc>
                <w:tcPr>
                  <w:tcW w:w="513" w:type="dxa"/>
                  <w:noWrap w:val="0"/>
                  <w:vAlign w:val="center"/>
                </w:tcPr>
                <w:p w14:paraId="3271AB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1.0</w:t>
                  </w:r>
                </w:p>
              </w:tc>
              <w:tc>
                <w:tcPr>
                  <w:tcW w:w="708" w:type="dxa"/>
                  <w:vMerge w:val="continue"/>
                  <w:noWrap w:val="0"/>
                  <w:vAlign w:val="center"/>
                </w:tcPr>
                <w:p w14:paraId="5AD8A6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1" w:type="dxa"/>
                  <w:noWrap w:val="0"/>
                  <w:vAlign w:val="center"/>
                </w:tcPr>
                <w:p w14:paraId="265B96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w:t>
                  </w:r>
                </w:p>
              </w:tc>
              <w:tc>
                <w:tcPr>
                  <w:tcW w:w="1690" w:type="dxa"/>
                  <w:noWrap w:val="0"/>
                  <w:vAlign w:val="center"/>
                </w:tcPr>
                <w:p w14:paraId="69670F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60</w:t>
                  </w:r>
                </w:p>
              </w:tc>
              <w:tc>
                <w:tcPr>
                  <w:tcW w:w="1692" w:type="dxa"/>
                  <w:vMerge w:val="continue"/>
                  <w:noWrap w:val="0"/>
                  <w:vAlign w:val="center"/>
                </w:tcPr>
                <w:p w14:paraId="082F8A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r>
            <w:tr w14:paraId="18554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6" w:type="dxa"/>
                  <w:vMerge w:val="continue"/>
                  <w:noWrap w:val="0"/>
                  <w:vAlign w:val="center"/>
                </w:tcPr>
                <w:p w14:paraId="3E556D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kern w:val="0"/>
                      <w:sz w:val="21"/>
                      <w:szCs w:val="21"/>
                    </w:rPr>
                  </w:pPr>
                </w:p>
              </w:tc>
              <w:tc>
                <w:tcPr>
                  <w:tcW w:w="1648" w:type="dxa"/>
                  <w:noWrap w:val="0"/>
                  <w:vAlign w:val="center"/>
                </w:tcPr>
                <w:p w14:paraId="4585B6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1#热压定型机</w:t>
                  </w:r>
                </w:p>
              </w:tc>
              <w:tc>
                <w:tcPr>
                  <w:tcW w:w="978" w:type="dxa"/>
                  <w:noWrap w:val="0"/>
                  <w:vAlign w:val="center"/>
                </w:tcPr>
                <w:p w14:paraId="56075B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80</w:t>
                  </w:r>
                </w:p>
              </w:tc>
              <w:tc>
                <w:tcPr>
                  <w:tcW w:w="817" w:type="dxa"/>
                  <w:vMerge w:val="continue"/>
                  <w:noWrap w:val="0"/>
                  <w:vAlign w:val="center"/>
                </w:tcPr>
                <w:p w14:paraId="61277F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0" w:type="dxa"/>
                  <w:noWrap w:val="0"/>
                  <w:vAlign w:val="center"/>
                </w:tcPr>
                <w:p w14:paraId="72DAF9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40.55</w:t>
                  </w:r>
                </w:p>
              </w:tc>
              <w:tc>
                <w:tcPr>
                  <w:tcW w:w="709" w:type="dxa"/>
                  <w:noWrap w:val="0"/>
                  <w:vAlign w:val="center"/>
                </w:tcPr>
                <w:p w14:paraId="5CBFDC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59.24</w:t>
                  </w:r>
                </w:p>
              </w:tc>
              <w:tc>
                <w:tcPr>
                  <w:tcW w:w="513" w:type="dxa"/>
                  <w:noWrap w:val="0"/>
                  <w:vAlign w:val="center"/>
                </w:tcPr>
                <w:p w14:paraId="4BE3AC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1.0</w:t>
                  </w:r>
                </w:p>
              </w:tc>
              <w:tc>
                <w:tcPr>
                  <w:tcW w:w="708" w:type="dxa"/>
                  <w:vMerge w:val="continue"/>
                  <w:noWrap w:val="0"/>
                  <w:vAlign w:val="center"/>
                </w:tcPr>
                <w:p w14:paraId="7F17D1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1" w:type="dxa"/>
                  <w:noWrap w:val="0"/>
                  <w:vAlign w:val="center"/>
                </w:tcPr>
                <w:p w14:paraId="29F5FF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w:t>
                  </w:r>
                </w:p>
              </w:tc>
              <w:tc>
                <w:tcPr>
                  <w:tcW w:w="1690" w:type="dxa"/>
                  <w:noWrap w:val="0"/>
                  <w:vAlign w:val="center"/>
                </w:tcPr>
                <w:p w14:paraId="65C4EEF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60</w:t>
                  </w:r>
                </w:p>
              </w:tc>
              <w:tc>
                <w:tcPr>
                  <w:tcW w:w="1692" w:type="dxa"/>
                  <w:vMerge w:val="continue"/>
                  <w:noWrap w:val="0"/>
                  <w:vAlign w:val="center"/>
                </w:tcPr>
                <w:p w14:paraId="071C89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r>
            <w:tr w14:paraId="6F91B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6" w:type="dxa"/>
                  <w:vMerge w:val="continue"/>
                  <w:noWrap w:val="0"/>
                  <w:vAlign w:val="center"/>
                </w:tcPr>
                <w:p w14:paraId="099457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kern w:val="0"/>
                      <w:sz w:val="21"/>
                      <w:szCs w:val="21"/>
                    </w:rPr>
                  </w:pPr>
                </w:p>
              </w:tc>
              <w:tc>
                <w:tcPr>
                  <w:tcW w:w="1648" w:type="dxa"/>
                  <w:noWrap w:val="0"/>
                  <w:vAlign w:val="center"/>
                </w:tcPr>
                <w:p w14:paraId="1FF326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lang w:val="en-US" w:eastAsia="zh-CN"/>
                    </w:rPr>
                    <w:t>2#热压定型机</w:t>
                  </w:r>
                </w:p>
              </w:tc>
              <w:tc>
                <w:tcPr>
                  <w:tcW w:w="978" w:type="dxa"/>
                  <w:noWrap w:val="0"/>
                  <w:vAlign w:val="center"/>
                </w:tcPr>
                <w:p w14:paraId="1EF9AD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80</w:t>
                  </w:r>
                </w:p>
              </w:tc>
              <w:tc>
                <w:tcPr>
                  <w:tcW w:w="817" w:type="dxa"/>
                  <w:vMerge w:val="continue"/>
                  <w:noWrap w:val="0"/>
                  <w:vAlign w:val="center"/>
                </w:tcPr>
                <w:p w14:paraId="579292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0" w:type="dxa"/>
                  <w:noWrap w:val="0"/>
                  <w:vAlign w:val="center"/>
                </w:tcPr>
                <w:p w14:paraId="4126A6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39.12</w:t>
                  </w:r>
                </w:p>
              </w:tc>
              <w:tc>
                <w:tcPr>
                  <w:tcW w:w="709" w:type="dxa"/>
                  <w:noWrap w:val="0"/>
                  <w:vAlign w:val="center"/>
                </w:tcPr>
                <w:p w14:paraId="33B696F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61.97</w:t>
                  </w:r>
                </w:p>
              </w:tc>
              <w:tc>
                <w:tcPr>
                  <w:tcW w:w="513" w:type="dxa"/>
                  <w:noWrap w:val="0"/>
                  <w:vAlign w:val="center"/>
                </w:tcPr>
                <w:p w14:paraId="598792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1.0</w:t>
                  </w:r>
                </w:p>
              </w:tc>
              <w:tc>
                <w:tcPr>
                  <w:tcW w:w="708" w:type="dxa"/>
                  <w:vMerge w:val="continue"/>
                  <w:noWrap w:val="0"/>
                  <w:vAlign w:val="center"/>
                </w:tcPr>
                <w:p w14:paraId="07A142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1" w:type="dxa"/>
                  <w:noWrap w:val="0"/>
                  <w:vAlign w:val="center"/>
                </w:tcPr>
                <w:p w14:paraId="3AA834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w:t>
                  </w:r>
                </w:p>
              </w:tc>
              <w:tc>
                <w:tcPr>
                  <w:tcW w:w="1690" w:type="dxa"/>
                  <w:noWrap w:val="0"/>
                  <w:vAlign w:val="center"/>
                </w:tcPr>
                <w:p w14:paraId="5447C7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60</w:t>
                  </w:r>
                </w:p>
              </w:tc>
              <w:tc>
                <w:tcPr>
                  <w:tcW w:w="1692" w:type="dxa"/>
                  <w:vMerge w:val="continue"/>
                  <w:noWrap w:val="0"/>
                  <w:vAlign w:val="center"/>
                </w:tcPr>
                <w:p w14:paraId="749403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r>
            <w:tr w14:paraId="79DE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6" w:type="dxa"/>
                  <w:vMerge w:val="continue"/>
                  <w:noWrap w:val="0"/>
                  <w:vAlign w:val="center"/>
                </w:tcPr>
                <w:p w14:paraId="502F54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kern w:val="0"/>
                      <w:sz w:val="21"/>
                      <w:szCs w:val="21"/>
                    </w:rPr>
                  </w:pPr>
                </w:p>
              </w:tc>
              <w:tc>
                <w:tcPr>
                  <w:tcW w:w="1648" w:type="dxa"/>
                  <w:noWrap w:val="0"/>
                  <w:vAlign w:val="center"/>
                </w:tcPr>
                <w:p w14:paraId="152A11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3#真空泵</w:t>
                  </w:r>
                </w:p>
              </w:tc>
              <w:tc>
                <w:tcPr>
                  <w:tcW w:w="978" w:type="dxa"/>
                  <w:noWrap w:val="0"/>
                  <w:vAlign w:val="center"/>
                </w:tcPr>
                <w:p w14:paraId="168259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85</w:t>
                  </w:r>
                </w:p>
              </w:tc>
              <w:tc>
                <w:tcPr>
                  <w:tcW w:w="817" w:type="dxa"/>
                  <w:vMerge w:val="continue"/>
                  <w:noWrap w:val="0"/>
                  <w:vAlign w:val="center"/>
                </w:tcPr>
                <w:p w14:paraId="5E53C3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0" w:type="dxa"/>
                  <w:noWrap w:val="0"/>
                  <w:vAlign w:val="center"/>
                </w:tcPr>
                <w:p w14:paraId="528E5A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35.96</w:t>
                  </w:r>
                </w:p>
              </w:tc>
              <w:tc>
                <w:tcPr>
                  <w:tcW w:w="709" w:type="dxa"/>
                  <w:noWrap w:val="0"/>
                  <w:vAlign w:val="center"/>
                </w:tcPr>
                <w:p w14:paraId="665AAF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62.69</w:t>
                  </w:r>
                </w:p>
              </w:tc>
              <w:tc>
                <w:tcPr>
                  <w:tcW w:w="513" w:type="dxa"/>
                  <w:noWrap w:val="0"/>
                  <w:vAlign w:val="center"/>
                </w:tcPr>
                <w:p w14:paraId="28C570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0.2</w:t>
                  </w:r>
                </w:p>
              </w:tc>
              <w:tc>
                <w:tcPr>
                  <w:tcW w:w="708" w:type="dxa"/>
                  <w:vMerge w:val="continue"/>
                  <w:noWrap w:val="0"/>
                  <w:vAlign w:val="center"/>
                </w:tcPr>
                <w:p w14:paraId="6588FA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1" w:type="dxa"/>
                  <w:noWrap w:val="0"/>
                  <w:vAlign w:val="center"/>
                </w:tcPr>
                <w:p w14:paraId="1C5689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w:t>
                  </w:r>
                </w:p>
              </w:tc>
              <w:tc>
                <w:tcPr>
                  <w:tcW w:w="1690" w:type="dxa"/>
                  <w:noWrap w:val="0"/>
                  <w:vAlign w:val="center"/>
                </w:tcPr>
                <w:p w14:paraId="78BC788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65</w:t>
                  </w:r>
                </w:p>
              </w:tc>
              <w:tc>
                <w:tcPr>
                  <w:tcW w:w="1692" w:type="dxa"/>
                  <w:vMerge w:val="continue"/>
                  <w:noWrap w:val="0"/>
                  <w:vAlign w:val="center"/>
                </w:tcPr>
                <w:p w14:paraId="36985D1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r>
            <w:tr w14:paraId="2874E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6" w:type="dxa"/>
                  <w:vMerge w:val="continue"/>
                  <w:noWrap w:val="0"/>
                  <w:vAlign w:val="center"/>
                </w:tcPr>
                <w:p w14:paraId="2BD820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kern w:val="0"/>
                      <w:sz w:val="21"/>
                      <w:szCs w:val="21"/>
                    </w:rPr>
                  </w:pPr>
                </w:p>
              </w:tc>
              <w:tc>
                <w:tcPr>
                  <w:tcW w:w="1648" w:type="dxa"/>
                  <w:noWrap w:val="0"/>
                  <w:vAlign w:val="center"/>
                </w:tcPr>
                <w:p w14:paraId="571E5B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3#打包机</w:t>
                  </w:r>
                </w:p>
              </w:tc>
              <w:tc>
                <w:tcPr>
                  <w:tcW w:w="978" w:type="dxa"/>
                  <w:noWrap w:val="0"/>
                  <w:vAlign w:val="center"/>
                </w:tcPr>
                <w:p w14:paraId="2420F8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70</w:t>
                  </w:r>
                </w:p>
              </w:tc>
              <w:tc>
                <w:tcPr>
                  <w:tcW w:w="817" w:type="dxa"/>
                  <w:vMerge w:val="continue"/>
                  <w:noWrap w:val="0"/>
                  <w:vAlign w:val="center"/>
                </w:tcPr>
                <w:p w14:paraId="6792F4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0" w:type="dxa"/>
                  <w:noWrap w:val="0"/>
                  <w:vAlign w:val="center"/>
                </w:tcPr>
                <w:p w14:paraId="39C29E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43.71</w:t>
                  </w:r>
                </w:p>
              </w:tc>
              <w:tc>
                <w:tcPr>
                  <w:tcW w:w="709" w:type="dxa"/>
                  <w:noWrap w:val="0"/>
                  <w:vAlign w:val="center"/>
                </w:tcPr>
                <w:p w14:paraId="3271E92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64.84</w:t>
                  </w:r>
                </w:p>
              </w:tc>
              <w:tc>
                <w:tcPr>
                  <w:tcW w:w="513" w:type="dxa"/>
                  <w:noWrap w:val="0"/>
                  <w:vAlign w:val="center"/>
                </w:tcPr>
                <w:p w14:paraId="1CCF47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0.5</w:t>
                  </w:r>
                </w:p>
              </w:tc>
              <w:tc>
                <w:tcPr>
                  <w:tcW w:w="708" w:type="dxa"/>
                  <w:vMerge w:val="continue"/>
                  <w:noWrap w:val="0"/>
                  <w:vAlign w:val="center"/>
                </w:tcPr>
                <w:p w14:paraId="7941D2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1" w:type="dxa"/>
                  <w:noWrap w:val="0"/>
                  <w:vAlign w:val="center"/>
                </w:tcPr>
                <w:p w14:paraId="616D0A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w:t>
                  </w:r>
                </w:p>
              </w:tc>
              <w:tc>
                <w:tcPr>
                  <w:tcW w:w="1690" w:type="dxa"/>
                  <w:noWrap w:val="0"/>
                  <w:vAlign w:val="center"/>
                </w:tcPr>
                <w:p w14:paraId="578B169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50</w:t>
                  </w:r>
                </w:p>
              </w:tc>
              <w:tc>
                <w:tcPr>
                  <w:tcW w:w="1692" w:type="dxa"/>
                  <w:vMerge w:val="continue"/>
                  <w:noWrap w:val="0"/>
                  <w:vAlign w:val="center"/>
                </w:tcPr>
                <w:p w14:paraId="6BD600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r>
            <w:tr w14:paraId="6600B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6" w:type="dxa"/>
                  <w:vMerge w:val="restart"/>
                  <w:noWrap w:val="0"/>
                  <w:vAlign w:val="center"/>
                </w:tcPr>
                <w:p w14:paraId="4DEAAC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2#生产车间</w:t>
                  </w:r>
                </w:p>
              </w:tc>
              <w:tc>
                <w:tcPr>
                  <w:tcW w:w="1648" w:type="dxa"/>
                  <w:noWrap w:val="0"/>
                  <w:vAlign w:val="center"/>
                </w:tcPr>
                <w:p w14:paraId="1546CF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kern w:val="0"/>
                      <w:sz w:val="21"/>
                      <w:szCs w:val="21"/>
                    </w:rPr>
                  </w:pPr>
                  <w:r>
                    <w:rPr>
                      <w:rFonts w:hint="eastAsia" w:ascii="Times New Roman" w:hAnsi="Times New Roman" w:cs="Times New Roman"/>
                      <w:color w:val="000000" w:themeColor="text1"/>
                      <w:sz w:val="21"/>
                      <w:szCs w:val="21"/>
                      <w:lang w:val="en-US" w:eastAsia="zh-CN"/>
                    </w:rPr>
                    <w:t>1#水力制料机</w:t>
                  </w:r>
                </w:p>
              </w:tc>
              <w:tc>
                <w:tcPr>
                  <w:tcW w:w="978" w:type="dxa"/>
                  <w:noWrap w:val="0"/>
                  <w:vAlign w:val="center"/>
                </w:tcPr>
                <w:p w14:paraId="77C5A7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80</w:t>
                  </w:r>
                </w:p>
              </w:tc>
              <w:tc>
                <w:tcPr>
                  <w:tcW w:w="817" w:type="dxa"/>
                  <w:vMerge w:val="continue"/>
                  <w:noWrap w:val="0"/>
                  <w:vAlign w:val="center"/>
                </w:tcPr>
                <w:p w14:paraId="123053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0" w:type="dxa"/>
                  <w:noWrap w:val="0"/>
                  <w:vAlign w:val="center"/>
                </w:tcPr>
                <w:p w14:paraId="5B66AF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19.54</w:t>
                  </w:r>
                </w:p>
              </w:tc>
              <w:tc>
                <w:tcPr>
                  <w:tcW w:w="709" w:type="dxa"/>
                  <w:noWrap w:val="0"/>
                  <w:vAlign w:val="center"/>
                </w:tcPr>
                <w:p w14:paraId="218475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60.86</w:t>
                  </w:r>
                </w:p>
              </w:tc>
              <w:tc>
                <w:tcPr>
                  <w:tcW w:w="513" w:type="dxa"/>
                  <w:noWrap w:val="0"/>
                  <w:vAlign w:val="center"/>
                </w:tcPr>
                <w:p w14:paraId="279B28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0.5</w:t>
                  </w:r>
                </w:p>
              </w:tc>
              <w:tc>
                <w:tcPr>
                  <w:tcW w:w="708" w:type="dxa"/>
                  <w:vMerge w:val="continue"/>
                  <w:noWrap w:val="0"/>
                  <w:vAlign w:val="center"/>
                </w:tcPr>
                <w:p w14:paraId="3870DC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1" w:type="dxa"/>
                  <w:noWrap w:val="0"/>
                  <w:vAlign w:val="center"/>
                </w:tcPr>
                <w:p w14:paraId="3EA3A7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w:t>
                  </w:r>
                </w:p>
              </w:tc>
              <w:tc>
                <w:tcPr>
                  <w:tcW w:w="1690" w:type="dxa"/>
                  <w:noWrap w:val="0"/>
                  <w:vAlign w:val="center"/>
                </w:tcPr>
                <w:p w14:paraId="2A3446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60</w:t>
                  </w:r>
                </w:p>
              </w:tc>
              <w:tc>
                <w:tcPr>
                  <w:tcW w:w="1692" w:type="dxa"/>
                  <w:vMerge w:val="continue"/>
                  <w:noWrap w:val="0"/>
                  <w:vAlign w:val="center"/>
                </w:tcPr>
                <w:p w14:paraId="13CE162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r>
            <w:tr w14:paraId="719FC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6" w:type="dxa"/>
                  <w:vMerge w:val="continue"/>
                  <w:noWrap w:val="0"/>
                  <w:vAlign w:val="center"/>
                </w:tcPr>
                <w:p w14:paraId="223811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kern w:val="0"/>
                      <w:sz w:val="21"/>
                      <w:szCs w:val="21"/>
                    </w:rPr>
                  </w:pPr>
                </w:p>
              </w:tc>
              <w:tc>
                <w:tcPr>
                  <w:tcW w:w="1648" w:type="dxa"/>
                  <w:noWrap w:val="0"/>
                  <w:vAlign w:val="center"/>
                </w:tcPr>
                <w:p w14:paraId="5A4DDC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kern w:val="0"/>
                      <w:sz w:val="21"/>
                      <w:szCs w:val="21"/>
                    </w:rPr>
                  </w:pPr>
                  <w:r>
                    <w:rPr>
                      <w:rFonts w:hint="eastAsia" w:ascii="Times New Roman" w:hAnsi="Times New Roman" w:cs="Times New Roman"/>
                      <w:color w:val="000000" w:themeColor="text1"/>
                      <w:sz w:val="21"/>
                      <w:szCs w:val="21"/>
                      <w:lang w:val="en-US" w:eastAsia="zh-CN"/>
                    </w:rPr>
                    <w:t>2#水力制料机</w:t>
                  </w:r>
                </w:p>
              </w:tc>
              <w:tc>
                <w:tcPr>
                  <w:tcW w:w="978" w:type="dxa"/>
                  <w:noWrap w:val="0"/>
                  <w:vAlign w:val="center"/>
                </w:tcPr>
                <w:p w14:paraId="264DD3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80</w:t>
                  </w:r>
                </w:p>
              </w:tc>
              <w:tc>
                <w:tcPr>
                  <w:tcW w:w="817" w:type="dxa"/>
                  <w:vMerge w:val="continue"/>
                  <w:noWrap w:val="0"/>
                  <w:vAlign w:val="center"/>
                </w:tcPr>
                <w:p w14:paraId="1D0BF3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0" w:type="dxa"/>
                  <w:noWrap w:val="0"/>
                  <w:vAlign w:val="center"/>
                </w:tcPr>
                <w:p w14:paraId="5F767F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24.44</w:t>
                  </w:r>
                </w:p>
              </w:tc>
              <w:tc>
                <w:tcPr>
                  <w:tcW w:w="709" w:type="dxa"/>
                  <w:noWrap w:val="0"/>
                  <w:vAlign w:val="center"/>
                </w:tcPr>
                <w:p w14:paraId="4CA5C5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64.57</w:t>
                  </w:r>
                </w:p>
              </w:tc>
              <w:tc>
                <w:tcPr>
                  <w:tcW w:w="513" w:type="dxa"/>
                  <w:noWrap w:val="0"/>
                  <w:vAlign w:val="center"/>
                </w:tcPr>
                <w:p w14:paraId="51C4DF7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0.5</w:t>
                  </w:r>
                </w:p>
              </w:tc>
              <w:tc>
                <w:tcPr>
                  <w:tcW w:w="708" w:type="dxa"/>
                  <w:vMerge w:val="continue"/>
                  <w:noWrap w:val="0"/>
                  <w:vAlign w:val="center"/>
                </w:tcPr>
                <w:p w14:paraId="26DFDE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1" w:type="dxa"/>
                  <w:noWrap w:val="0"/>
                  <w:vAlign w:val="center"/>
                </w:tcPr>
                <w:p w14:paraId="6FB459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w:t>
                  </w:r>
                </w:p>
              </w:tc>
              <w:tc>
                <w:tcPr>
                  <w:tcW w:w="1690" w:type="dxa"/>
                  <w:noWrap w:val="0"/>
                  <w:vAlign w:val="center"/>
                </w:tcPr>
                <w:p w14:paraId="40C92D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60</w:t>
                  </w:r>
                </w:p>
              </w:tc>
              <w:tc>
                <w:tcPr>
                  <w:tcW w:w="1692" w:type="dxa"/>
                  <w:vMerge w:val="continue"/>
                  <w:noWrap w:val="0"/>
                  <w:vAlign w:val="center"/>
                </w:tcPr>
                <w:p w14:paraId="3244B3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r>
            <w:tr w14:paraId="7CAC0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6" w:type="dxa"/>
                  <w:vMerge w:val="continue"/>
                  <w:noWrap w:val="0"/>
                  <w:vAlign w:val="center"/>
                </w:tcPr>
                <w:p w14:paraId="6267D2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kern w:val="0"/>
                      <w:sz w:val="21"/>
                      <w:szCs w:val="21"/>
                    </w:rPr>
                  </w:pPr>
                </w:p>
              </w:tc>
              <w:tc>
                <w:tcPr>
                  <w:tcW w:w="1648" w:type="dxa"/>
                  <w:noWrap w:val="0"/>
                  <w:vAlign w:val="center"/>
                </w:tcPr>
                <w:p w14:paraId="690E66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1#搅拌机</w:t>
                  </w:r>
                </w:p>
              </w:tc>
              <w:tc>
                <w:tcPr>
                  <w:tcW w:w="978" w:type="dxa"/>
                  <w:noWrap w:val="0"/>
                  <w:vAlign w:val="center"/>
                </w:tcPr>
                <w:p w14:paraId="1065F6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85</w:t>
                  </w:r>
                </w:p>
              </w:tc>
              <w:tc>
                <w:tcPr>
                  <w:tcW w:w="817" w:type="dxa"/>
                  <w:vMerge w:val="continue"/>
                  <w:noWrap w:val="0"/>
                  <w:vAlign w:val="center"/>
                </w:tcPr>
                <w:p w14:paraId="195556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0" w:type="dxa"/>
                  <w:noWrap w:val="0"/>
                  <w:vAlign w:val="center"/>
                </w:tcPr>
                <w:p w14:paraId="3079D38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19.87</w:t>
                  </w:r>
                </w:p>
              </w:tc>
              <w:tc>
                <w:tcPr>
                  <w:tcW w:w="709" w:type="dxa"/>
                  <w:noWrap w:val="0"/>
                  <w:vAlign w:val="center"/>
                </w:tcPr>
                <w:p w14:paraId="0818688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55.94</w:t>
                  </w:r>
                </w:p>
              </w:tc>
              <w:tc>
                <w:tcPr>
                  <w:tcW w:w="513" w:type="dxa"/>
                  <w:noWrap w:val="0"/>
                  <w:vAlign w:val="center"/>
                </w:tcPr>
                <w:p w14:paraId="130810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0.2</w:t>
                  </w:r>
                </w:p>
              </w:tc>
              <w:tc>
                <w:tcPr>
                  <w:tcW w:w="708" w:type="dxa"/>
                  <w:vMerge w:val="continue"/>
                  <w:noWrap w:val="0"/>
                  <w:vAlign w:val="center"/>
                </w:tcPr>
                <w:p w14:paraId="6DA0F0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1" w:type="dxa"/>
                  <w:noWrap w:val="0"/>
                  <w:vAlign w:val="center"/>
                </w:tcPr>
                <w:p w14:paraId="711C36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w:t>
                  </w:r>
                </w:p>
              </w:tc>
              <w:tc>
                <w:tcPr>
                  <w:tcW w:w="1690" w:type="dxa"/>
                  <w:noWrap w:val="0"/>
                  <w:vAlign w:val="center"/>
                </w:tcPr>
                <w:p w14:paraId="4C19761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65</w:t>
                  </w:r>
                </w:p>
              </w:tc>
              <w:tc>
                <w:tcPr>
                  <w:tcW w:w="1692" w:type="dxa"/>
                  <w:vMerge w:val="continue"/>
                  <w:noWrap w:val="0"/>
                  <w:vAlign w:val="center"/>
                </w:tcPr>
                <w:p w14:paraId="5A4C87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r>
            <w:tr w14:paraId="3782C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6" w:type="dxa"/>
                  <w:vMerge w:val="continue"/>
                  <w:noWrap w:val="0"/>
                  <w:vAlign w:val="center"/>
                </w:tcPr>
                <w:p w14:paraId="084D31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kern w:val="0"/>
                      <w:sz w:val="21"/>
                      <w:szCs w:val="21"/>
                    </w:rPr>
                  </w:pPr>
                </w:p>
              </w:tc>
              <w:tc>
                <w:tcPr>
                  <w:tcW w:w="1648" w:type="dxa"/>
                  <w:noWrap w:val="0"/>
                  <w:vAlign w:val="center"/>
                </w:tcPr>
                <w:p w14:paraId="79BD7C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kern w:val="0"/>
                      <w:sz w:val="21"/>
                      <w:szCs w:val="21"/>
                    </w:rPr>
                  </w:pPr>
                  <w:r>
                    <w:rPr>
                      <w:rFonts w:hint="eastAsia" w:ascii="Times New Roman" w:hAnsi="Times New Roman" w:cs="Times New Roman"/>
                      <w:color w:val="000000" w:themeColor="text1"/>
                      <w:kern w:val="0"/>
                      <w:sz w:val="21"/>
                      <w:szCs w:val="21"/>
                      <w:lang w:val="en-US" w:eastAsia="zh-CN"/>
                    </w:rPr>
                    <w:t>4#搅拌机</w:t>
                  </w:r>
                </w:p>
              </w:tc>
              <w:tc>
                <w:tcPr>
                  <w:tcW w:w="978" w:type="dxa"/>
                  <w:noWrap w:val="0"/>
                  <w:vAlign w:val="center"/>
                </w:tcPr>
                <w:p w14:paraId="39A466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85</w:t>
                  </w:r>
                </w:p>
              </w:tc>
              <w:tc>
                <w:tcPr>
                  <w:tcW w:w="817" w:type="dxa"/>
                  <w:vMerge w:val="continue"/>
                  <w:noWrap w:val="0"/>
                  <w:vAlign w:val="center"/>
                </w:tcPr>
                <w:p w14:paraId="07526C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0" w:type="dxa"/>
                  <w:noWrap w:val="0"/>
                  <w:vAlign w:val="center"/>
                </w:tcPr>
                <w:p w14:paraId="505944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26.77</w:t>
                  </w:r>
                </w:p>
              </w:tc>
              <w:tc>
                <w:tcPr>
                  <w:tcW w:w="709" w:type="dxa"/>
                  <w:noWrap w:val="0"/>
                  <w:vAlign w:val="center"/>
                </w:tcPr>
                <w:p w14:paraId="650617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55.65</w:t>
                  </w:r>
                </w:p>
              </w:tc>
              <w:tc>
                <w:tcPr>
                  <w:tcW w:w="513" w:type="dxa"/>
                  <w:noWrap w:val="0"/>
                  <w:vAlign w:val="center"/>
                </w:tcPr>
                <w:p w14:paraId="294668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0.2</w:t>
                  </w:r>
                </w:p>
              </w:tc>
              <w:tc>
                <w:tcPr>
                  <w:tcW w:w="708" w:type="dxa"/>
                  <w:vMerge w:val="continue"/>
                  <w:noWrap w:val="0"/>
                  <w:vAlign w:val="center"/>
                </w:tcPr>
                <w:p w14:paraId="1048C3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1" w:type="dxa"/>
                  <w:noWrap w:val="0"/>
                  <w:vAlign w:val="center"/>
                </w:tcPr>
                <w:p w14:paraId="5E3CF9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w:t>
                  </w:r>
                </w:p>
              </w:tc>
              <w:tc>
                <w:tcPr>
                  <w:tcW w:w="1690" w:type="dxa"/>
                  <w:noWrap w:val="0"/>
                  <w:vAlign w:val="center"/>
                </w:tcPr>
                <w:p w14:paraId="625E3E6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65</w:t>
                  </w:r>
                </w:p>
              </w:tc>
              <w:tc>
                <w:tcPr>
                  <w:tcW w:w="1692" w:type="dxa"/>
                  <w:vMerge w:val="continue"/>
                  <w:noWrap w:val="0"/>
                  <w:vAlign w:val="center"/>
                </w:tcPr>
                <w:p w14:paraId="271371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r>
            <w:tr w14:paraId="33866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6" w:type="dxa"/>
                  <w:vMerge w:val="continue"/>
                  <w:noWrap w:val="0"/>
                  <w:vAlign w:val="center"/>
                </w:tcPr>
                <w:p w14:paraId="6D12A9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kern w:val="0"/>
                      <w:sz w:val="21"/>
                      <w:szCs w:val="21"/>
                    </w:rPr>
                  </w:pPr>
                </w:p>
              </w:tc>
              <w:tc>
                <w:tcPr>
                  <w:tcW w:w="1648" w:type="dxa"/>
                  <w:noWrap w:val="0"/>
                  <w:vAlign w:val="center"/>
                </w:tcPr>
                <w:p w14:paraId="695DDB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1#螺旋空压机</w:t>
                  </w:r>
                </w:p>
              </w:tc>
              <w:tc>
                <w:tcPr>
                  <w:tcW w:w="978" w:type="dxa"/>
                  <w:noWrap w:val="0"/>
                  <w:vAlign w:val="center"/>
                </w:tcPr>
                <w:p w14:paraId="04BCCA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85</w:t>
                  </w:r>
                </w:p>
              </w:tc>
              <w:tc>
                <w:tcPr>
                  <w:tcW w:w="817" w:type="dxa"/>
                  <w:vMerge w:val="continue"/>
                  <w:noWrap w:val="0"/>
                  <w:vAlign w:val="center"/>
                </w:tcPr>
                <w:p w14:paraId="5E01D3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0" w:type="dxa"/>
                  <w:noWrap w:val="0"/>
                  <w:vAlign w:val="center"/>
                </w:tcPr>
                <w:p w14:paraId="5E52CB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16.57</w:t>
                  </w:r>
                </w:p>
              </w:tc>
              <w:tc>
                <w:tcPr>
                  <w:tcW w:w="709" w:type="dxa"/>
                  <w:noWrap w:val="0"/>
                  <w:vAlign w:val="center"/>
                </w:tcPr>
                <w:p w14:paraId="16CE79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66.71</w:t>
                  </w:r>
                </w:p>
              </w:tc>
              <w:tc>
                <w:tcPr>
                  <w:tcW w:w="513" w:type="dxa"/>
                  <w:noWrap w:val="0"/>
                  <w:vAlign w:val="center"/>
                </w:tcPr>
                <w:p w14:paraId="646393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0.2</w:t>
                  </w:r>
                </w:p>
              </w:tc>
              <w:tc>
                <w:tcPr>
                  <w:tcW w:w="708" w:type="dxa"/>
                  <w:vMerge w:val="continue"/>
                  <w:noWrap w:val="0"/>
                  <w:vAlign w:val="center"/>
                </w:tcPr>
                <w:p w14:paraId="3374CD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1" w:type="dxa"/>
                  <w:noWrap w:val="0"/>
                  <w:vAlign w:val="center"/>
                </w:tcPr>
                <w:p w14:paraId="4C9E6A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w:t>
                  </w:r>
                </w:p>
              </w:tc>
              <w:tc>
                <w:tcPr>
                  <w:tcW w:w="1690" w:type="dxa"/>
                  <w:noWrap w:val="0"/>
                  <w:vAlign w:val="center"/>
                </w:tcPr>
                <w:p w14:paraId="75158E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65</w:t>
                  </w:r>
                </w:p>
              </w:tc>
              <w:tc>
                <w:tcPr>
                  <w:tcW w:w="1692" w:type="dxa"/>
                  <w:vMerge w:val="continue"/>
                  <w:noWrap w:val="0"/>
                  <w:vAlign w:val="center"/>
                </w:tcPr>
                <w:p w14:paraId="122268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r>
            <w:tr w14:paraId="4473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6" w:type="dxa"/>
                  <w:vMerge w:val="continue"/>
                  <w:noWrap w:val="0"/>
                  <w:vAlign w:val="center"/>
                </w:tcPr>
                <w:p w14:paraId="3BF2E2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kern w:val="0"/>
                      <w:sz w:val="21"/>
                      <w:szCs w:val="21"/>
                    </w:rPr>
                  </w:pPr>
                </w:p>
              </w:tc>
              <w:tc>
                <w:tcPr>
                  <w:tcW w:w="1648" w:type="dxa"/>
                  <w:noWrap w:val="0"/>
                  <w:vAlign w:val="center"/>
                </w:tcPr>
                <w:p w14:paraId="284950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cs="Times New Roman"/>
                      <w:color w:val="000000" w:themeColor="text1"/>
                      <w:kern w:val="0"/>
                      <w:sz w:val="21"/>
                      <w:szCs w:val="21"/>
                    </w:rPr>
                  </w:pPr>
                  <w:r>
                    <w:rPr>
                      <w:rFonts w:hint="eastAsia" w:ascii="Times New Roman" w:hAnsi="Times New Roman" w:cs="Times New Roman"/>
                      <w:color w:val="000000" w:themeColor="text1"/>
                      <w:sz w:val="21"/>
                      <w:szCs w:val="21"/>
                      <w:lang w:val="en-US" w:eastAsia="zh-CN"/>
                    </w:rPr>
                    <w:t>2#螺旋空压机</w:t>
                  </w:r>
                </w:p>
              </w:tc>
              <w:tc>
                <w:tcPr>
                  <w:tcW w:w="978" w:type="dxa"/>
                  <w:noWrap w:val="0"/>
                  <w:vAlign w:val="center"/>
                </w:tcPr>
                <w:p w14:paraId="4232DA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85</w:t>
                  </w:r>
                </w:p>
              </w:tc>
              <w:tc>
                <w:tcPr>
                  <w:tcW w:w="817" w:type="dxa"/>
                  <w:vMerge w:val="continue"/>
                  <w:noWrap w:val="0"/>
                  <w:vAlign w:val="center"/>
                </w:tcPr>
                <w:p w14:paraId="1731FA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0" w:type="dxa"/>
                  <w:noWrap w:val="0"/>
                  <w:vAlign w:val="center"/>
                </w:tcPr>
                <w:p w14:paraId="019729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22.59</w:t>
                  </w:r>
                </w:p>
              </w:tc>
              <w:tc>
                <w:tcPr>
                  <w:tcW w:w="709" w:type="dxa"/>
                  <w:noWrap w:val="0"/>
                  <w:vAlign w:val="center"/>
                </w:tcPr>
                <w:p w14:paraId="73E7D74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68.47</w:t>
                  </w:r>
                </w:p>
              </w:tc>
              <w:tc>
                <w:tcPr>
                  <w:tcW w:w="513" w:type="dxa"/>
                  <w:noWrap w:val="0"/>
                  <w:vAlign w:val="center"/>
                </w:tcPr>
                <w:p w14:paraId="05D06A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0.2</w:t>
                  </w:r>
                </w:p>
              </w:tc>
              <w:tc>
                <w:tcPr>
                  <w:tcW w:w="708" w:type="dxa"/>
                  <w:vMerge w:val="continue"/>
                  <w:noWrap w:val="0"/>
                  <w:vAlign w:val="center"/>
                </w:tcPr>
                <w:p w14:paraId="6A8C10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1" w:type="dxa"/>
                  <w:noWrap w:val="0"/>
                  <w:vAlign w:val="center"/>
                </w:tcPr>
                <w:p w14:paraId="269772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w:t>
                  </w:r>
                </w:p>
              </w:tc>
              <w:tc>
                <w:tcPr>
                  <w:tcW w:w="1690" w:type="dxa"/>
                  <w:noWrap w:val="0"/>
                  <w:vAlign w:val="center"/>
                </w:tcPr>
                <w:p w14:paraId="2AF593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65</w:t>
                  </w:r>
                </w:p>
              </w:tc>
              <w:tc>
                <w:tcPr>
                  <w:tcW w:w="1692" w:type="dxa"/>
                  <w:vMerge w:val="continue"/>
                  <w:noWrap w:val="0"/>
                  <w:vAlign w:val="center"/>
                </w:tcPr>
                <w:p w14:paraId="5E95092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r>
            <w:tr w14:paraId="691D3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6" w:type="dxa"/>
                  <w:vMerge w:val="continue"/>
                  <w:noWrap w:val="0"/>
                  <w:vAlign w:val="center"/>
                </w:tcPr>
                <w:p w14:paraId="0E7A12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kern w:val="0"/>
                      <w:sz w:val="21"/>
                      <w:szCs w:val="21"/>
                    </w:rPr>
                  </w:pPr>
                </w:p>
              </w:tc>
              <w:tc>
                <w:tcPr>
                  <w:tcW w:w="1648" w:type="dxa"/>
                  <w:noWrap w:val="0"/>
                  <w:vAlign w:val="center"/>
                </w:tcPr>
                <w:p w14:paraId="799CDD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kern w:val="0"/>
                      <w:sz w:val="21"/>
                      <w:szCs w:val="21"/>
                      <w:lang w:val="en-US" w:eastAsia="zh-CN"/>
                    </w:rPr>
                    <w:t>1#打包机</w:t>
                  </w:r>
                </w:p>
              </w:tc>
              <w:tc>
                <w:tcPr>
                  <w:tcW w:w="978" w:type="dxa"/>
                  <w:noWrap w:val="0"/>
                  <w:vAlign w:val="center"/>
                </w:tcPr>
                <w:p w14:paraId="146D08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70</w:t>
                  </w:r>
                </w:p>
              </w:tc>
              <w:tc>
                <w:tcPr>
                  <w:tcW w:w="817" w:type="dxa"/>
                  <w:vMerge w:val="continue"/>
                  <w:noWrap w:val="0"/>
                  <w:vAlign w:val="center"/>
                </w:tcPr>
                <w:p w14:paraId="03AA74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0" w:type="dxa"/>
                  <w:noWrap w:val="0"/>
                  <w:vAlign w:val="center"/>
                </w:tcPr>
                <w:p w14:paraId="404347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21.6</w:t>
                  </w:r>
                </w:p>
              </w:tc>
              <w:tc>
                <w:tcPr>
                  <w:tcW w:w="709" w:type="dxa"/>
                  <w:noWrap w:val="0"/>
                  <w:vAlign w:val="center"/>
                </w:tcPr>
                <w:p w14:paraId="00BE32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76.47</w:t>
                  </w:r>
                </w:p>
              </w:tc>
              <w:tc>
                <w:tcPr>
                  <w:tcW w:w="513" w:type="dxa"/>
                  <w:noWrap w:val="0"/>
                  <w:vAlign w:val="center"/>
                </w:tcPr>
                <w:p w14:paraId="78C206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0.5</w:t>
                  </w:r>
                </w:p>
              </w:tc>
              <w:tc>
                <w:tcPr>
                  <w:tcW w:w="708" w:type="dxa"/>
                  <w:vMerge w:val="continue"/>
                  <w:noWrap w:val="0"/>
                  <w:vAlign w:val="center"/>
                </w:tcPr>
                <w:p w14:paraId="3B5643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1" w:type="dxa"/>
                  <w:noWrap w:val="0"/>
                  <w:vAlign w:val="center"/>
                </w:tcPr>
                <w:p w14:paraId="3808C1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w:t>
                  </w:r>
                </w:p>
              </w:tc>
              <w:tc>
                <w:tcPr>
                  <w:tcW w:w="1690" w:type="dxa"/>
                  <w:noWrap w:val="0"/>
                  <w:vAlign w:val="center"/>
                </w:tcPr>
                <w:p w14:paraId="096F401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50</w:t>
                  </w:r>
                </w:p>
              </w:tc>
              <w:tc>
                <w:tcPr>
                  <w:tcW w:w="1692" w:type="dxa"/>
                  <w:vMerge w:val="continue"/>
                  <w:noWrap w:val="0"/>
                  <w:vAlign w:val="center"/>
                </w:tcPr>
                <w:p w14:paraId="016A7E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r>
            <w:tr w14:paraId="42E5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6" w:type="dxa"/>
                  <w:vMerge w:val="continue"/>
                  <w:noWrap w:val="0"/>
                  <w:vAlign w:val="center"/>
                </w:tcPr>
                <w:p w14:paraId="0DDD54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kern w:val="0"/>
                      <w:sz w:val="21"/>
                      <w:szCs w:val="21"/>
                    </w:rPr>
                  </w:pPr>
                </w:p>
              </w:tc>
              <w:tc>
                <w:tcPr>
                  <w:tcW w:w="1648" w:type="dxa"/>
                  <w:noWrap w:val="0"/>
                  <w:vAlign w:val="center"/>
                </w:tcPr>
                <w:p w14:paraId="73ECC5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kern w:val="0"/>
                      <w:sz w:val="21"/>
                      <w:szCs w:val="21"/>
                    </w:rPr>
                  </w:pPr>
                  <w:r>
                    <w:rPr>
                      <w:rFonts w:hint="eastAsia" w:ascii="Times New Roman" w:hAnsi="Times New Roman" w:cs="Times New Roman"/>
                      <w:color w:val="000000" w:themeColor="text1"/>
                      <w:kern w:val="0"/>
                      <w:sz w:val="21"/>
                      <w:szCs w:val="21"/>
                      <w:lang w:val="en-US" w:eastAsia="zh-CN"/>
                    </w:rPr>
                    <w:t>2#打包机</w:t>
                  </w:r>
                </w:p>
              </w:tc>
              <w:tc>
                <w:tcPr>
                  <w:tcW w:w="978" w:type="dxa"/>
                  <w:noWrap w:val="0"/>
                  <w:vAlign w:val="center"/>
                </w:tcPr>
                <w:p w14:paraId="2E27AE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70</w:t>
                  </w:r>
                </w:p>
              </w:tc>
              <w:tc>
                <w:tcPr>
                  <w:tcW w:w="817" w:type="dxa"/>
                  <w:vMerge w:val="continue"/>
                  <w:noWrap w:val="0"/>
                  <w:vAlign w:val="center"/>
                </w:tcPr>
                <w:p w14:paraId="4FF343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0" w:type="dxa"/>
                  <w:noWrap w:val="0"/>
                  <w:vAlign w:val="center"/>
                </w:tcPr>
                <w:p w14:paraId="78DB5F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28.92</w:t>
                  </w:r>
                </w:p>
              </w:tc>
              <w:tc>
                <w:tcPr>
                  <w:tcW w:w="709" w:type="dxa"/>
                  <w:noWrap w:val="0"/>
                  <w:vAlign w:val="center"/>
                </w:tcPr>
                <w:p w14:paraId="6D8B117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69.29</w:t>
                  </w:r>
                </w:p>
              </w:tc>
              <w:tc>
                <w:tcPr>
                  <w:tcW w:w="513" w:type="dxa"/>
                  <w:noWrap w:val="0"/>
                  <w:vAlign w:val="center"/>
                </w:tcPr>
                <w:p w14:paraId="49F0A9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0.5</w:t>
                  </w:r>
                </w:p>
              </w:tc>
              <w:tc>
                <w:tcPr>
                  <w:tcW w:w="708" w:type="dxa"/>
                  <w:vMerge w:val="continue"/>
                  <w:noWrap w:val="0"/>
                  <w:vAlign w:val="center"/>
                </w:tcPr>
                <w:p w14:paraId="1515FE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1" w:type="dxa"/>
                  <w:noWrap w:val="0"/>
                  <w:vAlign w:val="center"/>
                </w:tcPr>
                <w:p w14:paraId="7DF6F1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w:t>
                  </w:r>
                </w:p>
              </w:tc>
              <w:tc>
                <w:tcPr>
                  <w:tcW w:w="1690" w:type="dxa"/>
                  <w:noWrap w:val="0"/>
                  <w:vAlign w:val="center"/>
                </w:tcPr>
                <w:p w14:paraId="0B03841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50</w:t>
                  </w:r>
                </w:p>
              </w:tc>
              <w:tc>
                <w:tcPr>
                  <w:tcW w:w="1692" w:type="dxa"/>
                  <w:vMerge w:val="continue"/>
                  <w:noWrap w:val="0"/>
                  <w:vAlign w:val="center"/>
                </w:tcPr>
                <w:p w14:paraId="2517BD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r>
            <w:tr w14:paraId="202E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6" w:type="dxa"/>
                  <w:vMerge w:val="continue"/>
                  <w:noWrap w:val="0"/>
                  <w:vAlign w:val="center"/>
                </w:tcPr>
                <w:p w14:paraId="75E977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kern w:val="0"/>
                      <w:sz w:val="21"/>
                      <w:szCs w:val="21"/>
                    </w:rPr>
                  </w:pPr>
                </w:p>
              </w:tc>
              <w:tc>
                <w:tcPr>
                  <w:tcW w:w="1648" w:type="dxa"/>
                  <w:noWrap w:val="0"/>
                  <w:vAlign w:val="center"/>
                </w:tcPr>
                <w:p w14:paraId="2F54BA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1#成型机</w:t>
                  </w:r>
                </w:p>
              </w:tc>
              <w:tc>
                <w:tcPr>
                  <w:tcW w:w="978" w:type="dxa"/>
                  <w:noWrap w:val="0"/>
                  <w:vAlign w:val="center"/>
                </w:tcPr>
                <w:p w14:paraId="61E7EC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80</w:t>
                  </w:r>
                </w:p>
              </w:tc>
              <w:tc>
                <w:tcPr>
                  <w:tcW w:w="817" w:type="dxa"/>
                  <w:vMerge w:val="continue"/>
                  <w:noWrap w:val="0"/>
                  <w:vAlign w:val="center"/>
                </w:tcPr>
                <w:p w14:paraId="3EDE0E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0" w:type="dxa"/>
                  <w:noWrap w:val="0"/>
                  <w:vAlign w:val="center"/>
                </w:tcPr>
                <w:p w14:paraId="2EDCC9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-3.1</w:t>
                  </w:r>
                </w:p>
              </w:tc>
              <w:tc>
                <w:tcPr>
                  <w:tcW w:w="709" w:type="dxa"/>
                  <w:noWrap w:val="0"/>
                  <w:vAlign w:val="center"/>
                </w:tcPr>
                <w:p w14:paraId="1F5D79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59.67</w:t>
                  </w:r>
                </w:p>
              </w:tc>
              <w:tc>
                <w:tcPr>
                  <w:tcW w:w="513" w:type="dxa"/>
                  <w:noWrap w:val="0"/>
                  <w:vAlign w:val="center"/>
                </w:tcPr>
                <w:p w14:paraId="13C7E3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1.0</w:t>
                  </w:r>
                </w:p>
              </w:tc>
              <w:tc>
                <w:tcPr>
                  <w:tcW w:w="708" w:type="dxa"/>
                  <w:vMerge w:val="continue"/>
                  <w:noWrap w:val="0"/>
                  <w:vAlign w:val="center"/>
                </w:tcPr>
                <w:p w14:paraId="5F79A4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1" w:type="dxa"/>
                  <w:noWrap w:val="0"/>
                  <w:vAlign w:val="center"/>
                </w:tcPr>
                <w:p w14:paraId="087BC2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w:t>
                  </w:r>
                </w:p>
              </w:tc>
              <w:tc>
                <w:tcPr>
                  <w:tcW w:w="1690" w:type="dxa"/>
                  <w:noWrap w:val="0"/>
                  <w:vAlign w:val="center"/>
                </w:tcPr>
                <w:p w14:paraId="143DE75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60</w:t>
                  </w:r>
                </w:p>
              </w:tc>
              <w:tc>
                <w:tcPr>
                  <w:tcW w:w="1692" w:type="dxa"/>
                  <w:vMerge w:val="continue"/>
                  <w:noWrap w:val="0"/>
                  <w:vAlign w:val="center"/>
                </w:tcPr>
                <w:p w14:paraId="06D83B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r>
            <w:tr w14:paraId="4172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6" w:type="dxa"/>
                  <w:vMerge w:val="continue"/>
                  <w:noWrap w:val="0"/>
                  <w:vAlign w:val="center"/>
                </w:tcPr>
                <w:p w14:paraId="374EA7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kern w:val="0"/>
                      <w:sz w:val="21"/>
                      <w:szCs w:val="21"/>
                    </w:rPr>
                  </w:pPr>
                </w:p>
              </w:tc>
              <w:tc>
                <w:tcPr>
                  <w:tcW w:w="1648" w:type="dxa"/>
                  <w:noWrap w:val="0"/>
                  <w:vAlign w:val="center"/>
                </w:tcPr>
                <w:p w14:paraId="38F4C0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2#成型机</w:t>
                  </w:r>
                </w:p>
              </w:tc>
              <w:tc>
                <w:tcPr>
                  <w:tcW w:w="978" w:type="dxa"/>
                  <w:noWrap w:val="0"/>
                  <w:vAlign w:val="center"/>
                </w:tcPr>
                <w:p w14:paraId="7E877D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80</w:t>
                  </w:r>
                </w:p>
              </w:tc>
              <w:tc>
                <w:tcPr>
                  <w:tcW w:w="817" w:type="dxa"/>
                  <w:vMerge w:val="continue"/>
                  <w:noWrap w:val="0"/>
                  <w:vAlign w:val="center"/>
                </w:tcPr>
                <w:p w14:paraId="29E53D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0" w:type="dxa"/>
                  <w:noWrap w:val="0"/>
                  <w:vAlign w:val="center"/>
                </w:tcPr>
                <w:p w14:paraId="15DDC5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2.64</w:t>
                  </w:r>
                </w:p>
              </w:tc>
              <w:tc>
                <w:tcPr>
                  <w:tcW w:w="709" w:type="dxa"/>
                  <w:noWrap w:val="0"/>
                  <w:vAlign w:val="center"/>
                </w:tcPr>
                <w:p w14:paraId="1ED4095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51.34</w:t>
                  </w:r>
                </w:p>
              </w:tc>
              <w:tc>
                <w:tcPr>
                  <w:tcW w:w="513" w:type="dxa"/>
                  <w:noWrap w:val="0"/>
                  <w:vAlign w:val="center"/>
                </w:tcPr>
                <w:p w14:paraId="07F149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1.0</w:t>
                  </w:r>
                </w:p>
              </w:tc>
              <w:tc>
                <w:tcPr>
                  <w:tcW w:w="708" w:type="dxa"/>
                  <w:vMerge w:val="continue"/>
                  <w:noWrap w:val="0"/>
                  <w:vAlign w:val="center"/>
                </w:tcPr>
                <w:p w14:paraId="2779EC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1" w:type="dxa"/>
                  <w:noWrap w:val="0"/>
                  <w:vAlign w:val="center"/>
                </w:tcPr>
                <w:p w14:paraId="2B99A1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w:t>
                  </w:r>
                </w:p>
              </w:tc>
              <w:tc>
                <w:tcPr>
                  <w:tcW w:w="1690" w:type="dxa"/>
                  <w:noWrap w:val="0"/>
                  <w:vAlign w:val="center"/>
                </w:tcPr>
                <w:p w14:paraId="2D58B6C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60</w:t>
                  </w:r>
                </w:p>
              </w:tc>
              <w:tc>
                <w:tcPr>
                  <w:tcW w:w="1692" w:type="dxa"/>
                  <w:vMerge w:val="continue"/>
                  <w:noWrap w:val="0"/>
                  <w:vAlign w:val="center"/>
                </w:tcPr>
                <w:p w14:paraId="6EC935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r>
            <w:tr w14:paraId="4BD1E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6" w:type="dxa"/>
                  <w:vMerge w:val="continue"/>
                  <w:noWrap w:val="0"/>
                  <w:vAlign w:val="center"/>
                </w:tcPr>
                <w:p w14:paraId="23967F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kern w:val="0"/>
                      <w:sz w:val="21"/>
                      <w:szCs w:val="21"/>
                    </w:rPr>
                  </w:pPr>
                </w:p>
              </w:tc>
              <w:tc>
                <w:tcPr>
                  <w:tcW w:w="1648" w:type="dxa"/>
                  <w:noWrap w:val="0"/>
                  <w:vAlign w:val="center"/>
                </w:tcPr>
                <w:p w14:paraId="11BACF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1#烘干炉</w:t>
                  </w:r>
                </w:p>
              </w:tc>
              <w:tc>
                <w:tcPr>
                  <w:tcW w:w="978" w:type="dxa"/>
                  <w:noWrap w:val="0"/>
                  <w:vAlign w:val="center"/>
                </w:tcPr>
                <w:p w14:paraId="3B5AFD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75</w:t>
                  </w:r>
                </w:p>
              </w:tc>
              <w:tc>
                <w:tcPr>
                  <w:tcW w:w="817" w:type="dxa"/>
                  <w:vMerge w:val="continue"/>
                  <w:noWrap w:val="0"/>
                  <w:vAlign w:val="center"/>
                </w:tcPr>
                <w:p w14:paraId="560A50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0" w:type="dxa"/>
                  <w:noWrap w:val="0"/>
                  <w:vAlign w:val="center"/>
                </w:tcPr>
                <w:p w14:paraId="020717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2.5</w:t>
                  </w:r>
                </w:p>
              </w:tc>
              <w:tc>
                <w:tcPr>
                  <w:tcW w:w="709" w:type="dxa"/>
                  <w:noWrap w:val="0"/>
                  <w:vAlign w:val="center"/>
                </w:tcPr>
                <w:p w14:paraId="41D5992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62.26</w:t>
                  </w:r>
                </w:p>
              </w:tc>
              <w:tc>
                <w:tcPr>
                  <w:tcW w:w="513" w:type="dxa"/>
                  <w:noWrap w:val="0"/>
                  <w:vAlign w:val="center"/>
                </w:tcPr>
                <w:p w14:paraId="5672E4F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1.0</w:t>
                  </w:r>
                </w:p>
              </w:tc>
              <w:tc>
                <w:tcPr>
                  <w:tcW w:w="708" w:type="dxa"/>
                  <w:vMerge w:val="continue"/>
                  <w:noWrap w:val="0"/>
                  <w:vAlign w:val="center"/>
                </w:tcPr>
                <w:p w14:paraId="5020B6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1" w:type="dxa"/>
                  <w:noWrap w:val="0"/>
                  <w:vAlign w:val="center"/>
                </w:tcPr>
                <w:p w14:paraId="189A08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w:t>
                  </w:r>
                </w:p>
              </w:tc>
              <w:tc>
                <w:tcPr>
                  <w:tcW w:w="1690" w:type="dxa"/>
                  <w:noWrap w:val="0"/>
                  <w:vAlign w:val="center"/>
                </w:tcPr>
                <w:p w14:paraId="07EED8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55</w:t>
                  </w:r>
                </w:p>
              </w:tc>
              <w:tc>
                <w:tcPr>
                  <w:tcW w:w="1692" w:type="dxa"/>
                  <w:vMerge w:val="continue"/>
                  <w:noWrap w:val="0"/>
                  <w:vAlign w:val="center"/>
                </w:tcPr>
                <w:p w14:paraId="12E330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r>
            <w:tr w14:paraId="0AAF6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6" w:type="dxa"/>
                  <w:vMerge w:val="continue"/>
                  <w:noWrap w:val="0"/>
                  <w:vAlign w:val="center"/>
                </w:tcPr>
                <w:p w14:paraId="3C31A0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kern w:val="0"/>
                      <w:sz w:val="21"/>
                      <w:szCs w:val="21"/>
                    </w:rPr>
                  </w:pPr>
                </w:p>
              </w:tc>
              <w:tc>
                <w:tcPr>
                  <w:tcW w:w="1648" w:type="dxa"/>
                  <w:noWrap w:val="0"/>
                  <w:vAlign w:val="center"/>
                </w:tcPr>
                <w:p w14:paraId="60C899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cs="Times New Roman"/>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2#烘干炉</w:t>
                  </w:r>
                </w:p>
              </w:tc>
              <w:tc>
                <w:tcPr>
                  <w:tcW w:w="978" w:type="dxa"/>
                  <w:noWrap w:val="0"/>
                  <w:vAlign w:val="center"/>
                </w:tcPr>
                <w:p w14:paraId="7455ED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75</w:t>
                  </w:r>
                </w:p>
              </w:tc>
              <w:tc>
                <w:tcPr>
                  <w:tcW w:w="817" w:type="dxa"/>
                  <w:vMerge w:val="continue"/>
                  <w:noWrap w:val="0"/>
                  <w:vAlign w:val="center"/>
                </w:tcPr>
                <w:p w14:paraId="5ED8D4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0" w:type="dxa"/>
                  <w:noWrap w:val="0"/>
                  <w:vAlign w:val="center"/>
                </w:tcPr>
                <w:p w14:paraId="1D1A31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7.52</w:t>
                  </w:r>
                </w:p>
              </w:tc>
              <w:tc>
                <w:tcPr>
                  <w:tcW w:w="709" w:type="dxa"/>
                  <w:noWrap w:val="0"/>
                  <w:vAlign w:val="center"/>
                </w:tcPr>
                <w:p w14:paraId="2F38D4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54.93</w:t>
                  </w:r>
                </w:p>
              </w:tc>
              <w:tc>
                <w:tcPr>
                  <w:tcW w:w="513" w:type="dxa"/>
                  <w:noWrap w:val="0"/>
                  <w:vAlign w:val="center"/>
                </w:tcPr>
                <w:p w14:paraId="231EFC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1.0</w:t>
                  </w:r>
                </w:p>
              </w:tc>
              <w:tc>
                <w:tcPr>
                  <w:tcW w:w="708" w:type="dxa"/>
                  <w:vMerge w:val="continue"/>
                  <w:noWrap w:val="0"/>
                  <w:vAlign w:val="center"/>
                </w:tcPr>
                <w:p w14:paraId="2997EC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1" w:type="dxa"/>
                  <w:noWrap w:val="0"/>
                  <w:vAlign w:val="center"/>
                </w:tcPr>
                <w:p w14:paraId="6DFDBE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w:t>
                  </w:r>
                </w:p>
              </w:tc>
              <w:tc>
                <w:tcPr>
                  <w:tcW w:w="1690" w:type="dxa"/>
                  <w:noWrap w:val="0"/>
                  <w:vAlign w:val="center"/>
                </w:tcPr>
                <w:p w14:paraId="2BF365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55</w:t>
                  </w:r>
                </w:p>
              </w:tc>
              <w:tc>
                <w:tcPr>
                  <w:tcW w:w="1692" w:type="dxa"/>
                  <w:vMerge w:val="continue"/>
                  <w:noWrap w:val="0"/>
                  <w:vAlign w:val="center"/>
                </w:tcPr>
                <w:p w14:paraId="39A9FA8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r>
            <w:tr w14:paraId="46F3C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6" w:type="dxa"/>
                  <w:vMerge w:val="continue"/>
                  <w:noWrap w:val="0"/>
                  <w:vAlign w:val="center"/>
                </w:tcPr>
                <w:p w14:paraId="53C191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kern w:val="0"/>
                      <w:sz w:val="21"/>
                      <w:szCs w:val="21"/>
                    </w:rPr>
                  </w:pPr>
                </w:p>
              </w:tc>
              <w:tc>
                <w:tcPr>
                  <w:tcW w:w="1648" w:type="dxa"/>
                  <w:noWrap w:val="0"/>
                  <w:vAlign w:val="center"/>
                </w:tcPr>
                <w:p w14:paraId="1F06FC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cs="Times New Roman"/>
                      <w:color w:val="000000" w:themeColor="text1"/>
                      <w:kern w:val="0"/>
                      <w:sz w:val="21"/>
                      <w:szCs w:val="21"/>
                      <w:lang w:val="en-US" w:eastAsia="zh-CN"/>
                    </w:rPr>
                  </w:pPr>
                  <w:r>
                    <w:rPr>
                      <w:rFonts w:hint="eastAsia" w:ascii="Times New Roman" w:hAnsi="Times New Roman" w:cs="Times New Roman"/>
                      <w:color w:val="000000" w:themeColor="text1"/>
                      <w:sz w:val="21"/>
                      <w:szCs w:val="21"/>
                      <w:lang w:val="en-US" w:eastAsia="zh-CN"/>
                    </w:rPr>
                    <w:t>1#真空泵</w:t>
                  </w:r>
                </w:p>
              </w:tc>
              <w:tc>
                <w:tcPr>
                  <w:tcW w:w="978" w:type="dxa"/>
                  <w:noWrap w:val="0"/>
                  <w:vAlign w:val="center"/>
                </w:tcPr>
                <w:p w14:paraId="0B37A7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85</w:t>
                  </w:r>
                </w:p>
              </w:tc>
              <w:tc>
                <w:tcPr>
                  <w:tcW w:w="817" w:type="dxa"/>
                  <w:vMerge w:val="continue"/>
                  <w:noWrap w:val="0"/>
                  <w:vAlign w:val="center"/>
                </w:tcPr>
                <w:p w14:paraId="15C160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0" w:type="dxa"/>
                  <w:noWrap w:val="0"/>
                  <w:vAlign w:val="center"/>
                </w:tcPr>
                <w:p w14:paraId="552E2C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8.39</w:t>
                  </w:r>
                </w:p>
              </w:tc>
              <w:tc>
                <w:tcPr>
                  <w:tcW w:w="709" w:type="dxa"/>
                  <w:noWrap w:val="0"/>
                  <w:vAlign w:val="center"/>
                </w:tcPr>
                <w:p w14:paraId="1A5A781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64.12</w:t>
                  </w:r>
                </w:p>
              </w:tc>
              <w:tc>
                <w:tcPr>
                  <w:tcW w:w="513" w:type="dxa"/>
                  <w:noWrap w:val="0"/>
                  <w:vAlign w:val="center"/>
                </w:tcPr>
                <w:p w14:paraId="1B18C17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0.2</w:t>
                  </w:r>
                </w:p>
              </w:tc>
              <w:tc>
                <w:tcPr>
                  <w:tcW w:w="708" w:type="dxa"/>
                  <w:vMerge w:val="continue"/>
                  <w:noWrap w:val="0"/>
                  <w:vAlign w:val="center"/>
                </w:tcPr>
                <w:p w14:paraId="3E5D58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1" w:type="dxa"/>
                  <w:noWrap w:val="0"/>
                  <w:vAlign w:val="center"/>
                </w:tcPr>
                <w:p w14:paraId="73F6F6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w:t>
                  </w:r>
                </w:p>
              </w:tc>
              <w:tc>
                <w:tcPr>
                  <w:tcW w:w="1690" w:type="dxa"/>
                  <w:noWrap w:val="0"/>
                  <w:vAlign w:val="center"/>
                </w:tcPr>
                <w:p w14:paraId="616AA8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65</w:t>
                  </w:r>
                </w:p>
              </w:tc>
              <w:tc>
                <w:tcPr>
                  <w:tcW w:w="1692" w:type="dxa"/>
                  <w:vMerge w:val="continue"/>
                  <w:noWrap w:val="0"/>
                  <w:vAlign w:val="center"/>
                </w:tcPr>
                <w:p w14:paraId="2B6C84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r>
            <w:tr w14:paraId="3C4EA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6" w:type="dxa"/>
                  <w:vMerge w:val="continue"/>
                  <w:noWrap w:val="0"/>
                  <w:vAlign w:val="center"/>
                </w:tcPr>
                <w:p w14:paraId="46111A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kern w:val="0"/>
                      <w:sz w:val="21"/>
                      <w:szCs w:val="21"/>
                    </w:rPr>
                  </w:pPr>
                </w:p>
              </w:tc>
              <w:tc>
                <w:tcPr>
                  <w:tcW w:w="1648" w:type="dxa"/>
                  <w:noWrap w:val="0"/>
                  <w:vAlign w:val="center"/>
                </w:tcPr>
                <w:p w14:paraId="7B20C0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2#真空泵</w:t>
                  </w:r>
                </w:p>
              </w:tc>
              <w:tc>
                <w:tcPr>
                  <w:tcW w:w="978" w:type="dxa"/>
                  <w:noWrap w:val="0"/>
                  <w:vAlign w:val="center"/>
                </w:tcPr>
                <w:p w14:paraId="17FCB3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85</w:t>
                  </w:r>
                </w:p>
              </w:tc>
              <w:tc>
                <w:tcPr>
                  <w:tcW w:w="817" w:type="dxa"/>
                  <w:vMerge w:val="continue"/>
                  <w:noWrap w:val="0"/>
                  <w:vAlign w:val="center"/>
                </w:tcPr>
                <w:p w14:paraId="5B60A2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0" w:type="dxa"/>
                  <w:noWrap w:val="0"/>
                  <w:vAlign w:val="center"/>
                </w:tcPr>
                <w:p w14:paraId="5D0117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13.7</w:t>
                  </w:r>
                </w:p>
              </w:tc>
              <w:tc>
                <w:tcPr>
                  <w:tcW w:w="709" w:type="dxa"/>
                  <w:noWrap w:val="0"/>
                  <w:vAlign w:val="center"/>
                </w:tcPr>
                <w:p w14:paraId="3B2F40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57.95</w:t>
                  </w:r>
                </w:p>
              </w:tc>
              <w:tc>
                <w:tcPr>
                  <w:tcW w:w="513" w:type="dxa"/>
                  <w:noWrap w:val="0"/>
                  <w:vAlign w:val="center"/>
                </w:tcPr>
                <w:p w14:paraId="26B689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0.2</w:t>
                  </w:r>
                </w:p>
              </w:tc>
              <w:tc>
                <w:tcPr>
                  <w:tcW w:w="708" w:type="dxa"/>
                  <w:vMerge w:val="continue"/>
                  <w:noWrap w:val="0"/>
                  <w:vAlign w:val="center"/>
                </w:tcPr>
                <w:p w14:paraId="377E38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1" w:type="dxa"/>
                  <w:noWrap w:val="0"/>
                  <w:vAlign w:val="center"/>
                </w:tcPr>
                <w:p w14:paraId="76E982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w:t>
                  </w:r>
                </w:p>
              </w:tc>
              <w:tc>
                <w:tcPr>
                  <w:tcW w:w="1690" w:type="dxa"/>
                  <w:noWrap w:val="0"/>
                  <w:vAlign w:val="center"/>
                </w:tcPr>
                <w:p w14:paraId="4138E26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65</w:t>
                  </w:r>
                </w:p>
              </w:tc>
              <w:tc>
                <w:tcPr>
                  <w:tcW w:w="1692" w:type="dxa"/>
                  <w:vMerge w:val="continue"/>
                  <w:noWrap w:val="0"/>
                  <w:vAlign w:val="center"/>
                </w:tcPr>
                <w:p w14:paraId="30D277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r>
            <w:tr w14:paraId="3F8C7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6" w:type="dxa"/>
                  <w:vMerge w:val="continue"/>
                  <w:noWrap w:val="0"/>
                  <w:vAlign w:val="center"/>
                </w:tcPr>
                <w:p w14:paraId="3D74A5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kern w:val="0"/>
                      <w:sz w:val="21"/>
                      <w:szCs w:val="21"/>
                    </w:rPr>
                  </w:pPr>
                </w:p>
              </w:tc>
              <w:tc>
                <w:tcPr>
                  <w:tcW w:w="1648" w:type="dxa"/>
                  <w:noWrap w:val="0"/>
                  <w:vAlign w:val="center"/>
                </w:tcPr>
                <w:p w14:paraId="20C12A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1#除尘风机</w:t>
                  </w:r>
                </w:p>
              </w:tc>
              <w:tc>
                <w:tcPr>
                  <w:tcW w:w="978" w:type="dxa"/>
                  <w:noWrap w:val="0"/>
                  <w:vAlign w:val="center"/>
                </w:tcPr>
                <w:p w14:paraId="724AE6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85</w:t>
                  </w:r>
                </w:p>
              </w:tc>
              <w:tc>
                <w:tcPr>
                  <w:tcW w:w="817" w:type="dxa"/>
                  <w:vMerge w:val="continue"/>
                  <w:noWrap w:val="0"/>
                  <w:vAlign w:val="center"/>
                </w:tcPr>
                <w:p w14:paraId="220DBC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0" w:type="dxa"/>
                  <w:noWrap w:val="0"/>
                  <w:vAlign w:val="center"/>
                </w:tcPr>
                <w:p w14:paraId="7CC12C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3.94</w:t>
                  </w:r>
                </w:p>
              </w:tc>
              <w:tc>
                <w:tcPr>
                  <w:tcW w:w="709" w:type="dxa"/>
                  <w:noWrap w:val="0"/>
                  <w:vAlign w:val="center"/>
                </w:tcPr>
                <w:p w14:paraId="6C7687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58.4</w:t>
                  </w:r>
                </w:p>
              </w:tc>
              <w:tc>
                <w:tcPr>
                  <w:tcW w:w="513" w:type="dxa"/>
                  <w:noWrap w:val="0"/>
                  <w:vAlign w:val="center"/>
                </w:tcPr>
                <w:p w14:paraId="2FB837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0.2</w:t>
                  </w:r>
                </w:p>
              </w:tc>
              <w:tc>
                <w:tcPr>
                  <w:tcW w:w="708" w:type="dxa"/>
                  <w:vMerge w:val="continue"/>
                  <w:noWrap w:val="0"/>
                  <w:vAlign w:val="center"/>
                </w:tcPr>
                <w:p w14:paraId="0830EA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1" w:type="dxa"/>
                  <w:noWrap w:val="0"/>
                  <w:vAlign w:val="center"/>
                </w:tcPr>
                <w:p w14:paraId="01902E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20</w:t>
                  </w:r>
                </w:p>
              </w:tc>
              <w:tc>
                <w:tcPr>
                  <w:tcW w:w="1690" w:type="dxa"/>
                  <w:noWrap w:val="0"/>
                  <w:vAlign w:val="center"/>
                </w:tcPr>
                <w:p w14:paraId="3D2843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65</w:t>
                  </w:r>
                </w:p>
              </w:tc>
              <w:tc>
                <w:tcPr>
                  <w:tcW w:w="1692" w:type="dxa"/>
                  <w:vMerge w:val="continue"/>
                  <w:noWrap w:val="0"/>
                  <w:vAlign w:val="center"/>
                </w:tcPr>
                <w:p w14:paraId="7EFE7D1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r>
            <w:tr w14:paraId="7DFDF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6" w:type="dxa"/>
                  <w:vMerge w:val="continue"/>
                  <w:noWrap w:val="0"/>
                  <w:vAlign w:val="center"/>
                </w:tcPr>
                <w:p w14:paraId="0B4976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kern w:val="0"/>
                      <w:sz w:val="21"/>
                      <w:szCs w:val="21"/>
                    </w:rPr>
                  </w:pPr>
                </w:p>
              </w:tc>
              <w:tc>
                <w:tcPr>
                  <w:tcW w:w="1648" w:type="dxa"/>
                  <w:noWrap w:val="0"/>
                  <w:vAlign w:val="center"/>
                </w:tcPr>
                <w:p w14:paraId="6B05FD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2#除尘风机</w:t>
                  </w:r>
                </w:p>
              </w:tc>
              <w:tc>
                <w:tcPr>
                  <w:tcW w:w="978" w:type="dxa"/>
                  <w:noWrap w:val="0"/>
                  <w:vAlign w:val="center"/>
                </w:tcPr>
                <w:p w14:paraId="09AB43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85</w:t>
                  </w:r>
                </w:p>
              </w:tc>
              <w:tc>
                <w:tcPr>
                  <w:tcW w:w="817" w:type="dxa"/>
                  <w:vMerge w:val="continue"/>
                  <w:noWrap w:val="0"/>
                  <w:vAlign w:val="center"/>
                </w:tcPr>
                <w:p w14:paraId="40023D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0" w:type="dxa"/>
                  <w:noWrap w:val="0"/>
                  <w:vAlign w:val="center"/>
                </w:tcPr>
                <w:p w14:paraId="5FB3CE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6.8</w:t>
                  </w:r>
                </w:p>
              </w:tc>
              <w:tc>
                <w:tcPr>
                  <w:tcW w:w="709" w:type="dxa"/>
                  <w:noWrap w:val="0"/>
                  <w:vAlign w:val="center"/>
                </w:tcPr>
                <w:p w14:paraId="1E18B0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54</w:t>
                  </w:r>
                </w:p>
              </w:tc>
              <w:tc>
                <w:tcPr>
                  <w:tcW w:w="513" w:type="dxa"/>
                  <w:noWrap w:val="0"/>
                  <w:vAlign w:val="center"/>
                </w:tcPr>
                <w:p w14:paraId="7C266C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0.2</w:t>
                  </w:r>
                </w:p>
              </w:tc>
              <w:tc>
                <w:tcPr>
                  <w:tcW w:w="708" w:type="dxa"/>
                  <w:vMerge w:val="continue"/>
                  <w:noWrap w:val="0"/>
                  <w:vAlign w:val="center"/>
                </w:tcPr>
                <w:p w14:paraId="583E7D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851" w:type="dxa"/>
                  <w:noWrap w:val="0"/>
                  <w:vAlign w:val="center"/>
                </w:tcPr>
                <w:p w14:paraId="17F2F7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20</w:t>
                  </w:r>
                </w:p>
              </w:tc>
              <w:tc>
                <w:tcPr>
                  <w:tcW w:w="1690" w:type="dxa"/>
                  <w:noWrap w:val="0"/>
                  <w:vAlign w:val="center"/>
                </w:tcPr>
                <w:p w14:paraId="5B57187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65</w:t>
                  </w:r>
                </w:p>
              </w:tc>
              <w:tc>
                <w:tcPr>
                  <w:tcW w:w="1692" w:type="dxa"/>
                  <w:vMerge w:val="continue"/>
                  <w:noWrap w:val="0"/>
                  <w:vAlign w:val="center"/>
                </w:tcPr>
                <w:p w14:paraId="0D1A39B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 w:val="21"/>
                      <w:szCs w:val="21"/>
                    </w:rPr>
                  </w:pPr>
                </w:p>
              </w:tc>
            </w:tr>
          </w:tbl>
          <w:p w14:paraId="19A39EFE">
            <w:pPr>
              <w:pStyle w:val="4"/>
              <w:keepNext w:val="0"/>
              <w:keepLines w:val="0"/>
              <w:suppressLineNumbers w:val="0"/>
              <w:adjustRightInd w:val="0"/>
              <w:snapToGrid w:val="0"/>
              <w:spacing w:before="0" w:beforeAutospacing="0" w:after="0" w:afterAutospacing="0"/>
              <w:ind w:left="0" w:right="0" w:firstLine="0" w:firstLineChars="0"/>
              <w:rPr>
                <w:rFonts w:hint="eastAsia" w:cs="Times New Roman"/>
                <w:color w:val="000000" w:themeColor="text1"/>
                <w:sz w:val="21"/>
                <w:szCs w:val="21"/>
              </w:rPr>
            </w:pPr>
          </w:p>
        </w:tc>
      </w:tr>
    </w:tbl>
    <w:p w14:paraId="67ED9EAA">
      <w:pPr>
        <w:ind w:firstLine="0" w:firstLineChars="0"/>
        <w:rPr>
          <w:color w:val="000000" w:themeColor="text1"/>
          <w:sz w:val="21"/>
          <w:szCs w:val="21"/>
        </w:rPr>
        <w:sectPr>
          <w:pgSz w:w="16838" w:h="11906" w:orient="landscape"/>
          <w:pgMar w:top="1701" w:right="1440" w:bottom="1701" w:left="1440" w:header="851" w:footer="992" w:gutter="0"/>
          <w:pgBorders>
            <w:top w:val="none" w:sz="0" w:space="0"/>
            <w:left w:val="none" w:sz="0" w:space="0"/>
            <w:bottom w:val="none" w:sz="0" w:space="0"/>
            <w:right w:val="none" w:sz="0" w:space="0"/>
          </w:pgBorders>
          <w:cols w:space="720" w:num="1"/>
          <w:docGrid w:type="linesAndChars" w:linePitch="312" w:charSpace="0"/>
        </w:sectPr>
      </w:pPr>
    </w:p>
    <w:tbl>
      <w:tblPr>
        <w:tblStyle w:val="43"/>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8164"/>
      </w:tblGrid>
      <w:tr w14:paraId="5D52F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6" w:type="dxa"/>
            <w:noWrap w:val="0"/>
            <w:vAlign w:val="center"/>
          </w:tcPr>
          <w:p w14:paraId="16782597">
            <w:pPr>
              <w:keepNext w:val="0"/>
              <w:keepLines w:val="0"/>
              <w:suppressLineNumbers w:val="0"/>
              <w:spacing w:before="0" w:beforeAutospacing="0" w:after="0" w:afterAutospacing="0"/>
              <w:ind w:left="0" w:right="0" w:firstLine="0" w:firstLineChars="0"/>
              <w:rPr>
                <w:rFonts w:hint="eastAsia" w:ascii="Times New Roman" w:hAnsi="Times New Roman" w:cs="Times New Roman"/>
                <w:color w:val="000000" w:themeColor="text1"/>
                <w:sz w:val="21"/>
                <w:szCs w:val="21"/>
              </w:rPr>
            </w:pPr>
          </w:p>
        </w:tc>
        <w:tc>
          <w:tcPr>
            <w:tcW w:w="8164" w:type="dxa"/>
            <w:noWrap w:val="0"/>
            <w:vAlign w:val="center"/>
          </w:tcPr>
          <w:p w14:paraId="6A2918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textAlignment w:val="auto"/>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（2）厂界噪声影响预测及达标分析</w:t>
            </w:r>
          </w:p>
          <w:p w14:paraId="6B2A71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12"/>
              <w:textAlignment w:val="auto"/>
              <w:rPr>
                <w:rFonts w:hint="default" w:ascii="Times New Roman" w:hAnsi="Times New Roman" w:cs="Times New Roman"/>
                <w:color w:val="000000" w:themeColor="text1"/>
                <w:spacing w:val="-2"/>
                <w:sz w:val="21"/>
                <w:szCs w:val="21"/>
              </w:rPr>
            </w:pPr>
            <w:r>
              <w:rPr>
                <w:rFonts w:hint="default" w:ascii="Times New Roman" w:hAnsi="Times New Roman" w:cs="Times New Roman"/>
                <w:color w:val="000000" w:themeColor="text1"/>
                <w:spacing w:val="-2"/>
                <w:sz w:val="21"/>
                <w:szCs w:val="21"/>
              </w:rPr>
              <w:t>1）预测模式</w:t>
            </w:r>
          </w:p>
          <w:p w14:paraId="09F8D7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12"/>
              <w:textAlignment w:val="auto"/>
              <w:rPr>
                <w:rFonts w:hint="default" w:ascii="Times New Roman" w:hAnsi="Times New Roman" w:cs="Times New Roman"/>
                <w:bCs/>
                <w:color w:val="000000" w:themeColor="text1"/>
                <w:sz w:val="21"/>
                <w:szCs w:val="21"/>
              </w:rPr>
            </w:pPr>
            <w:r>
              <w:rPr>
                <w:rFonts w:hint="default" w:ascii="Times New Roman" w:hAnsi="Times New Roman" w:cs="Times New Roman"/>
                <w:color w:val="000000" w:themeColor="text1"/>
                <w:spacing w:val="-2"/>
                <w:sz w:val="21"/>
                <w:szCs w:val="21"/>
              </w:rPr>
              <w:t>本评价采用《环境影响评价技术导则——声环境》（HJ2.4-2021）中推荐的工业噪声预测计算模式，对项目运行后的厂界噪声变化情况进行分析。拟建项目主要声源均布置在车间内，采取室内声源等效室外声源声功率级计算方法。</w:t>
            </w:r>
          </w:p>
          <w:p w14:paraId="7D0C3E68">
            <w:pPr>
              <w:keepNext w:val="0"/>
              <w:keepLines w:val="0"/>
              <w:suppressLineNumbers w:val="0"/>
              <w:spacing w:before="0" w:beforeAutospacing="0" w:after="0" w:afterAutospacing="0"/>
              <w:ind w:left="0" w:right="0" w:firstLine="420"/>
              <w:jc w:val="center"/>
              <w:rPr>
                <w:rFonts w:hint="default" w:ascii="Times New Roman" w:hAnsi="Times New Roman" w:cs="Times New Roman"/>
                <w:bCs/>
                <w:color w:val="000000" w:themeColor="text1"/>
                <w:position w:val="-14"/>
                <w:sz w:val="21"/>
                <w:szCs w:val="21"/>
              </w:rPr>
            </w:pPr>
            <w:r>
              <w:rPr>
                <w:rFonts w:hint="default" w:ascii="Times New Roman" w:hAnsi="Times New Roman" w:cs="Times New Roman"/>
                <w:color w:val="000000" w:themeColor="text1"/>
                <w:sz w:val="21"/>
                <w:szCs w:val="21"/>
              </w:rPr>
              <w:pict>
                <v:shape id="_x0000_i1036" o:spt="75" type="#_x0000_t75" style="height:55.7pt;width:101.4pt;" filled="f" stroked="f" coordsize="21600,21600">
                  <v:path/>
                  <v:fill on="f" focussize="0,0"/>
                  <v:stroke on="f"/>
                  <v:imagedata r:id="rId35" o:title=""/>
                  <o:lock v:ext="edit" grouping="f" rotation="f" aspectratio="t"/>
                  <w10:wrap type="none"/>
                  <w10:anchorlock/>
                </v:shape>
              </w:pict>
            </w:r>
          </w:p>
          <w:p w14:paraId="6E2574D3">
            <w:pPr>
              <w:keepNext w:val="0"/>
              <w:keepLines w:val="0"/>
              <w:suppressLineNumbers w:val="0"/>
              <w:spacing w:before="0" w:beforeAutospacing="0" w:after="0" w:afterAutospacing="0"/>
              <w:ind w:left="0" w:right="0" w:firstLine="420"/>
              <w:jc w:val="left"/>
              <w:rPr>
                <w:rFonts w:hint="default" w:ascii="Times New Roman" w:hAnsi="Times New Roman" w:cs="Times New Roman"/>
                <w:bCs/>
                <w:color w:val="000000" w:themeColor="text1"/>
                <w:position w:val="-14"/>
                <w:sz w:val="21"/>
                <w:szCs w:val="21"/>
              </w:rPr>
            </w:pPr>
            <w:r>
              <w:rPr>
                <w:rFonts w:hint="eastAsia" w:ascii="宋体" w:hAnsi="宋体" w:cs="宋体"/>
                <w:bCs/>
                <w:color w:val="000000" w:themeColor="text1"/>
                <w:position w:val="-14"/>
                <w:sz w:val="21"/>
                <w:szCs w:val="21"/>
              </w:rPr>
              <w:t>①</w:t>
            </w:r>
            <w:r>
              <w:rPr>
                <w:rFonts w:hint="default" w:ascii="Times New Roman" w:hAnsi="Times New Roman" w:cs="Times New Roman"/>
                <w:bCs/>
                <w:color w:val="000000" w:themeColor="text1"/>
                <w:position w:val="-14"/>
                <w:sz w:val="21"/>
                <w:szCs w:val="21"/>
              </w:rPr>
              <w:t>首先计算出某个室内靠近围护结构处的倍频带声压级：</w:t>
            </w:r>
          </w:p>
          <w:p w14:paraId="01A64E3A">
            <w:pPr>
              <w:keepNext w:val="0"/>
              <w:keepLines w:val="0"/>
              <w:suppressLineNumbers w:val="0"/>
              <w:spacing w:before="0" w:beforeAutospacing="0" w:after="0" w:afterAutospacing="0" w:line="240" w:lineRule="auto"/>
              <w:ind w:left="0" w:right="0" w:firstLine="420"/>
              <w:jc w:val="center"/>
              <w:rPr>
                <w:rFonts w:hint="default" w:ascii="Times New Roman" w:hAnsi="Times New Roman" w:cs="Times New Roman"/>
                <w:bCs/>
                <w:color w:val="000000" w:themeColor="text1"/>
                <w:position w:val="-14"/>
                <w:sz w:val="21"/>
                <w:szCs w:val="21"/>
              </w:rPr>
            </w:pPr>
            <w:r>
              <w:rPr>
                <w:rFonts w:hint="default" w:ascii="Times New Roman" w:hAnsi="Times New Roman" w:cs="Times New Roman"/>
                <w:color w:val="000000" w:themeColor="text1"/>
                <w:position w:val="-36"/>
                <w:sz w:val="21"/>
                <w:szCs w:val="21"/>
              </w:rPr>
              <w:pict>
                <v:shape id="_x0000_i1037" o:spt="75" type="#_x0000_t75" style="height:41.3pt;width:154.15pt;" filled="f" stroked="f" coordsize="21600,21600">
                  <v:path/>
                  <v:fill on="f" focussize="0,0"/>
                  <v:stroke on="f"/>
                  <v:imagedata r:id="rId36" o:title=""/>
                  <o:lock v:ext="edit" grouping="f" rotation="f" aspectratio="t"/>
                  <w10:wrap type="none"/>
                  <w10:anchorlock/>
                </v:shape>
              </w:pict>
            </w:r>
          </w:p>
          <w:p w14:paraId="3D1C8756">
            <w:pPr>
              <w:keepNext w:val="0"/>
              <w:keepLines w:val="0"/>
              <w:suppressLineNumbers w:val="0"/>
              <w:spacing w:before="0" w:beforeAutospacing="0" w:after="0" w:afterAutospacing="0"/>
              <w:ind w:left="0" w:right="0" w:firstLine="420"/>
              <w:jc w:val="left"/>
              <w:rPr>
                <w:rFonts w:hint="default" w:ascii="Times New Roman" w:hAnsi="Times New Roman" w:cs="Times New Roman"/>
                <w:bCs/>
                <w:color w:val="000000" w:themeColor="text1"/>
                <w:position w:val="-14"/>
                <w:sz w:val="21"/>
                <w:szCs w:val="21"/>
              </w:rPr>
            </w:pPr>
            <w:r>
              <w:rPr>
                <w:rFonts w:hint="default" w:ascii="Times New Roman" w:hAnsi="Times New Roman" w:cs="Times New Roman"/>
                <w:bCs/>
                <w:color w:val="000000" w:themeColor="text1"/>
                <w:position w:val="-14"/>
                <w:sz w:val="21"/>
                <w:szCs w:val="21"/>
              </w:rPr>
              <w:t>式中：</w:t>
            </w:r>
            <w:r>
              <w:rPr>
                <w:rFonts w:hint="default" w:ascii="Times New Roman" w:hAnsi="Times New Roman" w:cs="Times New Roman"/>
                <w:color w:val="000000" w:themeColor="text1"/>
                <w:position w:val="-10"/>
                <w:sz w:val="21"/>
                <w:szCs w:val="21"/>
              </w:rPr>
              <w:pict>
                <v:shape id="_x0000_i1038" o:spt="75" type="#_x0000_t75" style="height:18pt;width:18pt;" filled="f" stroked="f" coordsize="21600,21600">
                  <v:path/>
                  <v:fill on="f" focussize="0,0"/>
                  <v:stroke on="f"/>
                  <v:imagedata r:id="rId37" o:title=""/>
                  <o:lock v:ext="edit" grouping="f" rotation="f" aspectratio="t"/>
                  <w10:wrap type="none"/>
                  <w10:anchorlock/>
                </v:shape>
              </w:pict>
            </w:r>
            <w:r>
              <w:rPr>
                <w:rFonts w:hint="default" w:ascii="Times New Roman" w:hAnsi="Times New Roman" w:cs="Times New Roman"/>
                <w:bCs/>
                <w:color w:val="000000" w:themeColor="text1"/>
                <w:position w:val="-14"/>
                <w:sz w:val="21"/>
                <w:szCs w:val="21"/>
              </w:rPr>
              <w:t>——某个室内声源在靠近围护结构处产生的倍频带声压级；</w:t>
            </w:r>
          </w:p>
          <w:p w14:paraId="2D8F28C3">
            <w:pPr>
              <w:keepNext w:val="0"/>
              <w:keepLines w:val="0"/>
              <w:suppressLineNumbers w:val="0"/>
              <w:spacing w:before="0" w:beforeAutospacing="0" w:after="0" w:afterAutospacing="0"/>
              <w:ind w:left="0" w:right="0" w:firstLine="420"/>
              <w:jc w:val="left"/>
              <w:rPr>
                <w:rFonts w:hint="default" w:ascii="Times New Roman" w:hAnsi="Times New Roman" w:cs="Times New Roman"/>
                <w:bCs/>
                <w:color w:val="000000" w:themeColor="text1"/>
                <w:position w:val="-14"/>
                <w:sz w:val="21"/>
                <w:szCs w:val="21"/>
              </w:rPr>
            </w:pPr>
            <w:r>
              <w:rPr>
                <w:rFonts w:hint="default" w:ascii="Times New Roman" w:hAnsi="Times New Roman" w:cs="Times New Roman"/>
                <w:color w:val="000000" w:themeColor="text1"/>
                <w:position w:val="-4"/>
                <w:sz w:val="21"/>
                <w:szCs w:val="21"/>
              </w:rPr>
              <w:pict>
                <v:shape id="_x0000_i1039" o:spt="75" type="#_x0000_t75" style="height:12.75pt;width:16.5pt;" filled="f" stroked="f" coordsize="21600,21600">
                  <v:path/>
                  <v:fill on="f" focussize="0,0"/>
                  <v:stroke on="f"/>
                  <v:imagedata r:id="rId38" o:title=""/>
                  <o:lock v:ext="edit" grouping="f" rotation="f" aspectratio="t"/>
                  <w10:wrap type="none"/>
                  <w10:anchorlock/>
                </v:shape>
              </w:pict>
            </w:r>
            <w:r>
              <w:rPr>
                <w:rFonts w:hint="default" w:ascii="Times New Roman" w:hAnsi="Times New Roman" w:cs="Times New Roman"/>
                <w:bCs/>
                <w:color w:val="000000" w:themeColor="text1"/>
                <w:position w:val="-14"/>
                <w:sz w:val="21"/>
                <w:szCs w:val="21"/>
              </w:rPr>
              <w:t>——某个声源的倍频带声功率级；</w:t>
            </w:r>
          </w:p>
          <w:p w14:paraId="4E69158D">
            <w:pPr>
              <w:keepNext w:val="0"/>
              <w:keepLines w:val="0"/>
              <w:suppressLineNumbers w:val="0"/>
              <w:spacing w:before="0" w:beforeAutospacing="0" w:after="0" w:afterAutospacing="0"/>
              <w:ind w:left="0" w:right="0" w:firstLine="420"/>
              <w:jc w:val="left"/>
              <w:rPr>
                <w:rFonts w:hint="default" w:ascii="Times New Roman" w:hAnsi="Times New Roman" w:cs="Times New Roman"/>
                <w:bCs/>
                <w:color w:val="000000" w:themeColor="text1"/>
                <w:position w:val="-14"/>
                <w:sz w:val="21"/>
                <w:szCs w:val="21"/>
              </w:rPr>
            </w:pPr>
            <w:r>
              <w:rPr>
                <w:rFonts w:hint="default" w:ascii="Times New Roman" w:hAnsi="Times New Roman" w:cs="Times New Roman"/>
                <w:bCs/>
                <w:color w:val="000000" w:themeColor="text1"/>
                <w:position w:val="-14"/>
                <w:sz w:val="21"/>
                <w:szCs w:val="21"/>
              </w:rPr>
              <w:t>r——室内某个声源与靠近围护结构处的距离；</w:t>
            </w:r>
          </w:p>
          <w:p w14:paraId="5321B4B1">
            <w:pPr>
              <w:keepNext w:val="0"/>
              <w:keepLines w:val="0"/>
              <w:suppressLineNumbers w:val="0"/>
              <w:spacing w:before="0" w:beforeAutospacing="0" w:after="0" w:afterAutospacing="0"/>
              <w:ind w:left="0" w:right="0" w:firstLine="420"/>
              <w:jc w:val="left"/>
              <w:rPr>
                <w:rFonts w:hint="default" w:ascii="Times New Roman" w:hAnsi="Times New Roman" w:cs="Times New Roman"/>
                <w:bCs/>
                <w:color w:val="000000" w:themeColor="text1"/>
                <w:position w:val="-14"/>
                <w:sz w:val="21"/>
                <w:szCs w:val="21"/>
              </w:rPr>
            </w:pPr>
            <w:r>
              <w:rPr>
                <w:rFonts w:hint="default" w:ascii="Times New Roman" w:hAnsi="Times New Roman" w:cs="Times New Roman"/>
                <w:bCs/>
                <w:color w:val="000000" w:themeColor="text1"/>
                <w:position w:val="-14"/>
                <w:sz w:val="21"/>
                <w:szCs w:val="21"/>
              </w:rPr>
              <w:t>R——房间常数；R=Sα/(1</w:t>
            </w:r>
            <w:r>
              <w:rPr>
                <w:rFonts w:hint="default" w:ascii="Times New Roman" w:hAnsi="Times New Roman" w:eastAsia="微软雅黑" w:cs="Times New Roman"/>
                <w:bCs/>
                <w:color w:val="000000" w:themeColor="text1"/>
                <w:position w:val="-14"/>
                <w:sz w:val="21"/>
                <w:szCs w:val="21"/>
              </w:rPr>
              <w:t>−</w:t>
            </w:r>
            <w:r>
              <w:rPr>
                <w:rFonts w:hint="default" w:ascii="Times New Roman" w:hAnsi="Times New Roman" w:cs="Times New Roman"/>
                <w:bCs/>
                <w:color w:val="000000" w:themeColor="text1"/>
                <w:position w:val="-14"/>
                <w:sz w:val="21"/>
                <w:szCs w:val="21"/>
              </w:rPr>
              <w:t>α)，S为房间内表面面积，m</w:t>
            </w:r>
            <w:r>
              <w:rPr>
                <w:rFonts w:hint="default" w:ascii="Times New Roman" w:hAnsi="Times New Roman" w:cs="Times New Roman"/>
                <w:bCs/>
                <w:color w:val="000000" w:themeColor="text1"/>
                <w:position w:val="-14"/>
                <w:sz w:val="21"/>
                <w:szCs w:val="21"/>
                <w:vertAlign w:val="superscript"/>
              </w:rPr>
              <w:t>2</w:t>
            </w:r>
            <w:r>
              <w:rPr>
                <w:rFonts w:hint="default" w:ascii="Times New Roman" w:hAnsi="Times New Roman" w:cs="Times New Roman"/>
                <w:bCs/>
                <w:color w:val="000000" w:themeColor="text1"/>
                <w:position w:val="-14"/>
                <w:sz w:val="21"/>
                <w:szCs w:val="21"/>
              </w:rPr>
              <w:t>；α为平均吸声系数。</w:t>
            </w:r>
          </w:p>
          <w:p w14:paraId="2A5304A8">
            <w:pPr>
              <w:keepNext w:val="0"/>
              <w:keepLines w:val="0"/>
              <w:suppressLineNumbers w:val="0"/>
              <w:spacing w:before="0" w:beforeAutospacing="0" w:after="0" w:afterAutospacing="0"/>
              <w:ind w:left="0" w:right="0" w:firstLine="420"/>
              <w:jc w:val="left"/>
              <w:rPr>
                <w:rFonts w:hint="default" w:ascii="Times New Roman" w:hAnsi="Times New Roman" w:cs="Times New Roman"/>
                <w:bCs/>
                <w:color w:val="000000" w:themeColor="text1"/>
                <w:position w:val="-14"/>
                <w:sz w:val="21"/>
                <w:szCs w:val="21"/>
              </w:rPr>
            </w:pPr>
            <w:r>
              <w:rPr>
                <w:rFonts w:hint="default" w:ascii="Times New Roman" w:hAnsi="Times New Roman" w:cs="Times New Roman"/>
                <w:bCs/>
                <w:color w:val="000000" w:themeColor="text1"/>
                <w:position w:val="-14"/>
                <w:sz w:val="21"/>
                <w:szCs w:val="21"/>
              </w:rPr>
              <w:t>Q——方向性因子，通常对无指向性声源，当声源放在房间中心时，Q=1；当放</w:t>
            </w:r>
          </w:p>
          <w:p w14:paraId="318563CC">
            <w:pPr>
              <w:keepNext w:val="0"/>
              <w:keepLines w:val="0"/>
              <w:suppressLineNumbers w:val="0"/>
              <w:spacing w:before="0" w:beforeAutospacing="0" w:after="0" w:afterAutospacing="0"/>
              <w:ind w:left="0" w:right="0" w:firstLine="420"/>
              <w:jc w:val="left"/>
              <w:rPr>
                <w:rFonts w:hint="default" w:ascii="Times New Roman" w:hAnsi="Times New Roman" w:cs="Times New Roman"/>
                <w:bCs/>
                <w:color w:val="000000" w:themeColor="text1"/>
                <w:position w:val="-14"/>
                <w:sz w:val="21"/>
                <w:szCs w:val="21"/>
              </w:rPr>
            </w:pPr>
            <w:r>
              <w:rPr>
                <w:rFonts w:hint="default" w:ascii="Times New Roman" w:hAnsi="Times New Roman" w:cs="Times New Roman"/>
                <w:bCs/>
                <w:color w:val="000000" w:themeColor="text1"/>
                <w:position w:val="-14"/>
                <w:sz w:val="21"/>
                <w:szCs w:val="21"/>
              </w:rPr>
              <w:t>在一面墙的中心时，Q=2；当放在两面墙夹角处时，Q=4；当放在三面墙夹角处时，Q=8。</w:t>
            </w:r>
          </w:p>
          <w:p w14:paraId="73AF582A">
            <w:pPr>
              <w:keepNext w:val="0"/>
              <w:keepLines w:val="0"/>
              <w:suppressLineNumbers w:val="0"/>
              <w:spacing w:before="0" w:beforeAutospacing="0" w:after="0" w:afterAutospacing="0"/>
              <w:ind w:left="0" w:right="0" w:firstLine="420"/>
              <w:jc w:val="left"/>
              <w:rPr>
                <w:rFonts w:hint="default" w:ascii="Times New Roman" w:hAnsi="Times New Roman" w:cs="Times New Roman"/>
                <w:bCs/>
                <w:color w:val="000000" w:themeColor="text1"/>
                <w:position w:val="-14"/>
                <w:sz w:val="21"/>
                <w:szCs w:val="21"/>
              </w:rPr>
            </w:pPr>
            <w:r>
              <w:rPr>
                <w:rFonts w:hint="default" w:ascii="Times New Roman" w:hAnsi="Times New Roman" w:cs="Times New Roman"/>
                <w:color w:val="000000" w:themeColor="text1"/>
                <w:sz w:val="21"/>
                <w:szCs w:val="21"/>
              </w:rPr>
              <w:pict>
                <v:shape id="图片 108" o:spid="_x0000_s2267" o:spt="75" type="#_x0000_t75" style="position:absolute;left:0pt;margin-left:167.6pt;margin-top:31.7pt;height:33.25pt;width:107.65pt;mso-wrap-distance-bottom:0pt;mso-wrap-distance-top:0pt;z-index:251661312;mso-width-relative:margin;mso-height-relative:margin;" filled="f" stroked="f" coordsize="21600,21600">
                  <v:path/>
                  <v:fill on="f" focussize="0,0"/>
                  <v:stroke on="f"/>
                  <v:imagedata r:id="rId39" o:title=""/>
                  <o:lock v:ext="edit" grouping="f" rotation="f" aspectratio="t"/>
                  <w10:wrap type="topAndBottom"/>
                </v:shape>
              </w:pict>
            </w:r>
            <w:r>
              <w:rPr>
                <w:rFonts w:hint="eastAsia" w:ascii="宋体" w:hAnsi="宋体" w:cs="宋体"/>
                <w:bCs/>
                <w:color w:val="000000" w:themeColor="text1"/>
                <w:position w:val="-14"/>
                <w:sz w:val="21"/>
                <w:szCs w:val="21"/>
              </w:rPr>
              <w:t>②</w:t>
            </w:r>
            <w:r>
              <w:rPr>
                <w:rFonts w:hint="default" w:ascii="Times New Roman" w:hAnsi="Times New Roman" w:cs="Times New Roman"/>
                <w:bCs/>
                <w:color w:val="000000" w:themeColor="text1"/>
                <w:position w:val="-14"/>
                <w:sz w:val="21"/>
                <w:szCs w:val="21"/>
              </w:rPr>
              <w:t>计算出所有室内声源在靠近围护结构处产生的总倍频带声压级：</w:t>
            </w:r>
          </w:p>
          <w:p w14:paraId="179CD063">
            <w:pPr>
              <w:keepNext w:val="0"/>
              <w:keepLines w:val="0"/>
              <w:suppressLineNumbers w:val="0"/>
              <w:spacing w:before="0" w:beforeAutospacing="0" w:after="0" w:afterAutospacing="0"/>
              <w:ind w:left="0" w:right="0" w:firstLine="420"/>
              <w:jc w:val="left"/>
              <w:rPr>
                <w:rFonts w:hint="default" w:ascii="Times New Roman" w:hAnsi="Times New Roman" w:cs="Times New Roman"/>
                <w:bCs/>
                <w:color w:val="000000" w:themeColor="text1"/>
                <w:position w:val="-14"/>
                <w:sz w:val="21"/>
                <w:szCs w:val="21"/>
              </w:rPr>
            </w:pPr>
            <w:r>
              <w:rPr>
                <w:rFonts w:hint="eastAsia" w:ascii="宋体" w:hAnsi="宋体" w:cs="宋体"/>
                <w:bCs/>
                <w:color w:val="000000" w:themeColor="text1"/>
                <w:position w:val="-14"/>
                <w:sz w:val="21"/>
                <w:szCs w:val="21"/>
              </w:rPr>
              <w:t>③</w:t>
            </w:r>
            <w:r>
              <w:rPr>
                <w:rFonts w:hint="default" w:ascii="Times New Roman" w:hAnsi="Times New Roman" w:cs="Times New Roman"/>
                <w:bCs/>
                <w:color w:val="000000" w:themeColor="text1"/>
                <w:position w:val="-14"/>
                <w:sz w:val="21"/>
                <w:szCs w:val="21"/>
              </w:rPr>
              <w:t>计算出室外靠近围护结构的声压级：</w:t>
            </w:r>
          </w:p>
          <w:p w14:paraId="6A674419">
            <w:pPr>
              <w:keepNext w:val="0"/>
              <w:keepLines w:val="0"/>
              <w:suppressLineNumbers w:val="0"/>
              <w:spacing w:before="0" w:beforeAutospacing="0" w:after="0" w:afterAutospacing="0"/>
              <w:ind w:left="0" w:right="0" w:firstLine="420"/>
              <w:jc w:val="center"/>
              <w:rPr>
                <w:rFonts w:hint="default" w:ascii="Times New Roman" w:hAnsi="Times New Roman" w:cs="Times New Roman"/>
                <w:bCs/>
                <w:color w:val="000000" w:themeColor="text1"/>
                <w:position w:val="-14"/>
                <w:sz w:val="21"/>
                <w:szCs w:val="21"/>
              </w:rPr>
            </w:pPr>
            <w:r>
              <w:rPr>
                <w:rFonts w:hint="default" w:ascii="Times New Roman" w:hAnsi="Times New Roman" w:cs="Times New Roman"/>
                <w:color w:val="000000" w:themeColor="text1"/>
                <w:sz w:val="21"/>
                <w:szCs w:val="21"/>
              </w:rPr>
              <w:pict>
                <v:shape id="_x0000_i1040" o:spt="75" type="#_x0000_t75" style="height:25.5pt;width:151.5pt;" filled="f" stroked="f" coordsize="21600,21600">
                  <v:path/>
                  <v:fill on="f" focussize="0,0"/>
                  <v:stroke on="f"/>
                  <v:imagedata r:id="rId40" o:title=""/>
                  <o:lock v:ext="edit" grouping="f" rotation="f" aspectratio="t"/>
                  <w10:wrap type="none"/>
                  <w10:anchorlock/>
                </v:shape>
              </w:pict>
            </w:r>
          </w:p>
          <w:p w14:paraId="0B97BE32">
            <w:pPr>
              <w:keepNext w:val="0"/>
              <w:keepLines w:val="0"/>
              <w:suppressLineNumbers w:val="0"/>
              <w:spacing w:before="0" w:beforeAutospacing="0" w:after="0" w:afterAutospacing="0"/>
              <w:ind w:left="0" w:right="0" w:firstLine="420"/>
              <w:jc w:val="left"/>
              <w:rPr>
                <w:rFonts w:hint="default" w:ascii="Times New Roman" w:hAnsi="Times New Roman" w:cs="Times New Roman"/>
                <w:bCs/>
                <w:color w:val="000000" w:themeColor="text1"/>
                <w:position w:val="-14"/>
                <w:sz w:val="21"/>
                <w:szCs w:val="21"/>
              </w:rPr>
            </w:pPr>
            <w:r>
              <w:rPr>
                <w:rFonts w:hint="default" w:ascii="Times New Roman" w:hAnsi="Times New Roman" w:cs="Times New Roman"/>
                <w:bCs/>
                <w:color w:val="000000" w:themeColor="text1"/>
                <w:position w:val="-14"/>
                <w:sz w:val="21"/>
                <w:szCs w:val="21"/>
              </w:rPr>
              <w:t>式中：L</w:t>
            </w:r>
            <w:r>
              <w:rPr>
                <w:rFonts w:hint="default" w:ascii="Times New Roman" w:hAnsi="Times New Roman" w:cs="Times New Roman"/>
                <w:bCs/>
                <w:color w:val="000000" w:themeColor="text1"/>
                <w:spacing w:val="-20"/>
                <w:kern w:val="28"/>
                <w:position w:val="-14"/>
                <w:sz w:val="21"/>
                <w:szCs w:val="21"/>
                <w:vertAlign w:val="subscript"/>
              </w:rPr>
              <w:t>p2i</w:t>
            </w:r>
            <w:r>
              <w:rPr>
                <w:rFonts w:hint="default" w:ascii="Times New Roman" w:hAnsi="Times New Roman" w:cs="Times New Roman"/>
                <w:bCs/>
                <w:color w:val="000000" w:themeColor="text1"/>
                <w:position w:val="-14"/>
                <w:sz w:val="21"/>
                <w:szCs w:val="21"/>
              </w:rPr>
              <w:t>(T)——靠近围护结构处室外N个声源i倍频带的叠加声压级，dB；</w:t>
            </w:r>
          </w:p>
          <w:p w14:paraId="7AF5185D">
            <w:pPr>
              <w:keepNext w:val="0"/>
              <w:keepLines w:val="0"/>
              <w:suppressLineNumbers w:val="0"/>
              <w:spacing w:before="0" w:beforeAutospacing="0" w:after="0" w:afterAutospacing="0"/>
              <w:ind w:left="0" w:right="0" w:firstLine="735" w:firstLineChars="350"/>
              <w:jc w:val="left"/>
              <w:rPr>
                <w:rFonts w:hint="default" w:ascii="Times New Roman" w:hAnsi="Times New Roman" w:cs="Times New Roman"/>
                <w:b/>
                <w:bCs/>
                <w:color w:val="000000" w:themeColor="text1"/>
                <w:position w:val="-14"/>
                <w:sz w:val="21"/>
                <w:szCs w:val="21"/>
              </w:rPr>
            </w:pPr>
            <w:r>
              <w:rPr>
                <w:rFonts w:hint="default" w:ascii="Times New Roman" w:hAnsi="Times New Roman" w:cs="Times New Roman"/>
                <w:bCs/>
                <w:color w:val="000000" w:themeColor="text1"/>
                <w:position w:val="-14"/>
                <w:sz w:val="21"/>
                <w:szCs w:val="21"/>
              </w:rPr>
              <w:t>TL</w:t>
            </w:r>
            <w:r>
              <w:rPr>
                <w:rFonts w:hint="default" w:ascii="Times New Roman" w:hAnsi="Times New Roman" w:cs="Times New Roman"/>
                <w:bCs/>
                <w:color w:val="000000" w:themeColor="text1"/>
                <w:position w:val="-14"/>
                <w:sz w:val="21"/>
                <w:szCs w:val="21"/>
                <w:vertAlign w:val="subscript"/>
              </w:rPr>
              <w:t>i</w:t>
            </w:r>
            <w:r>
              <w:rPr>
                <w:rFonts w:hint="default" w:ascii="Times New Roman" w:hAnsi="Times New Roman" w:cs="Times New Roman"/>
                <w:bCs/>
                <w:color w:val="000000" w:themeColor="text1"/>
                <w:position w:val="-14"/>
                <w:sz w:val="21"/>
                <w:szCs w:val="21"/>
              </w:rPr>
              <w:t>——围护结构i倍频带的隔声量，dB。</w:t>
            </w:r>
          </w:p>
          <w:p w14:paraId="23987A1F">
            <w:pPr>
              <w:keepNext w:val="0"/>
              <w:keepLines w:val="0"/>
              <w:suppressLineNumbers w:val="0"/>
              <w:spacing w:before="0" w:beforeAutospacing="0" w:after="0" w:afterAutospacing="0"/>
              <w:ind w:left="0" w:right="0" w:firstLine="420"/>
              <w:jc w:val="left"/>
              <w:rPr>
                <w:rFonts w:hint="default" w:ascii="Times New Roman" w:hAnsi="Times New Roman" w:cs="Times New Roman"/>
                <w:bCs/>
                <w:color w:val="000000" w:themeColor="text1"/>
                <w:position w:val="-14"/>
                <w:sz w:val="21"/>
                <w:szCs w:val="21"/>
              </w:rPr>
            </w:pPr>
            <w:r>
              <w:rPr>
                <w:rFonts w:hint="eastAsia" w:ascii="宋体" w:hAnsi="宋体" w:cs="宋体"/>
                <w:bCs/>
                <w:color w:val="000000" w:themeColor="text1"/>
                <w:position w:val="-14"/>
                <w:sz w:val="21"/>
                <w:szCs w:val="21"/>
              </w:rPr>
              <w:t>④</w:t>
            </w:r>
            <w:r>
              <w:rPr>
                <w:rFonts w:hint="default" w:ascii="Times New Roman" w:hAnsi="Times New Roman" w:cs="Times New Roman"/>
                <w:bCs/>
                <w:color w:val="000000" w:themeColor="text1"/>
                <w:position w:val="-14"/>
                <w:sz w:val="21"/>
                <w:szCs w:val="21"/>
              </w:rPr>
              <w:t>将室外声级和透声面积换算成等效的室外声源，计算出等效声源第i个倍频带的声功率级L</w:t>
            </w:r>
            <w:r>
              <w:rPr>
                <w:rFonts w:hint="default" w:ascii="Times New Roman" w:hAnsi="Times New Roman" w:cs="Times New Roman"/>
                <w:bCs/>
                <w:color w:val="000000" w:themeColor="text1"/>
                <w:position w:val="-14"/>
                <w:sz w:val="21"/>
                <w:szCs w:val="21"/>
                <w:vertAlign w:val="subscript"/>
              </w:rPr>
              <w:t>w</w:t>
            </w:r>
            <w:r>
              <w:rPr>
                <w:rFonts w:hint="default" w:ascii="Times New Roman" w:hAnsi="Times New Roman" w:cs="Times New Roman"/>
                <w:bCs/>
                <w:color w:val="000000" w:themeColor="text1"/>
                <w:position w:val="-14"/>
                <w:sz w:val="21"/>
                <w:szCs w:val="21"/>
              </w:rPr>
              <w:t>：</w:t>
            </w:r>
          </w:p>
          <w:p w14:paraId="32E76C0E">
            <w:pPr>
              <w:keepNext w:val="0"/>
              <w:keepLines w:val="0"/>
              <w:suppressLineNumbers w:val="0"/>
              <w:spacing w:before="0" w:beforeAutospacing="0" w:after="0" w:afterAutospacing="0"/>
              <w:ind w:left="0" w:right="0" w:firstLine="420"/>
              <w:jc w:val="center"/>
              <w:rPr>
                <w:rFonts w:hint="default" w:ascii="Times New Roman" w:hAnsi="Times New Roman" w:cs="Times New Roman"/>
                <w:bCs/>
                <w:color w:val="000000" w:themeColor="text1"/>
                <w:position w:val="-14"/>
                <w:sz w:val="21"/>
                <w:szCs w:val="21"/>
              </w:rPr>
            </w:pPr>
            <w:r>
              <w:rPr>
                <w:rFonts w:hint="default" w:ascii="Times New Roman" w:hAnsi="Times New Roman" w:cs="Times New Roman"/>
                <w:bCs/>
                <w:color w:val="000000" w:themeColor="text1"/>
                <w:position w:val="-14"/>
                <w:sz w:val="21"/>
                <w:szCs w:val="21"/>
              </w:rPr>
              <w:t>L</w:t>
            </w:r>
            <w:r>
              <w:rPr>
                <w:rFonts w:hint="default" w:ascii="Times New Roman" w:hAnsi="Times New Roman" w:cs="Times New Roman"/>
                <w:bCs/>
                <w:color w:val="000000" w:themeColor="text1"/>
                <w:position w:val="-14"/>
                <w:sz w:val="21"/>
                <w:szCs w:val="21"/>
                <w:vertAlign w:val="subscript"/>
              </w:rPr>
              <w:t>W</w:t>
            </w:r>
            <w:r>
              <w:rPr>
                <w:rFonts w:hint="default" w:ascii="Times New Roman" w:hAnsi="Times New Roman" w:cs="Times New Roman"/>
                <w:bCs/>
                <w:color w:val="000000" w:themeColor="text1"/>
                <w:position w:val="-14"/>
                <w:sz w:val="21"/>
                <w:szCs w:val="21"/>
              </w:rPr>
              <w:t>=L</w:t>
            </w:r>
            <w:r>
              <w:rPr>
                <w:rFonts w:hint="default" w:ascii="Times New Roman" w:hAnsi="Times New Roman" w:cs="Times New Roman"/>
                <w:bCs/>
                <w:color w:val="000000" w:themeColor="text1"/>
                <w:position w:val="-14"/>
                <w:sz w:val="21"/>
                <w:szCs w:val="21"/>
                <w:vertAlign w:val="subscript"/>
              </w:rPr>
              <w:t>p2</w:t>
            </w:r>
            <w:r>
              <w:rPr>
                <w:rFonts w:hint="default" w:ascii="Times New Roman" w:hAnsi="Times New Roman" w:cs="Times New Roman"/>
                <w:bCs/>
                <w:color w:val="000000" w:themeColor="text1"/>
                <w:position w:val="-14"/>
                <w:sz w:val="21"/>
                <w:szCs w:val="21"/>
              </w:rPr>
              <w:t>(T)+10lgS</w:t>
            </w:r>
          </w:p>
          <w:p w14:paraId="2CBE3A77">
            <w:pPr>
              <w:keepNext w:val="0"/>
              <w:keepLines w:val="0"/>
              <w:suppressLineNumbers w:val="0"/>
              <w:spacing w:before="0" w:beforeAutospacing="0" w:after="0" w:afterAutospacing="0"/>
              <w:ind w:left="0" w:right="0" w:firstLine="420"/>
              <w:jc w:val="left"/>
              <w:rPr>
                <w:rFonts w:hint="default" w:ascii="Times New Roman" w:hAnsi="Times New Roman" w:cs="Times New Roman"/>
                <w:bCs/>
                <w:color w:val="000000" w:themeColor="text1"/>
                <w:position w:val="-14"/>
                <w:sz w:val="21"/>
                <w:szCs w:val="21"/>
              </w:rPr>
            </w:pPr>
            <w:r>
              <w:rPr>
                <w:rFonts w:hint="default" w:ascii="Times New Roman" w:hAnsi="Times New Roman" w:cs="Times New Roman"/>
                <w:bCs/>
                <w:color w:val="000000" w:themeColor="text1"/>
                <w:position w:val="-14"/>
                <w:sz w:val="21"/>
                <w:szCs w:val="21"/>
              </w:rPr>
              <w:t>式中：S——透声面积，m</w:t>
            </w:r>
            <w:r>
              <w:rPr>
                <w:rFonts w:hint="default" w:ascii="Times New Roman" w:hAnsi="Times New Roman" w:cs="Times New Roman"/>
                <w:bCs/>
                <w:color w:val="000000" w:themeColor="text1"/>
                <w:position w:val="-14"/>
                <w:sz w:val="21"/>
                <w:szCs w:val="21"/>
                <w:vertAlign w:val="superscript"/>
              </w:rPr>
              <w:t>2</w:t>
            </w:r>
            <w:r>
              <w:rPr>
                <w:rFonts w:hint="default" w:ascii="Times New Roman" w:hAnsi="Times New Roman" w:cs="Times New Roman"/>
                <w:bCs/>
                <w:color w:val="000000" w:themeColor="text1"/>
                <w:position w:val="-14"/>
                <w:sz w:val="21"/>
                <w:szCs w:val="21"/>
              </w:rPr>
              <w:t>。</w:t>
            </w:r>
          </w:p>
          <w:p w14:paraId="1D7B9C3C">
            <w:pPr>
              <w:keepNext w:val="0"/>
              <w:keepLines w:val="0"/>
              <w:suppressLineNumbers w:val="0"/>
              <w:spacing w:before="0" w:beforeAutospacing="0" w:after="0" w:afterAutospacing="0"/>
              <w:ind w:left="0" w:right="0" w:firstLine="420"/>
              <w:jc w:val="left"/>
              <w:rPr>
                <w:rFonts w:hint="default" w:ascii="Times New Roman" w:hAnsi="Times New Roman" w:cs="Times New Roman"/>
                <w:bCs/>
                <w:color w:val="000000" w:themeColor="text1"/>
                <w:position w:val="-14"/>
                <w:sz w:val="21"/>
                <w:szCs w:val="21"/>
              </w:rPr>
            </w:pPr>
            <w:r>
              <w:rPr>
                <w:rFonts w:hint="eastAsia" w:ascii="宋体" w:hAnsi="宋体" w:cs="宋体"/>
                <w:bCs/>
                <w:color w:val="000000" w:themeColor="text1"/>
                <w:position w:val="-14"/>
                <w:sz w:val="21"/>
                <w:szCs w:val="21"/>
              </w:rPr>
              <w:t>⑤</w:t>
            </w:r>
            <w:r>
              <w:rPr>
                <w:rFonts w:hint="default" w:ascii="Times New Roman" w:hAnsi="Times New Roman" w:cs="Times New Roman"/>
                <w:bCs/>
                <w:color w:val="000000" w:themeColor="text1"/>
                <w:position w:val="-14"/>
                <w:sz w:val="21"/>
                <w:szCs w:val="21"/>
              </w:rPr>
              <w:t>按室外声源预测方法计算预测点处的A声级。室外声源处于半自由声场情况下，且声源可看作是位于地面上的，则：</w:t>
            </w:r>
          </w:p>
          <w:p w14:paraId="5AA38B6A">
            <w:pPr>
              <w:keepNext w:val="0"/>
              <w:keepLines w:val="0"/>
              <w:suppressLineNumbers w:val="0"/>
              <w:spacing w:before="0" w:beforeAutospacing="0" w:after="0" w:afterAutospacing="0"/>
              <w:ind w:left="0" w:right="0" w:firstLine="420"/>
              <w:jc w:val="center"/>
              <w:rPr>
                <w:rFonts w:hint="default" w:ascii="Times New Roman" w:hAnsi="Times New Roman" w:cs="Times New Roman"/>
                <w:bCs/>
                <w:color w:val="000000" w:themeColor="text1"/>
                <w:position w:val="-14"/>
                <w:sz w:val="21"/>
                <w:szCs w:val="21"/>
              </w:rPr>
            </w:pPr>
            <w:r>
              <w:rPr>
                <w:rFonts w:hint="default" w:ascii="Times New Roman" w:hAnsi="Times New Roman" w:cs="Times New Roman"/>
                <w:bCs/>
                <w:color w:val="000000" w:themeColor="text1"/>
                <w:position w:val="-14"/>
                <w:sz w:val="21"/>
                <w:szCs w:val="21"/>
              </w:rPr>
              <w:t>L</w:t>
            </w:r>
            <w:r>
              <w:rPr>
                <w:rFonts w:hint="default" w:ascii="Times New Roman" w:hAnsi="Times New Roman" w:cs="Times New Roman"/>
                <w:bCs/>
                <w:color w:val="000000" w:themeColor="text1"/>
                <w:position w:val="-14"/>
                <w:sz w:val="21"/>
                <w:szCs w:val="21"/>
                <w:vertAlign w:val="subscript"/>
              </w:rPr>
              <w:t>p</w:t>
            </w:r>
            <w:r>
              <w:rPr>
                <w:rFonts w:hint="default" w:ascii="Times New Roman" w:hAnsi="Times New Roman" w:cs="Times New Roman"/>
                <w:bCs/>
                <w:color w:val="000000" w:themeColor="text1"/>
                <w:position w:val="-14"/>
                <w:sz w:val="21"/>
                <w:szCs w:val="21"/>
              </w:rPr>
              <w:t>(r)=L</w:t>
            </w:r>
            <w:r>
              <w:rPr>
                <w:rFonts w:hint="default" w:ascii="Times New Roman" w:hAnsi="Times New Roman" w:cs="Times New Roman"/>
                <w:bCs/>
                <w:color w:val="000000" w:themeColor="text1"/>
                <w:position w:val="-14"/>
                <w:sz w:val="21"/>
                <w:szCs w:val="21"/>
                <w:vertAlign w:val="subscript"/>
              </w:rPr>
              <w:t>W</w:t>
            </w:r>
            <w:r>
              <w:rPr>
                <w:rFonts w:hint="default" w:ascii="Times New Roman" w:hAnsi="Times New Roman" w:cs="Times New Roman"/>
                <w:bCs/>
                <w:color w:val="000000" w:themeColor="text1"/>
                <w:position w:val="-14"/>
                <w:sz w:val="21"/>
                <w:szCs w:val="21"/>
              </w:rPr>
              <w:t>-20lg(r)-8</w:t>
            </w:r>
          </w:p>
          <w:p w14:paraId="42BAF3C0">
            <w:pPr>
              <w:keepNext w:val="0"/>
              <w:keepLines w:val="0"/>
              <w:suppressLineNumbers w:val="0"/>
              <w:spacing w:before="0" w:beforeAutospacing="0" w:after="0" w:afterAutospacing="0"/>
              <w:ind w:left="0" w:right="0" w:firstLine="420"/>
              <w:rPr>
                <w:rFonts w:hint="default" w:ascii="Times New Roman" w:hAnsi="Times New Roman" w:cs="Times New Roman"/>
                <w:bCs/>
                <w:color w:val="000000" w:themeColor="text1"/>
                <w:position w:val="-14"/>
                <w:sz w:val="21"/>
                <w:szCs w:val="21"/>
              </w:rPr>
            </w:pPr>
            <w:r>
              <w:rPr>
                <w:rFonts w:hint="default" w:ascii="Times New Roman" w:hAnsi="Times New Roman" w:cs="Times New Roman"/>
                <w:bCs/>
                <w:color w:val="000000" w:themeColor="text1"/>
                <w:position w:val="-14"/>
                <w:sz w:val="21"/>
                <w:szCs w:val="21"/>
              </w:rPr>
              <w:t>式中：r——点声源到受声点的距离，m。</w:t>
            </w:r>
          </w:p>
          <w:p w14:paraId="782122D1">
            <w:pPr>
              <w:keepNext w:val="0"/>
              <w:keepLines w:val="0"/>
              <w:suppressLineNumbers w:val="0"/>
              <w:spacing w:before="0" w:beforeAutospacing="0" w:after="0" w:afterAutospacing="0"/>
              <w:ind w:left="0" w:right="0" w:firstLine="420"/>
              <w:jc w:val="left"/>
              <w:rPr>
                <w:rFonts w:hint="default" w:ascii="Times New Roman" w:hAnsi="Times New Roman" w:cs="Times New Roman"/>
                <w:bCs/>
                <w:color w:val="000000" w:themeColor="text1"/>
                <w:position w:val="-14"/>
                <w:sz w:val="21"/>
                <w:szCs w:val="21"/>
              </w:rPr>
            </w:pPr>
            <w:r>
              <w:rPr>
                <w:rFonts w:hint="eastAsia" w:ascii="宋体" w:hAnsi="宋体" w:cs="宋体"/>
                <w:bCs/>
                <w:color w:val="000000" w:themeColor="text1"/>
                <w:position w:val="-14"/>
                <w:sz w:val="21"/>
                <w:szCs w:val="21"/>
              </w:rPr>
              <w:t>⑥</w:t>
            </w:r>
            <w:r>
              <w:rPr>
                <w:rFonts w:hint="default" w:ascii="Times New Roman" w:hAnsi="Times New Roman" w:cs="Times New Roman"/>
                <w:bCs/>
                <w:color w:val="000000" w:themeColor="text1"/>
                <w:position w:val="-14"/>
                <w:sz w:val="21"/>
                <w:szCs w:val="21"/>
              </w:rPr>
              <w:t>倍频带声压级和A声级转换</w:t>
            </w:r>
          </w:p>
          <w:p w14:paraId="503D7E9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000000" w:themeColor="text1"/>
                <w:position w:val="-14"/>
                <w:sz w:val="21"/>
                <w:szCs w:val="21"/>
              </w:rPr>
            </w:pPr>
            <w:r>
              <w:rPr>
                <w:rFonts w:hint="default" w:ascii="Times New Roman" w:hAnsi="Times New Roman" w:cs="Times New Roman"/>
                <w:color w:val="000000" w:themeColor="text1"/>
                <w:position w:val="-14"/>
                <w:sz w:val="21"/>
                <w:szCs w:val="21"/>
              </w:rPr>
              <w:pict>
                <v:shape id="_x0000_i1041" o:spt="75" type="#_x0000_t75" style="height:35.15pt;width:135.4pt;" filled="f" stroked="f" coordsize="21600,21600">
                  <v:path/>
                  <v:fill on="f" focussize="0,0"/>
                  <v:stroke on="f"/>
                  <v:imagedata r:id="rId41" o:title=""/>
                  <o:lock v:ext="edit" grouping="f" rotation="f" aspectratio="t"/>
                  <w10:wrap type="none"/>
                  <w10:anchorlock/>
                </v:shape>
              </w:pict>
            </w:r>
          </w:p>
          <w:p w14:paraId="7A6BC074">
            <w:pPr>
              <w:keepNext w:val="0"/>
              <w:keepLines w:val="0"/>
              <w:suppressLineNumbers w:val="0"/>
              <w:spacing w:before="0" w:beforeAutospacing="0" w:after="0" w:afterAutospacing="0"/>
              <w:ind w:left="0" w:right="0" w:firstLine="420"/>
              <w:rPr>
                <w:rFonts w:hint="default" w:ascii="Times New Roman" w:hAnsi="Times New Roman" w:cs="Times New Roman"/>
                <w:bCs/>
                <w:color w:val="000000" w:themeColor="text1"/>
                <w:position w:val="-14"/>
                <w:sz w:val="21"/>
                <w:szCs w:val="21"/>
              </w:rPr>
            </w:pPr>
            <w:r>
              <w:rPr>
                <w:rFonts w:hint="eastAsia" w:ascii="宋体" w:hAnsi="宋体" w:cs="宋体"/>
                <w:bCs/>
                <w:color w:val="000000" w:themeColor="text1"/>
                <w:position w:val="-14"/>
                <w:sz w:val="21"/>
                <w:szCs w:val="21"/>
              </w:rPr>
              <w:t>⑦</w:t>
            </w:r>
            <w:r>
              <w:rPr>
                <w:rFonts w:hint="default" w:ascii="Times New Roman" w:hAnsi="Times New Roman" w:cs="Times New Roman"/>
                <w:bCs/>
                <w:color w:val="000000" w:themeColor="text1"/>
                <w:position w:val="-14"/>
                <w:sz w:val="21"/>
                <w:szCs w:val="21"/>
              </w:rPr>
              <w:t>运行设备到厂界噪声叠加按照下式计算：</w:t>
            </w:r>
          </w:p>
          <w:p w14:paraId="24104B3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000000" w:themeColor="text1"/>
                <w:sz w:val="21"/>
                <w:szCs w:val="21"/>
              </w:rPr>
            </w:pPr>
            <w:r>
              <w:rPr>
                <w:rFonts w:hint="default" w:ascii="Times New Roman" w:hAnsi="Times New Roman" w:cs="Times New Roman"/>
                <w:color w:val="000000" w:themeColor="text1"/>
                <w:sz w:val="21"/>
                <w:szCs w:val="21"/>
              </w:rPr>
              <w:pict>
                <v:shape id="_x0000_i1042" o:spt="75" type="#_x0000_t75" style="height:36.75pt;width:179.75pt;" filled="f" stroked="f" coordsize="21600,21600">
                  <v:path/>
                  <v:fill on="f" focussize="0,0"/>
                  <v:stroke on="f"/>
                  <v:imagedata r:id="rId42" o:title=""/>
                  <o:lock v:ext="edit" grouping="f" rotation="f" aspectratio="t"/>
                  <w10:wrap type="none"/>
                  <w10:anchorlock/>
                </v:shape>
              </w:pict>
            </w:r>
          </w:p>
          <w:p w14:paraId="3105BBBB">
            <w:pPr>
              <w:keepNext w:val="0"/>
              <w:keepLines w:val="0"/>
              <w:suppressLineNumbers w:val="0"/>
              <w:spacing w:before="0" w:beforeAutospacing="0" w:after="0" w:afterAutospacing="0"/>
              <w:ind w:left="0" w:right="0" w:firstLine="420"/>
              <w:jc w:val="left"/>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式中：L</w:t>
            </w:r>
            <w:r>
              <w:rPr>
                <w:rFonts w:hint="default" w:ascii="Times New Roman" w:hAnsi="Times New Roman" w:cs="Times New Roman"/>
                <w:bCs/>
                <w:color w:val="000000" w:themeColor="text1"/>
                <w:sz w:val="21"/>
                <w:szCs w:val="21"/>
                <w:vertAlign w:val="subscript"/>
              </w:rPr>
              <w:t>eqg</w:t>
            </w:r>
            <w:r>
              <w:rPr>
                <w:rFonts w:hint="default" w:ascii="Times New Roman" w:hAnsi="Times New Roman" w:cs="Times New Roman"/>
                <w:bCs/>
                <w:color w:val="000000" w:themeColor="text1"/>
                <w:sz w:val="21"/>
                <w:szCs w:val="21"/>
              </w:rPr>
              <w:t>——建设项目声源在预测点的等效声级贡献值，dB(A)；</w:t>
            </w:r>
          </w:p>
          <w:p w14:paraId="7727FFA9">
            <w:pPr>
              <w:keepNext w:val="0"/>
              <w:keepLines w:val="0"/>
              <w:suppressLineNumbers w:val="0"/>
              <w:spacing w:before="0" w:beforeAutospacing="0" w:after="0" w:afterAutospacing="0"/>
              <w:ind w:left="0" w:right="0" w:firstLine="525" w:firstLineChars="250"/>
              <w:jc w:val="left"/>
              <w:rPr>
                <w:rFonts w:hint="default" w:ascii="Times New Roman" w:hAnsi="Times New Roman" w:cs="Times New Roman"/>
                <w:bCs/>
                <w:color w:val="000000" w:themeColor="text1"/>
                <w:sz w:val="21"/>
                <w:szCs w:val="21"/>
              </w:rPr>
            </w:pPr>
            <w:r>
              <w:rPr>
                <w:rFonts w:hint="default" w:ascii="Times New Roman" w:hAnsi="Times New Roman" w:cs="Times New Roman"/>
                <w:color w:val="000000" w:themeColor="text1"/>
                <w:position w:val="-12"/>
                <w:sz w:val="21"/>
                <w:szCs w:val="21"/>
              </w:rPr>
              <w:pict>
                <v:shape id="_x0000_i1043" o:spt="75" type="#_x0000_t75" style="height:15.75pt;width:25.4pt;" filled="f" stroked="f" coordsize="21600,21600">
                  <v:path/>
                  <v:fill on="f" focussize="0,0"/>
                  <v:stroke on="f"/>
                  <v:imagedata r:id="rId43" o:title=""/>
                  <o:lock v:ext="edit" grouping="f" rotation="f" aspectratio="t"/>
                  <w10:wrap type="none"/>
                  <w10:anchorlock/>
                </v:shape>
              </w:pict>
            </w:r>
            <w:r>
              <w:rPr>
                <w:rFonts w:hint="default" w:ascii="Times New Roman" w:hAnsi="Times New Roman" w:cs="Times New Roman"/>
                <w:bCs/>
                <w:color w:val="000000" w:themeColor="text1"/>
                <w:sz w:val="21"/>
                <w:szCs w:val="21"/>
              </w:rPr>
              <w:t>——室外i声源在预测点产生的A声级，dB(A)；</w:t>
            </w:r>
          </w:p>
          <w:p w14:paraId="0C9989D7">
            <w:pPr>
              <w:keepNext w:val="0"/>
              <w:keepLines w:val="0"/>
              <w:suppressLineNumbers w:val="0"/>
              <w:spacing w:before="0" w:beforeAutospacing="0" w:after="0" w:afterAutospacing="0"/>
              <w:ind w:left="0" w:right="0" w:firstLine="525" w:firstLineChars="250"/>
              <w:jc w:val="left"/>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t</w:t>
            </w:r>
            <w:r>
              <w:rPr>
                <w:rFonts w:hint="default" w:ascii="Times New Roman" w:hAnsi="Times New Roman" w:cs="Times New Roman"/>
                <w:bCs/>
                <w:color w:val="000000" w:themeColor="text1"/>
                <w:sz w:val="21"/>
                <w:szCs w:val="21"/>
                <w:vertAlign w:val="subscript"/>
              </w:rPr>
              <w:t>j</w:t>
            </w:r>
            <w:r>
              <w:rPr>
                <w:rFonts w:hint="default" w:ascii="Times New Roman" w:hAnsi="Times New Roman" w:cs="Times New Roman"/>
                <w:bCs/>
                <w:color w:val="000000" w:themeColor="text1"/>
                <w:sz w:val="21"/>
                <w:szCs w:val="21"/>
              </w:rPr>
              <w:t>——等效室外声源在T时间内j声源工作时间，s；</w:t>
            </w:r>
          </w:p>
          <w:p w14:paraId="2EAE5A60">
            <w:pPr>
              <w:keepNext w:val="0"/>
              <w:keepLines w:val="0"/>
              <w:suppressLineNumbers w:val="0"/>
              <w:spacing w:before="0" w:beforeAutospacing="0" w:after="0" w:afterAutospacing="0"/>
              <w:ind w:left="0" w:right="0" w:firstLine="525" w:firstLineChars="250"/>
              <w:jc w:val="left"/>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t</w:t>
            </w:r>
            <w:r>
              <w:rPr>
                <w:rFonts w:hint="default" w:ascii="Times New Roman" w:hAnsi="Times New Roman" w:cs="Times New Roman"/>
                <w:bCs/>
                <w:color w:val="000000" w:themeColor="text1"/>
                <w:sz w:val="21"/>
                <w:szCs w:val="21"/>
                <w:vertAlign w:val="subscript"/>
              </w:rPr>
              <w:t>i</w:t>
            </w:r>
            <w:r>
              <w:rPr>
                <w:rFonts w:hint="default" w:ascii="Times New Roman" w:hAnsi="Times New Roman" w:cs="Times New Roman"/>
                <w:bCs/>
                <w:color w:val="000000" w:themeColor="text1"/>
                <w:sz w:val="21"/>
                <w:szCs w:val="21"/>
              </w:rPr>
              <w:t>——室外声源在T时间内i声源工作时间，s；</w:t>
            </w:r>
          </w:p>
          <w:p w14:paraId="469E7CF6">
            <w:pPr>
              <w:keepNext w:val="0"/>
              <w:keepLines w:val="0"/>
              <w:suppressLineNumbers w:val="0"/>
              <w:spacing w:before="0" w:beforeAutospacing="0" w:after="0" w:afterAutospacing="0"/>
              <w:ind w:left="0" w:right="0" w:firstLine="420"/>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T——用于计算等效声级的时间，s。</w:t>
            </w:r>
          </w:p>
          <w:p w14:paraId="051437D3">
            <w:pPr>
              <w:keepNext w:val="0"/>
              <w:keepLines w:val="0"/>
              <w:suppressLineNumbers w:val="0"/>
              <w:spacing w:before="0" w:beforeAutospacing="0" w:after="0" w:afterAutospacing="0"/>
              <w:ind w:left="0" w:right="0" w:firstLine="420"/>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2）预测结果分析</w:t>
            </w:r>
          </w:p>
          <w:p w14:paraId="18259392">
            <w:pPr>
              <w:keepNext w:val="0"/>
              <w:keepLines w:val="0"/>
              <w:suppressLineNumbers w:val="0"/>
              <w:spacing w:before="0" w:beforeAutospacing="0" w:after="0" w:afterAutospacing="0"/>
              <w:ind w:left="0" w:right="0" w:firstLine="420"/>
              <w:rPr>
                <w:rFonts w:hint="default" w:ascii="Times New Roman" w:hAnsi="Times New Roman" w:cs="Times New Roman"/>
                <w:color w:val="000000" w:themeColor="text1"/>
                <w:sz w:val="21"/>
                <w:szCs w:val="21"/>
              </w:rPr>
            </w:pPr>
            <w:r>
              <w:rPr>
                <w:rFonts w:hint="eastAsia" w:ascii="宋体" w:hAnsi="宋体" w:cs="宋体"/>
                <w:color w:val="000000" w:themeColor="text1"/>
                <w:sz w:val="21"/>
                <w:szCs w:val="21"/>
              </w:rPr>
              <w:t>①</w:t>
            </w:r>
            <w:r>
              <w:rPr>
                <w:rFonts w:hint="default" w:ascii="Times New Roman" w:hAnsi="Times New Roman" w:cs="Times New Roman"/>
                <w:color w:val="000000" w:themeColor="text1"/>
                <w:sz w:val="21"/>
                <w:szCs w:val="21"/>
              </w:rPr>
              <w:t>厂界噪声预测</w:t>
            </w:r>
          </w:p>
          <w:p w14:paraId="79D1D07C">
            <w:pPr>
              <w:keepNext w:val="0"/>
              <w:keepLines w:val="0"/>
              <w:suppressLineNumbers w:val="0"/>
              <w:autoSpaceDE w:val="0"/>
              <w:autoSpaceDN w:val="0"/>
              <w:spacing w:before="0" w:beforeAutospacing="0" w:after="0" w:afterAutospacing="0"/>
              <w:ind w:left="0" w:right="0" w:firstLine="420"/>
              <w:rPr>
                <w:rFonts w:hint="default" w:ascii="Times New Roman" w:hAnsi="Times New Roman" w:cs="Times New Roman"/>
                <w:color w:val="000000" w:themeColor="text1"/>
                <w:sz w:val="21"/>
                <w:szCs w:val="21"/>
              </w:rPr>
            </w:pPr>
            <w:r>
              <w:rPr>
                <w:rFonts w:hint="default" w:ascii="Times New Roman" w:hAnsi="Times New Roman" w:cs="Times New Roman"/>
                <w:bCs/>
                <w:color w:val="000000" w:themeColor="text1"/>
                <w:sz w:val="21"/>
                <w:szCs w:val="21"/>
              </w:rPr>
              <w:t>本项目机械设备运转产生的噪声经减振</w:t>
            </w:r>
            <w:r>
              <w:rPr>
                <w:rFonts w:hint="eastAsia" w:ascii="Times New Roman" w:hAnsi="Times New Roman" w:cs="Times New Roman"/>
                <w:bCs/>
                <w:color w:val="000000" w:themeColor="text1"/>
                <w:sz w:val="21"/>
                <w:szCs w:val="21"/>
              </w:rPr>
              <w:t>垫</w:t>
            </w:r>
            <w:r>
              <w:rPr>
                <w:rFonts w:hint="default" w:ascii="Times New Roman" w:hAnsi="Times New Roman" w:cs="Times New Roman"/>
                <w:bCs/>
                <w:color w:val="000000" w:themeColor="text1"/>
                <w:sz w:val="21"/>
                <w:szCs w:val="21"/>
              </w:rPr>
              <w:t>、墙体隔声、距离衰减后</w:t>
            </w:r>
            <w:r>
              <w:rPr>
                <w:rFonts w:hint="eastAsia" w:ascii="Times New Roman" w:hAnsi="Times New Roman" w:cs="Times New Roman"/>
                <w:bCs/>
                <w:color w:val="000000" w:themeColor="text1"/>
                <w:sz w:val="21"/>
                <w:szCs w:val="21"/>
              </w:rPr>
              <w:t>，</w:t>
            </w:r>
            <w:r>
              <w:rPr>
                <w:rFonts w:hint="default" w:ascii="Times New Roman" w:hAnsi="Times New Roman" w:cs="Times New Roman"/>
                <w:color w:val="000000" w:themeColor="text1"/>
                <w:sz w:val="21"/>
                <w:szCs w:val="21"/>
              </w:rPr>
              <w:t>建设项目正常情况噪声预测结果见表4-</w:t>
            </w:r>
            <w:r>
              <w:rPr>
                <w:rFonts w:hint="eastAsia" w:ascii="Times New Roman" w:hAnsi="Times New Roman" w:cs="Times New Roman"/>
                <w:color w:val="000000" w:themeColor="text1"/>
                <w:sz w:val="21"/>
                <w:szCs w:val="21"/>
                <w:lang w:val="en-US" w:eastAsia="zh-CN"/>
              </w:rPr>
              <w:t>11</w:t>
            </w:r>
            <w:r>
              <w:rPr>
                <w:rFonts w:hint="default" w:ascii="Times New Roman" w:hAnsi="Times New Roman" w:cs="Times New Roman"/>
                <w:color w:val="000000" w:themeColor="text1"/>
                <w:sz w:val="21"/>
                <w:szCs w:val="21"/>
              </w:rPr>
              <w:t>。</w:t>
            </w:r>
          </w:p>
          <w:p w14:paraId="21F651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color w:val="000000" w:themeColor="text1"/>
                <w:kern w:val="0"/>
                <w:sz w:val="21"/>
                <w:szCs w:val="21"/>
              </w:rPr>
            </w:pPr>
            <w:r>
              <w:rPr>
                <w:rFonts w:hint="default" w:ascii="Times New Roman" w:hAnsi="Times New Roman" w:cs="Times New Roman"/>
                <w:b/>
                <w:color w:val="000000" w:themeColor="text1"/>
                <w:sz w:val="21"/>
                <w:szCs w:val="21"/>
                <w:lang w:val="zh-CN"/>
              </w:rPr>
              <w:t>表</w:t>
            </w:r>
            <w:r>
              <w:rPr>
                <w:rFonts w:hint="default" w:ascii="Times New Roman" w:hAnsi="Times New Roman" w:cs="Times New Roman"/>
                <w:b/>
                <w:color w:val="000000" w:themeColor="text1"/>
                <w:sz w:val="21"/>
                <w:szCs w:val="21"/>
              </w:rPr>
              <w:t>4</w:t>
            </w:r>
            <w:r>
              <w:rPr>
                <w:rFonts w:hint="eastAsia" w:ascii="Times New Roman" w:hAnsi="Times New Roman" w:cs="Times New Roman"/>
                <w:b/>
                <w:color w:val="000000" w:themeColor="text1"/>
                <w:sz w:val="21"/>
                <w:szCs w:val="21"/>
                <w:lang w:val="en-US" w:eastAsia="zh-CN"/>
              </w:rPr>
              <w:t>-11</w:t>
            </w:r>
            <w:r>
              <w:rPr>
                <w:rFonts w:hint="default" w:ascii="Times New Roman" w:hAnsi="Times New Roman" w:cs="Times New Roman"/>
                <w:b/>
                <w:color w:val="000000" w:themeColor="text1"/>
                <w:sz w:val="21"/>
                <w:szCs w:val="21"/>
              </w:rPr>
              <w:t xml:space="preserve">   </w:t>
            </w:r>
            <w:r>
              <w:rPr>
                <w:rFonts w:hint="default" w:ascii="Times New Roman" w:hAnsi="Times New Roman" w:cs="Times New Roman"/>
                <w:b/>
                <w:color w:val="000000" w:themeColor="text1"/>
                <w:sz w:val="21"/>
                <w:szCs w:val="21"/>
                <w:lang w:val="zh-CN"/>
              </w:rPr>
              <w:t>项目厂界噪声影响预测结果一览表</w:t>
            </w:r>
          </w:p>
          <w:tbl>
            <w:tblPr>
              <w:tblStyle w:val="43"/>
              <w:tblW w:w="7717"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2126"/>
              <w:gridCol w:w="2268"/>
              <w:gridCol w:w="2127"/>
            </w:tblGrid>
            <w:tr w14:paraId="722BA95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dxa"/>
                  <w:noWrap w:val="0"/>
                  <w:vAlign w:val="center"/>
                </w:tcPr>
                <w:p w14:paraId="4E5493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预测点</w:t>
                  </w:r>
                </w:p>
              </w:tc>
              <w:tc>
                <w:tcPr>
                  <w:tcW w:w="2126" w:type="dxa"/>
                  <w:noWrap w:val="0"/>
                  <w:vAlign w:val="center"/>
                </w:tcPr>
                <w:p w14:paraId="177F0D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sz w:val="21"/>
                      <w:szCs w:val="21"/>
                    </w:rPr>
                  </w:pPr>
                  <w:r>
                    <w:rPr>
                      <w:rFonts w:hint="eastAsia" w:ascii="Times New Roman" w:hAnsi="Times New Roman" w:cs="Times New Roman"/>
                      <w:b/>
                      <w:bCs/>
                      <w:color w:val="000000" w:themeColor="text1"/>
                      <w:sz w:val="21"/>
                      <w:szCs w:val="21"/>
                    </w:rPr>
                    <w:t>贡献</w:t>
                  </w:r>
                  <w:r>
                    <w:rPr>
                      <w:rFonts w:hint="default" w:ascii="Times New Roman" w:hAnsi="Times New Roman" w:cs="Times New Roman"/>
                      <w:b/>
                      <w:bCs/>
                      <w:color w:val="000000" w:themeColor="text1"/>
                      <w:sz w:val="21"/>
                      <w:szCs w:val="21"/>
                    </w:rPr>
                    <w:t>值[dB（A）]</w:t>
                  </w:r>
                </w:p>
              </w:tc>
              <w:tc>
                <w:tcPr>
                  <w:tcW w:w="2268" w:type="dxa"/>
                  <w:noWrap w:val="0"/>
                  <w:vAlign w:val="center"/>
                </w:tcPr>
                <w:p w14:paraId="4D75C2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sz w:val="21"/>
                      <w:szCs w:val="21"/>
                    </w:rPr>
                  </w:pPr>
                  <w:r>
                    <w:rPr>
                      <w:rFonts w:hint="eastAsia" w:ascii="Times New Roman" w:hAnsi="Times New Roman" w:cs="Times New Roman"/>
                      <w:b/>
                      <w:bCs/>
                      <w:color w:val="000000" w:themeColor="text1"/>
                      <w:sz w:val="21"/>
                      <w:szCs w:val="21"/>
                    </w:rPr>
                    <w:t>标准限值</w:t>
                  </w:r>
                  <w:r>
                    <w:rPr>
                      <w:rFonts w:hint="default" w:ascii="Times New Roman" w:hAnsi="Times New Roman" w:cs="Times New Roman"/>
                      <w:b/>
                      <w:bCs/>
                      <w:color w:val="000000" w:themeColor="text1"/>
                      <w:sz w:val="21"/>
                      <w:szCs w:val="21"/>
                    </w:rPr>
                    <w:t xml:space="preserve"> [dB（A）]</w:t>
                  </w:r>
                </w:p>
              </w:tc>
              <w:tc>
                <w:tcPr>
                  <w:tcW w:w="2127" w:type="dxa"/>
                  <w:noWrap w:val="0"/>
                  <w:vAlign w:val="center"/>
                </w:tcPr>
                <w:p w14:paraId="68C8CA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cs="Times New Roman"/>
                      <w:b/>
                      <w:bCs/>
                      <w:color w:val="000000" w:themeColor="text1"/>
                      <w:sz w:val="21"/>
                      <w:szCs w:val="21"/>
                    </w:rPr>
                  </w:pPr>
                  <w:r>
                    <w:rPr>
                      <w:rFonts w:hint="eastAsia" w:ascii="Times New Roman" w:hAnsi="Times New Roman" w:cs="Times New Roman"/>
                      <w:b/>
                      <w:bCs/>
                      <w:color w:val="000000" w:themeColor="text1"/>
                      <w:sz w:val="21"/>
                      <w:szCs w:val="21"/>
                    </w:rPr>
                    <w:t>达标情况</w:t>
                  </w:r>
                </w:p>
              </w:tc>
            </w:tr>
            <w:tr w14:paraId="7DF389E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dxa"/>
                  <w:noWrap w:val="0"/>
                  <w:vAlign w:val="center"/>
                </w:tcPr>
                <w:p w14:paraId="540BEE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厂界东</w:t>
                  </w:r>
                </w:p>
              </w:tc>
              <w:tc>
                <w:tcPr>
                  <w:tcW w:w="2126" w:type="dxa"/>
                  <w:noWrap w:val="0"/>
                  <w:vAlign w:val="center"/>
                </w:tcPr>
                <w:p w14:paraId="2C3982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54</w:t>
                  </w:r>
                </w:p>
              </w:tc>
              <w:tc>
                <w:tcPr>
                  <w:tcW w:w="2268" w:type="dxa"/>
                  <w:vMerge w:val="restart"/>
                  <w:noWrap w:val="0"/>
                  <w:vAlign w:val="center"/>
                </w:tcPr>
                <w:p w14:paraId="1A89B0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rPr>
                    <w:t>昼间6</w:t>
                  </w:r>
                  <w:r>
                    <w:rPr>
                      <w:rFonts w:hint="eastAsia" w:ascii="Times New Roman" w:hAnsi="Times New Roman" w:cs="Times New Roman"/>
                      <w:color w:val="000000" w:themeColor="text1"/>
                      <w:sz w:val="21"/>
                      <w:szCs w:val="21"/>
                      <w:lang w:val="en-US" w:eastAsia="zh-CN"/>
                    </w:rPr>
                    <w:t>5/夜间55</w:t>
                  </w:r>
                </w:p>
              </w:tc>
              <w:tc>
                <w:tcPr>
                  <w:tcW w:w="2127" w:type="dxa"/>
                  <w:noWrap w:val="0"/>
                  <w:vAlign w:val="center"/>
                </w:tcPr>
                <w:p w14:paraId="3C62AA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达标</w:t>
                  </w:r>
                </w:p>
              </w:tc>
            </w:tr>
            <w:tr w14:paraId="22B5542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dxa"/>
                  <w:noWrap w:val="0"/>
                  <w:vAlign w:val="center"/>
                </w:tcPr>
                <w:p w14:paraId="3CFE97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厂界南</w:t>
                  </w:r>
                </w:p>
              </w:tc>
              <w:tc>
                <w:tcPr>
                  <w:tcW w:w="2126" w:type="dxa"/>
                  <w:noWrap w:val="0"/>
                  <w:vAlign w:val="center"/>
                </w:tcPr>
                <w:p w14:paraId="62B5B2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51</w:t>
                  </w:r>
                </w:p>
              </w:tc>
              <w:tc>
                <w:tcPr>
                  <w:tcW w:w="2268" w:type="dxa"/>
                  <w:vMerge w:val="continue"/>
                  <w:noWrap w:val="0"/>
                  <w:vAlign w:val="center"/>
                </w:tcPr>
                <w:p w14:paraId="77D473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2127" w:type="dxa"/>
                  <w:noWrap w:val="0"/>
                  <w:vAlign w:val="center"/>
                </w:tcPr>
                <w:p w14:paraId="49E4EE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达标</w:t>
                  </w:r>
                </w:p>
              </w:tc>
            </w:tr>
            <w:tr w14:paraId="7522214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dxa"/>
                  <w:noWrap w:val="0"/>
                  <w:vAlign w:val="center"/>
                </w:tcPr>
                <w:p w14:paraId="6FCB19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厂界西</w:t>
                  </w:r>
                </w:p>
              </w:tc>
              <w:tc>
                <w:tcPr>
                  <w:tcW w:w="2126" w:type="dxa"/>
                  <w:noWrap w:val="0"/>
                  <w:vAlign w:val="center"/>
                </w:tcPr>
                <w:p w14:paraId="0B27A8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53</w:t>
                  </w:r>
                </w:p>
              </w:tc>
              <w:tc>
                <w:tcPr>
                  <w:tcW w:w="2268" w:type="dxa"/>
                  <w:vMerge w:val="continue"/>
                  <w:noWrap w:val="0"/>
                  <w:vAlign w:val="center"/>
                </w:tcPr>
                <w:p w14:paraId="5C064B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2127" w:type="dxa"/>
                  <w:noWrap w:val="0"/>
                  <w:vAlign w:val="center"/>
                </w:tcPr>
                <w:p w14:paraId="3F2476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达标</w:t>
                  </w:r>
                </w:p>
              </w:tc>
            </w:tr>
            <w:tr w14:paraId="4858B38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dxa"/>
                  <w:noWrap w:val="0"/>
                  <w:vAlign w:val="center"/>
                </w:tcPr>
                <w:p w14:paraId="22AEFF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厂界北</w:t>
                  </w:r>
                </w:p>
              </w:tc>
              <w:tc>
                <w:tcPr>
                  <w:tcW w:w="2126" w:type="dxa"/>
                  <w:noWrap w:val="0"/>
                  <w:vAlign w:val="center"/>
                </w:tcPr>
                <w:p w14:paraId="71D4F5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44</w:t>
                  </w:r>
                </w:p>
              </w:tc>
              <w:tc>
                <w:tcPr>
                  <w:tcW w:w="2268" w:type="dxa"/>
                  <w:vMerge w:val="continue"/>
                  <w:noWrap w:val="0"/>
                  <w:vAlign w:val="center"/>
                </w:tcPr>
                <w:p w14:paraId="55DB21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2127" w:type="dxa"/>
                  <w:noWrap w:val="0"/>
                  <w:vAlign w:val="center"/>
                </w:tcPr>
                <w:p w14:paraId="6CD2FB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达标</w:t>
                  </w:r>
                </w:p>
              </w:tc>
            </w:tr>
          </w:tbl>
          <w:p w14:paraId="66C9FB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由上述计算结果可知，</w:t>
            </w:r>
            <w:r>
              <w:rPr>
                <w:rFonts w:hint="eastAsia" w:ascii="Times New Roman" w:hAnsi="Times New Roman" w:cs="Times New Roman"/>
                <w:bCs/>
                <w:color w:val="000000" w:themeColor="text1"/>
                <w:sz w:val="21"/>
                <w:szCs w:val="21"/>
              </w:rPr>
              <w:t>经采取基础减振、厂房隔声及距离衰减等降噪措施后，本项目生产对厂界的噪声贡献值</w:t>
            </w:r>
            <w:r>
              <w:rPr>
                <w:rFonts w:hint="default" w:ascii="Times New Roman" w:hAnsi="Times New Roman" w:cs="Times New Roman"/>
                <w:bCs/>
                <w:color w:val="000000" w:themeColor="text1"/>
                <w:sz w:val="21"/>
                <w:szCs w:val="21"/>
              </w:rPr>
              <w:t>小于</w:t>
            </w:r>
            <w:r>
              <w:rPr>
                <w:rFonts w:hint="eastAsia" w:ascii="Times New Roman" w:hAnsi="Times New Roman" w:cs="Times New Roman"/>
                <w:bCs/>
                <w:color w:val="000000" w:themeColor="text1"/>
                <w:sz w:val="21"/>
                <w:szCs w:val="21"/>
                <w:lang w:val="en-US" w:eastAsia="zh-CN"/>
              </w:rPr>
              <w:t>55</w:t>
            </w:r>
            <w:r>
              <w:rPr>
                <w:rFonts w:hint="default" w:ascii="Times New Roman" w:hAnsi="Times New Roman" w:cs="Times New Roman"/>
                <w:bCs/>
                <w:color w:val="000000" w:themeColor="text1"/>
                <w:sz w:val="21"/>
                <w:szCs w:val="21"/>
              </w:rPr>
              <w:t>dB(A)，厂界噪声满足《工业企业厂界环境噪声排放标准》（GB12348－2008）中</w:t>
            </w:r>
            <w:r>
              <w:rPr>
                <w:rFonts w:hint="eastAsia" w:ascii="Times New Roman" w:hAnsi="Times New Roman" w:cs="Times New Roman"/>
                <w:bCs/>
                <w:color w:val="000000" w:themeColor="text1"/>
                <w:sz w:val="21"/>
                <w:szCs w:val="21"/>
                <w:lang w:val="en-US" w:eastAsia="zh-CN"/>
              </w:rPr>
              <w:t>3</w:t>
            </w:r>
            <w:r>
              <w:rPr>
                <w:rFonts w:hint="default" w:ascii="Times New Roman" w:hAnsi="Times New Roman" w:cs="Times New Roman"/>
                <w:bCs/>
                <w:color w:val="000000" w:themeColor="text1"/>
                <w:sz w:val="21"/>
                <w:szCs w:val="21"/>
              </w:rPr>
              <w:t>类标准要求,因此拟建项目实施后对区域声环境影响较小。</w:t>
            </w:r>
          </w:p>
          <w:p w14:paraId="65F8956B">
            <w:pPr>
              <w:pStyle w:val="23"/>
              <w:keepNext w:val="0"/>
              <w:keepLines w:val="0"/>
              <w:suppressLineNumbers w:val="0"/>
              <w:adjustRightInd w:val="0"/>
              <w:snapToGrid w:val="0"/>
              <w:spacing w:before="0" w:beforeAutospacing="0" w:after="0" w:afterAutospacing="0"/>
              <w:ind w:left="0" w:right="0" w:firstLine="0" w:firstLineChars="0"/>
              <w:rPr>
                <w:rFonts w:hint="default" w:cs="Times New Roman"/>
                <w:color w:val="000000" w:themeColor="text1"/>
              </w:rPr>
            </w:pPr>
            <w:r>
              <w:rPr>
                <w:rFonts w:hint="default" w:cs="Times New Roman"/>
                <w:color w:val="000000" w:themeColor="text1"/>
              </w:rPr>
              <w:pict>
                <v:shape id="_x0000_i1044" o:spt="75" type="#_x0000_t75" style="height:387.3pt;width:397.3pt;" filled="f" stroked="f" coordsize="21600,21600">
                  <v:path/>
                  <v:fill on="f" focussize="0,0"/>
                  <v:stroke on="f"/>
                  <v:imagedata r:id="rId44" o:title=""/>
                  <o:lock v:ext="edit" aspectratio="t"/>
                  <w10:wrap type="none"/>
                  <w10:anchorlock/>
                </v:shape>
              </w:pict>
            </w:r>
          </w:p>
          <w:p w14:paraId="70A828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color w:val="000000" w:themeColor="text1"/>
                <w:sz w:val="21"/>
                <w:szCs w:val="21"/>
                <w:lang w:val="zh-CN"/>
              </w:rPr>
            </w:pPr>
            <w:r>
              <w:rPr>
                <w:rFonts w:hint="default" w:ascii="Times New Roman" w:hAnsi="Times New Roman" w:cs="Times New Roman"/>
                <w:b/>
                <w:color w:val="000000" w:themeColor="text1"/>
                <w:sz w:val="21"/>
                <w:szCs w:val="21"/>
                <w:lang w:val="zh-CN"/>
              </w:rPr>
              <w:t>图4-</w:t>
            </w:r>
            <w:r>
              <w:rPr>
                <w:rFonts w:hint="eastAsia" w:ascii="Times New Roman" w:hAnsi="Times New Roman" w:cs="Times New Roman"/>
                <w:b/>
                <w:color w:val="000000" w:themeColor="text1"/>
                <w:sz w:val="21"/>
                <w:szCs w:val="21"/>
                <w:lang w:val="en-US" w:eastAsia="zh-CN"/>
              </w:rPr>
              <w:t>2</w:t>
            </w:r>
            <w:r>
              <w:rPr>
                <w:rFonts w:hint="default" w:ascii="Times New Roman" w:hAnsi="Times New Roman" w:cs="Times New Roman"/>
                <w:b/>
                <w:color w:val="000000" w:themeColor="text1"/>
                <w:sz w:val="21"/>
                <w:szCs w:val="21"/>
                <w:lang w:val="zh-CN"/>
              </w:rPr>
              <w:t xml:space="preserve">  噪声贡献值等值曲线图</w:t>
            </w:r>
          </w:p>
          <w:p w14:paraId="29919A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textAlignment w:val="auto"/>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（3）结论及建议</w:t>
            </w:r>
          </w:p>
          <w:p w14:paraId="55C113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本项目不涉及发电机，机械设备运转产生的噪声经减振、墙体隔声、距离衰减后，经预测本项目厂区设备噪声厂界均可达到GB12348-2008《工业企业厂界环境噪声排放标准》</w:t>
            </w:r>
            <w:r>
              <w:rPr>
                <w:rFonts w:hint="eastAsia" w:ascii="Times New Roman" w:hAnsi="Times New Roman" w:cs="Times New Roman"/>
                <w:color w:val="000000" w:themeColor="text1"/>
                <w:sz w:val="21"/>
                <w:szCs w:val="21"/>
                <w:lang w:val="en-US" w:eastAsia="zh-CN"/>
              </w:rPr>
              <w:t>3</w:t>
            </w:r>
            <w:r>
              <w:rPr>
                <w:rFonts w:hint="default" w:ascii="Times New Roman" w:hAnsi="Times New Roman" w:cs="Times New Roman"/>
                <w:color w:val="000000" w:themeColor="text1"/>
                <w:sz w:val="21"/>
                <w:szCs w:val="21"/>
              </w:rPr>
              <w:t>类标准，项目周围主要为工业企业和道路，距离居民区距离较远，与项目距离均大于50m，项目运营期产生的噪声对周围环境保护目标影响较小。</w:t>
            </w:r>
          </w:p>
          <w:p w14:paraId="1EF6BD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但其厂区较小，其贡献值较大，</w:t>
            </w:r>
            <w:r>
              <w:rPr>
                <w:rFonts w:hint="default" w:ascii="Times New Roman" w:hAnsi="Times New Roman" w:cs="Times New Roman"/>
                <w:color w:val="000000" w:themeColor="text1"/>
                <w:sz w:val="21"/>
                <w:szCs w:val="21"/>
              </w:rPr>
              <w:t>为了减小噪声对区域声环境的不利影响，本环评要求采取如下噪声防治措施：</w:t>
            </w:r>
          </w:p>
          <w:p w14:paraId="4546C7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宋体" w:hAnsi="宋体" w:cs="宋体"/>
                <w:color w:val="000000" w:themeColor="text1"/>
                <w:sz w:val="21"/>
                <w:szCs w:val="21"/>
              </w:rPr>
              <w:t>①</w:t>
            </w:r>
            <w:r>
              <w:rPr>
                <w:rFonts w:hint="default" w:ascii="Times New Roman" w:hAnsi="Times New Roman" w:cs="Times New Roman"/>
                <w:color w:val="000000" w:themeColor="text1"/>
                <w:sz w:val="21"/>
                <w:szCs w:val="21"/>
              </w:rPr>
              <w:t>加强生产设备的日常维护与保养，保证机器的正常运转，建立设备定期维护、保养的管理制度，以防止设备故障形成的非正常生产噪声；</w:t>
            </w:r>
          </w:p>
          <w:p w14:paraId="432B9D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宋体" w:hAnsi="宋体" w:cs="宋体"/>
                <w:color w:val="000000" w:themeColor="text1"/>
                <w:sz w:val="21"/>
                <w:szCs w:val="21"/>
              </w:rPr>
              <w:t>②</w:t>
            </w:r>
            <w:r>
              <w:rPr>
                <w:rFonts w:hint="default" w:ascii="Times New Roman" w:hAnsi="Times New Roman" w:cs="Times New Roman"/>
                <w:color w:val="000000" w:themeColor="text1"/>
                <w:sz w:val="21"/>
                <w:szCs w:val="21"/>
              </w:rPr>
              <w:t>对于空气动力性噪声的机械设备，出风口加装消声器，并将高噪声布置在生产车间内，并安装减震垫；</w:t>
            </w:r>
          </w:p>
          <w:p w14:paraId="483A38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宋体" w:hAnsi="宋体" w:cs="宋体"/>
                <w:color w:val="000000" w:themeColor="text1"/>
                <w:sz w:val="21"/>
                <w:szCs w:val="21"/>
              </w:rPr>
              <w:t>③</w:t>
            </w:r>
            <w:r>
              <w:rPr>
                <w:rFonts w:hint="default" w:ascii="Times New Roman" w:hAnsi="Times New Roman" w:cs="Times New Roman"/>
                <w:color w:val="000000" w:themeColor="text1"/>
                <w:sz w:val="21"/>
                <w:szCs w:val="21"/>
              </w:rPr>
              <w:t>加强职工环保意识教育，提倡文明生产，防止人为噪声。</w:t>
            </w:r>
          </w:p>
          <w:p w14:paraId="530F05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textAlignment w:val="auto"/>
              <w:rPr>
                <w:rFonts w:hint="eastAsia" w:ascii="Times New Roman" w:hAnsi="Times New Roman" w:cs="Times New Roman"/>
                <w:color w:val="000000" w:themeColor="text1"/>
                <w:sz w:val="21"/>
                <w:szCs w:val="21"/>
              </w:rPr>
            </w:pPr>
            <w:r>
              <w:rPr>
                <w:rFonts w:hint="eastAsia" w:ascii="宋体" w:hAnsi="宋体" w:cs="宋体"/>
                <w:color w:val="000000" w:themeColor="text1"/>
              </w:rPr>
              <w:t>④</w:t>
            </w:r>
            <w:r>
              <w:rPr>
                <w:rFonts w:hint="default" w:ascii="Times New Roman" w:hAnsi="Times New Roman" w:cs="Times New Roman"/>
                <w:color w:val="000000" w:themeColor="text1"/>
                <w:sz w:val="21"/>
                <w:szCs w:val="21"/>
              </w:rPr>
              <w:t>优化厂区布局，将产生噪声较高的破碎机、混合机组布置于场地中部，并在厂界四周尽量种植高大乔木，以起到隔声降噪的作用</w:t>
            </w:r>
            <w:r>
              <w:rPr>
                <w:rFonts w:hint="eastAsia" w:ascii="Times New Roman" w:hAnsi="Times New Roman" w:cs="Times New Roman"/>
                <w:color w:val="000000" w:themeColor="text1"/>
                <w:sz w:val="21"/>
                <w:szCs w:val="21"/>
              </w:rPr>
              <w:t>。</w:t>
            </w:r>
          </w:p>
          <w:p w14:paraId="7BB722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在严格采取上述对策防治措施后，项目厂界噪声可达 GB12348-2008《工业企业厂界环境噪声排放标准》2 类标准，噪声对区域声环境影响不大。</w:t>
            </w:r>
          </w:p>
          <w:p w14:paraId="54CDBD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textAlignment w:val="auto"/>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（4）噪声监测要求</w:t>
            </w:r>
          </w:p>
          <w:p w14:paraId="1241C2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根据《排污单位自行监测技术指南总则》(HJ819-2017)</w:t>
            </w:r>
            <w:r>
              <w:rPr>
                <w:rFonts w:hint="eastAsia" w:ascii="Times New Roman" w:hAnsi="Times New Roman" w:cs="Times New Roman"/>
                <w:color w:val="000000" w:themeColor="text1"/>
                <w:sz w:val="21"/>
              </w:rPr>
              <w:t xml:space="preserve"> 及</w:t>
            </w:r>
            <w:r>
              <w:rPr>
                <w:rFonts w:hint="eastAsia" w:ascii="Times New Roman" w:hAnsi="Times New Roman" w:cs="Times New Roman"/>
                <w:color w:val="000000" w:themeColor="text1"/>
                <w:sz w:val="21"/>
                <w:szCs w:val="21"/>
              </w:rPr>
              <w:t>《排污许可证申请与核发技术规范 工业噪声》（HJ1301—2023），具体监测内容见下表。</w:t>
            </w:r>
          </w:p>
          <w:p w14:paraId="50E894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表4</w:t>
            </w:r>
            <w:r>
              <w:rPr>
                <w:rFonts w:hint="eastAsia" w:ascii="Times New Roman" w:hAnsi="Times New Roman" w:cs="Times New Roman"/>
                <w:b/>
                <w:bCs/>
                <w:color w:val="000000" w:themeColor="text1"/>
                <w:sz w:val="21"/>
                <w:szCs w:val="21"/>
              </w:rPr>
              <w:t>-1</w:t>
            </w:r>
            <w:r>
              <w:rPr>
                <w:rFonts w:hint="eastAsia" w:ascii="Times New Roman" w:hAnsi="Times New Roman" w:cs="Times New Roman"/>
                <w:b/>
                <w:bCs/>
                <w:color w:val="000000" w:themeColor="text1"/>
                <w:sz w:val="21"/>
                <w:szCs w:val="21"/>
                <w:lang w:val="en-US" w:eastAsia="zh-CN"/>
              </w:rPr>
              <w:t>2</w:t>
            </w:r>
            <w:r>
              <w:rPr>
                <w:rFonts w:hint="default" w:ascii="Times New Roman" w:hAnsi="Times New Roman" w:cs="Times New Roman"/>
                <w:b/>
                <w:bCs/>
                <w:color w:val="000000" w:themeColor="text1"/>
                <w:sz w:val="21"/>
                <w:szCs w:val="21"/>
              </w:rPr>
              <w:t xml:space="preserve">  运营期噪声监测计划</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02"/>
              <w:gridCol w:w="1219"/>
              <w:gridCol w:w="1443"/>
              <w:gridCol w:w="1076"/>
              <w:gridCol w:w="3095"/>
            </w:tblGrid>
            <w:tr w14:paraId="687739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5" w:type="pct"/>
                  <w:noWrap w:val="0"/>
                  <w:vAlign w:val="center"/>
                </w:tcPr>
                <w:p w14:paraId="370FBB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sz w:val="21"/>
                      <w:szCs w:val="21"/>
                    </w:rPr>
                  </w:pPr>
                  <w:r>
                    <w:rPr>
                      <w:rFonts w:hint="default" w:ascii="Times New Roman" w:hAnsi="Times New Roman" w:cs="Times New Roman"/>
                      <w:b/>
                      <w:bCs w:val="0"/>
                      <w:color w:val="000000" w:themeColor="text1"/>
                      <w:sz w:val="21"/>
                      <w:szCs w:val="21"/>
                    </w:rPr>
                    <w:t>监测项目</w:t>
                  </w:r>
                </w:p>
              </w:tc>
              <w:tc>
                <w:tcPr>
                  <w:tcW w:w="768" w:type="pct"/>
                  <w:noWrap w:val="0"/>
                  <w:vAlign w:val="center"/>
                </w:tcPr>
                <w:p w14:paraId="74EC4C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sz w:val="21"/>
                      <w:szCs w:val="21"/>
                    </w:rPr>
                  </w:pPr>
                  <w:r>
                    <w:rPr>
                      <w:rFonts w:hint="default" w:ascii="Times New Roman" w:hAnsi="Times New Roman" w:cs="Times New Roman"/>
                      <w:b/>
                      <w:bCs w:val="0"/>
                      <w:color w:val="000000" w:themeColor="text1"/>
                      <w:sz w:val="21"/>
                      <w:szCs w:val="21"/>
                    </w:rPr>
                    <w:t>监测点位</w:t>
                  </w:r>
                </w:p>
              </w:tc>
              <w:tc>
                <w:tcPr>
                  <w:tcW w:w="909" w:type="pct"/>
                  <w:noWrap w:val="0"/>
                  <w:vAlign w:val="center"/>
                </w:tcPr>
                <w:p w14:paraId="2842C2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sz w:val="21"/>
                      <w:szCs w:val="21"/>
                    </w:rPr>
                  </w:pPr>
                  <w:r>
                    <w:rPr>
                      <w:rFonts w:hint="default" w:ascii="Times New Roman" w:hAnsi="Times New Roman" w:cs="Times New Roman"/>
                      <w:b/>
                      <w:bCs w:val="0"/>
                      <w:color w:val="000000" w:themeColor="text1"/>
                      <w:sz w:val="21"/>
                      <w:szCs w:val="21"/>
                    </w:rPr>
                    <w:t>监测指标</w:t>
                  </w:r>
                </w:p>
              </w:tc>
              <w:tc>
                <w:tcPr>
                  <w:tcW w:w="678" w:type="pct"/>
                  <w:noWrap w:val="0"/>
                  <w:vAlign w:val="center"/>
                </w:tcPr>
                <w:p w14:paraId="74C883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sz w:val="21"/>
                      <w:szCs w:val="21"/>
                    </w:rPr>
                  </w:pPr>
                  <w:r>
                    <w:rPr>
                      <w:rFonts w:hint="default" w:ascii="Times New Roman" w:hAnsi="Times New Roman" w:cs="Times New Roman"/>
                      <w:b/>
                      <w:bCs w:val="0"/>
                      <w:color w:val="000000" w:themeColor="text1"/>
                      <w:sz w:val="21"/>
                      <w:szCs w:val="21"/>
                    </w:rPr>
                    <w:t>监测频率</w:t>
                  </w:r>
                </w:p>
              </w:tc>
              <w:tc>
                <w:tcPr>
                  <w:tcW w:w="1951" w:type="pct"/>
                  <w:noWrap w:val="0"/>
                  <w:vAlign w:val="center"/>
                </w:tcPr>
                <w:p w14:paraId="11A79E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sz w:val="21"/>
                      <w:szCs w:val="21"/>
                    </w:rPr>
                  </w:pPr>
                  <w:r>
                    <w:rPr>
                      <w:rFonts w:hint="default" w:ascii="Times New Roman" w:hAnsi="Times New Roman" w:cs="Times New Roman"/>
                      <w:b/>
                      <w:bCs w:val="0"/>
                      <w:color w:val="000000" w:themeColor="text1"/>
                      <w:sz w:val="21"/>
                      <w:szCs w:val="21"/>
                    </w:rPr>
                    <w:t>执行排放标准</w:t>
                  </w:r>
                </w:p>
              </w:tc>
            </w:tr>
            <w:tr w14:paraId="1EAE41B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5" w:type="pct"/>
                  <w:noWrap w:val="0"/>
                  <w:vAlign w:val="center"/>
                </w:tcPr>
                <w:p w14:paraId="0C0585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噪声</w:t>
                  </w:r>
                </w:p>
              </w:tc>
              <w:tc>
                <w:tcPr>
                  <w:tcW w:w="768" w:type="pct"/>
                  <w:noWrap w:val="0"/>
                  <w:vAlign w:val="center"/>
                </w:tcPr>
                <w:p w14:paraId="6C4FAF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厂界四周外1m处</w:t>
                  </w:r>
                </w:p>
              </w:tc>
              <w:tc>
                <w:tcPr>
                  <w:tcW w:w="909" w:type="pct"/>
                  <w:noWrap w:val="0"/>
                  <w:vAlign w:val="center"/>
                </w:tcPr>
                <w:p w14:paraId="5A452E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等效连续声级Leq（A）</w:t>
                  </w:r>
                </w:p>
              </w:tc>
              <w:tc>
                <w:tcPr>
                  <w:tcW w:w="678" w:type="pct"/>
                  <w:noWrap w:val="0"/>
                  <w:vAlign w:val="center"/>
                </w:tcPr>
                <w:p w14:paraId="2F1ADD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每季度1次</w:t>
                  </w:r>
                </w:p>
              </w:tc>
              <w:tc>
                <w:tcPr>
                  <w:tcW w:w="1951" w:type="pct"/>
                  <w:noWrap w:val="0"/>
                  <w:vAlign w:val="center"/>
                </w:tcPr>
                <w:p w14:paraId="7F43D3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《工业企业厂界环境噪声排放标准》（GB12348－2008）</w:t>
                  </w:r>
                  <w:r>
                    <w:rPr>
                      <w:rFonts w:hint="eastAsia" w:ascii="Times New Roman" w:hAnsi="Times New Roman" w:cs="Times New Roman"/>
                      <w:bCs/>
                      <w:color w:val="000000" w:themeColor="text1"/>
                      <w:sz w:val="21"/>
                      <w:szCs w:val="21"/>
                      <w:lang w:val="en-US" w:eastAsia="zh-CN"/>
                    </w:rPr>
                    <w:t>3</w:t>
                  </w:r>
                  <w:r>
                    <w:rPr>
                      <w:rFonts w:hint="default" w:ascii="Times New Roman" w:hAnsi="Times New Roman" w:cs="Times New Roman"/>
                      <w:bCs/>
                      <w:color w:val="000000" w:themeColor="text1"/>
                      <w:sz w:val="21"/>
                      <w:szCs w:val="21"/>
                    </w:rPr>
                    <w:t>类</w:t>
                  </w:r>
                </w:p>
              </w:tc>
            </w:tr>
          </w:tbl>
          <w:p w14:paraId="70198E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textAlignment w:val="auto"/>
              <w:rPr>
                <w:rFonts w:hint="default" w:ascii="Times New Roman" w:hAnsi="Times New Roman" w:cs="Times New Roman"/>
                <w:b/>
                <w:bCs/>
                <w:color w:val="000000" w:themeColor="text1"/>
                <w:sz w:val="21"/>
                <w:szCs w:val="21"/>
              </w:rPr>
            </w:pPr>
            <w:r>
              <w:rPr>
                <w:rFonts w:hint="eastAsia" w:ascii="Times New Roman" w:hAnsi="Times New Roman" w:cs="Times New Roman"/>
                <w:b/>
                <w:bCs/>
                <w:color w:val="000000" w:themeColor="text1"/>
                <w:sz w:val="21"/>
                <w:szCs w:val="21"/>
              </w:rPr>
              <w:t>4、运营期固体废物影响和保护措施</w:t>
            </w:r>
          </w:p>
          <w:p w14:paraId="634D74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宋体" w:hAnsi="宋体" w:cs="Times New Roman"/>
                <w:color w:val="000000" w:themeColor="text1"/>
                <w:sz w:val="21"/>
                <w:szCs w:val="21"/>
              </w:rPr>
            </w:pPr>
            <w:r>
              <w:rPr>
                <w:rFonts w:hint="eastAsia" w:ascii="Times New Roman" w:hAnsi="Times New Roman" w:cs="Times New Roman"/>
                <w:color w:val="000000" w:themeColor="text1"/>
                <w:sz w:val="21"/>
                <w:szCs w:val="21"/>
              </w:rPr>
              <w:t>按《固体废物鉴别标准通则》（GB34330-2017）、《危险废物鉴别标准通则》（GB5085.</w:t>
            </w:r>
            <w:r>
              <w:rPr>
                <w:rFonts w:hint="eastAsia" w:ascii="宋体" w:hAnsi="宋体" w:cs="Times New Roman"/>
                <w:color w:val="000000" w:themeColor="text1"/>
                <w:sz w:val="21"/>
                <w:szCs w:val="21"/>
              </w:rPr>
              <w:t>7-2019）和《国家危险废物名录》（202</w:t>
            </w:r>
            <w:r>
              <w:rPr>
                <w:rFonts w:hint="eastAsia" w:ascii="宋体" w:hAnsi="宋体" w:cs="Times New Roman"/>
                <w:color w:val="000000" w:themeColor="text1"/>
                <w:sz w:val="21"/>
                <w:szCs w:val="21"/>
                <w:lang w:val="en-US" w:eastAsia="zh-CN"/>
              </w:rPr>
              <w:t>5</w:t>
            </w:r>
            <w:r>
              <w:rPr>
                <w:rFonts w:hint="eastAsia" w:ascii="宋体" w:hAnsi="宋体" w:cs="Times New Roman"/>
                <w:color w:val="000000" w:themeColor="text1"/>
                <w:sz w:val="21"/>
                <w:szCs w:val="21"/>
              </w:rPr>
              <w:t>年本）的有关要求，对项目固废进行分类，本项目固废产生类别主要有一般工业固废、危险废物和生活垃圾。</w:t>
            </w:r>
          </w:p>
          <w:p w14:paraId="007F0C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textAlignment w:val="auto"/>
              <w:rPr>
                <w:rFonts w:hint="default" w:ascii="宋体" w:hAnsi="宋体" w:cs="Times New Roman"/>
                <w:b/>
                <w:bCs/>
                <w:color w:val="000000" w:themeColor="text1"/>
                <w:sz w:val="21"/>
                <w:szCs w:val="21"/>
              </w:rPr>
            </w:pPr>
            <w:r>
              <w:rPr>
                <w:rFonts w:hint="default" w:ascii="宋体" w:hAnsi="宋体" w:cs="Times New Roman"/>
                <w:b/>
                <w:bCs/>
                <w:color w:val="000000" w:themeColor="text1"/>
                <w:sz w:val="21"/>
                <w:szCs w:val="21"/>
              </w:rPr>
              <w:t>（1）运营期固体废物产排情况</w:t>
            </w:r>
          </w:p>
          <w:p w14:paraId="29DCA7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1）生活垃圾</w:t>
            </w:r>
          </w:p>
          <w:p w14:paraId="62DE79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本项目产生的生活垃圾主要为职工生活垃圾。</w:t>
            </w:r>
            <w:r>
              <w:rPr>
                <w:rFonts w:hint="eastAsia" w:ascii="Times New Roman" w:hAnsi="Times New Roman" w:cs="Times New Roman"/>
                <w:color w:val="000000" w:themeColor="text1"/>
                <w:sz w:val="21"/>
                <w:szCs w:val="21"/>
              </w:rPr>
              <w:t>员工生活垃圾根据《社会区域类环境影响评价》（中国环境科学出版社）</w:t>
            </w:r>
            <w:r>
              <w:rPr>
                <w:rFonts w:hint="default" w:ascii="Times New Roman" w:hAnsi="Times New Roman" w:cs="Times New Roman"/>
                <w:color w:val="000000" w:themeColor="text1"/>
                <w:sz w:val="21"/>
                <w:szCs w:val="21"/>
              </w:rPr>
              <w:t>，</w:t>
            </w:r>
            <w:r>
              <w:rPr>
                <w:rFonts w:hint="eastAsia" w:ascii="Times New Roman" w:hAnsi="Times New Roman" w:cs="Times New Roman"/>
                <w:color w:val="000000" w:themeColor="text1"/>
                <w:sz w:val="21"/>
                <w:szCs w:val="21"/>
              </w:rPr>
              <w:t>我国目前城市人均生活垃圾为0.8~1.5kg/人.d，办公垃圾为0.5~1.0kg/人.d，则本项目按人员每人每天产生1kg计，年工作时间300天，根据建设单位提供的资料，项目员工共有</w:t>
            </w:r>
            <w:r>
              <w:rPr>
                <w:rFonts w:hint="eastAsia" w:ascii="Times New Roman" w:hAnsi="Times New Roman" w:cs="Times New Roman"/>
                <w:color w:val="000000" w:themeColor="text1"/>
                <w:sz w:val="21"/>
                <w:szCs w:val="21"/>
                <w:lang w:val="en-US" w:eastAsia="zh-CN"/>
              </w:rPr>
              <w:t>40</w:t>
            </w:r>
            <w:r>
              <w:rPr>
                <w:rFonts w:hint="eastAsia" w:ascii="Times New Roman" w:hAnsi="Times New Roman" w:cs="Times New Roman"/>
                <w:color w:val="000000" w:themeColor="text1"/>
                <w:sz w:val="21"/>
                <w:szCs w:val="21"/>
              </w:rPr>
              <w:t>人，</w:t>
            </w:r>
            <w:r>
              <w:rPr>
                <w:rFonts w:hint="default" w:ascii="Times New Roman" w:hAnsi="Times New Roman" w:cs="Times New Roman"/>
                <w:color w:val="000000" w:themeColor="text1"/>
                <w:sz w:val="21"/>
                <w:szCs w:val="21"/>
              </w:rPr>
              <w:t>则职工生活垃圾产生量为</w:t>
            </w:r>
            <w:r>
              <w:rPr>
                <w:rFonts w:hint="eastAsia" w:ascii="Times New Roman" w:hAnsi="Times New Roman" w:cs="Times New Roman"/>
                <w:color w:val="000000" w:themeColor="text1"/>
                <w:sz w:val="21"/>
                <w:szCs w:val="21"/>
                <w:lang w:val="en-US" w:eastAsia="zh-CN"/>
              </w:rPr>
              <w:t>40</w:t>
            </w:r>
            <w:r>
              <w:rPr>
                <w:rFonts w:hint="default" w:ascii="Times New Roman" w:hAnsi="Times New Roman" w:cs="Times New Roman"/>
                <w:color w:val="000000" w:themeColor="text1"/>
                <w:sz w:val="21"/>
                <w:szCs w:val="21"/>
              </w:rPr>
              <w:t>kg/d、</w:t>
            </w:r>
            <w:r>
              <w:rPr>
                <w:rFonts w:hint="eastAsia" w:ascii="Times New Roman" w:hAnsi="Times New Roman" w:cs="Times New Roman"/>
                <w:color w:val="000000" w:themeColor="text1"/>
                <w:sz w:val="21"/>
                <w:szCs w:val="21"/>
                <w:lang w:val="en-US" w:eastAsia="zh-CN"/>
              </w:rPr>
              <w:t>12</w:t>
            </w:r>
            <w:r>
              <w:rPr>
                <w:rFonts w:hint="default" w:ascii="Times New Roman" w:hAnsi="Times New Roman" w:cs="Times New Roman"/>
                <w:color w:val="000000" w:themeColor="text1"/>
                <w:sz w:val="21"/>
                <w:szCs w:val="21"/>
              </w:rPr>
              <w:t>t/a</w:t>
            </w:r>
            <w:r>
              <w:rPr>
                <w:rFonts w:hint="eastAsia" w:ascii="Times New Roman" w:hAnsi="Times New Roman" w:cs="Times New Roman"/>
                <w:color w:val="000000" w:themeColor="text1"/>
                <w:sz w:val="21"/>
                <w:szCs w:val="21"/>
              </w:rPr>
              <w:t>。</w:t>
            </w:r>
            <w:r>
              <w:rPr>
                <w:rFonts w:hint="eastAsia" w:ascii="Times New Roman" w:hAnsi="Times New Roman" w:cs="Times New Roman"/>
                <w:color w:val="000000" w:themeColor="text1"/>
                <w:sz w:val="21"/>
                <w:szCs w:val="21"/>
                <w:lang w:val="en-US" w:eastAsia="zh-CN"/>
              </w:rPr>
              <w:t>其属于《</w:t>
            </w:r>
            <w:r>
              <w:rPr>
                <w:rFonts w:hint="default" w:ascii="宋体" w:hAnsi="宋体" w:eastAsia="宋体" w:cs="宋体"/>
                <w:color w:val="000000" w:themeColor="text1"/>
                <w:sz w:val="21"/>
                <w:szCs w:val="21"/>
              </w:rPr>
              <w:t>固体废物分类与代码目录</w:t>
            </w:r>
            <w:r>
              <w:rPr>
                <w:rFonts w:hint="eastAsia" w:ascii="Times New Roman" w:hAnsi="Times New Roman" w:cs="Times New Roman"/>
                <w:color w:val="000000" w:themeColor="text1"/>
                <w:sz w:val="21"/>
                <w:szCs w:val="21"/>
                <w:lang w:val="en-US" w:eastAsia="zh-CN"/>
              </w:rPr>
              <w:t>》中“SW64其他垃圾以上之外的生活垃圾，废物代码为900-099-S64”，</w:t>
            </w:r>
            <w:r>
              <w:rPr>
                <w:rFonts w:hint="eastAsia" w:ascii="Times New Roman" w:hAnsi="Times New Roman" w:cs="Times New Roman"/>
                <w:color w:val="000000" w:themeColor="text1"/>
                <w:sz w:val="21"/>
                <w:szCs w:val="21"/>
              </w:rPr>
              <w:t>生活垃圾定期委托环卫部门清运处置</w:t>
            </w:r>
            <w:r>
              <w:rPr>
                <w:rFonts w:hint="default" w:ascii="Times New Roman" w:hAnsi="Times New Roman" w:cs="Times New Roman"/>
                <w:color w:val="000000" w:themeColor="text1"/>
                <w:sz w:val="21"/>
                <w:szCs w:val="21"/>
              </w:rPr>
              <w:t>。</w:t>
            </w:r>
          </w:p>
          <w:p w14:paraId="1A345B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rPr>
              <w:t>2）一般固废</w:t>
            </w:r>
          </w:p>
          <w:p w14:paraId="156857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①除尘</w:t>
            </w:r>
            <w:r>
              <w:rPr>
                <w:rFonts w:hint="eastAsia" w:cs="Times New Roman"/>
                <w:color w:val="000000" w:themeColor="text1"/>
                <w:sz w:val="21"/>
                <w:szCs w:val="21"/>
                <w:lang w:val="en-US" w:eastAsia="zh-CN"/>
              </w:rPr>
              <w:t>设施</w:t>
            </w:r>
            <w:r>
              <w:rPr>
                <w:rFonts w:hint="eastAsia" w:ascii="Times New Roman" w:hAnsi="Times New Roman" w:cs="Times New Roman"/>
                <w:color w:val="000000" w:themeColor="text1"/>
                <w:sz w:val="21"/>
                <w:szCs w:val="21"/>
              </w:rPr>
              <w:t>内收集的粉尘</w:t>
            </w:r>
          </w:p>
          <w:p w14:paraId="444066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根据工程分析，进入</w:t>
            </w:r>
            <w:r>
              <w:rPr>
                <w:rFonts w:hint="eastAsia" w:ascii="Times New Roman" w:hAnsi="Times New Roman" w:cs="Times New Roman"/>
                <w:color w:val="000000" w:themeColor="text1"/>
                <w:sz w:val="21"/>
                <w:szCs w:val="21"/>
                <w:lang w:val="en-US" w:eastAsia="zh-CN"/>
              </w:rPr>
              <w:t>重力沉降+布袋除尘</w:t>
            </w:r>
            <w:r>
              <w:rPr>
                <w:rFonts w:hint="eastAsia" w:cs="Times New Roman"/>
                <w:color w:val="000000" w:themeColor="text1"/>
                <w:sz w:val="21"/>
                <w:szCs w:val="21"/>
                <w:lang w:val="en-US" w:eastAsia="zh-CN"/>
              </w:rPr>
              <w:t>+水膜除尘</w:t>
            </w:r>
            <w:r>
              <w:rPr>
                <w:rFonts w:hint="eastAsia" w:ascii="Times New Roman" w:hAnsi="Times New Roman" w:cs="Times New Roman"/>
                <w:color w:val="000000" w:themeColor="text1"/>
                <w:sz w:val="21"/>
                <w:szCs w:val="21"/>
              </w:rPr>
              <w:t>的粉尘的量为</w:t>
            </w:r>
            <w:r>
              <w:rPr>
                <w:rFonts w:hint="eastAsia" w:cs="Times New Roman"/>
                <w:color w:val="00B050"/>
                <w:sz w:val="21"/>
                <w:szCs w:val="21"/>
                <w:lang w:val="en-US" w:eastAsia="zh-CN"/>
              </w:rPr>
              <w:t>2</w:t>
            </w:r>
            <w:r>
              <w:rPr>
                <w:rFonts w:hint="eastAsia" w:ascii="Times New Roman" w:hAnsi="Times New Roman" w:cs="Times New Roman"/>
                <w:color w:val="00B050"/>
                <w:sz w:val="21"/>
                <w:szCs w:val="21"/>
                <w:lang w:val="en-US" w:eastAsia="zh-CN"/>
              </w:rPr>
              <w:t>7</w:t>
            </w:r>
            <w:r>
              <w:rPr>
                <w:rFonts w:hint="eastAsia" w:cs="Times New Roman"/>
                <w:color w:val="00B050"/>
                <w:sz w:val="21"/>
                <w:szCs w:val="21"/>
                <w:lang w:val="en-US" w:eastAsia="zh-CN"/>
              </w:rPr>
              <w:t>0</w:t>
            </w:r>
            <w:r>
              <w:rPr>
                <w:rFonts w:hint="eastAsia" w:ascii="Times New Roman" w:hAnsi="Times New Roman" w:cs="Times New Roman"/>
                <w:color w:val="00B050"/>
                <w:sz w:val="21"/>
                <w:szCs w:val="21"/>
                <w:lang w:val="en-US" w:eastAsia="zh-CN"/>
              </w:rPr>
              <w:t>.7</w:t>
            </w:r>
            <w:r>
              <w:rPr>
                <w:rFonts w:hint="eastAsia" w:ascii="Times New Roman" w:hAnsi="Times New Roman" w:cs="Times New Roman"/>
                <w:color w:val="00B050"/>
                <w:sz w:val="21"/>
                <w:szCs w:val="21"/>
              </w:rPr>
              <w:t>t/a，</w:t>
            </w:r>
            <w:r>
              <w:rPr>
                <w:rFonts w:hint="eastAsia" w:cs="Times New Roman"/>
                <w:color w:val="00B050"/>
                <w:sz w:val="21"/>
                <w:szCs w:val="21"/>
                <w:lang w:val="en-US" w:eastAsia="zh-CN"/>
              </w:rPr>
              <w:t>废气处理设施</w:t>
            </w:r>
            <w:r>
              <w:rPr>
                <w:rFonts w:hint="eastAsia" w:ascii="Times New Roman" w:hAnsi="Times New Roman" w:cs="Times New Roman"/>
                <w:color w:val="00B050"/>
                <w:sz w:val="21"/>
                <w:szCs w:val="21"/>
              </w:rPr>
              <w:t>的</w:t>
            </w:r>
            <w:r>
              <w:rPr>
                <w:rFonts w:hint="eastAsia" w:cs="Times New Roman"/>
                <w:color w:val="00B050"/>
                <w:sz w:val="21"/>
                <w:szCs w:val="21"/>
                <w:lang w:val="en-US" w:eastAsia="zh-CN"/>
              </w:rPr>
              <w:t>综合除尘</w:t>
            </w:r>
            <w:r>
              <w:rPr>
                <w:rFonts w:hint="eastAsia" w:ascii="Times New Roman" w:hAnsi="Times New Roman" w:cs="Times New Roman"/>
                <w:color w:val="00B050"/>
                <w:sz w:val="21"/>
                <w:szCs w:val="21"/>
              </w:rPr>
              <w:t>效率为</w:t>
            </w:r>
            <w:r>
              <w:rPr>
                <w:rFonts w:hint="eastAsia" w:cs="Times New Roman"/>
                <w:color w:val="00B050"/>
                <w:sz w:val="21"/>
                <w:szCs w:val="21"/>
                <w:lang w:val="en-US" w:eastAsia="zh-CN"/>
              </w:rPr>
              <w:t>99.95</w:t>
            </w:r>
            <w:r>
              <w:rPr>
                <w:rFonts w:hint="eastAsia" w:ascii="Times New Roman" w:hAnsi="Times New Roman" w:cs="Times New Roman"/>
                <w:color w:val="00B050"/>
                <w:sz w:val="21"/>
                <w:szCs w:val="21"/>
              </w:rPr>
              <w:t>%，收集的粉尘量为</w:t>
            </w:r>
            <w:r>
              <w:rPr>
                <w:rFonts w:hint="eastAsia" w:cs="Times New Roman"/>
                <w:color w:val="00B050"/>
                <w:sz w:val="21"/>
                <w:szCs w:val="21"/>
                <w:lang w:val="en-US" w:eastAsia="zh-CN"/>
              </w:rPr>
              <w:t>270.56</w:t>
            </w:r>
            <w:r>
              <w:rPr>
                <w:rFonts w:hint="eastAsia" w:ascii="Times New Roman" w:hAnsi="Times New Roman" w:cs="Times New Roman"/>
                <w:color w:val="00B050"/>
                <w:sz w:val="21"/>
                <w:szCs w:val="21"/>
              </w:rPr>
              <w:t>t/a，</w:t>
            </w:r>
            <w:r>
              <w:rPr>
                <w:rFonts w:hint="eastAsia" w:ascii="Times New Roman" w:hAnsi="Times New Roman" w:cs="Times New Roman"/>
                <w:color w:val="000000" w:themeColor="text1"/>
                <w:sz w:val="21"/>
                <w:szCs w:val="21"/>
                <w:lang w:val="en-US" w:eastAsia="zh-CN"/>
              </w:rPr>
              <w:t>其属于《</w:t>
            </w:r>
            <w:r>
              <w:rPr>
                <w:rFonts w:hint="default" w:ascii="宋体" w:hAnsi="宋体" w:eastAsia="宋体" w:cs="宋体"/>
                <w:color w:val="000000" w:themeColor="text1"/>
                <w:sz w:val="21"/>
                <w:szCs w:val="21"/>
              </w:rPr>
              <w:t>固体废物分类与代码目录</w:t>
            </w:r>
            <w:r>
              <w:rPr>
                <w:rFonts w:hint="eastAsia" w:ascii="Times New Roman" w:hAnsi="Times New Roman" w:cs="Times New Roman"/>
                <w:color w:val="000000" w:themeColor="text1"/>
                <w:sz w:val="21"/>
                <w:szCs w:val="21"/>
                <w:lang w:val="en-US" w:eastAsia="zh-CN"/>
              </w:rPr>
              <w:t>》中“SW59其他工业固体废物，属于非特定行业中其他工业生产过程产生的固体废物，废物代码为900-099-S59”，</w:t>
            </w:r>
            <w:r>
              <w:rPr>
                <w:rFonts w:hint="eastAsia" w:ascii="Times New Roman" w:hAnsi="Times New Roman" w:cs="Times New Roman"/>
                <w:color w:val="000000" w:themeColor="text1"/>
                <w:sz w:val="21"/>
                <w:szCs w:val="21"/>
              </w:rPr>
              <w:t>建设单位集中收集后</w:t>
            </w:r>
            <w:r>
              <w:rPr>
                <w:rFonts w:hint="eastAsia" w:ascii="Times New Roman" w:hAnsi="Times New Roman" w:cs="Times New Roman"/>
                <w:color w:val="000000" w:themeColor="text1"/>
                <w:sz w:val="21"/>
                <w:szCs w:val="21"/>
                <w:lang w:val="en-US" w:eastAsia="zh-CN"/>
              </w:rPr>
              <w:t>和炉渣一起</w:t>
            </w:r>
            <w:r>
              <w:rPr>
                <w:rFonts w:hint="default" w:ascii="宋体" w:hAnsi="宋体" w:eastAsia="宋体" w:cs="宋体"/>
                <w:color w:val="000000" w:themeColor="text1"/>
                <w:sz w:val="21"/>
                <w:szCs w:val="21"/>
              </w:rPr>
              <w:t>交由周边农户清运用作农肥。</w:t>
            </w:r>
          </w:p>
          <w:p w14:paraId="4407E1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②废包装材料</w:t>
            </w:r>
          </w:p>
          <w:p w14:paraId="285EAD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根据项目原辅料种类可知，本项目使用的</w:t>
            </w:r>
            <w:r>
              <w:rPr>
                <w:rFonts w:hint="eastAsia" w:ascii="Times New Roman" w:hAnsi="Times New Roman" w:cs="Times New Roman"/>
                <w:color w:val="000000" w:themeColor="text1"/>
                <w:sz w:val="21"/>
                <w:szCs w:val="21"/>
                <w:lang w:val="en-US" w:eastAsia="zh-CN"/>
              </w:rPr>
              <w:t>部分</w:t>
            </w:r>
            <w:r>
              <w:rPr>
                <w:rFonts w:hint="eastAsia" w:ascii="Times New Roman" w:hAnsi="Times New Roman" w:cs="Times New Roman"/>
                <w:color w:val="000000" w:themeColor="text1"/>
                <w:sz w:val="21"/>
                <w:szCs w:val="21"/>
              </w:rPr>
              <w:t>原辅料均为袋装，使用过程会产生废包装材料，预计废包装材料产生量约为1.5t/a</w:t>
            </w:r>
            <w:r>
              <w:rPr>
                <w:rFonts w:hint="eastAsia" w:ascii="Times New Roman" w:hAnsi="Times New Roman" w:cs="Times New Roman"/>
                <w:color w:val="000000" w:themeColor="text1"/>
                <w:sz w:val="21"/>
                <w:szCs w:val="21"/>
                <w:lang w:eastAsia="zh-CN"/>
              </w:rPr>
              <w:t>，</w:t>
            </w:r>
            <w:r>
              <w:rPr>
                <w:rFonts w:hint="eastAsia" w:ascii="Times New Roman" w:hAnsi="Times New Roman" w:cs="Times New Roman"/>
                <w:color w:val="000000" w:themeColor="text1"/>
                <w:sz w:val="21"/>
                <w:szCs w:val="21"/>
                <w:lang w:val="en-US" w:eastAsia="zh-CN"/>
              </w:rPr>
              <w:t>其属于《</w:t>
            </w:r>
            <w:r>
              <w:rPr>
                <w:rFonts w:hint="default" w:ascii="宋体" w:hAnsi="宋体" w:eastAsia="宋体" w:cs="宋体"/>
                <w:color w:val="000000" w:themeColor="text1"/>
                <w:sz w:val="21"/>
                <w:szCs w:val="21"/>
              </w:rPr>
              <w:t>固体废物分类与代码目录</w:t>
            </w:r>
            <w:r>
              <w:rPr>
                <w:rFonts w:hint="eastAsia" w:ascii="Times New Roman" w:hAnsi="Times New Roman" w:cs="Times New Roman"/>
                <w:color w:val="000000" w:themeColor="text1"/>
                <w:sz w:val="21"/>
                <w:szCs w:val="21"/>
                <w:lang w:val="en-US" w:eastAsia="zh-CN"/>
              </w:rPr>
              <w:t>》中“SW17可再生类废物，属于非特定行业中</w:t>
            </w:r>
            <w:r>
              <w:rPr>
                <w:rFonts w:hint="default" w:ascii="宋体" w:hAnsi="宋体" w:eastAsia="宋体" w:cs="宋体"/>
                <w:color w:val="000000" w:themeColor="text1"/>
                <w:sz w:val="21"/>
                <w:szCs w:val="21"/>
              </w:rPr>
              <w:t>废塑料</w:t>
            </w:r>
            <w:r>
              <w:rPr>
                <w:rFonts w:hint="eastAsia" w:ascii="宋体" w:hAnsi="宋体" w:eastAsia="宋体" w:cs="宋体"/>
                <w:color w:val="000000" w:themeColor="text1"/>
                <w:sz w:val="21"/>
                <w:szCs w:val="21"/>
                <w:lang w:eastAsia="zh-CN"/>
              </w:rPr>
              <w:t>，</w:t>
            </w:r>
            <w:r>
              <w:rPr>
                <w:rFonts w:hint="default" w:ascii="宋体" w:hAnsi="宋体" w:eastAsia="宋体" w:cs="宋体"/>
                <w:color w:val="000000" w:themeColor="text1"/>
                <w:sz w:val="21"/>
                <w:szCs w:val="21"/>
              </w:rPr>
              <w:t>工业生产活动中产生的塑料废弃边角料、废弃塑料包装等废物。</w:t>
            </w:r>
            <w:r>
              <w:rPr>
                <w:rFonts w:hint="eastAsia" w:ascii="Times New Roman" w:hAnsi="Times New Roman" w:cs="Times New Roman"/>
                <w:color w:val="000000" w:themeColor="text1"/>
                <w:sz w:val="21"/>
                <w:szCs w:val="21"/>
                <w:lang w:val="en-US" w:eastAsia="zh-CN"/>
              </w:rPr>
              <w:t>废物代码为900-003-S17”</w:t>
            </w:r>
            <w:r>
              <w:rPr>
                <w:rFonts w:hint="eastAsia" w:ascii="Times New Roman" w:hAnsi="Times New Roman" w:cs="Times New Roman"/>
                <w:color w:val="000000" w:themeColor="text1"/>
                <w:sz w:val="21"/>
                <w:szCs w:val="21"/>
              </w:rPr>
              <w:t>。收集后定时外售相关回收单位处理。</w:t>
            </w:r>
          </w:p>
          <w:p w14:paraId="43E8E6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jc w:val="both"/>
              <w:textAlignment w:val="auto"/>
              <w:rPr>
                <w:rFonts w:hint="default" w:ascii="Times New Roman" w:hAnsi="Times New Roman" w:cs="Times New Roman"/>
                <w:color w:val="000000" w:themeColor="text1"/>
                <w:szCs w:val="21"/>
                <w:lang w:val="en-US"/>
              </w:rPr>
            </w:pPr>
            <w:r>
              <w:rPr>
                <w:rFonts w:hint="eastAsia" w:ascii="Times New Roman" w:hAnsi="Times New Roman" w:cs="Times New Roman"/>
                <w:color w:val="000000" w:themeColor="text1"/>
                <w:sz w:val="21"/>
                <w:szCs w:val="21"/>
              </w:rPr>
              <w:t>③</w:t>
            </w:r>
            <w:r>
              <w:rPr>
                <w:rFonts w:hint="eastAsia" w:ascii="Times New Roman" w:hAnsi="Times New Roman" w:eastAsia="宋体" w:cs="宋体"/>
                <w:color w:val="000000" w:themeColor="text1"/>
                <w:kern w:val="2"/>
                <w:sz w:val="21"/>
                <w:szCs w:val="21"/>
                <w:lang w:val="en-US" w:eastAsia="zh-CN" w:bidi="ar"/>
              </w:rPr>
              <w:t>烘干机热风炉炉渣</w:t>
            </w:r>
          </w:p>
          <w:p w14:paraId="572E71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jc w:val="both"/>
              <w:textAlignment w:val="auto"/>
              <w:rPr>
                <w:rFonts w:hint="eastAsia" w:ascii="Times New Roman" w:hAnsi="Times New Roman" w:eastAsia="宋体" w:cs="宋体"/>
                <w:color w:val="00B050"/>
                <w:kern w:val="2"/>
                <w:sz w:val="21"/>
                <w:szCs w:val="24"/>
                <w:lang w:val="en-US" w:eastAsia="zh-CN" w:bidi="ar"/>
              </w:rPr>
            </w:pPr>
            <w:r>
              <w:rPr>
                <w:rFonts w:hint="eastAsia" w:ascii="Times New Roman" w:hAnsi="Times New Roman" w:eastAsia="宋体" w:cs="宋体"/>
                <w:color w:val="00B050"/>
                <w:kern w:val="2"/>
                <w:sz w:val="21"/>
                <w:szCs w:val="21"/>
                <w:lang w:val="en-US" w:eastAsia="zh-CN" w:bidi="ar"/>
              </w:rPr>
              <w:t>本项目使用生物质作为燃料，每年消耗</w:t>
            </w:r>
            <w:r>
              <w:rPr>
                <w:rFonts w:hint="eastAsia" w:cs="宋体"/>
                <w:color w:val="00B050"/>
                <w:kern w:val="2"/>
                <w:sz w:val="21"/>
                <w:szCs w:val="21"/>
                <w:lang w:val="en-US" w:eastAsia="zh-CN" w:bidi="ar"/>
              </w:rPr>
              <w:t>72</w:t>
            </w:r>
            <w:r>
              <w:rPr>
                <w:rFonts w:hint="default" w:ascii="Times New Roman" w:hAnsi="Times New Roman" w:eastAsia="宋体" w:cs="Times New Roman"/>
                <w:color w:val="00B050"/>
                <w:kern w:val="2"/>
                <w:sz w:val="21"/>
                <w:szCs w:val="21"/>
                <w:lang w:val="en-US" w:eastAsia="zh-CN" w:bidi="ar"/>
              </w:rPr>
              <w:t>00t/a</w:t>
            </w:r>
            <w:r>
              <w:rPr>
                <w:rFonts w:hint="eastAsia" w:ascii="Times New Roman" w:hAnsi="Times New Roman" w:eastAsia="宋体" w:cs="宋体"/>
                <w:color w:val="00B050"/>
                <w:kern w:val="2"/>
                <w:sz w:val="21"/>
                <w:szCs w:val="21"/>
                <w:lang w:val="en-US" w:eastAsia="zh-CN" w:bidi="ar"/>
              </w:rPr>
              <w:t>，</w:t>
            </w:r>
            <w:r>
              <w:rPr>
                <w:rFonts w:hint="eastAsia" w:ascii="Times New Roman" w:hAnsi="Times New Roman" w:eastAsia="宋体" w:cs="宋体"/>
                <w:color w:val="00B050"/>
                <w:kern w:val="2"/>
                <w:sz w:val="21"/>
                <w:szCs w:val="24"/>
                <w:lang w:val="en-US" w:eastAsia="zh-CN" w:bidi="ar"/>
              </w:rPr>
              <w:t>燃料燃烧产生的灰渣量根据生物质燃料燃烧产生的灰渣量计算：</w:t>
            </w:r>
          </w:p>
          <w:p w14:paraId="7F3D7D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jc w:val="both"/>
              <w:textAlignment w:val="auto"/>
              <w:rPr>
                <w:rFonts w:hint="eastAsia" w:ascii="Times New Roman" w:hAnsi="Times New Roman" w:eastAsia="宋体" w:cs="宋体"/>
                <w:color w:val="00B050"/>
                <w:kern w:val="2"/>
                <w:sz w:val="21"/>
                <w:szCs w:val="24"/>
                <w:lang w:val="en-US" w:eastAsia="zh-CN" w:bidi="ar"/>
              </w:rPr>
            </w:pPr>
            <w:r>
              <w:rPr>
                <w:rFonts w:hint="eastAsia" w:ascii="Times New Roman" w:hAnsi="Times New Roman" w:eastAsia="宋体" w:cs="宋体"/>
                <w:color w:val="00B050"/>
                <w:kern w:val="2"/>
                <w:sz w:val="21"/>
                <w:szCs w:val="24"/>
                <w:lang w:val="en-US" w:eastAsia="zh-CN" w:bidi="ar"/>
              </w:rPr>
              <w:object>
                <v:shape id="_x0000_i1045" o:spt="75" type="#_x0000_t75" style="height:16pt;width:93pt;" o:ole="t" filled="f" o:preferrelative="t" stroked="f" coordsize="21600,21600">
                  <v:path/>
                  <v:fill on="f" focussize="0,0"/>
                  <v:stroke on="f"/>
                  <v:imagedata r:id="rId46" o:title=""/>
                  <o:lock v:ext="edit" aspectratio="t"/>
                  <w10:wrap type="none"/>
                  <w10:anchorlock/>
                </v:shape>
                <o:OLEObject Type="Embed" ProgID="Equation.KSEE3" ShapeID="_x0000_i1045" DrawAspect="Content" ObjectID="_1468075731" r:id="rId45">
                  <o:LockedField>false</o:LockedField>
                </o:OLEObject>
              </w:object>
            </w:r>
          </w:p>
          <w:p w14:paraId="6288C3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jc w:val="both"/>
              <w:textAlignment w:val="auto"/>
              <w:rPr>
                <w:rFonts w:hint="eastAsia" w:ascii="Times New Roman" w:hAnsi="Times New Roman" w:eastAsia="宋体" w:cs="宋体"/>
                <w:color w:val="00B050"/>
                <w:kern w:val="2"/>
                <w:sz w:val="21"/>
                <w:szCs w:val="24"/>
                <w:lang w:val="en-US" w:eastAsia="zh-CN" w:bidi="ar"/>
              </w:rPr>
            </w:pPr>
            <w:r>
              <w:rPr>
                <w:rFonts w:hint="eastAsia" w:ascii="Times New Roman" w:hAnsi="Times New Roman" w:eastAsia="宋体" w:cs="宋体"/>
                <w:color w:val="00B050"/>
                <w:kern w:val="2"/>
                <w:sz w:val="21"/>
                <w:szCs w:val="24"/>
                <w:lang w:val="en-US" w:eastAsia="zh-CN" w:bidi="ar"/>
              </w:rPr>
              <w:t>式中：G—灰渣产生量，t/a；</w:t>
            </w:r>
          </w:p>
          <w:p w14:paraId="489172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jc w:val="both"/>
              <w:textAlignment w:val="auto"/>
              <w:rPr>
                <w:rFonts w:hint="eastAsia" w:ascii="Times New Roman" w:hAnsi="Times New Roman" w:eastAsia="宋体" w:cs="宋体"/>
                <w:color w:val="00B050"/>
                <w:kern w:val="2"/>
                <w:sz w:val="21"/>
                <w:szCs w:val="24"/>
                <w:lang w:val="en-US" w:eastAsia="zh-CN" w:bidi="ar"/>
              </w:rPr>
            </w:pPr>
            <w:r>
              <w:rPr>
                <w:rFonts w:hint="eastAsia" w:ascii="Times New Roman" w:hAnsi="Times New Roman" w:eastAsia="宋体" w:cs="宋体"/>
                <w:color w:val="00B050"/>
                <w:kern w:val="2"/>
                <w:sz w:val="21"/>
                <w:szCs w:val="24"/>
                <w:lang w:val="en-US" w:eastAsia="zh-CN" w:bidi="ar"/>
              </w:rPr>
              <w:t>A—灰分含量，%，约为</w:t>
            </w:r>
            <w:r>
              <w:rPr>
                <w:rFonts w:hint="eastAsia" w:cs="宋体"/>
                <w:color w:val="00B050"/>
                <w:kern w:val="2"/>
                <w:sz w:val="21"/>
                <w:szCs w:val="24"/>
                <w:lang w:val="en-US" w:eastAsia="zh-CN" w:bidi="ar"/>
              </w:rPr>
              <w:t>3.08</w:t>
            </w:r>
            <w:r>
              <w:rPr>
                <w:rFonts w:hint="eastAsia" w:ascii="Times New Roman" w:hAnsi="Times New Roman" w:eastAsia="宋体" w:cs="宋体"/>
                <w:color w:val="00B050"/>
                <w:kern w:val="2"/>
                <w:sz w:val="21"/>
                <w:szCs w:val="24"/>
                <w:lang w:val="en-US" w:eastAsia="zh-CN" w:bidi="ar"/>
              </w:rPr>
              <w:t>%；</w:t>
            </w:r>
          </w:p>
          <w:p w14:paraId="2F1D89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jc w:val="both"/>
              <w:textAlignment w:val="auto"/>
              <w:rPr>
                <w:rFonts w:hint="eastAsia" w:ascii="Times New Roman" w:hAnsi="Times New Roman" w:eastAsia="宋体" w:cs="宋体"/>
                <w:color w:val="00B050"/>
                <w:kern w:val="2"/>
                <w:sz w:val="21"/>
                <w:szCs w:val="24"/>
                <w:lang w:val="en-US" w:eastAsia="zh-CN" w:bidi="ar"/>
              </w:rPr>
            </w:pPr>
            <w:r>
              <w:rPr>
                <w:rFonts w:hint="eastAsia" w:ascii="Times New Roman" w:hAnsi="Times New Roman" w:eastAsia="宋体" w:cs="宋体"/>
                <w:color w:val="00B050"/>
                <w:kern w:val="2"/>
                <w:sz w:val="21"/>
                <w:szCs w:val="24"/>
                <w:lang w:val="en-US" w:eastAsia="zh-CN" w:bidi="ar"/>
              </w:rPr>
              <w:t>W—燃料耗量，</w:t>
            </w:r>
            <w:r>
              <w:rPr>
                <w:rFonts w:hint="eastAsia" w:cs="宋体"/>
                <w:color w:val="00B050"/>
                <w:kern w:val="2"/>
                <w:sz w:val="21"/>
                <w:szCs w:val="24"/>
                <w:lang w:val="en-US" w:eastAsia="zh-CN" w:bidi="ar"/>
              </w:rPr>
              <w:t>72</w:t>
            </w:r>
            <w:r>
              <w:rPr>
                <w:rFonts w:hint="eastAsia" w:ascii="Times New Roman" w:hAnsi="Times New Roman" w:eastAsia="宋体" w:cs="宋体"/>
                <w:color w:val="00B050"/>
                <w:kern w:val="2"/>
                <w:sz w:val="21"/>
                <w:szCs w:val="24"/>
                <w:lang w:val="en-US" w:eastAsia="zh-CN" w:bidi="ar"/>
              </w:rPr>
              <w:t>00t/a；</w:t>
            </w:r>
          </w:p>
          <w:p w14:paraId="0DC430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jc w:val="both"/>
              <w:textAlignment w:val="auto"/>
              <w:rPr>
                <w:rFonts w:hint="eastAsia" w:ascii="Times New Roman" w:hAnsi="Times New Roman" w:eastAsia="宋体" w:cs="宋体"/>
                <w:color w:val="00B050"/>
                <w:kern w:val="2"/>
                <w:sz w:val="21"/>
                <w:szCs w:val="24"/>
                <w:lang w:val="en-US" w:eastAsia="zh-CN" w:bidi="ar"/>
              </w:rPr>
            </w:pPr>
            <w:r>
              <w:rPr>
                <w:rFonts w:hint="eastAsia" w:ascii="Times New Roman" w:hAnsi="Times New Roman" w:eastAsia="宋体" w:cs="宋体"/>
                <w:color w:val="00B050"/>
                <w:kern w:val="2"/>
                <w:sz w:val="21"/>
                <w:szCs w:val="24"/>
                <w:lang w:val="en-US" w:eastAsia="zh-CN" w:bidi="ar"/>
              </w:rPr>
              <w:t>B—飞灰占生物质燃料中总灰分的百分比，%，取50%。</w:t>
            </w:r>
          </w:p>
          <w:p w14:paraId="1534C2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jc w:val="both"/>
              <w:textAlignment w:val="auto"/>
              <w:rPr>
                <w:rFonts w:hint="default" w:ascii="Times New Roman" w:hAnsi="Times New Roman" w:cs="Times New Roman"/>
                <w:color w:val="000000" w:themeColor="text1"/>
                <w:lang w:val="zh-CN" w:eastAsia="zh-CN"/>
              </w:rPr>
            </w:pPr>
            <w:r>
              <w:rPr>
                <w:rFonts w:hint="eastAsia" w:ascii="Times New Roman" w:hAnsi="Times New Roman" w:eastAsia="宋体" w:cs="宋体"/>
                <w:color w:val="00B050"/>
                <w:kern w:val="2"/>
                <w:sz w:val="21"/>
                <w:szCs w:val="24"/>
                <w:lang w:val="en-US" w:eastAsia="zh-CN" w:bidi="ar"/>
              </w:rPr>
              <w:t>经计算，炉渣产生量为</w:t>
            </w:r>
            <w:r>
              <w:rPr>
                <w:rFonts w:hint="eastAsia" w:cs="宋体"/>
                <w:color w:val="00B050"/>
                <w:kern w:val="2"/>
                <w:sz w:val="21"/>
                <w:szCs w:val="24"/>
                <w:lang w:val="en-US" w:eastAsia="zh-CN" w:bidi="ar"/>
              </w:rPr>
              <w:t>110.88</w:t>
            </w:r>
            <w:r>
              <w:rPr>
                <w:rFonts w:hint="default" w:ascii="Times New Roman" w:hAnsi="Times New Roman" w:eastAsia="宋体" w:cs="Times New Roman"/>
                <w:color w:val="00B050"/>
                <w:kern w:val="2"/>
                <w:sz w:val="21"/>
                <w:szCs w:val="24"/>
                <w:lang w:val="en-US" w:eastAsia="zh-CN" w:bidi="ar"/>
              </w:rPr>
              <w:t>t/a</w:t>
            </w:r>
            <w:r>
              <w:rPr>
                <w:rFonts w:hint="eastAsia" w:ascii="Times New Roman" w:hAnsi="Times New Roman" w:eastAsia="宋体" w:cs="宋体"/>
                <w:color w:val="00B050"/>
                <w:kern w:val="2"/>
                <w:sz w:val="21"/>
                <w:szCs w:val="24"/>
                <w:lang w:val="en-US" w:eastAsia="zh-CN" w:bidi="ar"/>
              </w:rPr>
              <w:t>，</w:t>
            </w:r>
            <w:r>
              <w:rPr>
                <w:rFonts w:hint="eastAsia" w:ascii="Times New Roman" w:hAnsi="Times New Roman" w:cs="Times New Roman"/>
                <w:color w:val="000000" w:themeColor="text1"/>
                <w:sz w:val="21"/>
                <w:szCs w:val="21"/>
                <w:lang w:val="en-US" w:eastAsia="zh-CN"/>
              </w:rPr>
              <w:t>其属于《</w:t>
            </w:r>
            <w:r>
              <w:rPr>
                <w:rFonts w:hint="default" w:ascii="宋体" w:hAnsi="宋体" w:eastAsia="宋体" w:cs="宋体"/>
                <w:color w:val="000000" w:themeColor="text1"/>
                <w:sz w:val="21"/>
                <w:szCs w:val="21"/>
              </w:rPr>
              <w:t>固体废物分类与代码目录</w:t>
            </w:r>
            <w:r>
              <w:rPr>
                <w:rFonts w:hint="eastAsia" w:ascii="Times New Roman" w:hAnsi="Times New Roman" w:cs="Times New Roman"/>
                <w:color w:val="000000" w:themeColor="text1"/>
                <w:sz w:val="21"/>
                <w:szCs w:val="21"/>
                <w:lang w:val="en-US" w:eastAsia="zh-CN"/>
              </w:rPr>
              <w:t>》中“SW59其他工业固体废物，属于非特定行业中其他工业生产过程产生的固体废物，废物代码为900-099-S59”，炉</w:t>
            </w:r>
            <w:r>
              <w:rPr>
                <w:rFonts w:hint="eastAsia" w:ascii="Times New Roman" w:hAnsi="Times New Roman" w:eastAsia="宋体" w:cs="宋体"/>
                <w:color w:val="000000" w:themeColor="text1"/>
                <w:kern w:val="2"/>
                <w:sz w:val="21"/>
                <w:szCs w:val="21"/>
                <w:lang w:val="en-US" w:eastAsia="zh-CN" w:bidi="ar"/>
              </w:rPr>
              <w:t>渣的主要成分为草木灰，具有肥力，集中装袋堆放在车间内，</w:t>
            </w:r>
            <w:r>
              <w:rPr>
                <w:rFonts w:hint="eastAsia" w:cs="宋体"/>
                <w:color w:val="00B050"/>
                <w:kern w:val="2"/>
                <w:sz w:val="21"/>
                <w:szCs w:val="21"/>
                <w:lang w:val="en-US" w:eastAsia="zh-CN" w:bidi="ar"/>
              </w:rPr>
              <w:t>定期</w:t>
            </w:r>
            <w:r>
              <w:rPr>
                <w:rFonts w:hint="eastAsia" w:ascii="Times New Roman" w:hAnsi="Times New Roman" w:eastAsia="宋体" w:cs="宋体"/>
                <w:color w:val="00B050"/>
                <w:kern w:val="2"/>
                <w:sz w:val="21"/>
                <w:szCs w:val="21"/>
                <w:lang w:val="en-US" w:eastAsia="zh-CN" w:bidi="ar"/>
              </w:rPr>
              <w:t>和</w:t>
            </w:r>
            <w:r>
              <w:rPr>
                <w:rFonts w:hint="eastAsia" w:cs="宋体"/>
                <w:color w:val="00B050"/>
                <w:kern w:val="2"/>
                <w:sz w:val="21"/>
                <w:szCs w:val="21"/>
                <w:lang w:val="en-US" w:eastAsia="zh-CN" w:bidi="ar"/>
              </w:rPr>
              <w:t>除尘</w:t>
            </w:r>
            <w:r>
              <w:rPr>
                <w:rFonts w:hint="eastAsia" w:ascii="Times New Roman" w:hAnsi="Times New Roman" w:eastAsia="宋体" w:cs="宋体"/>
                <w:color w:val="00B050"/>
                <w:kern w:val="2"/>
                <w:sz w:val="21"/>
                <w:szCs w:val="21"/>
                <w:lang w:val="en-US" w:eastAsia="zh-CN" w:bidi="ar"/>
              </w:rPr>
              <w:t>渣一起交由周边农户清运用作农肥。</w:t>
            </w:r>
          </w:p>
          <w:p w14:paraId="6D80DA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kern w:val="0"/>
                <w:sz w:val="21"/>
                <w:szCs w:val="21"/>
              </w:rPr>
            </w:pPr>
            <w:r>
              <w:rPr>
                <w:rFonts w:hint="eastAsia" w:ascii="Times New Roman" w:hAnsi="Times New Roman" w:cs="Times New Roman"/>
                <w:color w:val="000000" w:themeColor="text1"/>
                <w:kern w:val="0"/>
                <w:sz w:val="21"/>
                <w:szCs w:val="21"/>
              </w:rPr>
              <w:t>④化粪池污泥</w:t>
            </w:r>
          </w:p>
          <w:p w14:paraId="05AF6C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kern w:val="0"/>
                <w:sz w:val="21"/>
                <w:szCs w:val="21"/>
              </w:rPr>
            </w:pPr>
            <w:r>
              <w:rPr>
                <w:rFonts w:hint="eastAsia" w:ascii="Times New Roman" w:hAnsi="Times New Roman" w:cs="Times New Roman"/>
                <w:color w:val="000000" w:themeColor="text1"/>
                <w:kern w:val="0"/>
                <w:sz w:val="21"/>
                <w:szCs w:val="21"/>
              </w:rPr>
              <w:t>项目化粪池产生的污泥根据《集中式污染治理设施产排污系数手册（2010修订）》，化粪池污泥产生量按照4.57t/万t废水处理量计算，化粪池处理的废水量为</w:t>
            </w:r>
            <w:r>
              <w:rPr>
                <w:rFonts w:hint="eastAsia" w:ascii="Times New Roman" w:hAnsi="Times New Roman" w:cs="Times New Roman"/>
                <w:color w:val="000000" w:themeColor="text1"/>
                <w:kern w:val="0"/>
                <w:sz w:val="21"/>
                <w:szCs w:val="21"/>
                <w:lang w:val="en-US" w:eastAsia="zh-CN"/>
              </w:rPr>
              <w:t>456</w:t>
            </w:r>
            <w:r>
              <w:rPr>
                <w:rFonts w:hint="eastAsia" w:ascii="Times New Roman" w:hAnsi="Times New Roman" w:cs="Times New Roman"/>
                <w:color w:val="000000" w:themeColor="text1"/>
                <w:kern w:val="0"/>
                <w:sz w:val="21"/>
                <w:szCs w:val="21"/>
              </w:rPr>
              <w:t>m</w:t>
            </w:r>
            <w:r>
              <w:rPr>
                <w:rFonts w:hint="eastAsia" w:ascii="Times New Roman" w:hAnsi="Times New Roman" w:cs="Times New Roman"/>
                <w:color w:val="000000" w:themeColor="text1"/>
                <w:kern w:val="0"/>
                <w:sz w:val="21"/>
                <w:szCs w:val="21"/>
                <w:vertAlign w:val="superscript"/>
              </w:rPr>
              <w:t>3</w:t>
            </w:r>
            <w:r>
              <w:rPr>
                <w:rFonts w:hint="eastAsia" w:ascii="Times New Roman" w:hAnsi="Times New Roman" w:cs="Times New Roman"/>
                <w:color w:val="000000" w:themeColor="text1"/>
                <w:kern w:val="0"/>
                <w:sz w:val="21"/>
                <w:szCs w:val="21"/>
              </w:rPr>
              <w:t>/a，则化粪池污泥产生量约为0.</w:t>
            </w:r>
            <w:r>
              <w:rPr>
                <w:rFonts w:hint="eastAsia" w:ascii="Times New Roman" w:hAnsi="Times New Roman" w:cs="Times New Roman"/>
                <w:color w:val="000000" w:themeColor="text1"/>
                <w:kern w:val="0"/>
                <w:sz w:val="21"/>
                <w:szCs w:val="21"/>
                <w:lang w:val="en-US" w:eastAsia="zh-CN"/>
              </w:rPr>
              <w:t>21</w:t>
            </w:r>
            <w:r>
              <w:rPr>
                <w:rFonts w:hint="eastAsia" w:ascii="Times New Roman" w:hAnsi="Times New Roman" w:cs="Times New Roman"/>
                <w:color w:val="000000" w:themeColor="text1"/>
                <w:kern w:val="0"/>
                <w:sz w:val="21"/>
                <w:szCs w:val="21"/>
              </w:rPr>
              <w:t>t/a，</w:t>
            </w:r>
            <w:r>
              <w:rPr>
                <w:rFonts w:hint="eastAsia" w:ascii="Times New Roman" w:hAnsi="Times New Roman" w:cs="Times New Roman"/>
                <w:color w:val="000000" w:themeColor="text1"/>
                <w:sz w:val="21"/>
                <w:szCs w:val="21"/>
                <w:lang w:val="en-US" w:eastAsia="zh-CN"/>
              </w:rPr>
              <w:t>其属于《</w:t>
            </w:r>
            <w:r>
              <w:rPr>
                <w:rFonts w:hint="default" w:ascii="宋体" w:hAnsi="宋体" w:eastAsia="宋体" w:cs="宋体"/>
                <w:color w:val="000000" w:themeColor="text1"/>
                <w:sz w:val="21"/>
                <w:szCs w:val="21"/>
              </w:rPr>
              <w:t>固体废物分类与代码目录</w:t>
            </w:r>
            <w:r>
              <w:rPr>
                <w:rFonts w:hint="eastAsia" w:ascii="Times New Roman" w:hAnsi="Times New Roman" w:cs="Times New Roman"/>
                <w:color w:val="000000" w:themeColor="text1"/>
                <w:sz w:val="21"/>
                <w:szCs w:val="21"/>
                <w:lang w:val="en-US" w:eastAsia="zh-CN"/>
              </w:rPr>
              <w:t>》中“SW64其他垃圾，属于非特定行业中清扫垃圾。环境卫生管理服务中从公共场所清扫的垃圾、化粪池污泥、厕所粪便等，废物代码为900-002-S64”，</w:t>
            </w:r>
            <w:r>
              <w:rPr>
                <w:rFonts w:hint="eastAsia" w:ascii="Times New Roman" w:hAnsi="Times New Roman" w:cs="Times New Roman"/>
                <w:color w:val="000000" w:themeColor="text1"/>
                <w:kern w:val="0"/>
                <w:sz w:val="21"/>
                <w:szCs w:val="21"/>
              </w:rPr>
              <w:t>由周边农户定期清掏作为农肥使用。</w:t>
            </w:r>
          </w:p>
          <w:p w14:paraId="7C5571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kern w:val="0"/>
                <w:sz w:val="21"/>
                <w:szCs w:val="21"/>
                <w:lang w:val="en-US" w:eastAsia="zh-CN"/>
              </w:rPr>
            </w:pPr>
            <w:r>
              <w:rPr>
                <w:rFonts w:hint="eastAsia" w:ascii="Times New Roman" w:hAnsi="Times New Roman" w:cs="Times New Roman"/>
                <w:color w:val="000000" w:themeColor="text1"/>
                <w:kern w:val="0"/>
                <w:sz w:val="21"/>
                <w:szCs w:val="21"/>
              </w:rPr>
              <w:t>⑤</w:t>
            </w:r>
            <w:r>
              <w:rPr>
                <w:rFonts w:hint="eastAsia" w:ascii="Times New Roman" w:hAnsi="Times New Roman" w:cs="Times New Roman"/>
                <w:color w:val="000000" w:themeColor="text1"/>
                <w:kern w:val="0"/>
                <w:sz w:val="21"/>
                <w:szCs w:val="21"/>
                <w:lang w:val="en-US" w:eastAsia="zh-CN"/>
              </w:rPr>
              <w:t>不合格品</w:t>
            </w:r>
          </w:p>
          <w:p w14:paraId="5B21B6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eastAsia" w:ascii="Times New Roman" w:hAnsi="Times New Roman" w:cs="Times New Roman"/>
                <w:color w:val="000000" w:themeColor="text1"/>
                <w:kern w:val="0"/>
                <w:sz w:val="21"/>
                <w:szCs w:val="21"/>
              </w:rPr>
            </w:pPr>
            <w:r>
              <w:rPr>
                <w:rFonts w:hint="eastAsia" w:ascii="Times New Roman" w:hAnsi="Times New Roman" w:cs="Times New Roman"/>
                <w:color w:val="000000" w:themeColor="text1"/>
                <w:kern w:val="0"/>
                <w:sz w:val="21"/>
                <w:szCs w:val="21"/>
              </w:rPr>
              <w:t>根据建设单位生产经验，项目不合格品量约占产品量的1%，项目</w:t>
            </w:r>
            <w:r>
              <w:rPr>
                <w:rFonts w:hint="eastAsia" w:ascii="Times New Roman" w:hAnsi="Times New Roman" w:cs="Times New Roman"/>
                <w:color w:val="000000" w:themeColor="text1"/>
                <w:kern w:val="0"/>
                <w:sz w:val="21"/>
                <w:szCs w:val="21"/>
                <w:lang w:val="en-US" w:eastAsia="zh-CN"/>
              </w:rPr>
              <w:t>产品</w:t>
            </w:r>
            <w:r>
              <w:rPr>
                <w:rFonts w:hint="eastAsia" w:ascii="Times New Roman" w:hAnsi="Times New Roman" w:cs="Times New Roman"/>
                <w:color w:val="000000" w:themeColor="text1"/>
                <w:kern w:val="0"/>
                <w:sz w:val="21"/>
                <w:szCs w:val="21"/>
              </w:rPr>
              <w:t>年产量为24</w:t>
            </w:r>
            <w:r>
              <w:rPr>
                <w:rFonts w:hint="eastAsia" w:ascii="Times New Roman" w:hAnsi="Times New Roman" w:cs="Times New Roman"/>
                <w:color w:val="000000" w:themeColor="text1"/>
                <w:kern w:val="0"/>
                <w:sz w:val="21"/>
                <w:szCs w:val="21"/>
                <w:lang w:val="en-US" w:eastAsia="zh-CN"/>
              </w:rPr>
              <w:t>00</w:t>
            </w:r>
            <w:r>
              <w:rPr>
                <w:rFonts w:hint="eastAsia" w:ascii="Times New Roman" w:hAnsi="Times New Roman" w:cs="Times New Roman"/>
                <w:color w:val="000000" w:themeColor="text1"/>
                <w:kern w:val="0"/>
                <w:sz w:val="21"/>
                <w:szCs w:val="21"/>
              </w:rPr>
              <w:t>0吨，则项目不合格品产生</w:t>
            </w:r>
            <w:r>
              <w:rPr>
                <w:rFonts w:hint="eastAsia" w:ascii="Times New Roman" w:hAnsi="Times New Roman" w:cs="Times New Roman"/>
                <w:color w:val="000000" w:themeColor="text1"/>
                <w:kern w:val="0"/>
                <w:sz w:val="21"/>
                <w:szCs w:val="21"/>
                <w:lang w:val="en-US" w:eastAsia="zh-CN"/>
              </w:rPr>
              <w:t>24</w:t>
            </w:r>
            <w:r>
              <w:rPr>
                <w:rFonts w:hint="eastAsia" w:ascii="Times New Roman" w:hAnsi="Times New Roman" w:cs="Times New Roman"/>
                <w:color w:val="000000" w:themeColor="text1"/>
                <w:kern w:val="0"/>
                <w:sz w:val="21"/>
                <w:szCs w:val="21"/>
              </w:rPr>
              <w:t>0t/a，</w:t>
            </w:r>
            <w:r>
              <w:rPr>
                <w:rFonts w:hint="eastAsia" w:ascii="Times New Roman" w:hAnsi="Times New Roman" w:cs="Times New Roman"/>
                <w:color w:val="000000" w:themeColor="text1"/>
                <w:sz w:val="21"/>
                <w:szCs w:val="21"/>
                <w:lang w:val="en-US" w:eastAsia="zh-CN"/>
              </w:rPr>
              <w:t>其属于《</w:t>
            </w:r>
            <w:r>
              <w:rPr>
                <w:rFonts w:hint="default" w:ascii="宋体" w:hAnsi="宋体" w:eastAsia="宋体" w:cs="宋体"/>
                <w:color w:val="000000" w:themeColor="text1"/>
                <w:sz w:val="21"/>
                <w:szCs w:val="21"/>
              </w:rPr>
              <w:t>固体废物分类与代码目录</w:t>
            </w:r>
            <w:r>
              <w:rPr>
                <w:rFonts w:hint="eastAsia" w:ascii="Times New Roman" w:hAnsi="Times New Roman" w:cs="Times New Roman"/>
                <w:color w:val="000000" w:themeColor="text1"/>
                <w:sz w:val="21"/>
                <w:szCs w:val="21"/>
                <w:lang w:val="en-US" w:eastAsia="zh-CN"/>
              </w:rPr>
              <w:t>》中“SW17可再生类废物，属于非特定行业中</w:t>
            </w:r>
            <w:r>
              <w:rPr>
                <w:rFonts w:hint="eastAsia" w:ascii="宋体" w:hAnsi="宋体" w:eastAsia="宋体" w:cs="宋体"/>
                <w:color w:val="000000" w:themeColor="text1"/>
                <w:sz w:val="21"/>
                <w:szCs w:val="21"/>
                <w:lang w:eastAsia="zh-CN"/>
              </w:rPr>
              <w:t>废纸。工业生产活动中产生的废纸、废纸质包装、废边角料、残次品等废物</w:t>
            </w:r>
            <w:r>
              <w:rPr>
                <w:rFonts w:hint="default" w:ascii="宋体" w:hAnsi="宋体" w:eastAsia="宋体" w:cs="宋体"/>
                <w:color w:val="000000" w:themeColor="text1"/>
                <w:sz w:val="21"/>
                <w:szCs w:val="21"/>
              </w:rPr>
              <w:t>。</w:t>
            </w:r>
            <w:r>
              <w:rPr>
                <w:rFonts w:hint="eastAsia" w:ascii="Times New Roman" w:hAnsi="Times New Roman" w:cs="Times New Roman"/>
                <w:color w:val="000000" w:themeColor="text1"/>
                <w:sz w:val="21"/>
                <w:szCs w:val="21"/>
                <w:lang w:val="en-US" w:eastAsia="zh-CN"/>
              </w:rPr>
              <w:t>废物代码为900-005-S17”，</w:t>
            </w:r>
            <w:r>
              <w:rPr>
                <w:rFonts w:hint="eastAsia" w:ascii="Times New Roman" w:hAnsi="Times New Roman" w:cs="Times New Roman"/>
                <w:color w:val="000000" w:themeColor="text1"/>
                <w:kern w:val="0"/>
                <w:sz w:val="21"/>
                <w:szCs w:val="21"/>
              </w:rPr>
              <w:t>该部分不合格品作为原料进行二次利用。</w:t>
            </w:r>
          </w:p>
          <w:p w14:paraId="773F7F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00B050"/>
                <w:kern w:val="0"/>
                <w:sz w:val="21"/>
                <w:szCs w:val="21"/>
                <w:lang w:val="en-US" w:eastAsia="zh-CN"/>
              </w:rPr>
            </w:pPr>
            <w:r>
              <w:rPr>
                <w:rFonts w:hint="eastAsia" w:ascii="宋体" w:hAnsi="宋体" w:eastAsia="宋体" w:cs="宋体"/>
                <w:color w:val="00B050"/>
                <w:kern w:val="0"/>
                <w:sz w:val="21"/>
                <w:szCs w:val="21"/>
              </w:rPr>
              <w:t>⑥</w:t>
            </w:r>
            <w:r>
              <w:rPr>
                <w:rFonts w:hint="eastAsia" w:eastAsia="宋体" w:cs="Times New Roman"/>
                <w:color w:val="00B050"/>
                <w:kern w:val="0"/>
                <w:sz w:val="21"/>
                <w:szCs w:val="21"/>
                <w:lang w:val="en-US" w:eastAsia="zh-CN"/>
              </w:rPr>
              <w:t>过滤废渣</w:t>
            </w:r>
          </w:p>
          <w:p w14:paraId="6996AA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00B050"/>
                <w:kern w:val="0"/>
                <w:sz w:val="21"/>
                <w:szCs w:val="21"/>
                <w:lang w:val="en-US" w:eastAsia="zh-CN"/>
              </w:rPr>
            </w:pPr>
            <w:r>
              <w:rPr>
                <w:rFonts w:hint="eastAsia" w:cs="Times New Roman"/>
                <w:color w:val="00B050"/>
                <w:kern w:val="0"/>
                <w:sz w:val="21"/>
                <w:szCs w:val="21"/>
                <w:lang w:val="en-US" w:eastAsia="zh-CN"/>
              </w:rPr>
              <w:t>水力制料机制成的纸浆会进行过滤，过滤后的会产生少量废渣，主要成分为废塑料，产量不大，约为不合格品的1%，产生量为2.4t，其属于《固体废物分类与代码目录》中“SW17可再生类废物，属于非特定行业中废塑料。工业生产活动中产生的废塑料、废边角料等废物。废物代码为900-003-S17”，该部分过滤废渣收集后定期外售相关回收单位处理。</w:t>
            </w:r>
          </w:p>
          <w:p w14:paraId="5423DF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3</w:t>
            </w:r>
            <w:r>
              <w:rPr>
                <w:rFonts w:hint="default" w:ascii="Times New Roman" w:hAnsi="Times New Roman" w:cs="Times New Roman"/>
                <w:color w:val="000000" w:themeColor="text1"/>
                <w:sz w:val="21"/>
                <w:szCs w:val="21"/>
              </w:rPr>
              <w:t>）</w:t>
            </w:r>
            <w:r>
              <w:rPr>
                <w:rFonts w:hint="eastAsia" w:ascii="Times New Roman" w:hAnsi="Times New Roman" w:cs="Times New Roman"/>
                <w:color w:val="000000" w:themeColor="text1"/>
                <w:sz w:val="21"/>
                <w:szCs w:val="21"/>
              </w:rPr>
              <w:t>危废</w:t>
            </w:r>
          </w:p>
          <w:p w14:paraId="0CC5CB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jc w:val="left"/>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项目运营期将不定期对生产设备进行维护，如涂抹润滑油、机油等，维护过程中将产生少量废机油</w:t>
            </w:r>
            <w:r>
              <w:rPr>
                <w:rFonts w:hint="eastAsia" w:ascii="Times New Roman" w:hAnsi="Times New Roman" w:cs="Times New Roman"/>
                <w:color w:val="000000" w:themeColor="text1"/>
                <w:sz w:val="21"/>
                <w:szCs w:val="21"/>
              </w:rPr>
              <w:t>，产生量约为80kg/a</w:t>
            </w:r>
            <w:r>
              <w:rPr>
                <w:rFonts w:hint="default" w:ascii="Times New Roman" w:hAnsi="Times New Roman" w:cs="Times New Roman"/>
                <w:color w:val="000000" w:themeColor="text1"/>
                <w:sz w:val="21"/>
                <w:szCs w:val="21"/>
              </w:rPr>
              <w:t>，</w:t>
            </w:r>
            <w:r>
              <w:rPr>
                <w:rFonts w:hint="eastAsia" w:ascii="Times New Roman" w:hAnsi="Times New Roman" w:cs="Times New Roman"/>
                <w:color w:val="000000" w:themeColor="text1"/>
                <w:sz w:val="21"/>
                <w:szCs w:val="21"/>
              </w:rPr>
              <w:t>暂存于危废暂存间，委托有资质单位定期处置。</w:t>
            </w:r>
            <w:r>
              <w:rPr>
                <w:rFonts w:hint="default" w:ascii="Times New Roman" w:hAnsi="Times New Roman" w:cs="Times New Roman"/>
                <w:color w:val="000000" w:themeColor="text1"/>
                <w:sz w:val="21"/>
                <w:szCs w:val="21"/>
              </w:rPr>
              <w:t>根据《国家危险废物名录》（202</w:t>
            </w:r>
            <w:r>
              <w:rPr>
                <w:rFonts w:hint="eastAsia" w:cs="Times New Roman"/>
                <w:color w:val="000000" w:themeColor="text1"/>
                <w:sz w:val="21"/>
                <w:szCs w:val="21"/>
                <w:lang w:val="en-US" w:eastAsia="zh-CN"/>
              </w:rPr>
              <w:t>5年</w:t>
            </w:r>
            <w:r>
              <w:rPr>
                <w:rFonts w:hint="default" w:ascii="Times New Roman" w:hAnsi="Times New Roman" w:cs="Times New Roman"/>
                <w:color w:val="000000" w:themeColor="text1"/>
                <w:sz w:val="21"/>
                <w:szCs w:val="21"/>
              </w:rPr>
              <w:t>版），其属性见下表。</w:t>
            </w:r>
          </w:p>
          <w:p w14:paraId="1A811E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firstLineChars="200"/>
              <w:jc w:val="center"/>
              <w:textAlignment w:val="auto"/>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表</w:t>
            </w:r>
            <w:r>
              <w:rPr>
                <w:rFonts w:hint="eastAsia" w:ascii="Times New Roman" w:hAnsi="Times New Roman" w:cs="Times New Roman"/>
                <w:b/>
                <w:color w:val="000000" w:themeColor="text1"/>
                <w:sz w:val="21"/>
                <w:szCs w:val="21"/>
              </w:rPr>
              <w:t>4-1</w:t>
            </w:r>
            <w:r>
              <w:rPr>
                <w:rFonts w:hint="eastAsia" w:cs="Times New Roman"/>
                <w:b/>
                <w:color w:val="000000" w:themeColor="text1"/>
                <w:sz w:val="21"/>
                <w:szCs w:val="21"/>
                <w:lang w:val="en-US" w:eastAsia="zh-CN"/>
              </w:rPr>
              <w:t>3</w:t>
            </w:r>
            <w:r>
              <w:rPr>
                <w:rFonts w:hint="default" w:ascii="Times New Roman" w:hAnsi="Times New Roman" w:cs="Times New Roman"/>
                <w:b/>
                <w:color w:val="000000" w:themeColor="text1"/>
                <w:sz w:val="21"/>
                <w:szCs w:val="21"/>
              </w:rPr>
              <w:t xml:space="preserve">  国家危险废物名录（202</w:t>
            </w:r>
            <w:r>
              <w:rPr>
                <w:rFonts w:hint="default" w:ascii="Times New Roman" w:hAnsi="Times New Roman" w:cs="Times New Roman"/>
                <w:b/>
                <w:color w:val="000000" w:themeColor="text1"/>
                <w:sz w:val="21"/>
                <w:szCs w:val="21"/>
                <w:lang w:val="en-US" w:eastAsia="zh-CN"/>
              </w:rPr>
              <w:t>5</w:t>
            </w:r>
            <w:r>
              <w:rPr>
                <w:rFonts w:hint="default" w:ascii="Times New Roman" w:hAnsi="Times New Roman" w:cs="Times New Roman"/>
                <w:b/>
                <w:color w:val="000000" w:themeColor="text1"/>
                <w:sz w:val="21"/>
                <w:szCs w:val="21"/>
              </w:rPr>
              <w:t>年）（摘抄）</w:t>
            </w:r>
          </w:p>
          <w:tbl>
            <w:tblPr>
              <w:tblStyle w:val="43"/>
              <w:tblW w:w="80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302"/>
              <w:gridCol w:w="735"/>
              <w:gridCol w:w="936"/>
              <w:gridCol w:w="3444"/>
              <w:gridCol w:w="844"/>
            </w:tblGrid>
            <w:tr w14:paraId="4955B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14:paraId="62772D5A">
                  <w:pPr>
                    <w:pStyle w:val="190"/>
                    <w:keepNext w:val="0"/>
                    <w:keepLines w:val="0"/>
                    <w:pageBreakBefore w:val="0"/>
                    <w:widowControl/>
                    <w:suppressLineNumbers w:val="0"/>
                    <w:kinsoku/>
                    <w:wordWrap/>
                    <w:overflowPunct w:val="0"/>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cs="Times New Roman"/>
                      <w:b/>
                      <w:bCs w:val="0"/>
                      <w:color w:val="000000" w:themeColor="text1"/>
                      <w:szCs w:val="21"/>
                    </w:rPr>
                  </w:pPr>
                  <w:r>
                    <w:rPr>
                      <w:rFonts w:hint="default" w:ascii="Times New Roman" w:hAnsi="Times New Roman" w:cs="Times New Roman"/>
                      <w:b/>
                      <w:bCs w:val="0"/>
                      <w:color w:val="000000" w:themeColor="text1"/>
                      <w:szCs w:val="21"/>
                    </w:rPr>
                    <w:t>项目危废</w:t>
                  </w:r>
                </w:p>
              </w:tc>
              <w:tc>
                <w:tcPr>
                  <w:tcW w:w="1302" w:type="dxa"/>
                  <w:noWrap w:val="0"/>
                  <w:vAlign w:val="center"/>
                </w:tcPr>
                <w:p w14:paraId="1981B145">
                  <w:pPr>
                    <w:pStyle w:val="190"/>
                    <w:keepNext w:val="0"/>
                    <w:keepLines w:val="0"/>
                    <w:pageBreakBefore w:val="0"/>
                    <w:widowControl/>
                    <w:suppressLineNumbers w:val="0"/>
                    <w:kinsoku/>
                    <w:wordWrap/>
                    <w:overflowPunct w:val="0"/>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cs="Times New Roman"/>
                      <w:b/>
                      <w:bCs w:val="0"/>
                      <w:color w:val="000000" w:themeColor="text1"/>
                      <w:szCs w:val="21"/>
                    </w:rPr>
                  </w:pPr>
                  <w:r>
                    <w:rPr>
                      <w:rFonts w:hint="default" w:ascii="Times New Roman" w:hAnsi="Times New Roman" w:cs="Times New Roman"/>
                      <w:b/>
                      <w:bCs w:val="0"/>
                      <w:color w:val="000000" w:themeColor="text1"/>
                      <w:szCs w:val="21"/>
                    </w:rPr>
                    <w:t>废物类别</w:t>
                  </w:r>
                </w:p>
              </w:tc>
              <w:tc>
                <w:tcPr>
                  <w:tcW w:w="735" w:type="dxa"/>
                  <w:noWrap w:val="0"/>
                  <w:vAlign w:val="center"/>
                </w:tcPr>
                <w:p w14:paraId="5A512F67">
                  <w:pPr>
                    <w:pStyle w:val="190"/>
                    <w:keepNext w:val="0"/>
                    <w:keepLines w:val="0"/>
                    <w:pageBreakBefore w:val="0"/>
                    <w:widowControl/>
                    <w:suppressLineNumbers w:val="0"/>
                    <w:kinsoku/>
                    <w:wordWrap/>
                    <w:overflowPunct w:val="0"/>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cs="Times New Roman"/>
                      <w:b/>
                      <w:bCs w:val="0"/>
                      <w:color w:val="000000" w:themeColor="text1"/>
                      <w:szCs w:val="21"/>
                    </w:rPr>
                  </w:pPr>
                  <w:r>
                    <w:rPr>
                      <w:rFonts w:hint="default" w:ascii="Times New Roman" w:hAnsi="Times New Roman" w:cs="Times New Roman"/>
                      <w:b/>
                      <w:bCs w:val="0"/>
                      <w:color w:val="000000" w:themeColor="text1"/>
                      <w:szCs w:val="21"/>
                    </w:rPr>
                    <w:t>行业来源</w:t>
                  </w:r>
                </w:p>
              </w:tc>
              <w:tc>
                <w:tcPr>
                  <w:tcW w:w="936" w:type="dxa"/>
                  <w:noWrap w:val="0"/>
                  <w:vAlign w:val="center"/>
                </w:tcPr>
                <w:p w14:paraId="07DACA0F">
                  <w:pPr>
                    <w:pStyle w:val="190"/>
                    <w:keepNext w:val="0"/>
                    <w:keepLines w:val="0"/>
                    <w:pageBreakBefore w:val="0"/>
                    <w:widowControl/>
                    <w:suppressLineNumbers w:val="0"/>
                    <w:kinsoku/>
                    <w:wordWrap/>
                    <w:overflowPunct w:val="0"/>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cs="Times New Roman"/>
                      <w:b/>
                      <w:bCs w:val="0"/>
                      <w:color w:val="000000" w:themeColor="text1"/>
                      <w:szCs w:val="21"/>
                    </w:rPr>
                  </w:pPr>
                  <w:r>
                    <w:rPr>
                      <w:rFonts w:hint="default" w:ascii="Times New Roman" w:hAnsi="Times New Roman" w:cs="Times New Roman"/>
                      <w:b/>
                      <w:bCs w:val="0"/>
                      <w:color w:val="000000" w:themeColor="text1"/>
                      <w:szCs w:val="21"/>
                    </w:rPr>
                    <w:t>废物</w:t>
                  </w:r>
                </w:p>
                <w:p w14:paraId="01BD9ED6">
                  <w:pPr>
                    <w:pStyle w:val="190"/>
                    <w:keepNext w:val="0"/>
                    <w:keepLines w:val="0"/>
                    <w:pageBreakBefore w:val="0"/>
                    <w:widowControl/>
                    <w:suppressLineNumbers w:val="0"/>
                    <w:kinsoku/>
                    <w:wordWrap/>
                    <w:overflowPunct w:val="0"/>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cs="Times New Roman"/>
                      <w:b/>
                      <w:bCs w:val="0"/>
                      <w:color w:val="000000" w:themeColor="text1"/>
                      <w:szCs w:val="21"/>
                    </w:rPr>
                  </w:pPr>
                  <w:r>
                    <w:rPr>
                      <w:rFonts w:hint="default" w:ascii="Times New Roman" w:hAnsi="Times New Roman" w:cs="Times New Roman"/>
                      <w:b/>
                      <w:bCs w:val="0"/>
                      <w:color w:val="000000" w:themeColor="text1"/>
                      <w:szCs w:val="21"/>
                    </w:rPr>
                    <w:t>代码</w:t>
                  </w:r>
                </w:p>
              </w:tc>
              <w:tc>
                <w:tcPr>
                  <w:tcW w:w="3444" w:type="dxa"/>
                  <w:noWrap w:val="0"/>
                  <w:vAlign w:val="center"/>
                </w:tcPr>
                <w:p w14:paraId="4F0544FB">
                  <w:pPr>
                    <w:pStyle w:val="190"/>
                    <w:keepNext w:val="0"/>
                    <w:keepLines w:val="0"/>
                    <w:pageBreakBefore w:val="0"/>
                    <w:widowControl/>
                    <w:suppressLineNumbers w:val="0"/>
                    <w:kinsoku/>
                    <w:wordWrap/>
                    <w:overflowPunct w:val="0"/>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cs="Times New Roman"/>
                      <w:b/>
                      <w:bCs w:val="0"/>
                      <w:color w:val="000000" w:themeColor="text1"/>
                      <w:szCs w:val="21"/>
                    </w:rPr>
                  </w:pPr>
                  <w:r>
                    <w:rPr>
                      <w:rFonts w:hint="default" w:ascii="Times New Roman" w:hAnsi="Times New Roman" w:cs="Times New Roman"/>
                      <w:b/>
                      <w:bCs w:val="0"/>
                      <w:color w:val="000000" w:themeColor="text1"/>
                      <w:szCs w:val="21"/>
                    </w:rPr>
                    <w:t>危险废物</w:t>
                  </w:r>
                </w:p>
              </w:tc>
              <w:tc>
                <w:tcPr>
                  <w:tcW w:w="844" w:type="dxa"/>
                  <w:noWrap w:val="0"/>
                  <w:vAlign w:val="center"/>
                </w:tcPr>
                <w:p w14:paraId="5EF42C46">
                  <w:pPr>
                    <w:pStyle w:val="190"/>
                    <w:keepNext w:val="0"/>
                    <w:keepLines w:val="0"/>
                    <w:pageBreakBefore w:val="0"/>
                    <w:widowControl/>
                    <w:suppressLineNumbers w:val="0"/>
                    <w:kinsoku/>
                    <w:wordWrap/>
                    <w:overflowPunct w:val="0"/>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cs="Times New Roman"/>
                      <w:b/>
                      <w:bCs w:val="0"/>
                      <w:color w:val="000000" w:themeColor="text1"/>
                      <w:szCs w:val="21"/>
                    </w:rPr>
                  </w:pPr>
                  <w:r>
                    <w:rPr>
                      <w:rFonts w:hint="default" w:ascii="Times New Roman" w:hAnsi="Times New Roman" w:cs="Times New Roman"/>
                      <w:b/>
                      <w:bCs w:val="0"/>
                      <w:color w:val="000000" w:themeColor="text1"/>
                      <w:szCs w:val="21"/>
                    </w:rPr>
                    <w:t>危险特征</w:t>
                  </w:r>
                </w:p>
              </w:tc>
            </w:tr>
            <w:tr w14:paraId="30C78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14:paraId="5FA479B0">
                  <w:pPr>
                    <w:pStyle w:val="190"/>
                    <w:keepNext w:val="0"/>
                    <w:keepLines w:val="0"/>
                    <w:pageBreakBefore w:val="0"/>
                    <w:widowControl/>
                    <w:suppressLineNumbers w:val="0"/>
                    <w:kinsoku/>
                    <w:wordWrap/>
                    <w:overflowPunct w:val="0"/>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废机油</w:t>
                  </w:r>
                </w:p>
              </w:tc>
              <w:tc>
                <w:tcPr>
                  <w:tcW w:w="1302" w:type="dxa"/>
                  <w:noWrap w:val="0"/>
                  <w:vAlign w:val="center"/>
                </w:tcPr>
                <w:p w14:paraId="00C325B8">
                  <w:pPr>
                    <w:pStyle w:val="190"/>
                    <w:keepNext w:val="0"/>
                    <w:keepLines w:val="0"/>
                    <w:pageBreakBefore w:val="0"/>
                    <w:widowControl/>
                    <w:suppressLineNumbers w:val="0"/>
                    <w:kinsoku/>
                    <w:wordWrap/>
                    <w:overflowPunct w:val="0"/>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HW08废矿物油与含矿物油废物</w:t>
                  </w:r>
                </w:p>
              </w:tc>
              <w:tc>
                <w:tcPr>
                  <w:tcW w:w="735" w:type="dxa"/>
                  <w:noWrap w:val="0"/>
                  <w:vAlign w:val="center"/>
                </w:tcPr>
                <w:p w14:paraId="69BA4890">
                  <w:pPr>
                    <w:pStyle w:val="190"/>
                    <w:keepNext w:val="0"/>
                    <w:keepLines w:val="0"/>
                    <w:pageBreakBefore w:val="0"/>
                    <w:widowControl/>
                    <w:suppressLineNumbers w:val="0"/>
                    <w:kinsoku/>
                    <w:wordWrap/>
                    <w:overflowPunct w:val="0"/>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非特定行业</w:t>
                  </w:r>
                </w:p>
              </w:tc>
              <w:tc>
                <w:tcPr>
                  <w:tcW w:w="936" w:type="dxa"/>
                  <w:noWrap w:val="0"/>
                  <w:vAlign w:val="center"/>
                </w:tcPr>
                <w:p w14:paraId="03F7D0C6">
                  <w:pPr>
                    <w:pStyle w:val="190"/>
                    <w:keepNext w:val="0"/>
                    <w:keepLines w:val="0"/>
                    <w:pageBreakBefore w:val="0"/>
                    <w:widowControl/>
                    <w:suppressLineNumbers w:val="0"/>
                    <w:kinsoku/>
                    <w:wordWrap/>
                    <w:overflowPunct w:val="0"/>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900-214-08</w:t>
                  </w:r>
                </w:p>
              </w:tc>
              <w:tc>
                <w:tcPr>
                  <w:tcW w:w="3444" w:type="dxa"/>
                  <w:noWrap w:val="0"/>
                  <w:vAlign w:val="center"/>
                </w:tcPr>
                <w:p w14:paraId="02668740">
                  <w:pPr>
                    <w:pStyle w:val="190"/>
                    <w:keepNext w:val="0"/>
                    <w:keepLines w:val="0"/>
                    <w:pageBreakBefore w:val="0"/>
                    <w:widowControl/>
                    <w:suppressLineNumbers w:val="0"/>
                    <w:kinsoku/>
                    <w:wordWrap/>
                    <w:overflowPunct w:val="0"/>
                    <w:topLinePunct w:val="0"/>
                    <w:autoSpaceDE/>
                    <w:autoSpaceDN/>
                    <w:bidi w:val="0"/>
                    <w:adjustRightInd w:val="0"/>
                    <w:snapToGrid w:val="0"/>
                    <w:spacing w:before="0" w:beforeAutospacing="0" w:after="0" w:afterAutospacing="0" w:line="320" w:lineRule="exact"/>
                    <w:ind w:left="0" w:right="0"/>
                    <w:jc w:val="left"/>
                    <w:textAlignment w:val="baseline"/>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车辆、轮船及其它机械维修过程中产生的废发动机油、制动器油、自动变速器油、齿轮油等废润滑油</w:t>
                  </w:r>
                </w:p>
              </w:tc>
              <w:tc>
                <w:tcPr>
                  <w:tcW w:w="844" w:type="dxa"/>
                  <w:noWrap w:val="0"/>
                  <w:vAlign w:val="center"/>
                </w:tcPr>
                <w:p w14:paraId="15B3AB49">
                  <w:pPr>
                    <w:pStyle w:val="190"/>
                    <w:keepNext w:val="0"/>
                    <w:keepLines w:val="0"/>
                    <w:pageBreakBefore w:val="0"/>
                    <w:widowControl/>
                    <w:suppressLineNumbers w:val="0"/>
                    <w:kinsoku/>
                    <w:wordWrap/>
                    <w:overflowPunct w:val="0"/>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T，I</w:t>
                  </w:r>
                </w:p>
              </w:tc>
            </w:tr>
          </w:tbl>
          <w:p w14:paraId="52E73383">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firstLine="0" w:firstLineChars="0"/>
              <w:jc w:val="center"/>
              <w:textAlignment w:val="auto"/>
              <w:rPr>
                <w:rFonts w:hint="default" w:cs="Times New Roman"/>
                <w:b/>
                <w:bCs w:val="0"/>
                <w:color w:val="000000" w:themeColor="text1"/>
                <w:sz w:val="21"/>
                <w:szCs w:val="21"/>
                <w:lang w:val="en-US"/>
              </w:rPr>
            </w:pPr>
            <w:r>
              <w:rPr>
                <w:rFonts w:hint="eastAsia" w:ascii="Times New Roman" w:hAnsi="Times New Roman" w:eastAsia="宋体" w:cs="宋体"/>
                <w:b/>
                <w:bCs w:val="0"/>
                <w:color w:val="000000" w:themeColor="text1"/>
                <w:kern w:val="0"/>
                <w:sz w:val="21"/>
                <w:szCs w:val="21"/>
                <w:lang w:val="en-US" w:eastAsia="zh-CN" w:bidi="ar"/>
              </w:rPr>
              <w:t>表</w:t>
            </w:r>
            <w:r>
              <w:rPr>
                <w:rFonts w:hint="default" w:ascii="Times New Roman" w:hAnsi="Times New Roman" w:eastAsia="宋体" w:cs="Times New Roman"/>
                <w:b/>
                <w:bCs w:val="0"/>
                <w:color w:val="000000" w:themeColor="text1"/>
                <w:kern w:val="0"/>
                <w:sz w:val="21"/>
                <w:szCs w:val="21"/>
                <w:lang w:val="en-US" w:eastAsia="zh-CN" w:bidi="ar"/>
              </w:rPr>
              <w:t>4-1</w:t>
            </w:r>
            <w:r>
              <w:rPr>
                <w:rFonts w:hint="eastAsia" w:ascii="Times New Roman" w:hAnsi="Times New Roman" w:cs="Times New Roman"/>
                <w:b/>
                <w:bCs w:val="0"/>
                <w:color w:val="000000" w:themeColor="text1"/>
                <w:kern w:val="0"/>
                <w:sz w:val="21"/>
                <w:szCs w:val="21"/>
                <w:lang w:val="en-US" w:eastAsia="zh-CN" w:bidi="ar"/>
              </w:rPr>
              <w:t>4</w:t>
            </w:r>
            <w:r>
              <w:rPr>
                <w:rFonts w:hint="default" w:ascii="Times New Roman" w:hAnsi="Times New Roman" w:eastAsia="宋体" w:cs="Times New Roman"/>
                <w:b/>
                <w:bCs w:val="0"/>
                <w:color w:val="000000" w:themeColor="text1"/>
                <w:kern w:val="0"/>
                <w:sz w:val="21"/>
                <w:szCs w:val="21"/>
                <w:lang w:val="en-US" w:eastAsia="zh-CN" w:bidi="ar"/>
              </w:rPr>
              <w:t xml:space="preserve">   </w:t>
            </w:r>
            <w:r>
              <w:rPr>
                <w:rFonts w:hint="eastAsia" w:ascii="Times New Roman" w:hAnsi="Times New Roman" w:eastAsia="宋体" w:cs="宋体"/>
                <w:b/>
                <w:bCs w:val="0"/>
                <w:color w:val="000000" w:themeColor="text1"/>
                <w:kern w:val="0"/>
                <w:sz w:val="21"/>
                <w:szCs w:val="21"/>
                <w:lang w:val="en-US" w:eastAsia="zh-CN" w:bidi="ar"/>
              </w:rPr>
              <w:t>项目固体废物产生及处置情况一览表</w:t>
            </w:r>
          </w:p>
          <w:tbl>
            <w:tblPr>
              <w:tblStyle w:val="43"/>
              <w:tblW w:w="80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
              <w:gridCol w:w="1082"/>
              <w:gridCol w:w="816"/>
              <w:gridCol w:w="816"/>
              <w:gridCol w:w="970"/>
              <w:gridCol w:w="2508"/>
              <w:gridCol w:w="1432"/>
            </w:tblGrid>
            <w:tr w14:paraId="06968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0" w:type="dxa"/>
                  <w:tcBorders>
                    <w:top w:val="single" w:color="auto" w:sz="4" w:space="0"/>
                    <w:left w:val="single" w:color="auto" w:sz="4" w:space="0"/>
                    <w:bottom w:val="single" w:color="auto" w:sz="4" w:space="0"/>
                    <w:right w:val="single" w:color="auto" w:sz="4" w:space="0"/>
                  </w:tcBorders>
                  <w:noWrap w:val="0"/>
                  <w:vAlign w:val="center"/>
                </w:tcPr>
                <w:p w14:paraId="012DC8D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sz w:val="21"/>
                      <w:szCs w:val="21"/>
                      <w:lang w:val="en-US"/>
                    </w:rPr>
                  </w:pPr>
                  <w:r>
                    <w:rPr>
                      <w:rFonts w:hint="eastAsia" w:ascii="Times New Roman" w:hAnsi="Times New Roman" w:eastAsia="宋体" w:cs="宋体"/>
                      <w:b/>
                      <w:bCs w:val="0"/>
                      <w:color w:val="000000" w:themeColor="text1"/>
                      <w:kern w:val="2"/>
                      <w:sz w:val="21"/>
                      <w:szCs w:val="21"/>
                      <w:lang w:val="en-US" w:eastAsia="zh-CN" w:bidi="ar"/>
                    </w:rPr>
                    <w:t>属性</w:t>
                  </w:r>
                </w:p>
              </w:tc>
              <w:tc>
                <w:tcPr>
                  <w:tcW w:w="1082" w:type="dxa"/>
                  <w:tcBorders>
                    <w:top w:val="single" w:color="auto" w:sz="4" w:space="0"/>
                    <w:left w:val="single" w:color="auto" w:sz="4" w:space="0"/>
                    <w:bottom w:val="single" w:color="auto" w:sz="4" w:space="0"/>
                    <w:right w:val="single" w:color="auto" w:sz="4" w:space="0"/>
                  </w:tcBorders>
                  <w:noWrap w:val="0"/>
                  <w:vAlign w:val="center"/>
                </w:tcPr>
                <w:p w14:paraId="737D133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sz w:val="21"/>
                      <w:szCs w:val="21"/>
                      <w:lang w:val="en-US"/>
                    </w:rPr>
                  </w:pPr>
                  <w:r>
                    <w:rPr>
                      <w:rFonts w:hint="eastAsia" w:ascii="Times New Roman" w:hAnsi="Times New Roman" w:eastAsia="宋体" w:cs="宋体"/>
                      <w:b/>
                      <w:bCs w:val="0"/>
                      <w:color w:val="000000" w:themeColor="text1"/>
                      <w:kern w:val="2"/>
                      <w:sz w:val="21"/>
                      <w:szCs w:val="21"/>
                      <w:lang w:val="en-US" w:eastAsia="zh-CN" w:bidi="ar"/>
                    </w:rPr>
                    <w:t>名称</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71A5203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宋体"/>
                      <w:b/>
                      <w:bCs w:val="0"/>
                      <w:color w:val="000000" w:themeColor="text1"/>
                      <w:kern w:val="2"/>
                      <w:sz w:val="21"/>
                      <w:szCs w:val="21"/>
                      <w:lang w:val="en-US" w:eastAsia="zh-CN" w:bidi="ar"/>
                    </w:rPr>
                  </w:pPr>
                  <w:r>
                    <w:rPr>
                      <w:rFonts w:hint="eastAsia" w:ascii="Times New Roman" w:hAnsi="Times New Roman" w:eastAsia="宋体" w:cs="宋体"/>
                      <w:b/>
                      <w:bCs w:val="0"/>
                      <w:color w:val="000000" w:themeColor="text1"/>
                      <w:kern w:val="2"/>
                      <w:sz w:val="21"/>
                      <w:szCs w:val="21"/>
                      <w:lang w:val="en-US" w:eastAsia="zh-CN" w:bidi="ar"/>
                    </w:rPr>
                    <w:t>产生</w:t>
                  </w:r>
                </w:p>
                <w:p w14:paraId="305FEC7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sz w:val="21"/>
                      <w:szCs w:val="21"/>
                      <w:lang w:val="en-US"/>
                    </w:rPr>
                  </w:pPr>
                  <w:r>
                    <w:rPr>
                      <w:rFonts w:hint="eastAsia" w:ascii="Times New Roman" w:hAnsi="Times New Roman" w:eastAsia="宋体" w:cs="宋体"/>
                      <w:b/>
                      <w:bCs w:val="0"/>
                      <w:color w:val="000000" w:themeColor="text1"/>
                      <w:kern w:val="2"/>
                      <w:sz w:val="21"/>
                      <w:szCs w:val="21"/>
                      <w:lang w:val="en-US" w:eastAsia="zh-CN" w:bidi="ar"/>
                    </w:rPr>
                    <w:t>环节</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42E8DEF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sz w:val="21"/>
                      <w:szCs w:val="21"/>
                      <w:lang w:val="en-US"/>
                    </w:rPr>
                  </w:pPr>
                  <w:r>
                    <w:rPr>
                      <w:rFonts w:hint="eastAsia" w:ascii="Times New Roman" w:hAnsi="Times New Roman" w:eastAsia="宋体" w:cs="宋体"/>
                      <w:b/>
                      <w:bCs w:val="0"/>
                      <w:color w:val="000000" w:themeColor="text1"/>
                      <w:kern w:val="2"/>
                      <w:sz w:val="21"/>
                      <w:szCs w:val="21"/>
                      <w:lang w:val="en-US" w:eastAsia="zh-CN" w:bidi="ar"/>
                    </w:rPr>
                    <w:t>物理性状</w:t>
                  </w:r>
                </w:p>
              </w:tc>
              <w:tc>
                <w:tcPr>
                  <w:tcW w:w="970" w:type="dxa"/>
                  <w:tcBorders>
                    <w:top w:val="single" w:color="auto" w:sz="4" w:space="0"/>
                    <w:left w:val="single" w:color="auto" w:sz="4" w:space="0"/>
                    <w:bottom w:val="single" w:color="auto" w:sz="4" w:space="0"/>
                    <w:right w:val="single" w:color="auto" w:sz="4" w:space="0"/>
                  </w:tcBorders>
                  <w:noWrap w:val="0"/>
                  <w:vAlign w:val="center"/>
                </w:tcPr>
                <w:p w14:paraId="044B443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sz w:val="21"/>
                      <w:szCs w:val="21"/>
                      <w:lang w:val="en-US"/>
                    </w:rPr>
                  </w:pPr>
                  <w:r>
                    <w:rPr>
                      <w:rFonts w:hint="eastAsia" w:ascii="Times New Roman" w:hAnsi="Times New Roman" w:eastAsia="宋体" w:cs="宋体"/>
                      <w:b/>
                      <w:bCs w:val="0"/>
                      <w:color w:val="000000" w:themeColor="text1"/>
                      <w:kern w:val="2"/>
                      <w:sz w:val="21"/>
                      <w:szCs w:val="21"/>
                      <w:lang w:val="en-US" w:eastAsia="zh-CN" w:bidi="ar"/>
                    </w:rPr>
                    <w:t>年产生量（</w:t>
                  </w:r>
                  <w:r>
                    <w:rPr>
                      <w:rFonts w:hint="default" w:ascii="Times New Roman" w:hAnsi="Times New Roman" w:eastAsia="宋体" w:cs="Times New Roman"/>
                      <w:b/>
                      <w:bCs w:val="0"/>
                      <w:color w:val="000000" w:themeColor="text1"/>
                      <w:kern w:val="2"/>
                      <w:sz w:val="21"/>
                      <w:szCs w:val="21"/>
                      <w:lang w:val="en-US" w:eastAsia="zh-CN" w:bidi="ar"/>
                    </w:rPr>
                    <w:t>t/a</w:t>
                  </w:r>
                  <w:r>
                    <w:rPr>
                      <w:rFonts w:hint="eastAsia" w:ascii="Times New Roman" w:hAnsi="Times New Roman" w:eastAsia="宋体" w:cs="宋体"/>
                      <w:b/>
                      <w:bCs w:val="0"/>
                      <w:color w:val="000000" w:themeColor="text1"/>
                      <w:kern w:val="2"/>
                      <w:sz w:val="21"/>
                      <w:szCs w:val="21"/>
                      <w:lang w:val="en-US" w:eastAsia="zh-CN" w:bidi="ar"/>
                    </w:rPr>
                    <w:t>）</w:t>
                  </w:r>
                </w:p>
              </w:tc>
              <w:tc>
                <w:tcPr>
                  <w:tcW w:w="2508" w:type="dxa"/>
                  <w:tcBorders>
                    <w:top w:val="single" w:color="auto" w:sz="4" w:space="0"/>
                    <w:left w:val="single" w:color="auto" w:sz="4" w:space="0"/>
                    <w:bottom w:val="single" w:color="auto" w:sz="4" w:space="0"/>
                    <w:right w:val="single" w:color="auto" w:sz="4" w:space="0"/>
                  </w:tcBorders>
                  <w:noWrap w:val="0"/>
                  <w:vAlign w:val="center"/>
                </w:tcPr>
                <w:p w14:paraId="5E709C9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sz w:val="21"/>
                      <w:szCs w:val="21"/>
                      <w:lang w:val="en-US"/>
                    </w:rPr>
                  </w:pPr>
                  <w:r>
                    <w:rPr>
                      <w:rFonts w:hint="eastAsia" w:ascii="Times New Roman" w:hAnsi="Times New Roman" w:eastAsia="宋体" w:cs="宋体"/>
                      <w:b/>
                      <w:bCs w:val="0"/>
                      <w:color w:val="000000" w:themeColor="text1"/>
                      <w:kern w:val="2"/>
                      <w:sz w:val="21"/>
                      <w:szCs w:val="21"/>
                      <w:lang w:val="en-US" w:eastAsia="zh-CN" w:bidi="ar"/>
                    </w:rPr>
                    <w:t>处置利用方式</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5C3886D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sz w:val="21"/>
                      <w:szCs w:val="21"/>
                      <w:lang w:val="en-US"/>
                    </w:rPr>
                  </w:pPr>
                  <w:r>
                    <w:rPr>
                      <w:rFonts w:hint="eastAsia" w:ascii="Times New Roman" w:hAnsi="Times New Roman" w:eastAsia="宋体" w:cs="宋体"/>
                      <w:b/>
                      <w:bCs/>
                      <w:color w:val="000000" w:themeColor="text1"/>
                      <w:kern w:val="2"/>
                      <w:sz w:val="21"/>
                      <w:szCs w:val="21"/>
                      <w:lang w:val="en-US" w:eastAsia="zh-CN" w:bidi="ar"/>
                    </w:rPr>
                    <w:t>固体废物</w:t>
                  </w:r>
                </w:p>
                <w:p w14:paraId="2D96BD8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sz w:val="21"/>
                      <w:szCs w:val="21"/>
                      <w:lang w:val="en-US"/>
                    </w:rPr>
                  </w:pPr>
                  <w:r>
                    <w:rPr>
                      <w:rFonts w:hint="eastAsia" w:ascii="Times New Roman" w:hAnsi="Times New Roman" w:eastAsia="宋体" w:cs="宋体"/>
                      <w:b/>
                      <w:bCs/>
                      <w:color w:val="000000" w:themeColor="text1"/>
                      <w:kern w:val="2"/>
                      <w:sz w:val="21"/>
                      <w:szCs w:val="21"/>
                      <w:lang w:val="en-US" w:eastAsia="zh-CN" w:bidi="ar"/>
                    </w:rPr>
                    <w:t>分类与代码</w:t>
                  </w:r>
                </w:p>
              </w:tc>
            </w:tr>
            <w:tr w14:paraId="0549D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0" w:type="dxa"/>
                  <w:vMerge w:val="restart"/>
                  <w:tcBorders>
                    <w:top w:val="single" w:color="auto" w:sz="4" w:space="0"/>
                    <w:left w:val="single" w:color="auto" w:sz="4" w:space="0"/>
                    <w:right w:val="single" w:color="auto" w:sz="4" w:space="0"/>
                  </w:tcBorders>
                  <w:noWrap w:val="0"/>
                  <w:vAlign w:val="center"/>
                </w:tcPr>
                <w:p w14:paraId="73F216C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bookmarkStart w:id="19" w:name="_Hlk465953993"/>
                  <w:r>
                    <w:rPr>
                      <w:rFonts w:hint="eastAsia" w:ascii="Times New Roman" w:hAnsi="Times New Roman" w:eastAsia="宋体" w:cs="宋体"/>
                      <w:color w:val="000000" w:themeColor="text1"/>
                      <w:sz w:val="21"/>
                      <w:szCs w:val="21"/>
                    </w:rPr>
                    <w:t>一般固废</w:t>
                  </w:r>
                </w:p>
              </w:tc>
              <w:tc>
                <w:tcPr>
                  <w:tcW w:w="1082" w:type="dxa"/>
                  <w:tcBorders>
                    <w:top w:val="single" w:color="auto" w:sz="4" w:space="0"/>
                    <w:left w:val="single" w:color="auto" w:sz="4" w:space="0"/>
                    <w:bottom w:val="single" w:color="auto" w:sz="4" w:space="0"/>
                    <w:right w:val="single" w:color="auto" w:sz="4" w:space="0"/>
                  </w:tcBorders>
                  <w:noWrap w:val="0"/>
                  <w:vAlign w:val="center"/>
                </w:tcPr>
                <w:p w14:paraId="1CC07A0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废包装袋</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05F3517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bookmarkStart w:id="20" w:name="OLE_LINK11"/>
                  <w:r>
                    <w:rPr>
                      <w:rFonts w:hint="eastAsia" w:ascii="Times New Roman" w:hAnsi="Times New Roman" w:cs="Times New Roman"/>
                      <w:color w:val="000000" w:themeColor="text1"/>
                      <w:sz w:val="21"/>
                      <w:szCs w:val="21"/>
                      <w:lang w:val="en-US" w:eastAsia="zh-CN"/>
                    </w:rPr>
                    <w:t>投料</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39784CC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eastAsia" w:ascii="Times New Roman" w:hAnsi="Times New Roman" w:eastAsia="宋体" w:cs="宋体"/>
                      <w:color w:val="000000" w:themeColor="text1"/>
                      <w:sz w:val="21"/>
                      <w:szCs w:val="21"/>
                    </w:rPr>
                    <w:t>固态</w:t>
                  </w:r>
                </w:p>
              </w:tc>
              <w:tc>
                <w:tcPr>
                  <w:tcW w:w="970" w:type="dxa"/>
                  <w:tcBorders>
                    <w:top w:val="single" w:color="auto" w:sz="4" w:space="0"/>
                    <w:left w:val="single" w:color="auto" w:sz="4" w:space="0"/>
                    <w:bottom w:val="single" w:color="auto" w:sz="4" w:space="0"/>
                    <w:right w:val="single" w:color="auto" w:sz="4" w:space="0"/>
                  </w:tcBorders>
                  <w:noWrap w:val="0"/>
                  <w:vAlign w:val="center"/>
                </w:tcPr>
                <w:p w14:paraId="57D9B0A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1.5</w:t>
                  </w:r>
                </w:p>
              </w:tc>
              <w:tc>
                <w:tcPr>
                  <w:tcW w:w="2508" w:type="dxa"/>
                  <w:vMerge w:val="restart"/>
                  <w:tcBorders>
                    <w:top w:val="single" w:color="auto" w:sz="4" w:space="0"/>
                    <w:left w:val="single" w:color="auto" w:sz="4" w:space="0"/>
                    <w:right w:val="single" w:color="auto" w:sz="4" w:space="0"/>
                  </w:tcBorders>
                  <w:noWrap w:val="0"/>
                  <w:vAlign w:val="center"/>
                </w:tcPr>
                <w:p w14:paraId="5A7D99F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eastAsia" w:ascii="Times New Roman" w:hAnsi="Times New Roman" w:cs="Times New Roman"/>
                      <w:color w:val="000000" w:themeColor="text1"/>
                      <w:sz w:val="21"/>
                      <w:szCs w:val="21"/>
                      <w:lang w:val="en-US"/>
                    </w:rPr>
                    <w:t>外售相关回收单位处理</w:t>
                  </w:r>
                </w:p>
              </w:tc>
              <w:tc>
                <w:tcPr>
                  <w:tcW w:w="1432" w:type="dxa"/>
                  <w:vMerge w:val="restart"/>
                  <w:tcBorders>
                    <w:top w:val="single" w:color="auto" w:sz="4" w:space="0"/>
                    <w:left w:val="single" w:color="auto" w:sz="4" w:space="0"/>
                    <w:right w:val="single" w:color="auto" w:sz="4" w:space="0"/>
                  </w:tcBorders>
                  <w:noWrap w:val="0"/>
                  <w:vAlign w:val="center"/>
                </w:tcPr>
                <w:p w14:paraId="2B28ED8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eastAsia" w:ascii="Times New Roman" w:hAnsi="Times New Roman" w:cs="Times New Roman"/>
                      <w:color w:val="000000" w:themeColor="text1"/>
                      <w:sz w:val="21"/>
                      <w:szCs w:val="21"/>
                      <w:lang w:val="en-US"/>
                    </w:rPr>
                    <w:t>900-00</w:t>
                  </w:r>
                  <w:r>
                    <w:rPr>
                      <w:rFonts w:hint="eastAsia" w:ascii="Times New Roman" w:hAnsi="Times New Roman" w:cs="Times New Roman"/>
                      <w:color w:val="000000" w:themeColor="text1"/>
                      <w:sz w:val="21"/>
                      <w:szCs w:val="21"/>
                      <w:lang w:val="en-US" w:eastAsia="zh-CN"/>
                    </w:rPr>
                    <w:t>3</w:t>
                  </w:r>
                  <w:r>
                    <w:rPr>
                      <w:rFonts w:hint="eastAsia" w:ascii="Times New Roman" w:hAnsi="Times New Roman" w:cs="Times New Roman"/>
                      <w:color w:val="000000" w:themeColor="text1"/>
                      <w:sz w:val="21"/>
                      <w:szCs w:val="21"/>
                      <w:lang w:val="en-US"/>
                    </w:rPr>
                    <w:t>-S17</w:t>
                  </w:r>
                </w:p>
              </w:tc>
            </w:tr>
            <w:tr w14:paraId="14415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0" w:type="dxa"/>
                  <w:vMerge w:val="continue"/>
                  <w:tcBorders>
                    <w:left w:val="single" w:color="auto" w:sz="4" w:space="0"/>
                    <w:right w:val="single" w:color="auto" w:sz="4" w:space="0"/>
                  </w:tcBorders>
                  <w:noWrap w:val="0"/>
                  <w:vAlign w:val="center"/>
                </w:tcPr>
                <w:p w14:paraId="5786B39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宋体"/>
                      <w:color w:val="000000" w:themeColor="text1"/>
                      <w:sz w:val="21"/>
                      <w:szCs w:val="21"/>
                    </w:rPr>
                  </w:pPr>
                </w:p>
              </w:tc>
              <w:tc>
                <w:tcPr>
                  <w:tcW w:w="1082" w:type="dxa"/>
                  <w:tcBorders>
                    <w:top w:val="single" w:color="auto" w:sz="4" w:space="0"/>
                    <w:left w:val="single" w:color="auto" w:sz="4" w:space="0"/>
                    <w:bottom w:val="single" w:color="auto" w:sz="4" w:space="0"/>
                    <w:right w:val="single" w:color="auto" w:sz="4" w:space="0"/>
                  </w:tcBorders>
                  <w:noWrap w:val="0"/>
                  <w:vAlign w:val="center"/>
                </w:tcPr>
                <w:p w14:paraId="798D9C3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cs="Times New Roman"/>
                      <w:color w:val="00B050"/>
                      <w:sz w:val="21"/>
                      <w:szCs w:val="21"/>
                      <w:lang w:val="en-US" w:eastAsia="zh-CN"/>
                    </w:rPr>
                  </w:pPr>
                  <w:r>
                    <w:rPr>
                      <w:rFonts w:hint="eastAsia" w:ascii="Times New Roman" w:hAnsi="Times New Roman" w:cs="Times New Roman"/>
                      <w:color w:val="00B050"/>
                      <w:sz w:val="21"/>
                      <w:szCs w:val="21"/>
                      <w:lang w:val="en-US" w:eastAsia="zh-CN"/>
                    </w:rPr>
                    <w:t>过滤废渣</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12E3A68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B050"/>
                      <w:sz w:val="21"/>
                      <w:szCs w:val="21"/>
                      <w:lang w:val="en-US" w:eastAsia="zh-CN"/>
                    </w:rPr>
                  </w:pPr>
                  <w:r>
                    <w:rPr>
                      <w:rFonts w:hint="eastAsia" w:cs="Times New Roman"/>
                      <w:color w:val="00B050"/>
                      <w:sz w:val="21"/>
                      <w:szCs w:val="21"/>
                      <w:lang w:val="en-US" w:eastAsia="zh-CN"/>
                    </w:rPr>
                    <w:t>搅拌</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7FE24D3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宋体"/>
                      <w:color w:val="00B050"/>
                      <w:sz w:val="21"/>
                      <w:szCs w:val="21"/>
                    </w:rPr>
                  </w:pPr>
                  <w:r>
                    <w:rPr>
                      <w:rFonts w:hint="eastAsia" w:ascii="Times New Roman" w:hAnsi="Times New Roman" w:eastAsia="宋体" w:cs="宋体"/>
                      <w:color w:val="00B050"/>
                      <w:sz w:val="21"/>
                      <w:szCs w:val="21"/>
                    </w:rPr>
                    <w:t>固态</w:t>
                  </w:r>
                </w:p>
              </w:tc>
              <w:tc>
                <w:tcPr>
                  <w:tcW w:w="970" w:type="dxa"/>
                  <w:tcBorders>
                    <w:top w:val="single" w:color="auto" w:sz="4" w:space="0"/>
                    <w:left w:val="single" w:color="auto" w:sz="4" w:space="0"/>
                    <w:bottom w:val="single" w:color="auto" w:sz="4" w:space="0"/>
                    <w:right w:val="single" w:color="auto" w:sz="4" w:space="0"/>
                  </w:tcBorders>
                  <w:noWrap w:val="0"/>
                  <w:vAlign w:val="center"/>
                </w:tcPr>
                <w:p w14:paraId="30FE33C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B050"/>
                      <w:sz w:val="21"/>
                      <w:szCs w:val="21"/>
                      <w:lang w:val="en-US" w:eastAsia="zh-CN"/>
                    </w:rPr>
                  </w:pPr>
                  <w:r>
                    <w:rPr>
                      <w:rFonts w:hint="eastAsia" w:cs="Times New Roman"/>
                      <w:color w:val="00B050"/>
                      <w:sz w:val="21"/>
                      <w:szCs w:val="21"/>
                      <w:lang w:val="en-US" w:eastAsia="zh-CN"/>
                    </w:rPr>
                    <w:t>2.4</w:t>
                  </w:r>
                </w:p>
              </w:tc>
              <w:tc>
                <w:tcPr>
                  <w:tcW w:w="2508" w:type="dxa"/>
                  <w:vMerge w:val="continue"/>
                  <w:tcBorders>
                    <w:left w:val="single" w:color="auto" w:sz="4" w:space="0"/>
                    <w:bottom w:val="single" w:color="auto" w:sz="4" w:space="0"/>
                    <w:right w:val="single" w:color="auto" w:sz="4" w:space="0"/>
                  </w:tcBorders>
                  <w:noWrap w:val="0"/>
                  <w:vAlign w:val="center"/>
                </w:tcPr>
                <w:p w14:paraId="4427374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cs="Times New Roman"/>
                      <w:color w:val="000000" w:themeColor="text1"/>
                      <w:sz w:val="21"/>
                      <w:szCs w:val="21"/>
                      <w:lang w:val="en-US"/>
                    </w:rPr>
                  </w:pPr>
                </w:p>
              </w:tc>
              <w:tc>
                <w:tcPr>
                  <w:tcW w:w="1432" w:type="dxa"/>
                  <w:vMerge w:val="continue"/>
                  <w:tcBorders>
                    <w:left w:val="single" w:color="auto" w:sz="4" w:space="0"/>
                    <w:bottom w:val="single" w:color="auto" w:sz="4" w:space="0"/>
                    <w:right w:val="single" w:color="auto" w:sz="4" w:space="0"/>
                  </w:tcBorders>
                  <w:noWrap w:val="0"/>
                  <w:vAlign w:val="center"/>
                </w:tcPr>
                <w:p w14:paraId="7AB49CC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cs="Times New Roman"/>
                      <w:color w:val="000000" w:themeColor="text1"/>
                      <w:sz w:val="21"/>
                      <w:szCs w:val="21"/>
                      <w:lang w:val="en-US"/>
                    </w:rPr>
                  </w:pPr>
                </w:p>
              </w:tc>
            </w:tr>
            <w:tr w14:paraId="4E761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0" w:type="dxa"/>
                  <w:vMerge w:val="continue"/>
                  <w:tcBorders>
                    <w:left w:val="single" w:color="auto" w:sz="4" w:space="0"/>
                    <w:right w:val="single" w:color="auto" w:sz="4" w:space="0"/>
                  </w:tcBorders>
                  <w:noWrap w:val="0"/>
                  <w:vAlign w:val="center"/>
                </w:tcPr>
                <w:p w14:paraId="0384784B">
                  <w:pPr>
                    <w:keepNext w:val="0"/>
                    <w:keepLines w:val="0"/>
                    <w:pageBreakBefore w:val="0"/>
                    <w:suppressLineNumbers w:val="0"/>
                    <w:kinsoku/>
                    <w:wordWrap/>
                    <w:overflowPunct/>
                    <w:topLinePunct w:val="0"/>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cs="Times New Roman"/>
                      <w:color w:val="000000" w:themeColor="text1"/>
                      <w:sz w:val="21"/>
                      <w:szCs w:val="21"/>
                    </w:rPr>
                  </w:pPr>
                </w:p>
              </w:tc>
              <w:tc>
                <w:tcPr>
                  <w:tcW w:w="1082" w:type="dxa"/>
                  <w:tcBorders>
                    <w:top w:val="single" w:color="auto" w:sz="4" w:space="0"/>
                    <w:left w:val="single" w:color="auto" w:sz="4" w:space="0"/>
                    <w:bottom w:val="single" w:color="auto" w:sz="4" w:space="0"/>
                    <w:right w:val="single" w:color="auto" w:sz="4" w:space="0"/>
                  </w:tcBorders>
                  <w:noWrap w:val="0"/>
                  <w:vAlign w:val="center"/>
                </w:tcPr>
                <w:p w14:paraId="372D100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eastAsia" w:ascii="Times New Roman" w:hAnsi="Times New Roman" w:eastAsia="宋体" w:cs="宋体"/>
                      <w:color w:val="000000" w:themeColor="text1"/>
                      <w:sz w:val="21"/>
                      <w:szCs w:val="21"/>
                    </w:rPr>
                    <w:t>不合格品</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776DBD4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打包</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7D8C33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eastAsia" w:ascii="Times New Roman" w:hAnsi="Times New Roman" w:eastAsia="宋体" w:cs="宋体"/>
                      <w:color w:val="000000" w:themeColor="text1"/>
                      <w:sz w:val="21"/>
                      <w:szCs w:val="21"/>
                    </w:rPr>
                    <w:t>固态</w:t>
                  </w:r>
                </w:p>
              </w:tc>
              <w:tc>
                <w:tcPr>
                  <w:tcW w:w="970" w:type="dxa"/>
                  <w:tcBorders>
                    <w:top w:val="single" w:color="auto" w:sz="4" w:space="0"/>
                    <w:left w:val="single" w:color="auto" w:sz="4" w:space="0"/>
                    <w:bottom w:val="single" w:color="auto" w:sz="4" w:space="0"/>
                    <w:right w:val="single" w:color="auto" w:sz="4" w:space="0"/>
                  </w:tcBorders>
                  <w:noWrap w:val="0"/>
                  <w:vAlign w:val="center"/>
                </w:tcPr>
                <w:p w14:paraId="1663C89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240</w:t>
                  </w:r>
                </w:p>
              </w:tc>
              <w:tc>
                <w:tcPr>
                  <w:tcW w:w="2508" w:type="dxa"/>
                  <w:tcBorders>
                    <w:top w:val="single" w:color="auto" w:sz="4" w:space="0"/>
                    <w:left w:val="single" w:color="auto" w:sz="4" w:space="0"/>
                    <w:bottom w:val="single" w:color="auto" w:sz="4" w:space="0"/>
                    <w:right w:val="single" w:color="auto" w:sz="4" w:space="0"/>
                  </w:tcBorders>
                  <w:noWrap w:val="0"/>
                  <w:vAlign w:val="center"/>
                </w:tcPr>
                <w:p w14:paraId="2DA9783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eastAsia" w:ascii="Times New Roman" w:hAnsi="Times New Roman" w:cs="Times New Roman"/>
                      <w:color w:val="000000" w:themeColor="text1"/>
                      <w:sz w:val="21"/>
                      <w:szCs w:val="21"/>
                      <w:lang w:val="en-US"/>
                    </w:rPr>
                    <w:t>作为原料进行二次利用</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14169D4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eastAsia" w:ascii="Times New Roman" w:hAnsi="Times New Roman" w:cs="Times New Roman"/>
                      <w:color w:val="000000" w:themeColor="text1"/>
                      <w:sz w:val="21"/>
                      <w:szCs w:val="21"/>
                      <w:lang w:val="en-US"/>
                    </w:rPr>
                    <w:t>900-005-S17</w:t>
                  </w:r>
                </w:p>
              </w:tc>
            </w:tr>
            <w:tr w14:paraId="1795D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0" w:type="dxa"/>
                  <w:vMerge w:val="continue"/>
                  <w:tcBorders>
                    <w:left w:val="single" w:color="auto" w:sz="4" w:space="0"/>
                    <w:right w:val="single" w:color="auto" w:sz="4" w:space="0"/>
                  </w:tcBorders>
                  <w:noWrap w:val="0"/>
                  <w:vAlign w:val="center"/>
                </w:tcPr>
                <w:p w14:paraId="005321B6">
                  <w:pPr>
                    <w:keepNext w:val="0"/>
                    <w:keepLines w:val="0"/>
                    <w:pageBreakBefore w:val="0"/>
                    <w:suppressLineNumbers w:val="0"/>
                    <w:kinsoku/>
                    <w:wordWrap/>
                    <w:overflowPunct/>
                    <w:topLinePunct w:val="0"/>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cs="Times New Roman"/>
                      <w:color w:val="000000" w:themeColor="text1"/>
                      <w:sz w:val="21"/>
                      <w:szCs w:val="21"/>
                    </w:rPr>
                  </w:pPr>
                </w:p>
              </w:tc>
              <w:tc>
                <w:tcPr>
                  <w:tcW w:w="1082" w:type="dxa"/>
                  <w:tcBorders>
                    <w:top w:val="single" w:color="auto" w:sz="4" w:space="0"/>
                    <w:left w:val="single" w:color="auto" w:sz="4" w:space="0"/>
                    <w:bottom w:val="single" w:color="auto" w:sz="4" w:space="0"/>
                    <w:right w:val="single" w:color="auto" w:sz="4" w:space="0"/>
                  </w:tcBorders>
                  <w:noWrap w:val="0"/>
                  <w:vAlign w:val="center"/>
                </w:tcPr>
                <w:p w14:paraId="22067E3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eastAsia" w:ascii="Times New Roman" w:hAnsi="Times New Roman" w:eastAsia="宋体" w:cs="宋体"/>
                      <w:color w:val="000000" w:themeColor="text1"/>
                      <w:sz w:val="21"/>
                      <w:szCs w:val="21"/>
                    </w:rPr>
                    <w:t>除尘渣</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3F2C682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除尘</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2A44E46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eastAsia" w:ascii="Times New Roman" w:hAnsi="Times New Roman" w:eastAsia="宋体" w:cs="宋体"/>
                      <w:color w:val="000000" w:themeColor="text1"/>
                      <w:sz w:val="21"/>
                      <w:szCs w:val="21"/>
                    </w:rPr>
                    <w:t>固态</w:t>
                  </w:r>
                </w:p>
              </w:tc>
              <w:tc>
                <w:tcPr>
                  <w:tcW w:w="970" w:type="dxa"/>
                  <w:tcBorders>
                    <w:top w:val="single" w:color="auto" w:sz="4" w:space="0"/>
                    <w:left w:val="single" w:color="auto" w:sz="4" w:space="0"/>
                    <w:bottom w:val="single" w:color="auto" w:sz="4" w:space="0"/>
                    <w:right w:val="single" w:color="auto" w:sz="4" w:space="0"/>
                  </w:tcBorders>
                  <w:noWrap w:val="0"/>
                  <w:vAlign w:val="center"/>
                </w:tcPr>
                <w:p w14:paraId="6E83F71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B050"/>
                      <w:sz w:val="21"/>
                      <w:szCs w:val="21"/>
                      <w:lang w:val="en-US" w:eastAsia="zh-CN"/>
                    </w:rPr>
                  </w:pPr>
                  <w:r>
                    <w:rPr>
                      <w:rFonts w:hint="eastAsia" w:cs="Times New Roman"/>
                      <w:color w:val="00B050"/>
                      <w:sz w:val="21"/>
                      <w:szCs w:val="21"/>
                      <w:lang w:val="en-US" w:eastAsia="zh-CN"/>
                    </w:rPr>
                    <w:t>270.56</w:t>
                  </w:r>
                </w:p>
              </w:tc>
              <w:tc>
                <w:tcPr>
                  <w:tcW w:w="2508" w:type="dxa"/>
                  <w:vMerge w:val="restart"/>
                  <w:tcBorders>
                    <w:top w:val="single" w:color="auto" w:sz="4" w:space="0"/>
                    <w:left w:val="single" w:color="auto" w:sz="4" w:space="0"/>
                    <w:right w:val="single" w:color="auto" w:sz="4" w:space="0"/>
                  </w:tcBorders>
                  <w:noWrap w:val="0"/>
                  <w:vAlign w:val="center"/>
                </w:tcPr>
                <w:p w14:paraId="044481E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B050"/>
                      <w:sz w:val="21"/>
                      <w:szCs w:val="21"/>
                      <w:lang w:val="en-US"/>
                    </w:rPr>
                  </w:pPr>
                  <w:r>
                    <w:rPr>
                      <w:rFonts w:hint="eastAsia" w:ascii="Times New Roman" w:hAnsi="Times New Roman" w:eastAsia="宋体" w:cs="宋体"/>
                      <w:color w:val="00B050"/>
                      <w:sz w:val="21"/>
                      <w:szCs w:val="21"/>
                    </w:rPr>
                    <w:t>统一收集后，定期委托</w:t>
                  </w:r>
                  <w:r>
                    <w:rPr>
                      <w:rFonts w:hint="eastAsia" w:ascii="Times New Roman" w:hAnsi="Times New Roman" w:eastAsia="宋体" w:cs="宋体"/>
                      <w:color w:val="00B050"/>
                      <w:sz w:val="21"/>
                      <w:szCs w:val="21"/>
                      <w:lang w:val="en-US" w:eastAsia="zh-CN"/>
                    </w:rPr>
                    <w:t>周边农户清运用作农肥</w:t>
                  </w:r>
                  <w:r>
                    <w:rPr>
                      <w:rFonts w:hint="eastAsia" w:ascii="Times New Roman" w:hAnsi="Times New Roman" w:eastAsia="宋体" w:cs="宋体"/>
                      <w:color w:val="00B050"/>
                      <w:sz w:val="21"/>
                      <w:szCs w:val="21"/>
                    </w:rPr>
                    <w:t>，不外排。</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5B34993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eastAsia" w:ascii="Times New Roman" w:hAnsi="Times New Roman" w:cs="Times New Roman"/>
                      <w:color w:val="000000" w:themeColor="text1"/>
                      <w:sz w:val="21"/>
                      <w:szCs w:val="21"/>
                      <w:lang w:val="en-US"/>
                    </w:rPr>
                    <w:t>900-099-S59</w:t>
                  </w:r>
                </w:p>
              </w:tc>
            </w:tr>
            <w:tr w14:paraId="70212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0" w:type="dxa"/>
                  <w:vMerge w:val="continue"/>
                  <w:tcBorders>
                    <w:left w:val="single" w:color="auto" w:sz="4" w:space="0"/>
                    <w:right w:val="single" w:color="auto" w:sz="4" w:space="0"/>
                  </w:tcBorders>
                  <w:noWrap w:val="0"/>
                  <w:vAlign w:val="center"/>
                </w:tcPr>
                <w:p w14:paraId="7BF932AE">
                  <w:pPr>
                    <w:keepNext w:val="0"/>
                    <w:keepLines w:val="0"/>
                    <w:pageBreakBefore w:val="0"/>
                    <w:suppressLineNumbers w:val="0"/>
                    <w:kinsoku/>
                    <w:wordWrap/>
                    <w:overflowPunct/>
                    <w:topLinePunct w:val="0"/>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cs="Times New Roman"/>
                      <w:color w:val="000000" w:themeColor="text1"/>
                      <w:sz w:val="21"/>
                      <w:szCs w:val="21"/>
                    </w:rPr>
                  </w:pPr>
                </w:p>
              </w:tc>
              <w:tc>
                <w:tcPr>
                  <w:tcW w:w="1082" w:type="dxa"/>
                  <w:tcBorders>
                    <w:top w:val="single" w:color="auto" w:sz="4" w:space="0"/>
                    <w:left w:val="single" w:color="auto" w:sz="4" w:space="0"/>
                    <w:bottom w:val="single" w:color="auto" w:sz="4" w:space="0"/>
                    <w:right w:val="single" w:color="auto" w:sz="4" w:space="0"/>
                  </w:tcBorders>
                  <w:noWrap w:val="0"/>
                  <w:vAlign w:val="center"/>
                </w:tcPr>
                <w:p w14:paraId="4C7E840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eastAsia" w:ascii="Times New Roman" w:hAnsi="Times New Roman" w:eastAsia="宋体" w:cs="宋体"/>
                      <w:color w:val="000000" w:themeColor="text1"/>
                      <w:sz w:val="21"/>
                      <w:szCs w:val="21"/>
                    </w:rPr>
                    <w:t>炉渣</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0DFC76A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eastAsia" w:ascii="Times New Roman" w:hAnsi="Times New Roman" w:cs="Times New Roman"/>
                      <w:color w:val="000000" w:themeColor="text1"/>
                      <w:sz w:val="21"/>
                      <w:szCs w:val="21"/>
                      <w:lang w:val="en-US" w:eastAsia="zh-CN"/>
                    </w:rPr>
                    <w:t>烘干</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140B62A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eastAsia" w:ascii="Times New Roman" w:hAnsi="Times New Roman" w:eastAsia="宋体" w:cs="宋体"/>
                      <w:color w:val="000000" w:themeColor="text1"/>
                      <w:sz w:val="21"/>
                      <w:szCs w:val="21"/>
                    </w:rPr>
                    <w:t>固态</w:t>
                  </w:r>
                </w:p>
              </w:tc>
              <w:tc>
                <w:tcPr>
                  <w:tcW w:w="970" w:type="dxa"/>
                  <w:tcBorders>
                    <w:top w:val="single" w:color="auto" w:sz="4" w:space="0"/>
                    <w:left w:val="single" w:color="auto" w:sz="4" w:space="0"/>
                    <w:bottom w:val="single" w:color="auto" w:sz="4" w:space="0"/>
                    <w:right w:val="single" w:color="auto" w:sz="4" w:space="0"/>
                  </w:tcBorders>
                  <w:noWrap w:val="0"/>
                  <w:vAlign w:val="center"/>
                </w:tcPr>
                <w:p w14:paraId="48AB2F2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B050"/>
                      <w:sz w:val="21"/>
                      <w:szCs w:val="21"/>
                      <w:lang w:val="en-US" w:eastAsia="zh-CN"/>
                    </w:rPr>
                  </w:pPr>
                  <w:r>
                    <w:rPr>
                      <w:rFonts w:hint="eastAsia" w:cs="Times New Roman"/>
                      <w:color w:val="00B050"/>
                      <w:sz w:val="21"/>
                      <w:szCs w:val="21"/>
                      <w:lang w:val="en-US" w:eastAsia="zh-CN"/>
                    </w:rPr>
                    <w:t>110.88</w:t>
                  </w:r>
                </w:p>
              </w:tc>
              <w:tc>
                <w:tcPr>
                  <w:tcW w:w="2508" w:type="dxa"/>
                  <w:vMerge w:val="continue"/>
                  <w:tcBorders>
                    <w:left w:val="single" w:color="auto" w:sz="4" w:space="0"/>
                    <w:bottom w:val="single" w:color="auto" w:sz="4" w:space="0"/>
                    <w:right w:val="single" w:color="auto" w:sz="4" w:space="0"/>
                  </w:tcBorders>
                  <w:noWrap w:val="0"/>
                  <w:vAlign w:val="center"/>
                </w:tcPr>
                <w:p w14:paraId="53B18F5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FF00FF"/>
                      <w:sz w:val="21"/>
                      <w:szCs w:val="21"/>
                      <w:lang w:val="en-US"/>
                    </w:rPr>
                  </w:pPr>
                </w:p>
              </w:tc>
              <w:tc>
                <w:tcPr>
                  <w:tcW w:w="1432" w:type="dxa"/>
                  <w:tcBorders>
                    <w:top w:val="single" w:color="auto" w:sz="4" w:space="0"/>
                    <w:left w:val="single" w:color="auto" w:sz="4" w:space="0"/>
                    <w:bottom w:val="single" w:color="auto" w:sz="4" w:space="0"/>
                    <w:right w:val="single" w:color="auto" w:sz="4" w:space="0"/>
                  </w:tcBorders>
                  <w:noWrap w:val="0"/>
                  <w:vAlign w:val="center"/>
                </w:tcPr>
                <w:p w14:paraId="25E892E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eastAsia" w:ascii="Times New Roman" w:hAnsi="Times New Roman" w:cs="Times New Roman"/>
                      <w:color w:val="000000" w:themeColor="text1"/>
                      <w:sz w:val="21"/>
                      <w:szCs w:val="21"/>
                      <w:lang w:val="en-US"/>
                    </w:rPr>
                    <w:t>900-099-S59</w:t>
                  </w:r>
                </w:p>
              </w:tc>
            </w:tr>
            <w:tr w14:paraId="786B2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0" w:type="dxa"/>
                  <w:vMerge w:val="continue"/>
                  <w:tcBorders>
                    <w:left w:val="single" w:color="auto" w:sz="4" w:space="0"/>
                    <w:right w:val="single" w:color="auto" w:sz="4" w:space="0"/>
                  </w:tcBorders>
                  <w:noWrap w:val="0"/>
                  <w:vAlign w:val="center"/>
                </w:tcPr>
                <w:p w14:paraId="0C7E68C1">
                  <w:pPr>
                    <w:keepNext w:val="0"/>
                    <w:keepLines w:val="0"/>
                    <w:pageBreakBefore w:val="0"/>
                    <w:suppressLineNumbers w:val="0"/>
                    <w:kinsoku/>
                    <w:wordWrap/>
                    <w:overflowPunct/>
                    <w:topLinePunct w:val="0"/>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cs="Times New Roman"/>
                      <w:color w:val="000000" w:themeColor="text1"/>
                      <w:sz w:val="21"/>
                      <w:szCs w:val="21"/>
                    </w:rPr>
                  </w:pPr>
                </w:p>
              </w:tc>
              <w:tc>
                <w:tcPr>
                  <w:tcW w:w="1082" w:type="dxa"/>
                  <w:tcBorders>
                    <w:top w:val="single" w:color="auto" w:sz="4" w:space="0"/>
                    <w:left w:val="single" w:color="auto" w:sz="4" w:space="0"/>
                    <w:bottom w:val="single" w:color="auto" w:sz="4" w:space="0"/>
                    <w:right w:val="single" w:color="auto" w:sz="4" w:space="0"/>
                  </w:tcBorders>
                  <w:noWrap w:val="0"/>
                  <w:vAlign w:val="center"/>
                </w:tcPr>
                <w:p w14:paraId="6A2787F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eastAsia" w:ascii="Times New Roman" w:hAnsi="Times New Roman" w:eastAsia="宋体" w:cs="宋体"/>
                      <w:color w:val="000000" w:themeColor="text1"/>
                      <w:kern w:val="2"/>
                      <w:sz w:val="21"/>
                      <w:szCs w:val="21"/>
                      <w:lang w:val="en-US" w:eastAsia="zh-CN" w:bidi="ar"/>
                    </w:rPr>
                    <w:t>生活</w:t>
                  </w:r>
                  <w:r>
                    <w:rPr>
                      <w:rFonts w:hint="eastAsia" w:ascii="Times New Roman" w:hAnsi="Times New Roman" w:eastAsia="宋体" w:cs="宋体"/>
                      <w:color w:val="000000" w:themeColor="text1"/>
                      <w:sz w:val="21"/>
                      <w:szCs w:val="21"/>
                    </w:rPr>
                    <w:t>垃圾</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331CAE5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职工生活</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5EEC7D7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eastAsia" w:ascii="Times New Roman" w:hAnsi="Times New Roman" w:eastAsia="宋体" w:cs="宋体"/>
                      <w:color w:val="000000" w:themeColor="text1"/>
                      <w:sz w:val="21"/>
                      <w:szCs w:val="21"/>
                    </w:rPr>
                    <w:t>固态</w:t>
                  </w:r>
                </w:p>
              </w:tc>
              <w:tc>
                <w:tcPr>
                  <w:tcW w:w="970" w:type="dxa"/>
                  <w:tcBorders>
                    <w:top w:val="single" w:color="auto" w:sz="4" w:space="0"/>
                    <w:left w:val="single" w:color="auto" w:sz="4" w:space="0"/>
                    <w:bottom w:val="single" w:color="auto" w:sz="4" w:space="0"/>
                    <w:right w:val="single" w:color="auto" w:sz="4" w:space="0"/>
                  </w:tcBorders>
                  <w:noWrap w:val="0"/>
                  <w:vAlign w:val="center"/>
                </w:tcPr>
                <w:p w14:paraId="415100F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12</w:t>
                  </w:r>
                </w:p>
              </w:tc>
              <w:tc>
                <w:tcPr>
                  <w:tcW w:w="2508" w:type="dxa"/>
                  <w:tcBorders>
                    <w:top w:val="single" w:color="auto" w:sz="4" w:space="0"/>
                    <w:left w:val="single" w:color="auto" w:sz="4" w:space="0"/>
                    <w:bottom w:val="single" w:color="auto" w:sz="4" w:space="0"/>
                    <w:right w:val="single" w:color="auto" w:sz="4" w:space="0"/>
                  </w:tcBorders>
                  <w:noWrap w:val="0"/>
                  <w:vAlign w:val="center"/>
                </w:tcPr>
                <w:p w14:paraId="24B4338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eastAsia" w:ascii="Times New Roman" w:hAnsi="Times New Roman" w:eastAsia="宋体" w:cs="宋体"/>
                      <w:color w:val="000000" w:themeColor="text1"/>
                      <w:sz w:val="21"/>
                      <w:szCs w:val="21"/>
                    </w:rPr>
                    <w:t>委托环卫部门清运处置</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4D6BDDF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rPr>
                  </w:pPr>
                  <w:r>
                    <w:rPr>
                      <w:rFonts w:hint="eastAsia" w:ascii="Times New Roman" w:hAnsi="Times New Roman" w:cs="Times New Roman"/>
                      <w:color w:val="000000" w:themeColor="text1"/>
                      <w:sz w:val="21"/>
                      <w:szCs w:val="21"/>
                      <w:lang w:val="en-US"/>
                    </w:rPr>
                    <w:t>900-099-S64</w:t>
                  </w:r>
                </w:p>
              </w:tc>
            </w:tr>
            <w:tr w14:paraId="4A41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0" w:type="dxa"/>
                  <w:vMerge w:val="continue"/>
                  <w:tcBorders>
                    <w:left w:val="single" w:color="auto" w:sz="4" w:space="0"/>
                    <w:right w:val="single" w:color="auto" w:sz="4" w:space="0"/>
                  </w:tcBorders>
                  <w:noWrap w:val="0"/>
                  <w:vAlign w:val="center"/>
                </w:tcPr>
                <w:p w14:paraId="014EE54F">
                  <w:pPr>
                    <w:keepNext w:val="0"/>
                    <w:keepLines w:val="0"/>
                    <w:pageBreakBefore w:val="0"/>
                    <w:suppressLineNumbers w:val="0"/>
                    <w:kinsoku/>
                    <w:wordWrap/>
                    <w:overflowPunct/>
                    <w:topLinePunct w:val="0"/>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cs="Times New Roman"/>
                      <w:color w:val="000000" w:themeColor="text1"/>
                      <w:sz w:val="21"/>
                      <w:szCs w:val="21"/>
                    </w:rPr>
                  </w:pPr>
                </w:p>
              </w:tc>
              <w:tc>
                <w:tcPr>
                  <w:tcW w:w="1082" w:type="dxa"/>
                  <w:tcBorders>
                    <w:top w:val="single" w:color="auto" w:sz="4" w:space="0"/>
                    <w:left w:val="single" w:color="auto" w:sz="4" w:space="0"/>
                    <w:bottom w:val="single" w:color="auto" w:sz="4" w:space="0"/>
                    <w:right w:val="single" w:color="auto" w:sz="4" w:space="0"/>
                  </w:tcBorders>
                  <w:noWrap w:val="0"/>
                  <w:vAlign w:val="center"/>
                </w:tcPr>
                <w:p w14:paraId="518AAE6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化粪池</w:t>
                  </w:r>
                </w:p>
                <w:p w14:paraId="4AC5A54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污泥</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6BEBBAD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废水处理</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1C2B790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固态</w:t>
                  </w:r>
                </w:p>
              </w:tc>
              <w:tc>
                <w:tcPr>
                  <w:tcW w:w="970" w:type="dxa"/>
                  <w:tcBorders>
                    <w:top w:val="single" w:color="auto" w:sz="4" w:space="0"/>
                    <w:left w:val="single" w:color="auto" w:sz="4" w:space="0"/>
                    <w:bottom w:val="single" w:color="auto" w:sz="4" w:space="0"/>
                    <w:right w:val="single" w:color="auto" w:sz="4" w:space="0"/>
                  </w:tcBorders>
                  <w:noWrap w:val="0"/>
                  <w:vAlign w:val="center"/>
                </w:tcPr>
                <w:p w14:paraId="6DC13B0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0.21</w:t>
                  </w:r>
                </w:p>
              </w:tc>
              <w:tc>
                <w:tcPr>
                  <w:tcW w:w="2508" w:type="dxa"/>
                  <w:tcBorders>
                    <w:top w:val="single" w:color="auto" w:sz="4" w:space="0"/>
                    <w:left w:val="single" w:color="auto" w:sz="4" w:space="0"/>
                    <w:bottom w:val="single" w:color="auto" w:sz="4" w:space="0"/>
                    <w:right w:val="single" w:color="auto" w:sz="4" w:space="0"/>
                  </w:tcBorders>
                  <w:noWrap w:val="0"/>
                  <w:vAlign w:val="center"/>
                </w:tcPr>
                <w:p w14:paraId="0817BD7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由周边农户定期清掏作为农肥使用。</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39D14A2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900-002-S64</w:t>
                  </w:r>
                </w:p>
              </w:tc>
            </w:tr>
            <w:tr w14:paraId="4067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0" w:type="dxa"/>
                  <w:tcBorders>
                    <w:left w:val="single" w:color="auto" w:sz="4" w:space="0"/>
                    <w:right w:val="single" w:color="auto" w:sz="4" w:space="0"/>
                  </w:tcBorders>
                  <w:noWrap w:val="0"/>
                  <w:vAlign w:val="center"/>
                </w:tcPr>
                <w:p w14:paraId="4CF88804">
                  <w:pPr>
                    <w:keepNext w:val="0"/>
                    <w:keepLines w:val="0"/>
                    <w:pageBreakBefore w:val="0"/>
                    <w:suppressLineNumbers w:val="0"/>
                    <w:kinsoku/>
                    <w:wordWrap/>
                    <w:overflowPunct/>
                    <w:topLinePunct w:val="0"/>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危险废物</w:t>
                  </w:r>
                </w:p>
              </w:tc>
              <w:tc>
                <w:tcPr>
                  <w:tcW w:w="1082" w:type="dxa"/>
                  <w:tcBorders>
                    <w:top w:val="single" w:color="auto" w:sz="4" w:space="0"/>
                    <w:left w:val="single" w:color="auto" w:sz="4" w:space="0"/>
                    <w:bottom w:val="single" w:color="auto" w:sz="4" w:space="0"/>
                    <w:right w:val="single" w:color="auto" w:sz="4" w:space="0"/>
                  </w:tcBorders>
                  <w:noWrap w:val="0"/>
                  <w:vAlign w:val="center"/>
                </w:tcPr>
                <w:p w14:paraId="0BCBEF9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废机油</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0152D49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设备维修保养</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14C3E57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液体</w:t>
                  </w:r>
                </w:p>
              </w:tc>
              <w:tc>
                <w:tcPr>
                  <w:tcW w:w="970" w:type="dxa"/>
                  <w:tcBorders>
                    <w:top w:val="single" w:color="auto" w:sz="4" w:space="0"/>
                    <w:left w:val="single" w:color="auto" w:sz="4" w:space="0"/>
                    <w:bottom w:val="single" w:color="auto" w:sz="4" w:space="0"/>
                    <w:right w:val="single" w:color="auto" w:sz="4" w:space="0"/>
                  </w:tcBorders>
                  <w:noWrap w:val="0"/>
                  <w:vAlign w:val="center"/>
                </w:tcPr>
                <w:p w14:paraId="690DC26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0.08</w:t>
                  </w:r>
                </w:p>
              </w:tc>
              <w:tc>
                <w:tcPr>
                  <w:tcW w:w="2508" w:type="dxa"/>
                  <w:tcBorders>
                    <w:top w:val="single" w:color="auto" w:sz="4" w:space="0"/>
                    <w:left w:val="single" w:color="auto" w:sz="4" w:space="0"/>
                    <w:bottom w:val="single" w:color="auto" w:sz="4" w:space="0"/>
                    <w:right w:val="single" w:color="auto" w:sz="4" w:space="0"/>
                  </w:tcBorders>
                  <w:noWrap w:val="0"/>
                  <w:vAlign w:val="center"/>
                </w:tcPr>
                <w:p w14:paraId="695523A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暂存于危废暂存间，委托有资质单位定期处置</w:t>
                  </w:r>
                  <w:r>
                    <w:rPr>
                      <w:rFonts w:hint="eastAsia" w:ascii="Times New Roman" w:hAnsi="Times New Roman" w:eastAsia="宋体" w:cs="宋体"/>
                      <w:color w:val="000000" w:themeColor="text1"/>
                      <w:sz w:val="21"/>
                      <w:szCs w:val="21"/>
                      <w:lang w:eastAsia="zh-CN"/>
                    </w:rPr>
                    <w:t>。</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42C6A5C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900-214-08</w:t>
                  </w:r>
                </w:p>
              </w:tc>
            </w:tr>
            <w:bookmarkEnd w:id="19"/>
            <w:bookmarkEnd w:id="20"/>
          </w:tbl>
          <w:p w14:paraId="1011FF6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b w:val="0"/>
                <w:bCs w:val="0"/>
                <w:color w:val="000000"/>
                <w:sz w:val="21"/>
                <w:szCs w:val="21"/>
                <w:lang w:val="en-US" w:eastAsia="zh-CN"/>
              </w:rPr>
              <w:t>本项</w:t>
            </w:r>
            <w:r>
              <w:rPr>
                <w:rFonts w:hint="eastAsia" w:ascii="Times New Roman" w:hAnsi="Times New Roman" w:eastAsia="宋体" w:cs="Times New Roman"/>
                <w:color w:val="000000"/>
                <w:sz w:val="21"/>
                <w:szCs w:val="21"/>
                <w:lang w:val="en-US" w:eastAsia="zh-CN"/>
              </w:rPr>
              <w:t>目新建一间占地</w:t>
            </w:r>
            <w:r>
              <w:rPr>
                <w:rFonts w:hint="default" w:ascii="Times New Roman" w:hAnsi="Times New Roman" w:eastAsia="宋体" w:cs="Times New Roman"/>
                <w:color w:val="000000"/>
                <w:sz w:val="21"/>
                <w:szCs w:val="21"/>
                <w:lang w:val="en-US" w:eastAsia="zh-CN"/>
              </w:rPr>
              <w:t>面积</w:t>
            </w:r>
            <w:r>
              <w:rPr>
                <w:rFonts w:hint="eastAsia" w:ascii="Times New Roman" w:hAnsi="Times New Roman" w:eastAsia="宋体" w:cs="Times New Roman"/>
                <w:color w:val="000000"/>
                <w:sz w:val="21"/>
                <w:szCs w:val="21"/>
                <w:lang w:val="en-US" w:eastAsia="zh-CN"/>
              </w:rPr>
              <w:t>5</w:t>
            </w:r>
            <w:r>
              <w:rPr>
                <w:rFonts w:hint="default" w:ascii="Times New Roman" w:hAnsi="Times New Roman" w:eastAsia="宋体" w:cs="Times New Roman"/>
                <w:color w:val="000000"/>
                <w:sz w:val="21"/>
                <w:szCs w:val="21"/>
                <w:lang w:val="en-US" w:eastAsia="zh-CN"/>
              </w:rPr>
              <w:t>m</w:t>
            </w:r>
            <w:r>
              <w:rPr>
                <w:rFonts w:hint="default" w:ascii="Times New Roman" w:hAnsi="Times New Roman" w:eastAsia="宋体" w:cs="Times New Roman"/>
                <w:color w:val="000000"/>
                <w:sz w:val="21"/>
                <w:szCs w:val="21"/>
                <w:vertAlign w:val="superscript"/>
                <w:lang w:val="en-US" w:eastAsia="zh-CN"/>
              </w:rPr>
              <w:t>2</w:t>
            </w:r>
            <w:r>
              <w:rPr>
                <w:rFonts w:hint="eastAsia" w:ascii="Times New Roman" w:hAnsi="Times New Roman" w:eastAsia="宋体" w:cs="Times New Roman"/>
                <w:color w:val="000000"/>
                <w:sz w:val="21"/>
                <w:szCs w:val="21"/>
                <w:vertAlign w:val="baseline"/>
                <w:lang w:val="en-US" w:eastAsia="zh-CN"/>
              </w:rPr>
              <w:t>的危废暂存间，最大暂存能力为5吨，项目年最大产生量为0.08t，本环评建议项目危险废物周转频次为一年至少1次，确保不超过危废暂存间可容纳量；项目产生的所有危险废物均分类收集，暂存于危废暂存间，委托有资质的单位定期清运处置。</w:t>
            </w:r>
          </w:p>
          <w:p w14:paraId="64767F1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项目需制定危险废物管理制度和管理程序，本次环评根据《危险废物收集贮存运输技术规范》（HJ 2025-2012）及《危险废物贮存污染控制》（GB18597-2023）相关技术要求规定提出本项目危险废物的收集、贮存、运输、处置环节需要采取的各项污染防治措施。</w:t>
            </w:r>
          </w:p>
          <w:p w14:paraId="50E461C5">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firstLine="422" w:firstLineChars="200"/>
              <w:textAlignment w:val="auto"/>
              <w:rPr>
                <w:rFonts w:hint="eastAsia"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（2）危险废物的收集控制措施</w:t>
            </w:r>
          </w:p>
          <w:p w14:paraId="55C62D6F">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危险废物收集时根据危险废物的种类、数量、危险特性、物理形态、运输要求等因素确定包装形式，具体包装应符合如下要求：</w:t>
            </w:r>
          </w:p>
          <w:p w14:paraId="456E4E12">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包装材质要与危险废物相容，盛装</w:t>
            </w:r>
            <w:r>
              <w:rPr>
                <w:rFonts w:hint="eastAsia" w:ascii="Times New Roman" w:hAnsi="Times New Roman" w:eastAsia="宋体" w:cs="Times New Roman"/>
                <w:color w:val="000000"/>
                <w:sz w:val="21"/>
                <w:szCs w:val="21"/>
                <w:lang w:eastAsia="zh-CN"/>
              </w:rPr>
              <w:t>废机油</w:t>
            </w:r>
            <w:r>
              <w:rPr>
                <w:rFonts w:hint="default" w:ascii="Times New Roman" w:hAnsi="Times New Roman" w:eastAsia="宋体" w:cs="Times New Roman"/>
                <w:color w:val="000000"/>
                <w:sz w:val="21"/>
                <w:szCs w:val="21"/>
              </w:rPr>
              <w:t>的容器应是专用收集容器，不得使用敞口容器存放；容器上应有清晰的标签，瓶口密封；容器不得渗漏，若出现密封不严或破损必须改用包装后送去处理。</w:t>
            </w:r>
          </w:p>
          <w:p w14:paraId="4CDF4CC4">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危险废物为废机油，生产车间应按固废的种类收集和存放，并张贴标签。</w:t>
            </w:r>
          </w:p>
          <w:p w14:paraId="430E55EF">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lang w:eastAsia="zh-CN"/>
              </w:rPr>
              <w:t>收集后危废</w:t>
            </w:r>
            <w:r>
              <w:rPr>
                <w:rFonts w:hint="default" w:ascii="Times New Roman" w:hAnsi="Times New Roman" w:eastAsia="宋体" w:cs="Times New Roman"/>
                <w:color w:val="000000"/>
                <w:sz w:val="21"/>
                <w:szCs w:val="21"/>
              </w:rPr>
              <w:t>的主要有毒</w:t>
            </w:r>
            <w:r>
              <w:rPr>
                <w:rFonts w:hint="eastAsia" w:ascii="Times New Roman" w:hAnsi="Times New Roman" w:eastAsia="宋体" w:cs="Times New Roman"/>
                <w:color w:val="000000"/>
                <w:sz w:val="21"/>
                <w:szCs w:val="21"/>
                <w:lang w:eastAsia="zh-CN"/>
              </w:rPr>
              <w:t>有害成分</w:t>
            </w:r>
            <w:r>
              <w:rPr>
                <w:rFonts w:hint="default" w:ascii="Times New Roman" w:hAnsi="Times New Roman" w:eastAsia="宋体" w:cs="Times New Roman"/>
                <w:color w:val="000000"/>
                <w:sz w:val="21"/>
                <w:szCs w:val="21"/>
              </w:rPr>
              <w:t>必须在《</w:t>
            </w:r>
            <w:r>
              <w:rPr>
                <w:rFonts w:hint="eastAsia" w:ascii="Times New Roman" w:hAnsi="Times New Roman" w:eastAsia="宋体" w:cs="Times New Roman"/>
                <w:color w:val="000000"/>
                <w:sz w:val="21"/>
                <w:lang w:eastAsia="zh-CN"/>
              </w:rPr>
              <w:t>危险废物</w:t>
            </w:r>
            <w:r>
              <w:rPr>
                <w:rFonts w:hint="default" w:ascii="Times New Roman" w:hAnsi="Times New Roman" w:eastAsia="宋体" w:cs="Times New Roman"/>
                <w:color w:val="000000"/>
                <w:sz w:val="21"/>
                <w:szCs w:val="21"/>
              </w:rPr>
              <w:t>登记表》上登记，写明</w:t>
            </w:r>
            <w:r>
              <w:rPr>
                <w:rFonts w:hint="eastAsia" w:ascii="Times New Roman" w:hAnsi="Times New Roman" w:eastAsia="宋体" w:cs="Times New Roman"/>
                <w:color w:val="000000"/>
                <w:sz w:val="21"/>
                <w:szCs w:val="21"/>
                <w:lang w:eastAsia="zh-CN"/>
              </w:rPr>
              <w:t>成分</w:t>
            </w:r>
            <w:r>
              <w:rPr>
                <w:rFonts w:hint="default" w:ascii="Times New Roman" w:hAnsi="Times New Roman" w:eastAsia="宋体" w:cs="Times New Roman"/>
                <w:color w:val="000000"/>
                <w:sz w:val="21"/>
                <w:szCs w:val="21"/>
              </w:rPr>
              <w:t>的中文全称，不可写简称或缩写，</w:t>
            </w:r>
            <w:r>
              <w:rPr>
                <w:rFonts w:hint="eastAsia" w:ascii="Times New Roman" w:hAnsi="Times New Roman" w:eastAsia="宋体" w:cs="Times New Roman"/>
                <w:color w:val="000000"/>
                <w:sz w:val="21"/>
                <w:lang w:eastAsia="zh-CN"/>
              </w:rPr>
              <w:t>危废收集桶满后</w:t>
            </w:r>
            <w:r>
              <w:rPr>
                <w:rFonts w:hint="default" w:ascii="Times New Roman" w:hAnsi="Times New Roman" w:eastAsia="宋体" w:cs="Times New Roman"/>
                <w:color w:val="000000"/>
                <w:sz w:val="21"/>
                <w:szCs w:val="21"/>
              </w:rPr>
              <w:t>（不可过满，必须保留 1/10 的空间），将登记表粘贴在相应的桶上。</w:t>
            </w:r>
          </w:p>
          <w:p w14:paraId="1F01B8EB">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eastAsia="zh-CN"/>
              </w:rPr>
              <w:t>存放危废</w:t>
            </w:r>
            <w:r>
              <w:rPr>
                <w:rFonts w:hint="default" w:ascii="Times New Roman" w:hAnsi="Times New Roman" w:eastAsia="宋体" w:cs="Times New Roman"/>
                <w:color w:val="000000"/>
                <w:sz w:val="21"/>
                <w:szCs w:val="21"/>
              </w:rPr>
              <w:t>前应仔细查看该</w:t>
            </w:r>
            <w:r>
              <w:rPr>
                <w:rFonts w:hint="eastAsia" w:ascii="Times New Roman" w:hAnsi="Times New Roman" w:eastAsia="宋体" w:cs="Times New Roman"/>
                <w:color w:val="000000"/>
                <w:sz w:val="21"/>
                <w:lang w:eastAsia="zh-CN"/>
              </w:rPr>
              <w:t>危废收集桶</w:t>
            </w:r>
            <w:r>
              <w:rPr>
                <w:rFonts w:hint="default" w:ascii="Times New Roman" w:hAnsi="Times New Roman" w:eastAsia="宋体" w:cs="Times New Roman"/>
                <w:color w:val="000000"/>
                <w:sz w:val="21"/>
                <w:szCs w:val="21"/>
              </w:rPr>
              <w:t>的《</w:t>
            </w:r>
            <w:r>
              <w:rPr>
                <w:rFonts w:hint="eastAsia" w:ascii="Times New Roman" w:hAnsi="Times New Roman" w:eastAsia="宋体" w:cs="Times New Roman"/>
                <w:color w:val="000000"/>
                <w:sz w:val="21"/>
                <w:lang w:eastAsia="zh-CN"/>
              </w:rPr>
              <w:t>危险废物</w:t>
            </w:r>
            <w:r>
              <w:rPr>
                <w:rFonts w:hint="default" w:ascii="Times New Roman" w:hAnsi="Times New Roman" w:eastAsia="宋体" w:cs="Times New Roman"/>
                <w:color w:val="000000"/>
                <w:sz w:val="21"/>
                <w:szCs w:val="21"/>
              </w:rPr>
              <w:t>登记表》，确认倒入后不会与桶中已有的物质发生异常反应（如产生有毒挥发性气体、剧烈放热等），否则应单独存于其它容器中，并贴上标签。</w:t>
            </w:r>
          </w:p>
          <w:p w14:paraId="4FC14239">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危险废物的收集应制定详细的操作规程，内容至少应包括适用范围、操作程序和方法、专用设备和工具、转移和交接、安全保障和应急防护等。</w:t>
            </w:r>
          </w:p>
          <w:p w14:paraId="7C5393B1">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firstLine="422" w:firstLineChars="200"/>
              <w:textAlignment w:val="auto"/>
              <w:rPr>
                <w:rFonts w:hint="eastAsia"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（3）危险废物的贮存控制措施</w:t>
            </w:r>
          </w:p>
          <w:p w14:paraId="1DB0AC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eastAsia="zh-CN"/>
              </w:rPr>
              <w:t>①</w:t>
            </w:r>
            <w:r>
              <w:rPr>
                <w:rFonts w:hint="eastAsia" w:ascii="Times New Roman" w:hAnsi="Times New Roman" w:eastAsia="宋体" w:cs="Times New Roman"/>
                <w:color w:val="000000"/>
                <w:sz w:val="21"/>
                <w:szCs w:val="21"/>
                <w:lang w:val="en-US" w:eastAsia="zh-CN"/>
              </w:rPr>
              <w:t>应根据危险废物的形态、物理化学性质、包装形式和污染物迁移途径，采取必要的防风、防晒、防雨、防漏、防渗、防腐以及其他环境污染防治措施，不应露天堆放危险废物。</w:t>
            </w:r>
          </w:p>
          <w:p w14:paraId="6DF03B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eastAsia="zh-CN"/>
              </w:rPr>
              <w:t>②</w:t>
            </w:r>
            <w:r>
              <w:rPr>
                <w:rFonts w:hint="eastAsia" w:ascii="Times New Roman" w:hAnsi="Times New Roman" w:eastAsia="宋体" w:cs="Times New Roman"/>
                <w:color w:val="000000"/>
                <w:sz w:val="21"/>
                <w:szCs w:val="21"/>
                <w:lang w:val="en-US" w:eastAsia="zh-CN"/>
              </w:rPr>
              <w:t>贮存库内不同贮存分区之间应采取隔离措施。隔离措施可根据危险废物特性采用过道、隔板或隔墙等方式。</w:t>
            </w:r>
          </w:p>
          <w:p w14:paraId="6406D4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③在贮存库内或通过贮存分区方式贮存液态危险废物的，应具有液体泄漏堵截设施，堵截设施最小容积不应低于对应贮存区域最大液态废物容器容积或液态废物总储量的 1/10（二者取较大者）；用于贮存可能产生渗滤液的危险废物的贮存库或贮存分区应设计渗滤液收集设施，收集设施容积应满足渗滤液的收集要求。</w:t>
            </w:r>
          </w:p>
          <w:p w14:paraId="05B184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eastAsia="zh-CN"/>
              </w:rPr>
              <w:t>④</w:t>
            </w:r>
            <w:r>
              <w:rPr>
                <w:rFonts w:hint="eastAsia" w:ascii="Times New Roman" w:hAnsi="Times New Roman" w:eastAsia="宋体" w:cs="Times New Roman"/>
                <w:color w:val="000000"/>
                <w:sz w:val="21"/>
                <w:szCs w:val="21"/>
                <w:lang w:val="en-US" w:eastAsia="zh-CN"/>
              </w:rPr>
              <w:t>贮存设施或贮存分区内地面、墙面裙脚、堵截泄漏的围堰、接触危险废物的隔板和墙体等应采用坚固的材料建造，表面无裂缝。</w:t>
            </w:r>
          </w:p>
          <w:p w14:paraId="60B0DC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eastAsia="zh-CN"/>
              </w:rPr>
              <w:t>⑤</w:t>
            </w:r>
            <w:r>
              <w:rPr>
                <w:rFonts w:hint="eastAsia" w:ascii="Times New Roman" w:hAnsi="Times New Roman" w:eastAsia="宋体" w:cs="Times New Roman"/>
                <w:color w:val="000000"/>
                <w:sz w:val="21"/>
                <w:szCs w:val="21"/>
                <w:lang w:val="en-US" w:eastAsia="zh-CN"/>
              </w:rPr>
              <w:t>贮存设施地面与裙脚应采取表面防渗措施；表面防渗材料应与所接触的物料或污染物相容。贮存的危险废物直接接触地面的，还应进行基础防渗。</w:t>
            </w:r>
          </w:p>
          <w:p w14:paraId="7E9DED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eastAsia="zh-CN"/>
              </w:rPr>
              <w:t>⑥</w:t>
            </w:r>
            <w:r>
              <w:rPr>
                <w:rFonts w:hint="eastAsia" w:ascii="Times New Roman" w:hAnsi="Times New Roman" w:eastAsia="宋体" w:cs="Times New Roman"/>
                <w:color w:val="000000"/>
                <w:sz w:val="21"/>
                <w:szCs w:val="21"/>
                <w:lang w:val="en-US" w:eastAsia="zh-CN"/>
              </w:rPr>
              <w:t>同一贮存设施宜采用相同的防渗、防腐工艺（包括防渗、防腐结构或材料），防渗、防腐材料应覆盖所有可能与废物及其渗滤液、渗漏液等接触的构筑物表面；采用不同防渗、防腐工艺应分别建设贮存分区。</w:t>
            </w:r>
          </w:p>
          <w:p w14:paraId="20E9E7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⑦</w:t>
            </w:r>
            <w:r>
              <w:rPr>
                <w:rFonts w:hint="eastAsia" w:ascii="Times New Roman" w:hAnsi="Times New Roman" w:eastAsia="宋体" w:cs="Times New Roman"/>
                <w:color w:val="000000"/>
                <w:sz w:val="21"/>
                <w:szCs w:val="21"/>
                <w:lang w:val="en-US" w:eastAsia="zh-CN"/>
              </w:rPr>
              <w:t>贮存设施应采取技术和管理措施防止无关人员进入。</w:t>
            </w:r>
          </w:p>
          <w:p w14:paraId="277406D9">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firstLine="422" w:firstLineChars="200"/>
              <w:textAlignment w:val="auto"/>
              <w:rPr>
                <w:rFonts w:hint="eastAsia"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（4）危险废物的运输控制措施</w:t>
            </w:r>
          </w:p>
          <w:p w14:paraId="542A0B2D">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项目不负责产生的危险废物运输工作，危险废物</w:t>
            </w:r>
            <w:r>
              <w:rPr>
                <w:rFonts w:hint="default" w:ascii="Times New Roman" w:hAnsi="Times New Roman" w:eastAsia="宋体" w:cs="Times New Roman"/>
                <w:color w:val="000000"/>
                <w:kern w:val="0"/>
                <w:sz w:val="21"/>
                <w:szCs w:val="21"/>
                <w:lang w:eastAsia="zh-CN" w:bidi="ar"/>
              </w:rPr>
              <w:t>委托</w:t>
            </w:r>
            <w:r>
              <w:rPr>
                <w:rFonts w:hint="eastAsia" w:ascii="Times New Roman" w:hAnsi="Times New Roman" w:eastAsia="宋体" w:cs="Times New Roman"/>
                <w:color w:val="000000"/>
                <w:kern w:val="0"/>
                <w:sz w:val="21"/>
                <w:szCs w:val="21"/>
                <w:lang w:eastAsia="zh-CN" w:bidi="ar"/>
              </w:rPr>
              <w:t>有资质的单位</w:t>
            </w:r>
            <w:r>
              <w:rPr>
                <w:rFonts w:hint="default" w:ascii="Times New Roman" w:hAnsi="Times New Roman" w:eastAsia="宋体" w:cs="Times New Roman"/>
                <w:color w:val="000000"/>
                <w:kern w:val="0"/>
                <w:sz w:val="21"/>
                <w:szCs w:val="21"/>
                <w:lang w:eastAsia="zh-CN" w:bidi="ar"/>
              </w:rPr>
              <w:t>清运处置</w:t>
            </w:r>
            <w:r>
              <w:rPr>
                <w:rFonts w:hint="default" w:ascii="Times New Roman" w:hAnsi="Times New Roman" w:eastAsia="宋体" w:cs="Times New Roman"/>
                <w:color w:val="000000"/>
                <w:sz w:val="21"/>
                <w:szCs w:val="21"/>
              </w:rPr>
              <w:t>，危险废物转移运输过程严格按照</w:t>
            </w:r>
            <w:r>
              <w:rPr>
                <w:rFonts w:hint="default" w:ascii="Times New Roman" w:hAnsi="Times New Roman" w:eastAsia="宋体" w:cs="Times New Roman"/>
                <w:color w:val="000000"/>
                <w:sz w:val="21"/>
                <w:szCs w:val="21"/>
                <w:shd w:val="clear" w:color="auto" w:fill="FFFFFF"/>
                <w:lang w:val="en-US" w:eastAsia="zh-CN"/>
              </w:rPr>
              <w:t>《危险废物转移管理办法》（部令第23号）</w:t>
            </w:r>
            <w:r>
              <w:rPr>
                <w:rFonts w:hint="default" w:ascii="Times New Roman" w:hAnsi="Times New Roman" w:eastAsia="宋体" w:cs="Times New Roman"/>
                <w:color w:val="000000"/>
                <w:sz w:val="21"/>
                <w:szCs w:val="21"/>
              </w:rPr>
              <w:t>执行。</w:t>
            </w:r>
          </w:p>
          <w:p w14:paraId="5BF08F20">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firstLine="422" w:firstLineChars="200"/>
              <w:textAlignment w:val="auto"/>
              <w:rPr>
                <w:rFonts w:hint="eastAsia"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（5）危险废物的处置控制措施</w:t>
            </w:r>
          </w:p>
          <w:p w14:paraId="0830B048">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项目产生的危险废物按规定包装，贮存在危险废物暂存间，然后</w:t>
            </w:r>
            <w:r>
              <w:rPr>
                <w:rFonts w:hint="default" w:ascii="Times New Roman" w:hAnsi="Times New Roman" w:eastAsia="宋体" w:cs="Times New Roman"/>
                <w:color w:val="000000"/>
                <w:kern w:val="0"/>
                <w:sz w:val="21"/>
                <w:szCs w:val="21"/>
                <w:lang w:eastAsia="zh-CN" w:bidi="ar"/>
              </w:rPr>
              <w:t>委托</w:t>
            </w:r>
            <w:r>
              <w:rPr>
                <w:rFonts w:hint="eastAsia" w:ascii="Times New Roman" w:hAnsi="Times New Roman" w:eastAsia="宋体" w:cs="Times New Roman"/>
                <w:color w:val="000000"/>
                <w:kern w:val="0"/>
                <w:sz w:val="21"/>
                <w:szCs w:val="21"/>
                <w:lang w:eastAsia="zh-CN" w:bidi="ar"/>
              </w:rPr>
              <w:t>有资质的单位</w:t>
            </w:r>
            <w:r>
              <w:rPr>
                <w:rFonts w:hint="default" w:ascii="Times New Roman" w:hAnsi="Times New Roman" w:eastAsia="宋体" w:cs="Times New Roman"/>
                <w:color w:val="000000"/>
                <w:kern w:val="0"/>
                <w:sz w:val="21"/>
                <w:szCs w:val="21"/>
                <w:lang w:eastAsia="zh-CN" w:bidi="ar"/>
              </w:rPr>
              <w:t>清运处置</w:t>
            </w:r>
            <w:r>
              <w:rPr>
                <w:rFonts w:hint="default" w:ascii="Times New Roman" w:hAnsi="Times New Roman" w:eastAsia="宋体" w:cs="Times New Roman"/>
                <w:color w:val="000000"/>
                <w:sz w:val="21"/>
                <w:szCs w:val="21"/>
              </w:rPr>
              <w:t>。</w:t>
            </w:r>
          </w:p>
          <w:p w14:paraId="350B3B44">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firstLine="422" w:firstLineChars="200"/>
              <w:textAlignment w:val="auto"/>
              <w:rPr>
                <w:rFonts w:hint="eastAsia"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（6）危险废物的管理要求</w:t>
            </w:r>
          </w:p>
          <w:p w14:paraId="2098008A">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①</w:t>
            </w:r>
            <w:r>
              <w:rPr>
                <w:rFonts w:hint="default" w:ascii="Times New Roman" w:hAnsi="Times New Roman" w:eastAsia="宋体" w:cs="Times New Roman"/>
                <w:color w:val="000000"/>
                <w:sz w:val="21"/>
                <w:szCs w:val="21"/>
              </w:rPr>
              <w:t>建立完善的危险废物管理制度</w:t>
            </w:r>
            <w:r>
              <w:rPr>
                <w:rFonts w:hint="eastAsia" w:ascii="Times New Roman" w:hAnsi="Times New Roman" w:eastAsia="宋体" w:cs="Times New Roman"/>
                <w:color w:val="000000"/>
                <w:sz w:val="21"/>
                <w:szCs w:val="21"/>
                <w:lang w:val="en-US" w:eastAsia="zh-CN"/>
              </w:rPr>
              <w:t>和</w:t>
            </w:r>
            <w:r>
              <w:rPr>
                <w:rFonts w:hint="default" w:ascii="Times New Roman" w:hAnsi="Times New Roman" w:eastAsia="宋体" w:cs="Times New Roman"/>
                <w:color w:val="000000"/>
                <w:sz w:val="21"/>
                <w:szCs w:val="21"/>
              </w:rPr>
              <w:t>环境管理台账</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污染物处理装置日常运行状况和监测记录连续、完整，指标符</w:t>
            </w:r>
            <w:r>
              <w:rPr>
                <w:rFonts w:hint="eastAsia" w:ascii="Times New Roman" w:hAnsi="Times New Roman" w:eastAsia="宋体" w:cs="Times New Roman"/>
                <w:color w:val="000000"/>
                <w:sz w:val="21"/>
                <w:szCs w:val="21"/>
                <w:lang w:val="en-US" w:eastAsia="zh-CN"/>
              </w:rPr>
              <w:t>合</w:t>
            </w:r>
            <w:r>
              <w:rPr>
                <w:rFonts w:hint="default" w:ascii="Times New Roman" w:hAnsi="Times New Roman" w:eastAsia="宋体" w:cs="Times New Roman"/>
                <w:color w:val="000000"/>
                <w:sz w:val="21"/>
                <w:szCs w:val="21"/>
              </w:rPr>
              <w:t>环境管理要求。环境管理档案有固定场所存放，资料保存应在</w:t>
            </w:r>
            <w:r>
              <w:rPr>
                <w:rFonts w:hint="default" w:ascii="Times New Roman" w:hAnsi="Times New Roman" w:eastAsia="宋体" w:cs="Times New Roman"/>
                <w:color w:val="000000"/>
                <w:sz w:val="21"/>
                <w:szCs w:val="21"/>
                <w:lang w:val="en-US" w:eastAsia="zh-CN"/>
              </w:rPr>
              <w:t>5</w:t>
            </w:r>
            <w:r>
              <w:rPr>
                <w:rFonts w:hint="default" w:ascii="Times New Roman" w:hAnsi="Times New Roman" w:eastAsia="宋体" w:cs="Times New Roman"/>
                <w:color w:val="000000"/>
                <w:sz w:val="21"/>
                <w:szCs w:val="21"/>
              </w:rPr>
              <w:t>年及以上</w:t>
            </w:r>
            <w:r>
              <w:rPr>
                <w:rFonts w:hint="eastAsia" w:ascii="Times New Roman" w:hAnsi="Times New Roman" w:eastAsia="宋体" w:cs="Times New Roman"/>
                <w:color w:val="000000"/>
                <w:sz w:val="21"/>
                <w:szCs w:val="21"/>
                <w:lang w:eastAsia="zh-CN"/>
              </w:rPr>
              <w:t>；</w:t>
            </w:r>
          </w:p>
          <w:p w14:paraId="05037C63">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000000"/>
                <w:sz w:val="21"/>
                <w:szCs w:val="21"/>
              </w:rPr>
            </w:pPr>
            <w:r>
              <w:rPr>
                <w:rFonts w:hint="eastAsia" w:ascii="宋体" w:hAnsi="宋体" w:eastAsia="宋体" w:cs="宋体"/>
                <w:color w:val="000000"/>
                <w:sz w:val="21"/>
                <w:szCs w:val="21"/>
              </w:rPr>
              <w:t>②</w:t>
            </w:r>
            <w:r>
              <w:rPr>
                <w:rFonts w:hint="default" w:ascii="Times New Roman" w:hAnsi="Times New Roman" w:eastAsia="宋体" w:cs="Times New Roman"/>
                <w:color w:val="000000"/>
                <w:sz w:val="21"/>
                <w:szCs w:val="21"/>
              </w:rPr>
              <w:t>危险废物需</w:t>
            </w:r>
            <w:r>
              <w:rPr>
                <w:rFonts w:hint="default" w:ascii="Times New Roman" w:hAnsi="Times New Roman" w:eastAsia="宋体" w:cs="Times New Roman"/>
                <w:color w:val="000000"/>
                <w:kern w:val="0"/>
                <w:sz w:val="21"/>
                <w:szCs w:val="21"/>
                <w:lang w:eastAsia="zh-CN" w:bidi="ar"/>
              </w:rPr>
              <w:t>委托</w:t>
            </w:r>
            <w:r>
              <w:rPr>
                <w:rFonts w:hint="eastAsia" w:ascii="Times New Roman" w:hAnsi="Times New Roman" w:eastAsia="宋体" w:cs="Times New Roman"/>
                <w:color w:val="000000"/>
                <w:kern w:val="0"/>
                <w:sz w:val="21"/>
                <w:szCs w:val="21"/>
                <w:lang w:eastAsia="zh-CN" w:bidi="ar"/>
              </w:rPr>
              <w:t>有资质的单位</w:t>
            </w:r>
            <w:r>
              <w:rPr>
                <w:rFonts w:hint="default" w:ascii="Times New Roman" w:hAnsi="Times New Roman" w:eastAsia="宋体" w:cs="Times New Roman"/>
                <w:color w:val="000000"/>
                <w:kern w:val="0"/>
                <w:sz w:val="21"/>
                <w:szCs w:val="21"/>
                <w:lang w:eastAsia="zh-CN" w:bidi="ar"/>
              </w:rPr>
              <w:t>清运处置</w:t>
            </w:r>
            <w:r>
              <w:rPr>
                <w:rFonts w:hint="default" w:ascii="Times New Roman" w:hAnsi="Times New Roman" w:eastAsia="宋体" w:cs="Times New Roman"/>
                <w:color w:val="000000"/>
                <w:sz w:val="21"/>
                <w:szCs w:val="21"/>
              </w:rPr>
              <w:t>；</w:t>
            </w:r>
          </w:p>
          <w:p w14:paraId="346B9247">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③</w:t>
            </w:r>
            <w:r>
              <w:rPr>
                <w:rFonts w:hint="default" w:ascii="Times New Roman" w:hAnsi="Times New Roman" w:eastAsia="宋体" w:cs="Times New Roman"/>
                <w:color w:val="000000"/>
                <w:kern w:val="0"/>
                <w:sz w:val="21"/>
                <w:szCs w:val="21"/>
                <w:lang w:val="en-US" w:eastAsia="zh-CN" w:bidi="ar-SA"/>
              </w:rPr>
              <w:t>在危险废物转移交接</w:t>
            </w:r>
            <w:r>
              <w:rPr>
                <w:rFonts w:hint="default" w:ascii="Times New Roman" w:hAnsi="Times New Roman" w:eastAsia="宋体" w:cs="Times New Roman"/>
                <w:color w:val="000000"/>
                <w:kern w:val="0"/>
                <w:sz w:val="21"/>
                <w:szCs w:val="21"/>
                <w:shd w:val="clear" w:color="auto" w:fill="FFFFFF"/>
                <w:lang w:val="en-US" w:eastAsia="zh-CN" w:bidi="ar-SA"/>
              </w:rPr>
              <w:t>《危险废物转移管理办法》（部令第23号）执行</w:t>
            </w:r>
            <w:r>
              <w:rPr>
                <w:rFonts w:hint="default" w:ascii="Times New Roman" w:hAnsi="Times New Roman" w:eastAsia="宋体" w:cs="Times New Roman"/>
                <w:color w:val="000000"/>
                <w:kern w:val="0"/>
                <w:sz w:val="21"/>
                <w:szCs w:val="21"/>
                <w:lang w:val="en-US" w:eastAsia="zh-CN" w:bidi="ar-SA"/>
              </w:rPr>
              <w:t>，转移资料存档时间不得低于3年</w:t>
            </w:r>
            <w:r>
              <w:rPr>
                <w:rFonts w:hint="eastAsia" w:ascii="Times New Roman" w:hAnsi="Times New Roman" w:eastAsia="宋体" w:cs="Times New Roman"/>
                <w:color w:val="000000"/>
                <w:kern w:val="0"/>
                <w:sz w:val="21"/>
                <w:szCs w:val="21"/>
                <w:lang w:val="en-US" w:eastAsia="zh-CN" w:bidi="ar-SA"/>
              </w:rPr>
              <w:t>。</w:t>
            </w:r>
          </w:p>
          <w:p w14:paraId="474A947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综上所述，本项目固体废物处理处置符合国家《</w:t>
            </w:r>
            <w:r>
              <w:rPr>
                <w:rFonts w:hint="eastAsia" w:ascii="Times New Roman" w:hAnsi="Times New Roman" w:eastAsia="宋体" w:cs="Times New Roman"/>
                <w:color w:val="000000"/>
                <w:kern w:val="2"/>
                <w:sz w:val="21"/>
                <w:szCs w:val="21"/>
                <w:lang w:val="en-US" w:eastAsia="zh-CN" w:bidi="ar-SA"/>
              </w:rPr>
              <w:t>中华人民共和国固体废物污染环境防治法</w:t>
            </w:r>
            <w:r>
              <w:rPr>
                <w:rFonts w:hint="default" w:ascii="Times New Roman" w:hAnsi="Times New Roman" w:eastAsia="宋体" w:cs="Times New Roman"/>
                <w:color w:val="000000"/>
                <w:kern w:val="2"/>
                <w:sz w:val="21"/>
                <w:szCs w:val="21"/>
                <w:lang w:val="en-US" w:eastAsia="zh-CN" w:bidi="ar-SA"/>
              </w:rPr>
              <w:t>》规定的原则，符合《一般工业固体废物贮存和填埋污染控制标准》（GB18599-2020）和《危险废物贮存污染控制标准》（GB18597-20</w:t>
            </w:r>
            <w:r>
              <w:rPr>
                <w:rFonts w:hint="eastAsia" w:ascii="Times New Roman" w:hAnsi="Times New Roman" w:eastAsia="宋体" w:cs="Times New Roman"/>
                <w:color w:val="000000"/>
                <w:kern w:val="2"/>
                <w:sz w:val="21"/>
                <w:szCs w:val="21"/>
                <w:lang w:val="en-US" w:eastAsia="zh-CN" w:bidi="ar-SA"/>
              </w:rPr>
              <w:t>23</w:t>
            </w:r>
            <w:r>
              <w:rPr>
                <w:rFonts w:hint="default" w:ascii="Times New Roman" w:hAnsi="Times New Roman" w:eastAsia="宋体" w:cs="Times New Roman"/>
                <w:color w:val="000000"/>
                <w:kern w:val="2"/>
                <w:sz w:val="21"/>
                <w:szCs w:val="21"/>
                <w:lang w:val="en-US" w:eastAsia="zh-CN" w:bidi="ar-SA"/>
              </w:rPr>
              <w:t>）规定，采取上述措施后，本</w:t>
            </w:r>
            <w:r>
              <w:rPr>
                <w:rFonts w:hint="eastAsia" w:ascii="Times New Roman" w:hAnsi="Times New Roman" w:eastAsia="宋体" w:cs="Times New Roman"/>
                <w:color w:val="000000"/>
                <w:kern w:val="2"/>
                <w:sz w:val="21"/>
                <w:szCs w:val="21"/>
                <w:lang w:val="en-US" w:eastAsia="zh-CN" w:bidi="ar-SA"/>
              </w:rPr>
              <w:t>项目</w:t>
            </w:r>
            <w:r>
              <w:rPr>
                <w:rFonts w:hint="default" w:ascii="Times New Roman" w:hAnsi="Times New Roman" w:eastAsia="宋体" w:cs="Times New Roman"/>
                <w:color w:val="000000"/>
                <w:kern w:val="2"/>
                <w:sz w:val="21"/>
                <w:szCs w:val="21"/>
                <w:lang w:val="en-US" w:eastAsia="zh-CN" w:bidi="ar-SA"/>
              </w:rPr>
              <w:t>固体废物可得到妥善的处理，清运处置率为100%，对周围环境造成的影响很小。</w:t>
            </w:r>
          </w:p>
          <w:p w14:paraId="2400BE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textAlignment w:val="auto"/>
              <w:rPr>
                <w:rFonts w:hint="default" w:ascii="Times New Roman" w:hAnsi="Times New Roman" w:cs="Times New Roman"/>
                <w:b/>
                <w:bCs/>
                <w:color w:val="000000" w:themeColor="text1"/>
                <w:sz w:val="21"/>
                <w:szCs w:val="21"/>
              </w:rPr>
            </w:pPr>
            <w:bookmarkStart w:id="21" w:name="_Toc24494"/>
            <w:bookmarkStart w:id="22" w:name="_Toc29012"/>
            <w:r>
              <w:rPr>
                <w:rFonts w:hint="eastAsia" w:ascii="Times New Roman" w:hAnsi="Times New Roman" w:cs="Times New Roman"/>
                <w:b/>
                <w:bCs/>
                <w:color w:val="000000" w:themeColor="text1"/>
                <w:sz w:val="21"/>
                <w:szCs w:val="21"/>
              </w:rPr>
              <w:t>5、</w:t>
            </w:r>
            <w:r>
              <w:rPr>
                <w:rFonts w:hint="default" w:ascii="Times New Roman" w:hAnsi="Times New Roman" w:cs="Times New Roman"/>
                <w:b/>
                <w:bCs/>
                <w:color w:val="000000" w:themeColor="text1"/>
                <w:sz w:val="21"/>
                <w:szCs w:val="21"/>
              </w:rPr>
              <w:t>地下水、土壤环境影响和保护措施</w:t>
            </w:r>
          </w:p>
          <w:p w14:paraId="1E3DC1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（1）污染源及污染途径</w:t>
            </w:r>
          </w:p>
          <w:p w14:paraId="08E00D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根据项目的特点，</w:t>
            </w:r>
            <w:r>
              <w:rPr>
                <w:rFonts w:hint="eastAsia" w:ascii="Times New Roman" w:hAnsi="Times New Roman" w:cs="Times New Roman"/>
                <w:color w:val="000000" w:themeColor="text1"/>
                <w:sz w:val="21"/>
                <w:szCs w:val="21"/>
              </w:rPr>
              <w:t>可能对地下水影响的污染源为生产废水和生活污水</w:t>
            </w:r>
            <w:r>
              <w:rPr>
                <w:rFonts w:hint="eastAsia" w:ascii="Times New Roman" w:hAnsi="Times New Roman" w:cs="Times New Roman"/>
                <w:color w:val="000000" w:themeColor="text1"/>
                <w:sz w:val="21"/>
                <w:szCs w:val="21"/>
                <w:lang w:eastAsia="zh-CN"/>
              </w:rPr>
              <w:t>，</w:t>
            </w:r>
            <w:r>
              <w:rPr>
                <w:rFonts w:hint="eastAsia" w:ascii="Times New Roman" w:hAnsi="Times New Roman" w:cs="Times New Roman"/>
                <w:color w:val="000000" w:themeColor="text1"/>
                <w:sz w:val="21"/>
                <w:szCs w:val="21"/>
              </w:rPr>
              <w:t>污染物对地下水污染途径主要表现在：</w:t>
            </w:r>
          </w:p>
          <w:p w14:paraId="03F9E0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①工程物料或固废堆放场所处置不当，通过大气降水淋滤作用污染当地地下水；</w:t>
            </w:r>
          </w:p>
          <w:p w14:paraId="4A1026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②工程向大气中排放的污染物可能由于重力沉降、雨水淋洗等作用降落到地表，被水携带渗入到地下水</w:t>
            </w:r>
            <w:r>
              <w:rPr>
                <w:rFonts w:hint="eastAsia" w:cs="Times New Roman"/>
                <w:color w:val="000000" w:themeColor="text1"/>
                <w:sz w:val="21"/>
                <w:szCs w:val="21"/>
                <w:lang w:val="en-US" w:eastAsia="zh-CN"/>
              </w:rPr>
              <w:t>和土壤</w:t>
            </w:r>
            <w:r>
              <w:rPr>
                <w:rFonts w:hint="eastAsia" w:ascii="Times New Roman" w:hAnsi="Times New Roman" w:cs="Times New Roman"/>
                <w:color w:val="000000" w:themeColor="text1"/>
                <w:sz w:val="21"/>
                <w:szCs w:val="21"/>
              </w:rPr>
              <w:t>中；</w:t>
            </w:r>
          </w:p>
          <w:p w14:paraId="15CB13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cs="Times New Roman"/>
                <w:color w:val="00B050"/>
                <w:sz w:val="21"/>
                <w:szCs w:val="21"/>
                <w:lang w:eastAsia="zh-CN"/>
              </w:rPr>
            </w:pPr>
            <w:r>
              <w:rPr>
                <w:rFonts w:hint="eastAsia" w:ascii="Times New Roman" w:hAnsi="Times New Roman" w:cs="Times New Roman"/>
                <w:color w:val="00B050"/>
                <w:sz w:val="21"/>
                <w:szCs w:val="21"/>
              </w:rPr>
              <w:t>③厂区生产废水由于</w:t>
            </w:r>
            <w:r>
              <w:rPr>
                <w:rFonts w:hint="eastAsia" w:ascii="Times New Roman" w:hAnsi="Times New Roman" w:cs="Times New Roman"/>
                <w:color w:val="00B050"/>
                <w:sz w:val="21"/>
                <w:szCs w:val="21"/>
                <w:lang w:val="en-US" w:eastAsia="zh-CN"/>
              </w:rPr>
              <w:t>配料</w:t>
            </w:r>
            <w:r>
              <w:rPr>
                <w:rFonts w:hint="eastAsia" w:ascii="Times New Roman" w:hAnsi="Times New Roman" w:cs="Times New Roman"/>
                <w:color w:val="00B050"/>
                <w:sz w:val="21"/>
                <w:szCs w:val="21"/>
              </w:rPr>
              <w:t>池、</w:t>
            </w:r>
            <w:r>
              <w:rPr>
                <w:rFonts w:hint="eastAsia" w:cs="Times New Roman"/>
                <w:color w:val="00B050"/>
                <w:sz w:val="21"/>
                <w:szCs w:val="21"/>
                <w:lang w:val="en-US" w:eastAsia="zh-CN"/>
              </w:rPr>
              <w:t>贮料池</w:t>
            </w:r>
            <w:r>
              <w:rPr>
                <w:rFonts w:hint="eastAsia" w:cs="Times New Roman"/>
                <w:color w:val="00B050"/>
                <w:sz w:val="21"/>
                <w:szCs w:val="21"/>
                <w:lang w:eastAsia="zh-CN"/>
              </w:rPr>
              <w:t>、</w:t>
            </w:r>
            <w:r>
              <w:rPr>
                <w:rFonts w:hint="eastAsia" w:cs="Times New Roman"/>
                <w:color w:val="00B050"/>
                <w:sz w:val="21"/>
                <w:szCs w:val="21"/>
                <w:lang w:val="en-US" w:eastAsia="zh-CN"/>
              </w:rPr>
              <w:t>循环水</w:t>
            </w:r>
            <w:r>
              <w:rPr>
                <w:rFonts w:hint="eastAsia" w:ascii="Times New Roman" w:hAnsi="Times New Roman" w:cs="Times New Roman"/>
                <w:color w:val="00B050"/>
                <w:sz w:val="21"/>
                <w:szCs w:val="21"/>
              </w:rPr>
              <w:t>池</w:t>
            </w:r>
            <w:r>
              <w:rPr>
                <w:rFonts w:hint="eastAsia" w:cs="Times New Roman"/>
                <w:color w:val="00B050"/>
                <w:sz w:val="21"/>
                <w:szCs w:val="21"/>
                <w:lang w:eastAsia="zh-CN"/>
              </w:rPr>
              <w:t>、</w:t>
            </w:r>
            <w:r>
              <w:rPr>
                <w:rFonts w:hint="eastAsia" w:cs="Times New Roman"/>
                <w:color w:val="00B050"/>
                <w:sz w:val="21"/>
                <w:szCs w:val="21"/>
                <w:lang w:val="en-US" w:eastAsia="zh-CN"/>
              </w:rPr>
              <w:t>化粪池、污水管网</w:t>
            </w:r>
            <w:r>
              <w:rPr>
                <w:rFonts w:hint="eastAsia" w:ascii="Times New Roman" w:hAnsi="Times New Roman" w:cs="Times New Roman"/>
                <w:color w:val="00B050"/>
                <w:sz w:val="21"/>
                <w:szCs w:val="21"/>
                <w:lang w:val="en-US" w:eastAsia="zh-CN"/>
              </w:rPr>
              <w:t>等</w:t>
            </w:r>
            <w:r>
              <w:rPr>
                <w:rFonts w:hint="eastAsia" w:ascii="Times New Roman" w:hAnsi="Times New Roman" w:cs="Times New Roman"/>
                <w:color w:val="00B050"/>
                <w:sz w:val="21"/>
                <w:szCs w:val="21"/>
              </w:rPr>
              <w:t>设施</w:t>
            </w:r>
            <w:r>
              <w:rPr>
                <w:rFonts w:hint="eastAsia" w:cs="Times New Roman"/>
                <w:color w:val="00B050"/>
                <w:sz w:val="21"/>
                <w:szCs w:val="21"/>
                <w:lang w:val="en-US" w:eastAsia="zh-CN"/>
              </w:rPr>
              <w:t>泄漏</w:t>
            </w:r>
            <w:r>
              <w:rPr>
                <w:rFonts w:hint="eastAsia" w:ascii="Times New Roman" w:hAnsi="Times New Roman" w:cs="Times New Roman"/>
                <w:color w:val="00B050"/>
                <w:sz w:val="21"/>
                <w:szCs w:val="21"/>
              </w:rPr>
              <w:t>而污染地下水</w:t>
            </w:r>
            <w:r>
              <w:rPr>
                <w:rFonts w:hint="eastAsia" w:ascii="Times New Roman" w:hAnsi="Times New Roman" w:cs="Times New Roman"/>
                <w:color w:val="00B050"/>
                <w:sz w:val="21"/>
                <w:szCs w:val="21"/>
                <w:lang w:val="en-US" w:eastAsia="zh-CN"/>
              </w:rPr>
              <w:t>和土壤</w:t>
            </w:r>
            <w:r>
              <w:rPr>
                <w:rFonts w:hint="eastAsia" w:cs="Times New Roman"/>
                <w:color w:val="00B050"/>
                <w:sz w:val="21"/>
                <w:szCs w:val="21"/>
                <w:lang w:eastAsia="zh-CN"/>
              </w:rPr>
              <w:t>；</w:t>
            </w:r>
          </w:p>
          <w:p w14:paraId="174456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B050"/>
                <w:sz w:val="21"/>
                <w:szCs w:val="21"/>
              </w:rPr>
            </w:pPr>
            <w:r>
              <w:rPr>
                <w:rFonts w:hint="eastAsia" w:cs="Times New Roman"/>
                <w:color w:val="00B050"/>
                <w:sz w:val="21"/>
                <w:szCs w:val="21"/>
                <w:lang w:val="en-US" w:eastAsia="zh-CN"/>
              </w:rPr>
              <w:t>④危废暂存间防渗层破裂导致废机油泄漏而污染地下水和土壤</w:t>
            </w:r>
            <w:r>
              <w:rPr>
                <w:rFonts w:hint="eastAsia" w:ascii="Times New Roman" w:hAnsi="Times New Roman" w:cs="Times New Roman"/>
                <w:color w:val="00B050"/>
                <w:sz w:val="21"/>
                <w:szCs w:val="21"/>
              </w:rPr>
              <w:t>。</w:t>
            </w:r>
          </w:p>
          <w:p w14:paraId="53DC46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w:t>
            </w:r>
            <w:r>
              <w:rPr>
                <w:rFonts w:hint="eastAsia" w:ascii="Times New Roman" w:hAnsi="Times New Roman" w:cs="Times New Roman"/>
                <w:color w:val="000000" w:themeColor="text1"/>
                <w:sz w:val="21"/>
                <w:szCs w:val="21"/>
              </w:rPr>
              <w:t>对地下水及土壤的影响分析</w:t>
            </w:r>
          </w:p>
          <w:p w14:paraId="799891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根据工程分析，项目建设完成后，运行期正常的污废水主要涉及生活污水和生产废水。项目运营期生产废水循环使用，不外排；食堂废水经隔油池处理后与其他生活污水排入化粪池进行</w:t>
            </w:r>
            <w:r>
              <w:rPr>
                <w:rFonts w:hint="eastAsia" w:ascii="Times New Roman" w:hAnsi="Times New Roman" w:cs="Times New Roman"/>
                <w:color w:val="000000" w:themeColor="text1"/>
                <w:sz w:val="21"/>
                <w:szCs w:val="21"/>
                <w:lang w:val="en-US" w:eastAsia="zh-CN"/>
              </w:rPr>
              <w:t>预</w:t>
            </w:r>
            <w:r>
              <w:rPr>
                <w:rFonts w:hint="eastAsia" w:ascii="Times New Roman" w:hAnsi="Times New Roman" w:cs="Times New Roman"/>
                <w:color w:val="000000" w:themeColor="text1"/>
                <w:sz w:val="21"/>
                <w:szCs w:val="21"/>
              </w:rPr>
              <w:t>处理</w:t>
            </w:r>
            <w:r>
              <w:rPr>
                <w:rFonts w:hint="eastAsia" w:ascii="Times New Roman" w:hAnsi="Times New Roman" w:cs="Times New Roman"/>
                <w:color w:val="000000" w:themeColor="text1"/>
                <w:sz w:val="21"/>
                <w:szCs w:val="21"/>
                <w:lang w:val="en-US" w:eastAsia="zh-CN"/>
              </w:rPr>
              <w:t>后</w:t>
            </w:r>
            <w:r>
              <w:rPr>
                <w:rFonts w:hint="eastAsia" w:ascii="Times New Roman" w:hAnsi="Times New Roman" w:cs="Times New Roman"/>
                <w:color w:val="000000" w:themeColor="text1"/>
                <w:sz w:val="21"/>
                <w:szCs w:val="21"/>
              </w:rPr>
              <w:t>，</w:t>
            </w:r>
            <w:r>
              <w:rPr>
                <w:rFonts w:hint="eastAsia" w:ascii="Times New Roman" w:hAnsi="Times New Roman" w:cs="Times New Roman"/>
                <w:color w:val="000000" w:themeColor="text1"/>
                <w:sz w:val="21"/>
                <w:szCs w:val="21"/>
                <w:lang w:val="en-US" w:eastAsia="zh-CN"/>
              </w:rPr>
              <w:t>接管园区污水处理厂处理</w:t>
            </w:r>
            <w:r>
              <w:rPr>
                <w:rFonts w:hint="eastAsia" w:ascii="Times New Roman" w:hAnsi="Times New Roman" w:cs="Times New Roman"/>
                <w:color w:val="000000" w:themeColor="text1"/>
                <w:sz w:val="21"/>
                <w:szCs w:val="21"/>
              </w:rPr>
              <w:t>。因此，运营期正常情况下废水排放对地下水</w:t>
            </w:r>
            <w:r>
              <w:rPr>
                <w:rFonts w:hint="eastAsia" w:ascii="Times New Roman" w:hAnsi="Times New Roman" w:cs="Times New Roman"/>
                <w:color w:val="000000" w:themeColor="text1"/>
                <w:sz w:val="21"/>
                <w:szCs w:val="21"/>
                <w:lang w:val="en-US" w:eastAsia="zh-CN"/>
              </w:rPr>
              <w:t>和土壤</w:t>
            </w:r>
            <w:r>
              <w:rPr>
                <w:rFonts w:hint="eastAsia" w:ascii="Times New Roman" w:hAnsi="Times New Roman" w:cs="Times New Roman"/>
                <w:color w:val="000000" w:themeColor="text1"/>
                <w:sz w:val="21"/>
                <w:szCs w:val="21"/>
              </w:rPr>
              <w:t>影响较小。</w:t>
            </w:r>
          </w:p>
          <w:p w14:paraId="229631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w:t>
            </w:r>
            <w:r>
              <w:rPr>
                <w:rFonts w:hint="eastAsia" w:ascii="Times New Roman" w:hAnsi="Times New Roman" w:cs="Times New Roman"/>
                <w:color w:val="000000" w:themeColor="text1"/>
                <w:sz w:val="21"/>
                <w:szCs w:val="21"/>
              </w:rPr>
              <w:t>3</w:t>
            </w:r>
            <w:r>
              <w:rPr>
                <w:rFonts w:hint="default" w:ascii="Times New Roman" w:hAnsi="Times New Roman" w:cs="Times New Roman"/>
                <w:color w:val="000000" w:themeColor="text1"/>
                <w:sz w:val="21"/>
                <w:szCs w:val="21"/>
              </w:rPr>
              <w:t>）防控措施</w:t>
            </w:r>
          </w:p>
          <w:p w14:paraId="22B7AA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本项目地下水、土壤污染防治措施按照“源头控制、分区防治、应急响应”相结合的原则，从污染物的产生、入渗、扩散、应急响应进行控制。</w:t>
            </w:r>
          </w:p>
          <w:p w14:paraId="7623DC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宋体" w:hAnsi="宋体" w:cs="宋体"/>
                <w:color w:val="000000" w:themeColor="text1"/>
                <w:sz w:val="21"/>
                <w:szCs w:val="21"/>
              </w:rPr>
              <w:t>①</w:t>
            </w:r>
            <w:r>
              <w:rPr>
                <w:rFonts w:hint="default" w:ascii="Times New Roman" w:hAnsi="Times New Roman" w:cs="Times New Roman"/>
                <w:color w:val="000000" w:themeColor="text1"/>
                <w:sz w:val="21"/>
                <w:szCs w:val="21"/>
              </w:rPr>
              <w:t>源头控制措施</w:t>
            </w:r>
          </w:p>
          <w:p w14:paraId="33BB3F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严格按照公司制定的规范管理要求进行危险废物的管理。</w:t>
            </w:r>
          </w:p>
          <w:p w14:paraId="025CC0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宋体" w:hAnsi="宋体" w:cs="宋体"/>
                <w:color w:val="000000" w:themeColor="text1"/>
                <w:sz w:val="21"/>
                <w:szCs w:val="21"/>
              </w:rPr>
              <w:t>②</w:t>
            </w:r>
            <w:r>
              <w:rPr>
                <w:rFonts w:hint="default" w:ascii="Times New Roman" w:hAnsi="Times New Roman" w:cs="Times New Roman"/>
                <w:color w:val="000000" w:themeColor="text1"/>
                <w:sz w:val="21"/>
                <w:szCs w:val="21"/>
              </w:rPr>
              <w:t>分区控制措施</w:t>
            </w:r>
          </w:p>
          <w:p w14:paraId="50145B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根据以上分区原则可知，项目分区防渗具体如下：</w:t>
            </w:r>
          </w:p>
          <w:p w14:paraId="4029F2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重点防渗区</w:t>
            </w:r>
            <w:r>
              <w:rPr>
                <w:rFonts w:hint="eastAsia" w:ascii="Times New Roman" w:hAnsi="Times New Roman" w:cs="Times New Roman"/>
                <w:color w:val="000000" w:themeColor="text1"/>
                <w:sz w:val="21"/>
                <w:szCs w:val="21"/>
              </w:rPr>
              <w:t>：</w:t>
            </w:r>
            <w:r>
              <w:rPr>
                <w:rFonts w:hint="default" w:ascii="Times New Roman" w:hAnsi="Times New Roman" w:cs="Times New Roman"/>
                <w:color w:val="000000" w:themeColor="text1"/>
                <w:sz w:val="21"/>
                <w:szCs w:val="21"/>
              </w:rPr>
              <w:t>项目重点防渗区为危险废物</w:t>
            </w:r>
            <w:r>
              <w:rPr>
                <w:rFonts w:hint="eastAsia" w:ascii="Times New Roman" w:hAnsi="Times New Roman" w:cs="Times New Roman"/>
                <w:color w:val="000000" w:themeColor="text1"/>
                <w:sz w:val="21"/>
                <w:szCs w:val="21"/>
              </w:rPr>
              <w:t>暂</w:t>
            </w:r>
            <w:r>
              <w:rPr>
                <w:rFonts w:hint="default" w:ascii="Times New Roman" w:hAnsi="Times New Roman" w:cs="Times New Roman"/>
                <w:color w:val="000000" w:themeColor="text1"/>
                <w:sz w:val="21"/>
                <w:szCs w:val="21"/>
              </w:rPr>
              <w:t>存间</w:t>
            </w:r>
            <w:r>
              <w:rPr>
                <w:rFonts w:hint="eastAsia" w:cs="Times New Roman"/>
                <w:color w:val="000000" w:themeColor="text1"/>
                <w:sz w:val="21"/>
                <w:szCs w:val="21"/>
                <w:lang w:val="en-US" w:eastAsia="zh-CN"/>
              </w:rPr>
              <w:t>，防渗要求为</w:t>
            </w:r>
            <w:r>
              <w:rPr>
                <w:rFonts w:hint="eastAsia" w:ascii="Times New Roman" w:hAnsi="Times New Roman" w:cs="Times New Roman"/>
                <w:color w:val="000000" w:themeColor="text1"/>
                <w:sz w:val="21"/>
                <w:szCs w:val="21"/>
              </w:rPr>
              <w:t>：基础必须防渗，防渗层为至少1m厚粘土层，渗透系数≤1.0×10</w:t>
            </w:r>
            <w:r>
              <w:rPr>
                <w:rFonts w:hint="eastAsia" w:ascii="Times New Roman" w:hAnsi="Times New Roman" w:cs="Times New Roman"/>
                <w:color w:val="000000" w:themeColor="text1"/>
                <w:sz w:val="21"/>
                <w:szCs w:val="21"/>
                <w:vertAlign w:val="superscript"/>
              </w:rPr>
              <w:t>-7</w:t>
            </w:r>
            <w:r>
              <w:rPr>
                <w:rFonts w:hint="eastAsia" w:ascii="Times New Roman" w:hAnsi="Times New Roman" w:cs="Times New Roman"/>
                <w:color w:val="000000" w:themeColor="text1"/>
                <w:sz w:val="21"/>
                <w:szCs w:val="21"/>
              </w:rPr>
              <w:t>cm/s，或2mm厚高密度聚乙烯，或至少2mm厚的其它人工材料，渗透系数≤1.0×10</w:t>
            </w:r>
            <w:r>
              <w:rPr>
                <w:rFonts w:hint="eastAsia" w:ascii="Times New Roman" w:hAnsi="Times New Roman" w:cs="Times New Roman"/>
                <w:color w:val="000000" w:themeColor="text1"/>
                <w:sz w:val="21"/>
                <w:szCs w:val="21"/>
                <w:vertAlign w:val="superscript"/>
              </w:rPr>
              <w:t>-10</w:t>
            </w:r>
            <w:r>
              <w:rPr>
                <w:rFonts w:hint="eastAsia" w:ascii="Times New Roman" w:hAnsi="Times New Roman" w:cs="Times New Roman"/>
                <w:color w:val="000000" w:themeColor="text1"/>
                <w:sz w:val="21"/>
                <w:szCs w:val="21"/>
              </w:rPr>
              <w:t>cm/s</w:t>
            </w:r>
            <w:r>
              <w:rPr>
                <w:rFonts w:hint="default" w:ascii="Times New Roman" w:hAnsi="Times New Roman" w:cs="Times New Roman"/>
                <w:color w:val="000000" w:themeColor="text1"/>
                <w:sz w:val="21"/>
                <w:szCs w:val="21"/>
              </w:rPr>
              <w:t>；</w:t>
            </w:r>
          </w:p>
          <w:p w14:paraId="72C647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一般防渗区</w:t>
            </w:r>
            <w:r>
              <w:rPr>
                <w:rFonts w:hint="eastAsia" w:ascii="Times New Roman" w:hAnsi="Times New Roman" w:cs="Times New Roman"/>
                <w:color w:val="000000" w:themeColor="text1"/>
                <w:sz w:val="21"/>
                <w:szCs w:val="21"/>
              </w:rPr>
              <w:t>：</w:t>
            </w:r>
            <w:r>
              <w:rPr>
                <w:rFonts w:hint="default" w:ascii="Times New Roman" w:hAnsi="Times New Roman" w:cs="Times New Roman"/>
                <w:color w:val="000000" w:themeColor="text1"/>
                <w:sz w:val="21"/>
                <w:szCs w:val="21"/>
              </w:rPr>
              <w:t>根据分区防渗规范要求，项目生产</w:t>
            </w:r>
            <w:r>
              <w:rPr>
                <w:rFonts w:hint="eastAsia" w:cs="Times New Roman"/>
                <w:color w:val="000000" w:themeColor="text1"/>
                <w:sz w:val="21"/>
                <w:szCs w:val="21"/>
                <w:lang w:val="en-US" w:eastAsia="zh-CN"/>
              </w:rPr>
              <w:t>区</w:t>
            </w:r>
            <w:r>
              <w:rPr>
                <w:rFonts w:hint="default" w:ascii="Times New Roman" w:hAnsi="Times New Roman" w:cs="Times New Roman"/>
                <w:color w:val="000000" w:themeColor="text1"/>
                <w:sz w:val="21"/>
                <w:szCs w:val="21"/>
              </w:rPr>
              <w:t>、事故池</w:t>
            </w:r>
            <w:r>
              <w:rPr>
                <w:rFonts w:hint="eastAsia" w:cs="Times New Roman"/>
                <w:color w:val="000000" w:themeColor="text1"/>
                <w:sz w:val="21"/>
                <w:szCs w:val="21"/>
                <w:lang w:eastAsia="zh-CN"/>
              </w:rPr>
              <w:t>、</w:t>
            </w:r>
            <w:r>
              <w:rPr>
                <w:rFonts w:hint="eastAsia" w:cs="Times New Roman"/>
                <w:color w:val="000000" w:themeColor="text1"/>
                <w:sz w:val="21"/>
                <w:szCs w:val="21"/>
                <w:lang w:val="en-US" w:eastAsia="zh-CN"/>
              </w:rPr>
              <w:t>贮料池</w:t>
            </w:r>
            <w:r>
              <w:rPr>
                <w:rFonts w:hint="eastAsia" w:ascii="Times New Roman" w:hAnsi="Times New Roman" w:cs="Times New Roman"/>
                <w:color w:val="000000" w:themeColor="text1"/>
                <w:sz w:val="21"/>
                <w:szCs w:val="21"/>
              </w:rPr>
              <w:t>、化粪池、隔油池等池体</w:t>
            </w:r>
            <w:r>
              <w:rPr>
                <w:rFonts w:hint="default" w:ascii="Times New Roman" w:hAnsi="Times New Roman" w:cs="Times New Roman"/>
                <w:color w:val="000000" w:themeColor="text1"/>
                <w:sz w:val="21"/>
                <w:szCs w:val="21"/>
              </w:rPr>
              <w:t>划定为一般防渗区，根据调查，项目一般防渗区措施在地面采取粘土铺底，并在上层铺30cm的混凝土进行硬化。确保防渗性能，使其渗透系数≤1.0×10</w:t>
            </w:r>
            <w:r>
              <w:rPr>
                <w:rFonts w:hint="default" w:ascii="Times New Roman" w:hAnsi="Times New Roman" w:cs="Times New Roman"/>
                <w:color w:val="000000" w:themeColor="text1"/>
                <w:sz w:val="21"/>
                <w:szCs w:val="21"/>
                <w:vertAlign w:val="superscript"/>
              </w:rPr>
              <w:t>-7</w:t>
            </w:r>
            <w:r>
              <w:rPr>
                <w:rFonts w:hint="default" w:ascii="Times New Roman" w:hAnsi="Times New Roman" w:cs="Times New Roman"/>
                <w:color w:val="000000" w:themeColor="text1"/>
                <w:sz w:val="21"/>
                <w:szCs w:val="21"/>
              </w:rPr>
              <w:t>cm/s。</w:t>
            </w:r>
          </w:p>
          <w:p w14:paraId="73D0BC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简单防渗区</w:t>
            </w:r>
            <w:r>
              <w:rPr>
                <w:rFonts w:hint="eastAsia" w:ascii="Times New Roman" w:hAnsi="Times New Roman" w:cs="Times New Roman"/>
                <w:color w:val="000000" w:themeColor="text1"/>
                <w:sz w:val="21"/>
                <w:szCs w:val="21"/>
              </w:rPr>
              <w:t>：</w:t>
            </w:r>
            <w:r>
              <w:rPr>
                <w:rFonts w:hint="default" w:ascii="Times New Roman" w:hAnsi="Times New Roman" w:cs="Times New Roman"/>
                <w:color w:val="000000" w:themeColor="text1"/>
                <w:sz w:val="21"/>
                <w:szCs w:val="21"/>
              </w:rPr>
              <w:t>根据项目特点，对于基本上不产生污染物的简单防渗区，不采取专门针对地下水污染的防治措施。</w:t>
            </w:r>
          </w:p>
          <w:p w14:paraId="269CFD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w:t>
            </w:r>
            <w:r>
              <w:rPr>
                <w:rFonts w:hint="eastAsia" w:ascii="Times New Roman" w:hAnsi="Times New Roman" w:cs="Times New Roman"/>
                <w:color w:val="000000" w:themeColor="text1"/>
                <w:sz w:val="21"/>
                <w:szCs w:val="21"/>
              </w:rPr>
              <w:t>4</w:t>
            </w:r>
            <w:r>
              <w:rPr>
                <w:rFonts w:hint="default" w:ascii="Times New Roman" w:hAnsi="Times New Roman" w:cs="Times New Roman"/>
                <w:color w:val="000000" w:themeColor="text1"/>
                <w:sz w:val="21"/>
                <w:szCs w:val="21"/>
              </w:rPr>
              <w:t>）环境影响跟踪监测计划</w:t>
            </w:r>
          </w:p>
          <w:p w14:paraId="655441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宋体" w:hAnsi="宋体" w:cs="宋体"/>
                <w:color w:val="000000" w:themeColor="text1"/>
                <w:sz w:val="21"/>
                <w:szCs w:val="21"/>
              </w:rPr>
              <w:t>①</w:t>
            </w:r>
            <w:r>
              <w:rPr>
                <w:rFonts w:hint="default" w:ascii="Times New Roman" w:hAnsi="Times New Roman" w:cs="Times New Roman"/>
                <w:color w:val="000000" w:themeColor="text1"/>
                <w:sz w:val="21"/>
                <w:szCs w:val="21"/>
              </w:rPr>
              <w:t>地下水环境影响跟踪监测计划</w:t>
            </w:r>
          </w:p>
          <w:p w14:paraId="5F1045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由于项目地下水影响较小，因此本项目不设置地下水环境影响跟踪监测计划。</w:t>
            </w:r>
          </w:p>
          <w:p w14:paraId="42B021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宋体" w:hAnsi="宋体" w:cs="宋体"/>
                <w:color w:val="000000" w:themeColor="text1"/>
                <w:sz w:val="21"/>
                <w:szCs w:val="21"/>
              </w:rPr>
              <w:t>②</w:t>
            </w:r>
            <w:r>
              <w:rPr>
                <w:rFonts w:hint="default" w:ascii="Times New Roman" w:hAnsi="Times New Roman" w:cs="Times New Roman"/>
                <w:color w:val="000000" w:themeColor="text1"/>
                <w:sz w:val="21"/>
                <w:szCs w:val="21"/>
              </w:rPr>
              <w:t>土壤环境影响跟踪监测计划</w:t>
            </w:r>
          </w:p>
          <w:p w14:paraId="37C293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由于项目50m范围内无土壤环境敏感目标，因此本项目不设置土壤环境影响跟踪监测计划。</w:t>
            </w:r>
          </w:p>
          <w:p w14:paraId="469E0277">
            <w:pPr>
              <w:pStyle w:val="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firstLine="0" w:firstLineChars="0"/>
              <w:textAlignment w:val="auto"/>
              <w:rPr>
                <w:color w:val="000000" w:themeColor="text1"/>
                <w:sz w:val="21"/>
                <w:szCs w:val="21"/>
              </w:rPr>
            </w:pPr>
            <w:r>
              <w:rPr>
                <w:color w:val="000000" w:themeColor="text1"/>
                <w:sz w:val="21"/>
                <w:szCs w:val="21"/>
              </w:rPr>
              <w:t>6、风险影响评价</w:t>
            </w:r>
            <w:bookmarkEnd w:id="21"/>
            <w:bookmarkEnd w:id="22"/>
          </w:p>
          <w:p w14:paraId="5F0CE3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环境风险评价是分析和预测建设项目存在的潜在危险、有害因素，项目运行期间可能发生的突发性事件或事故（不包括人为破坏及自然灾害），引起有毒有害和易燃易爆等物质泄漏，造成人身安全与环境影响和损害程度，提出防范、应急与减缓措施，使项目事故率、损失和环境影响达到可接受水平。</w:t>
            </w:r>
          </w:p>
          <w:p w14:paraId="1A8D6B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（1）风险识别</w:t>
            </w:r>
          </w:p>
          <w:p w14:paraId="6F6CD8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根据《建设项目环境风险评价技术导则》（HJ 169-2018），确定风险识别的原则如下：</w:t>
            </w:r>
          </w:p>
          <w:p w14:paraId="7686BF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①</w:t>
            </w:r>
            <w:r>
              <w:rPr>
                <w:rFonts w:hint="default" w:ascii="Times New Roman" w:hAnsi="Times New Roman" w:cs="Times New Roman"/>
                <w:color w:val="000000" w:themeColor="text1"/>
                <w:sz w:val="21"/>
                <w:szCs w:val="21"/>
              </w:rPr>
              <w:t>可能发生的突发性事件或事故（一般不包括人为破坏及自然灾害），引起有毒有害和易燃易爆等物质泄漏对环境造成的影响。</w:t>
            </w:r>
          </w:p>
          <w:p w14:paraId="084D88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②</w:t>
            </w:r>
            <w:r>
              <w:rPr>
                <w:rFonts w:hint="default" w:ascii="Times New Roman" w:hAnsi="Times New Roman" w:cs="Times New Roman"/>
                <w:color w:val="000000" w:themeColor="text1"/>
                <w:sz w:val="21"/>
                <w:szCs w:val="21"/>
              </w:rPr>
              <w:t>可能发生的突发性事件或事故（一般不包括人为破坏及自然灾害），引起有毒有害和易燃易爆等物质泄漏对厂（场）界外环境的影响。</w:t>
            </w:r>
          </w:p>
          <w:p w14:paraId="1F51E3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③</w:t>
            </w:r>
            <w:r>
              <w:rPr>
                <w:rFonts w:hint="default" w:ascii="Times New Roman" w:hAnsi="Times New Roman" w:cs="Times New Roman"/>
                <w:color w:val="000000" w:themeColor="text1"/>
                <w:sz w:val="21"/>
                <w:szCs w:val="21"/>
              </w:rPr>
              <w:t>选择生产、加工、运输、使用或储存中涉及的1~3个主要化学品以及部分生产产品，进行物质危险性判定。</w:t>
            </w:r>
          </w:p>
          <w:p w14:paraId="021FF7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根据《建设项目环境风险评价技术导则》（HJ169-2018），本项目原辅料存储情况分析识别，项目生产过程中主要的原辅料为废纸、生物质颗粒等，其不属于《建设项目环境风险评价技术导则》（HJ169-2018）中列明的有毒物质、易燃物质、爆炸性物质和活性化学物质等危险性物质，</w:t>
            </w:r>
            <w:r>
              <w:rPr>
                <w:rFonts w:hint="eastAsia" w:ascii="Times New Roman" w:hAnsi="Times New Roman" w:cs="Times New Roman"/>
                <w:color w:val="000000" w:themeColor="text1"/>
                <w:sz w:val="21"/>
                <w:szCs w:val="21"/>
                <w:lang w:val="en-US" w:eastAsia="zh-CN"/>
              </w:rPr>
              <w:t>但其检维修过程产生的废机油和机油</w:t>
            </w:r>
            <w:r>
              <w:rPr>
                <w:rFonts w:hint="eastAsia" w:ascii="Times New Roman" w:hAnsi="Times New Roman" w:cs="Times New Roman"/>
                <w:color w:val="000000" w:themeColor="text1"/>
                <w:sz w:val="21"/>
                <w:szCs w:val="21"/>
              </w:rPr>
              <w:t>涉及《建设项目环境风险评价技术导则》（HJ169-2018）危险性物质</w:t>
            </w:r>
            <w:r>
              <w:rPr>
                <w:rFonts w:hint="default" w:ascii="Times New Roman" w:hAnsi="Times New Roman" w:cs="Times New Roman"/>
                <w:color w:val="000000" w:themeColor="text1"/>
                <w:sz w:val="21"/>
                <w:szCs w:val="21"/>
              </w:rPr>
              <w:t>。</w:t>
            </w:r>
          </w:p>
          <w:p w14:paraId="68F55E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（2）风险潜势初判</w:t>
            </w:r>
          </w:p>
          <w:p w14:paraId="3AC7A1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根据《建设项目环境风险评价技术导则》（</w:t>
            </w:r>
            <w:r>
              <w:rPr>
                <w:rFonts w:hint="default" w:ascii="Times New Roman" w:hAnsi="Times New Roman" w:cs="Times New Roman"/>
                <w:color w:val="000000" w:themeColor="text1"/>
                <w:sz w:val="21"/>
                <w:szCs w:val="21"/>
              </w:rPr>
              <w:t>HJ 169-2018</w:t>
            </w:r>
            <w:r>
              <w:rPr>
                <w:rFonts w:hint="eastAsia" w:ascii="Times New Roman" w:hAnsi="Times New Roman" w:cs="Times New Roman"/>
                <w:color w:val="000000" w:themeColor="text1"/>
                <w:sz w:val="21"/>
                <w:szCs w:val="21"/>
              </w:rPr>
              <w:t>）附录</w:t>
            </w:r>
            <w:r>
              <w:rPr>
                <w:rFonts w:hint="default" w:ascii="Times New Roman" w:hAnsi="Times New Roman" w:cs="Times New Roman"/>
                <w:color w:val="000000" w:themeColor="text1"/>
                <w:sz w:val="21"/>
                <w:szCs w:val="21"/>
              </w:rPr>
              <w:t>C</w:t>
            </w:r>
            <w:r>
              <w:rPr>
                <w:rFonts w:hint="eastAsia" w:ascii="Times New Roman" w:hAnsi="Times New Roman" w:cs="Times New Roman"/>
                <w:color w:val="000000" w:themeColor="text1"/>
                <w:sz w:val="21"/>
                <w:szCs w:val="21"/>
              </w:rPr>
              <w:t>，项目危险物质及工艺系统危险性（</w:t>
            </w:r>
            <w:r>
              <w:rPr>
                <w:rFonts w:hint="default" w:ascii="Times New Roman" w:hAnsi="Times New Roman" w:cs="Times New Roman"/>
                <w:color w:val="000000" w:themeColor="text1"/>
                <w:sz w:val="21"/>
                <w:szCs w:val="21"/>
              </w:rPr>
              <w:t>P</w:t>
            </w:r>
            <w:r>
              <w:rPr>
                <w:rFonts w:hint="eastAsia" w:ascii="Times New Roman" w:hAnsi="Times New Roman" w:cs="Times New Roman"/>
                <w:color w:val="000000" w:themeColor="text1"/>
                <w:sz w:val="21"/>
                <w:szCs w:val="21"/>
              </w:rPr>
              <w:t>）由危险物质数量与临界量比值（</w:t>
            </w:r>
            <w:r>
              <w:rPr>
                <w:rFonts w:hint="default" w:ascii="Times New Roman" w:hAnsi="Times New Roman" w:cs="Times New Roman"/>
                <w:color w:val="000000" w:themeColor="text1"/>
                <w:sz w:val="21"/>
                <w:szCs w:val="21"/>
              </w:rPr>
              <w:t>Q</w:t>
            </w:r>
            <w:r>
              <w:rPr>
                <w:rFonts w:hint="eastAsia" w:ascii="Times New Roman" w:hAnsi="Times New Roman" w:cs="Times New Roman"/>
                <w:color w:val="000000" w:themeColor="text1"/>
                <w:sz w:val="21"/>
                <w:szCs w:val="21"/>
              </w:rPr>
              <w:t>）和行业及生产工艺（</w:t>
            </w:r>
            <w:r>
              <w:rPr>
                <w:rFonts w:hint="default" w:ascii="Times New Roman" w:hAnsi="Times New Roman" w:cs="Times New Roman"/>
                <w:color w:val="000000" w:themeColor="text1"/>
                <w:sz w:val="21"/>
                <w:szCs w:val="21"/>
              </w:rPr>
              <w:t>M</w:t>
            </w:r>
            <w:r>
              <w:rPr>
                <w:rFonts w:hint="eastAsia" w:ascii="Times New Roman" w:hAnsi="Times New Roman" w:cs="Times New Roman"/>
                <w:color w:val="000000" w:themeColor="text1"/>
                <w:sz w:val="21"/>
                <w:szCs w:val="21"/>
              </w:rPr>
              <w:t>）确定。</w:t>
            </w:r>
          </w:p>
          <w:p w14:paraId="7723CE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本项目涉及多种危险物质，按下式进行计算</w:t>
            </w:r>
            <w:r>
              <w:rPr>
                <w:rFonts w:hint="default" w:ascii="Times New Roman" w:hAnsi="Times New Roman" w:cs="Times New Roman"/>
                <w:color w:val="000000" w:themeColor="text1"/>
                <w:sz w:val="21"/>
                <w:szCs w:val="21"/>
              </w:rPr>
              <w:t>Q</w:t>
            </w:r>
            <w:r>
              <w:rPr>
                <w:rFonts w:hint="eastAsia" w:ascii="Times New Roman" w:hAnsi="Times New Roman" w:cs="Times New Roman"/>
                <w:color w:val="000000" w:themeColor="text1"/>
                <w:sz w:val="21"/>
                <w:szCs w:val="21"/>
              </w:rPr>
              <w:t>值：</w:t>
            </w:r>
          </w:p>
          <w:p w14:paraId="43FE0D35">
            <w:pPr>
              <w:pStyle w:val="23"/>
              <w:keepNext w:val="0"/>
              <w:keepLines w:val="0"/>
              <w:suppressLineNumbers w:val="0"/>
              <w:spacing w:before="0" w:beforeAutospacing="0" w:after="0" w:afterAutospacing="0"/>
              <w:ind w:left="0" w:right="0"/>
              <w:rPr>
                <w:rFonts w:hint="default" w:cs="Times New Roman"/>
                <w:color w:val="000000" w:themeColor="text1"/>
              </w:rPr>
            </w:pPr>
          </w:p>
          <w:p w14:paraId="6E561A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jc w:val="center"/>
              <w:textAlignment w:val="auto"/>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Q=q1/Q1+q2/Q2+…+qn/Qn</w:t>
            </w:r>
          </w:p>
          <w:p w14:paraId="4B3FE2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式中：</w:t>
            </w:r>
            <w:r>
              <w:rPr>
                <w:rFonts w:hint="default" w:ascii="Times New Roman" w:hAnsi="Times New Roman" w:cs="Times New Roman"/>
                <w:color w:val="000000" w:themeColor="text1"/>
                <w:sz w:val="21"/>
                <w:szCs w:val="21"/>
              </w:rPr>
              <w:t>q1</w:t>
            </w:r>
            <w:r>
              <w:rPr>
                <w:rFonts w:hint="eastAsia" w:ascii="Times New Roman" w:hAnsi="Times New Roman" w:cs="Times New Roman"/>
                <w:color w:val="000000" w:themeColor="text1"/>
                <w:sz w:val="21"/>
                <w:szCs w:val="21"/>
              </w:rPr>
              <w:t>，</w:t>
            </w:r>
            <w:r>
              <w:rPr>
                <w:rFonts w:hint="default" w:ascii="Times New Roman" w:hAnsi="Times New Roman" w:cs="Times New Roman"/>
                <w:color w:val="000000" w:themeColor="text1"/>
                <w:sz w:val="21"/>
                <w:szCs w:val="21"/>
              </w:rPr>
              <w:t>q2</w:t>
            </w:r>
            <w:r>
              <w:rPr>
                <w:rFonts w:hint="eastAsia" w:ascii="Times New Roman" w:hAnsi="Times New Roman" w:cs="Times New Roman"/>
                <w:color w:val="000000" w:themeColor="text1"/>
                <w:sz w:val="21"/>
                <w:szCs w:val="21"/>
              </w:rPr>
              <w:t>，</w:t>
            </w:r>
            <w:r>
              <w:rPr>
                <w:rFonts w:hint="default" w:ascii="Times New Roman" w:hAnsi="Times New Roman" w:cs="Times New Roman"/>
                <w:color w:val="000000" w:themeColor="text1"/>
                <w:sz w:val="21"/>
                <w:szCs w:val="21"/>
              </w:rPr>
              <w:t>…</w:t>
            </w:r>
            <w:r>
              <w:rPr>
                <w:rFonts w:hint="eastAsia" w:ascii="Times New Roman" w:hAnsi="Times New Roman" w:cs="Times New Roman"/>
                <w:color w:val="000000" w:themeColor="text1"/>
                <w:sz w:val="21"/>
                <w:szCs w:val="21"/>
              </w:rPr>
              <w:t>，</w:t>
            </w:r>
            <w:r>
              <w:rPr>
                <w:rFonts w:hint="default" w:ascii="Times New Roman" w:hAnsi="Times New Roman" w:cs="Times New Roman"/>
                <w:color w:val="000000" w:themeColor="text1"/>
                <w:sz w:val="21"/>
                <w:szCs w:val="21"/>
              </w:rPr>
              <w:t>qn</w:t>
            </w:r>
            <w:r>
              <w:rPr>
                <w:rFonts w:hint="eastAsia" w:ascii="Times New Roman" w:hAnsi="Times New Roman" w:cs="Times New Roman"/>
                <w:color w:val="000000" w:themeColor="text1"/>
                <w:sz w:val="21"/>
                <w:szCs w:val="21"/>
              </w:rPr>
              <w:t>——每种危险物质的最大存在总量，</w:t>
            </w:r>
            <w:r>
              <w:rPr>
                <w:rFonts w:hint="default" w:ascii="Times New Roman" w:hAnsi="Times New Roman" w:cs="Times New Roman"/>
                <w:color w:val="000000" w:themeColor="text1"/>
                <w:sz w:val="21"/>
                <w:szCs w:val="21"/>
              </w:rPr>
              <w:t>t</w:t>
            </w:r>
            <w:r>
              <w:rPr>
                <w:rFonts w:hint="eastAsia" w:ascii="Times New Roman" w:hAnsi="Times New Roman" w:cs="Times New Roman"/>
                <w:color w:val="000000" w:themeColor="text1"/>
                <w:sz w:val="21"/>
                <w:szCs w:val="21"/>
              </w:rPr>
              <w:t>；</w:t>
            </w:r>
          </w:p>
          <w:p w14:paraId="1F8C17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1050" w:firstLineChars="50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Q1</w:t>
            </w:r>
            <w:r>
              <w:rPr>
                <w:rFonts w:hint="eastAsia" w:ascii="Times New Roman" w:hAnsi="Times New Roman" w:cs="Times New Roman"/>
                <w:color w:val="000000" w:themeColor="text1"/>
                <w:sz w:val="21"/>
                <w:szCs w:val="21"/>
              </w:rPr>
              <w:t>，</w:t>
            </w:r>
            <w:r>
              <w:rPr>
                <w:rFonts w:hint="default" w:ascii="Times New Roman" w:hAnsi="Times New Roman" w:cs="Times New Roman"/>
                <w:color w:val="000000" w:themeColor="text1"/>
                <w:sz w:val="21"/>
                <w:szCs w:val="21"/>
              </w:rPr>
              <w:t>Q2</w:t>
            </w:r>
            <w:r>
              <w:rPr>
                <w:rFonts w:hint="eastAsia" w:ascii="Times New Roman" w:hAnsi="Times New Roman" w:cs="Times New Roman"/>
                <w:color w:val="000000" w:themeColor="text1"/>
                <w:sz w:val="21"/>
                <w:szCs w:val="21"/>
              </w:rPr>
              <w:t>，</w:t>
            </w:r>
            <w:r>
              <w:rPr>
                <w:rFonts w:hint="default" w:ascii="Times New Roman" w:hAnsi="Times New Roman" w:cs="Times New Roman"/>
                <w:color w:val="000000" w:themeColor="text1"/>
                <w:sz w:val="21"/>
                <w:szCs w:val="21"/>
              </w:rPr>
              <w:t>…</w:t>
            </w:r>
            <w:r>
              <w:rPr>
                <w:rFonts w:hint="eastAsia" w:ascii="Times New Roman" w:hAnsi="Times New Roman" w:cs="Times New Roman"/>
                <w:color w:val="000000" w:themeColor="text1"/>
                <w:sz w:val="21"/>
                <w:szCs w:val="21"/>
              </w:rPr>
              <w:t>，</w:t>
            </w:r>
            <w:r>
              <w:rPr>
                <w:rFonts w:hint="default" w:ascii="Times New Roman" w:hAnsi="Times New Roman" w:cs="Times New Roman"/>
                <w:color w:val="000000" w:themeColor="text1"/>
                <w:sz w:val="21"/>
                <w:szCs w:val="21"/>
              </w:rPr>
              <w:t>Qn</w:t>
            </w:r>
            <w:r>
              <w:rPr>
                <w:rFonts w:hint="eastAsia" w:ascii="Times New Roman" w:hAnsi="Times New Roman" w:cs="Times New Roman"/>
                <w:color w:val="000000" w:themeColor="text1"/>
                <w:sz w:val="21"/>
                <w:szCs w:val="21"/>
              </w:rPr>
              <w:t>——每种危险物质的临界量，</w:t>
            </w:r>
            <w:r>
              <w:rPr>
                <w:rFonts w:hint="default" w:ascii="Times New Roman" w:hAnsi="Times New Roman" w:cs="Times New Roman"/>
                <w:color w:val="000000" w:themeColor="text1"/>
                <w:sz w:val="21"/>
                <w:szCs w:val="21"/>
              </w:rPr>
              <w:t>t</w:t>
            </w:r>
            <w:r>
              <w:rPr>
                <w:rFonts w:hint="eastAsia" w:ascii="Times New Roman" w:hAnsi="Times New Roman" w:cs="Times New Roman"/>
                <w:color w:val="000000" w:themeColor="text1"/>
                <w:sz w:val="21"/>
                <w:szCs w:val="21"/>
              </w:rPr>
              <w:t>。</w:t>
            </w:r>
          </w:p>
          <w:p w14:paraId="0806CD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当</w:t>
            </w:r>
            <w:r>
              <w:rPr>
                <w:rFonts w:hint="default" w:ascii="Times New Roman" w:hAnsi="Times New Roman" w:cs="Times New Roman"/>
                <w:color w:val="000000" w:themeColor="text1"/>
                <w:sz w:val="21"/>
                <w:szCs w:val="21"/>
              </w:rPr>
              <w:t>Q</w:t>
            </w:r>
            <w:r>
              <w:rPr>
                <w:rFonts w:hint="eastAsia" w:ascii="Times New Roman" w:hAnsi="Times New Roman" w:cs="Times New Roman"/>
                <w:color w:val="000000" w:themeColor="text1"/>
                <w:sz w:val="21"/>
                <w:szCs w:val="21"/>
              </w:rPr>
              <w:t>＜</w:t>
            </w:r>
            <w:r>
              <w:rPr>
                <w:rFonts w:hint="default" w:ascii="Times New Roman" w:hAnsi="Times New Roman" w:cs="Times New Roman"/>
                <w:color w:val="000000" w:themeColor="text1"/>
                <w:sz w:val="21"/>
                <w:szCs w:val="21"/>
              </w:rPr>
              <w:t>1</w:t>
            </w:r>
            <w:r>
              <w:rPr>
                <w:rFonts w:hint="eastAsia" w:ascii="Times New Roman" w:hAnsi="Times New Roman" w:cs="Times New Roman"/>
                <w:color w:val="000000" w:themeColor="text1"/>
                <w:sz w:val="21"/>
                <w:szCs w:val="21"/>
              </w:rPr>
              <w:t>时，该项目环境风险潜势为</w:t>
            </w:r>
            <w:r>
              <w:rPr>
                <w:rFonts w:hint="default" w:ascii="Times New Roman" w:hAnsi="Times New Roman" w:cs="Times New Roman"/>
                <w:color w:val="000000" w:themeColor="text1"/>
                <w:sz w:val="21"/>
                <w:szCs w:val="21"/>
              </w:rPr>
              <w:fldChar w:fldCharType="begin"/>
            </w:r>
            <w:r>
              <w:rPr>
                <w:rFonts w:hint="default" w:ascii="Times New Roman" w:hAnsi="Times New Roman" w:cs="Times New Roman"/>
                <w:color w:val="000000" w:themeColor="text1"/>
                <w:sz w:val="21"/>
                <w:szCs w:val="21"/>
              </w:rPr>
              <w:instrText xml:space="preserve"> = 1 \* ROMAN \* MERGEFORMAT </w:instrText>
            </w:r>
            <w:r>
              <w:rPr>
                <w:rFonts w:hint="default" w:ascii="Times New Roman" w:hAnsi="Times New Roman" w:cs="Times New Roman"/>
                <w:color w:val="000000" w:themeColor="text1"/>
                <w:sz w:val="21"/>
                <w:szCs w:val="21"/>
              </w:rPr>
              <w:fldChar w:fldCharType="separate"/>
            </w:r>
            <w:r>
              <w:rPr>
                <w:rFonts w:hint="default" w:ascii="Times New Roman" w:hAnsi="Times New Roman" w:cs="Times New Roman"/>
                <w:color w:val="000000" w:themeColor="text1"/>
                <w:sz w:val="21"/>
                <w:szCs w:val="21"/>
              </w:rPr>
              <w:t>I</w:t>
            </w:r>
            <w:r>
              <w:rPr>
                <w:rFonts w:hint="default" w:ascii="Times New Roman" w:hAnsi="Times New Roman" w:cs="Times New Roman"/>
                <w:color w:val="000000" w:themeColor="text1"/>
                <w:sz w:val="21"/>
                <w:szCs w:val="21"/>
              </w:rPr>
              <w:fldChar w:fldCharType="end"/>
            </w:r>
            <w:r>
              <w:rPr>
                <w:rFonts w:hint="eastAsia" w:ascii="Times New Roman" w:hAnsi="Times New Roman" w:cs="Times New Roman"/>
                <w:color w:val="000000" w:themeColor="text1"/>
                <w:sz w:val="21"/>
                <w:szCs w:val="21"/>
              </w:rPr>
              <w:t>。</w:t>
            </w:r>
          </w:p>
          <w:p w14:paraId="259B96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当</w:t>
            </w:r>
            <w:r>
              <w:rPr>
                <w:rFonts w:hint="default" w:ascii="Times New Roman" w:hAnsi="Times New Roman" w:cs="Times New Roman"/>
                <w:color w:val="000000" w:themeColor="text1"/>
                <w:sz w:val="21"/>
                <w:szCs w:val="21"/>
              </w:rPr>
              <w:t>Q</w:t>
            </w:r>
            <w:r>
              <w:rPr>
                <w:rFonts w:hint="eastAsia" w:ascii="Times New Roman" w:hAnsi="Times New Roman" w:cs="Times New Roman"/>
                <w:color w:val="000000" w:themeColor="text1"/>
                <w:sz w:val="21"/>
                <w:szCs w:val="21"/>
              </w:rPr>
              <w:t>≥</w:t>
            </w:r>
            <w:r>
              <w:rPr>
                <w:rFonts w:hint="default" w:ascii="Times New Roman" w:hAnsi="Times New Roman" w:cs="Times New Roman"/>
                <w:color w:val="000000" w:themeColor="text1"/>
                <w:sz w:val="21"/>
                <w:szCs w:val="21"/>
              </w:rPr>
              <w:t>1</w:t>
            </w:r>
            <w:r>
              <w:rPr>
                <w:rFonts w:hint="eastAsia" w:ascii="Times New Roman" w:hAnsi="Times New Roman" w:cs="Times New Roman"/>
                <w:color w:val="000000" w:themeColor="text1"/>
                <w:sz w:val="21"/>
                <w:szCs w:val="21"/>
              </w:rPr>
              <w:t>时，将</w:t>
            </w:r>
            <w:r>
              <w:rPr>
                <w:rFonts w:hint="default" w:ascii="Times New Roman" w:hAnsi="Times New Roman" w:cs="Times New Roman"/>
                <w:color w:val="000000" w:themeColor="text1"/>
                <w:sz w:val="21"/>
                <w:szCs w:val="21"/>
              </w:rPr>
              <w:t>Q</w:t>
            </w:r>
            <w:r>
              <w:rPr>
                <w:rFonts w:hint="eastAsia" w:ascii="Times New Roman" w:hAnsi="Times New Roman" w:cs="Times New Roman"/>
                <w:color w:val="000000" w:themeColor="text1"/>
                <w:sz w:val="21"/>
                <w:szCs w:val="21"/>
              </w:rPr>
              <w:t>值划分为：（</w:t>
            </w:r>
            <w:r>
              <w:rPr>
                <w:rFonts w:hint="default" w:ascii="Times New Roman" w:hAnsi="Times New Roman" w:cs="Times New Roman"/>
                <w:color w:val="000000" w:themeColor="text1"/>
                <w:sz w:val="21"/>
                <w:szCs w:val="21"/>
              </w:rPr>
              <w:t>1</w:t>
            </w:r>
            <w:r>
              <w:rPr>
                <w:rFonts w:hint="eastAsia" w:ascii="Times New Roman" w:hAnsi="Times New Roman" w:cs="Times New Roman"/>
                <w:color w:val="000000" w:themeColor="text1"/>
                <w:sz w:val="21"/>
                <w:szCs w:val="21"/>
              </w:rPr>
              <w:t>）</w:t>
            </w:r>
            <w:r>
              <w:rPr>
                <w:rFonts w:hint="default" w:ascii="Times New Roman" w:hAnsi="Times New Roman" w:cs="Times New Roman"/>
                <w:color w:val="000000" w:themeColor="text1"/>
                <w:sz w:val="21"/>
                <w:szCs w:val="21"/>
              </w:rPr>
              <w:t>1</w:t>
            </w:r>
            <w:r>
              <w:rPr>
                <w:rFonts w:hint="eastAsia" w:ascii="Times New Roman" w:hAnsi="Times New Roman" w:cs="Times New Roman"/>
                <w:color w:val="000000" w:themeColor="text1"/>
                <w:sz w:val="21"/>
                <w:szCs w:val="21"/>
              </w:rPr>
              <w:t>≤</w:t>
            </w:r>
            <w:r>
              <w:rPr>
                <w:rFonts w:hint="default" w:ascii="Times New Roman" w:hAnsi="Times New Roman" w:cs="Times New Roman"/>
                <w:color w:val="000000" w:themeColor="text1"/>
                <w:sz w:val="21"/>
                <w:szCs w:val="21"/>
              </w:rPr>
              <w:t>Q</w:t>
            </w:r>
            <w:r>
              <w:rPr>
                <w:rFonts w:hint="eastAsia" w:ascii="Times New Roman" w:hAnsi="Times New Roman" w:cs="Times New Roman"/>
                <w:color w:val="000000" w:themeColor="text1"/>
                <w:sz w:val="21"/>
                <w:szCs w:val="21"/>
              </w:rPr>
              <w:t>＜</w:t>
            </w:r>
            <w:r>
              <w:rPr>
                <w:rFonts w:hint="default" w:ascii="Times New Roman" w:hAnsi="Times New Roman" w:cs="Times New Roman"/>
                <w:color w:val="000000" w:themeColor="text1"/>
                <w:sz w:val="21"/>
                <w:szCs w:val="21"/>
              </w:rPr>
              <w:t>10</w:t>
            </w:r>
            <w:r>
              <w:rPr>
                <w:rFonts w:hint="eastAsia" w:ascii="Times New Roman" w:hAnsi="Times New Roman" w:cs="Times New Roman"/>
                <w:color w:val="000000" w:themeColor="text1"/>
                <w:sz w:val="21"/>
                <w:szCs w:val="21"/>
              </w:rPr>
              <w:t>；（</w:t>
            </w:r>
            <w:r>
              <w:rPr>
                <w:rFonts w:hint="default" w:ascii="Times New Roman" w:hAnsi="Times New Roman" w:cs="Times New Roman"/>
                <w:color w:val="000000" w:themeColor="text1"/>
                <w:sz w:val="21"/>
                <w:szCs w:val="21"/>
              </w:rPr>
              <w:t>2</w:t>
            </w:r>
            <w:r>
              <w:rPr>
                <w:rFonts w:hint="eastAsia" w:ascii="Times New Roman" w:hAnsi="Times New Roman" w:cs="Times New Roman"/>
                <w:color w:val="000000" w:themeColor="text1"/>
                <w:sz w:val="21"/>
                <w:szCs w:val="21"/>
              </w:rPr>
              <w:t>）</w:t>
            </w:r>
            <w:r>
              <w:rPr>
                <w:rFonts w:hint="default" w:ascii="Times New Roman" w:hAnsi="Times New Roman" w:cs="Times New Roman"/>
                <w:color w:val="000000" w:themeColor="text1"/>
                <w:sz w:val="21"/>
                <w:szCs w:val="21"/>
              </w:rPr>
              <w:t>10</w:t>
            </w:r>
            <w:r>
              <w:rPr>
                <w:rFonts w:hint="eastAsia" w:ascii="Times New Roman" w:hAnsi="Times New Roman" w:cs="Times New Roman"/>
                <w:color w:val="000000" w:themeColor="text1"/>
                <w:sz w:val="21"/>
                <w:szCs w:val="21"/>
              </w:rPr>
              <w:t>≤</w:t>
            </w:r>
            <w:r>
              <w:rPr>
                <w:rFonts w:hint="default" w:ascii="Times New Roman" w:hAnsi="Times New Roman" w:cs="Times New Roman"/>
                <w:color w:val="000000" w:themeColor="text1"/>
                <w:sz w:val="21"/>
                <w:szCs w:val="21"/>
              </w:rPr>
              <w:t>Q</w:t>
            </w:r>
            <w:r>
              <w:rPr>
                <w:rFonts w:hint="eastAsia" w:ascii="Times New Roman" w:hAnsi="Times New Roman" w:cs="Times New Roman"/>
                <w:color w:val="000000" w:themeColor="text1"/>
                <w:sz w:val="21"/>
                <w:szCs w:val="21"/>
              </w:rPr>
              <w:t>＜</w:t>
            </w:r>
            <w:r>
              <w:rPr>
                <w:rFonts w:hint="default" w:ascii="Times New Roman" w:hAnsi="Times New Roman" w:cs="Times New Roman"/>
                <w:color w:val="000000" w:themeColor="text1"/>
                <w:sz w:val="21"/>
                <w:szCs w:val="21"/>
              </w:rPr>
              <w:t>100</w:t>
            </w:r>
            <w:r>
              <w:rPr>
                <w:rFonts w:hint="eastAsia" w:ascii="Times New Roman" w:hAnsi="Times New Roman" w:cs="Times New Roman"/>
                <w:color w:val="000000" w:themeColor="text1"/>
                <w:sz w:val="21"/>
                <w:szCs w:val="21"/>
              </w:rPr>
              <w:t>；（</w:t>
            </w:r>
            <w:r>
              <w:rPr>
                <w:rFonts w:hint="default" w:ascii="Times New Roman" w:hAnsi="Times New Roman" w:cs="Times New Roman"/>
                <w:color w:val="000000" w:themeColor="text1"/>
                <w:sz w:val="21"/>
                <w:szCs w:val="21"/>
              </w:rPr>
              <w:t>3</w:t>
            </w:r>
            <w:r>
              <w:rPr>
                <w:rFonts w:hint="eastAsia" w:ascii="Times New Roman" w:hAnsi="Times New Roman" w:cs="Times New Roman"/>
                <w:color w:val="000000" w:themeColor="text1"/>
                <w:sz w:val="21"/>
                <w:szCs w:val="21"/>
              </w:rPr>
              <w:t>）</w:t>
            </w:r>
            <w:r>
              <w:rPr>
                <w:rFonts w:hint="default" w:ascii="Times New Roman" w:hAnsi="Times New Roman" w:cs="Times New Roman"/>
                <w:color w:val="000000" w:themeColor="text1"/>
                <w:sz w:val="21"/>
                <w:szCs w:val="21"/>
              </w:rPr>
              <w:t>Q</w:t>
            </w:r>
            <w:r>
              <w:rPr>
                <w:rFonts w:hint="eastAsia" w:ascii="Times New Roman" w:hAnsi="Times New Roman" w:cs="Times New Roman"/>
                <w:color w:val="000000" w:themeColor="text1"/>
                <w:sz w:val="21"/>
                <w:szCs w:val="21"/>
              </w:rPr>
              <w:t>≥</w:t>
            </w:r>
            <w:r>
              <w:rPr>
                <w:rFonts w:hint="default" w:ascii="Times New Roman" w:hAnsi="Times New Roman" w:cs="Times New Roman"/>
                <w:color w:val="000000" w:themeColor="text1"/>
                <w:sz w:val="21"/>
                <w:szCs w:val="21"/>
              </w:rPr>
              <w:t>100</w:t>
            </w:r>
            <w:r>
              <w:rPr>
                <w:rFonts w:hint="eastAsia" w:ascii="Times New Roman" w:hAnsi="Times New Roman" w:cs="Times New Roman"/>
                <w:color w:val="000000" w:themeColor="text1"/>
                <w:sz w:val="21"/>
                <w:szCs w:val="21"/>
              </w:rPr>
              <w:t>。</w:t>
            </w:r>
          </w:p>
          <w:p w14:paraId="1FD673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根据《建设项目环境风险评价技术导则》（</w:t>
            </w:r>
            <w:r>
              <w:rPr>
                <w:rFonts w:hint="default" w:ascii="Times New Roman" w:hAnsi="Times New Roman" w:cs="Times New Roman"/>
                <w:color w:val="000000" w:themeColor="text1"/>
                <w:sz w:val="21"/>
                <w:szCs w:val="21"/>
              </w:rPr>
              <w:t>HJ 169-2018</w:t>
            </w:r>
            <w:r>
              <w:rPr>
                <w:rFonts w:hint="eastAsia" w:ascii="Times New Roman" w:hAnsi="Times New Roman" w:cs="Times New Roman"/>
                <w:color w:val="000000" w:themeColor="text1"/>
                <w:sz w:val="21"/>
                <w:szCs w:val="21"/>
              </w:rPr>
              <w:t>）附录</w:t>
            </w:r>
            <w:r>
              <w:rPr>
                <w:rFonts w:hint="default" w:ascii="Times New Roman" w:hAnsi="Times New Roman" w:cs="Times New Roman"/>
                <w:color w:val="000000" w:themeColor="text1"/>
                <w:sz w:val="21"/>
                <w:szCs w:val="21"/>
              </w:rPr>
              <w:t>B</w:t>
            </w:r>
            <w:r>
              <w:rPr>
                <w:rFonts w:hint="eastAsia" w:ascii="Times New Roman" w:hAnsi="Times New Roman" w:cs="Times New Roman"/>
                <w:color w:val="000000" w:themeColor="text1"/>
                <w:sz w:val="21"/>
                <w:szCs w:val="21"/>
              </w:rPr>
              <w:t>，物质临界量根据《建设项目环境风险评价技术导则》（</w:t>
            </w:r>
            <w:r>
              <w:rPr>
                <w:rFonts w:hint="default" w:ascii="Times New Roman" w:hAnsi="Times New Roman" w:cs="Times New Roman"/>
                <w:color w:val="000000" w:themeColor="text1"/>
                <w:sz w:val="21"/>
                <w:szCs w:val="21"/>
              </w:rPr>
              <w:t>HJ 169-2018</w:t>
            </w:r>
            <w:r>
              <w:rPr>
                <w:rFonts w:hint="eastAsia" w:ascii="Times New Roman" w:hAnsi="Times New Roman" w:cs="Times New Roman"/>
                <w:color w:val="000000" w:themeColor="text1"/>
                <w:sz w:val="21"/>
                <w:szCs w:val="21"/>
              </w:rPr>
              <w:t>）附录</w:t>
            </w:r>
            <w:r>
              <w:rPr>
                <w:rFonts w:hint="default" w:ascii="Times New Roman" w:hAnsi="Times New Roman" w:cs="Times New Roman"/>
                <w:color w:val="000000" w:themeColor="text1"/>
                <w:sz w:val="21"/>
                <w:szCs w:val="21"/>
              </w:rPr>
              <w:t>B</w:t>
            </w:r>
            <w:r>
              <w:rPr>
                <w:rFonts w:hint="eastAsia" w:ascii="Times New Roman" w:hAnsi="Times New Roman" w:cs="Times New Roman"/>
                <w:color w:val="000000" w:themeColor="text1"/>
                <w:sz w:val="21"/>
                <w:szCs w:val="21"/>
              </w:rPr>
              <w:t>，表B.2，“其他危险物质临界量推荐值”确定。</w:t>
            </w:r>
          </w:p>
          <w:p w14:paraId="5F293F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要求临界量及其</w:t>
            </w:r>
            <w:r>
              <w:rPr>
                <w:rFonts w:hint="default" w:ascii="Times New Roman" w:hAnsi="Times New Roman" w:cs="Times New Roman"/>
                <w:color w:val="000000" w:themeColor="text1"/>
                <w:sz w:val="21"/>
                <w:szCs w:val="21"/>
              </w:rPr>
              <w:t>Q</w:t>
            </w:r>
            <w:r>
              <w:rPr>
                <w:rFonts w:hint="eastAsia" w:ascii="Times New Roman" w:hAnsi="Times New Roman" w:cs="Times New Roman"/>
                <w:color w:val="000000" w:themeColor="text1"/>
                <w:sz w:val="21"/>
                <w:szCs w:val="21"/>
              </w:rPr>
              <w:t>值见表4-1</w:t>
            </w:r>
            <w:r>
              <w:rPr>
                <w:rFonts w:hint="eastAsia" w:cs="Times New Roman"/>
                <w:color w:val="000000" w:themeColor="text1"/>
                <w:sz w:val="21"/>
                <w:szCs w:val="21"/>
                <w:lang w:val="en-US" w:eastAsia="zh-CN"/>
              </w:rPr>
              <w:t>5</w:t>
            </w:r>
            <w:r>
              <w:rPr>
                <w:rFonts w:hint="eastAsia" w:ascii="Times New Roman" w:hAnsi="Times New Roman" w:cs="Times New Roman"/>
                <w:color w:val="000000" w:themeColor="text1"/>
                <w:sz w:val="21"/>
                <w:szCs w:val="21"/>
              </w:rPr>
              <w:t>所示。</w:t>
            </w:r>
          </w:p>
          <w:p w14:paraId="38D1D21A">
            <w:pPr>
              <w:pStyle w:val="8"/>
              <w:keepNext w:val="0"/>
              <w:keepLines w:val="0"/>
              <w:suppressLineNumbers w:val="0"/>
              <w:spacing w:before="0" w:beforeAutospacing="0" w:after="0" w:afterAutospacing="0"/>
              <w:ind w:left="0" w:right="0"/>
              <w:rPr>
                <w:rFonts w:hint="default" w:cs="Times New Roman"/>
                <w:color w:val="000000" w:themeColor="text1"/>
              </w:rPr>
            </w:pPr>
            <w:r>
              <w:rPr>
                <w:rFonts w:hint="eastAsia" w:cs="Times New Roman"/>
                <w:color w:val="000000" w:themeColor="text1"/>
              </w:rPr>
              <w:t>表4</w:t>
            </w:r>
            <w:r>
              <w:rPr>
                <w:rFonts w:hint="default" w:cs="Times New Roman"/>
                <w:color w:val="000000" w:themeColor="text1"/>
              </w:rPr>
              <w:t>-</w:t>
            </w:r>
            <w:r>
              <w:rPr>
                <w:rFonts w:hint="eastAsia" w:cs="Times New Roman"/>
                <w:color w:val="000000" w:themeColor="text1"/>
              </w:rPr>
              <w:t>1</w:t>
            </w:r>
            <w:r>
              <w:rPr>
                <w:rFonts w:hint="eastAsia" w:cs="Times New Roman"/>
                <w:color w:val="000000" w:themeColor="text1"/>
                <w:lang w:val="en-US" w:eastAsia="zh-CN"/>
              </w:rPr>
              <w:t xml:space="preserve">5 </w:t>
            </w:r>
            <w:r>
              <w:rPr>
                <w:rFonts w:hint="eastAsia" w:cs="Times New Roman"/>
                <w:color w:val="000000" w:themeColor="text1"/>
              </w:rPr>
              <w:t xml:space="preserve"> 环境风险物质数量、临界量及其比值</w:t>
            </w:r>
            <w:r>
              <w:rPr>
                <w:rFonts w:hint="default" w:cs="Times New Roman"/>
                <w:color w:val="000000" w:themeColor="text1"/>
              </w:rPr>
              <w:t>(Q)</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2055"/>
              <w:gridCol w:w="1153"/>
              <w:gridCol w:w="1342"/>
              <w:gridCol w:w="1172"/>
              <w:gridCol w:w="1578"/>
            </w:tblGrid>
            <w:tr w14:paraId="648D9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noWrap w:val="0"/>
                  <w:vAlign w:val="center"/>
                </w:tcPr>
                <w:p w14:paraId="30111D3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eastAsia" w:cs="Times New Roman"/>
                      <w:color w:val="000000" w:themeColor="text1"/>
                    </w:rPr>
                    <w:t>序号</w:t>
                  </w:r>
                </w:p>
              </w:tc>
              <w:tc>
                <w:tcPr>
                  <w:tcW w:w="1294" w:type="pct"/>
                  <w:noWrap w:val="0"/>
                  <w:vAlign w:val="center"/>
                </w:tcPr>
                <w:p w14:paraId="62EADB89">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eastAsia" w:cs="Times New Roman"/>
                      <w:color w:val="000000" w:themeColor="text1"/>
                    </w:rPr>
                    <w:t>物质名称</w:t>
                  </w:r>
                </w:p>
              </w:tc>
              <w:tc>
                <w:tcPr>
                  <w:tcW w:w="726" w:type="pct"/>
                  <w:noWrap w:val="0"/>
                  <w:vAlign w:val="center"/>
                </w:tcPr>
                <w:p w14:paraId="016AAD26">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eastAsia" w:cs="Times New Roman"/>
                      <w:color w:val="000000" w:themeColor="text1"/>
                    </w:rPr>
                    <w:t>储存量（</w:t>
                  </w:r>
                  <w:r>
                    <w:rPr>
                      <w:rFonts w:hint="default" w:cs="Times New Roman"/>
                      <w:color w:val="000000" w:themeColor="text1"/>
                    </w:rPr>
                    <w:t>t</w:t>
                  </w:r>
                  <w:r>
                    <w:rPr>
                      <w:rFonts w:hint="eastAsia" w:cs="Times New Roman"/>
                      <w:color w:val="000000" w:themeColor="text1"/>
                    </w:rPr>
                    <w:t>）</w:t>
                  </w:r>
                </w:p>
              </w:tc>
              <w:tc>
                <w:tcPr>
                  <w:tcW w:w="844" w:type="pct"/>
                  <w:noWrap w:val="0"/>
                  <w:vAlign w:val="center"/>
                </w:tcPr>
                <w:p w14:paraId="73EE1DF8">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eastAsia" w:cs="Times New Roman"/>
                      <w:color w:val="000000" w:themeColor="text1"/>
                    </w:rPr>
                    <w:t>临界量（</w:t>
                  </w:r>
                  <w:r>
                    <w:rPr>
                      <w:rFonts w:hint="default" w:cs="Times New Roman"/>
                      <w:color w:val="000000" w:themeColor="text1"/>
                    </w:rPr>
                    <w:t>t</w:t>
                  </w:r>
                  <w:r>
                    <w:rPr>
                      <w:rFonts w:hint="eastAsia" w:cs="Times New Roman"/>
                      <w:color w:val="000000" w:themeColor="text1"/>
                    </w:rPr>
                    <w:t>）</w:t>
                  </w:r>
                </w:p>
              </w:tc>
              <w:tc>
                <w:tcPr>
                  <w:tcW w:w="738" w:type="pct"/>
                  <w:noWrap w:val="0"/>
                  <w:vAlign w:val="center"/>
                </w:tcPr>
                <w:p w14:paraId="450416C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default" w:cs="Times New Roman"/>
                      <w:color w:val="000000" w:themeColor="text1"/>
                    </w:rPr>
                    <w:t>Q</w:t>
                  </w:r>
                  <w:r>
                    <w:rPr>
                      <w:rFonts w:hint="eastAsia" w:cs="Times New Roman"/>
                      <w:color w:val="000000" w:themeColor="text1"/>
                    </w:rPr>
                    <w:t>值</w:t>
                  </w:r>
                </w:p>
              </w:tc>
              <w:tc>
                <w:tcPr>
                  <w:tcW w:w="994" w:type="pct"/>
                  <w:noWrap w:val="0"/>
                  <w:vAlign w:val="center"/>
                </w:tcPr>
                <w:p w14:paraId="6492E25A">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cs="Times New Roman"/>
                      <w:color w:val="000000" w:themeColor="text1"/>
                    </w:rPr>
                  </w:pPr>
                  <w:r>
                    <w:rPr>
                      <w:rFonts w:hint="eastAsia" w:cs="Times New Roman"/>
                      <w:color w:val="000000" w:themeColor="text1"/>
                    </w:rPr>
                    <w:t>储存位置</w:t>
                  </w:r>
                </w:p>
              </w:tc>
            </w:tr>
            <w:tr w14:paraId="118CB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noWrap w:val="0"/>
                  <w:vAlign w:val="center"/>
                </w:tcPr>
                <w:p w14:paraId="31757A08">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cs="Times New Roman"/>
                      <w:color w:val="000000" w:themeColor="text1"/>
                    </w:rPr>
                  </w:pPr>
                  <w:r>
                    <w:rPr>
                      <w:rFonts w:hint="eastAsia" w:cs="Times New Roman"/>
                      <w:color w:val="000000" w:themeColor="text1"/>
                    </w:rPr>
                    <w:t>1</w:t>
                  </w:r>
                </w:p>
              </w:tc>
              <w:tc>
                <w:tcPr>
                  <w:tcW w:w="1294" w:type="pct"/>
                  <w:noWrap w:val="0"/>
                  <w:vAlign w:val="center"/>
                </w:tcPr>
                <w:p w14:paraId="26845C29">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cs="Times New Roman"/>
                      <w:color w:val="000000" w:themeColor="text1"/>
                    </w:rPr>
                  </w:pPr>
                  <w:r>
                    <w:rPr>
                      <w:rFonts w:hint="eastAsia" w:cs="Times New Roman"/>
                      <w:color w:val="000000" w:themeColor="text1"/>
                    </w:rPr>
                    <w:t>废机油</w:t>
                  </w:r>
                </w:p>
              </w:tc>
              <w:tc>
                <w:tcPr>
                  <w:tcW w:w="726" w:type="pct"/>
                  <w:noWrap w:val="0"/>
                  <w:vAlign w:val="center"/>
                </w:tcPr>
                <w:p w14:paraId="5B660B71">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eastAsia" w:cs="Times New Roman"/>
                      <w:color w:val="000000" w:themeColor="text1"/>
                    </w:rPr>
                    <w:t>0.08</w:t>
                  </w:r>
                </w:p>
              </w:tc>
              <w:tc>
                <w:tcPr>
                  <w:tcW w:w="844" w:type="pct"/>
                  <w:noWrap w:val="0"/>
                  <w:vAlign w:val="center"/>
                </w:tcPr>
                <w:p w14:paraId="487857E2">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cs="Times New Roman"/>
                      <w:color w:val="000000" w:themeColor="text1"/>
                    </w:rPr>
                  </w:pPr>
                  <w:r>
                    <w:rPr>
                      <w:rFonts w:hint="eastAsia" w:cs="Times New Roman"/>
                      <w:color w:val="000000" w:themeColor="text1"/>
                    </w:rPr>
                    <w:t>2500</w:t>
                  </w:r>
                </w:p>
              </w:tc>
              <w:tc>
                <w:tcPr>
                  <w:tcW w:w="738" w:type="pct"/>
                  <w:noWrap w:val="0"/>
                  <w:vAlign w:val="center"/>
                </w:tcPr>
                <w:p w14:paraId="56F3ED27">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cs="Times New Roman"/>
                      <w:color w:val="000000" w:themeColor="text1"/>
                    </w:rPr>
                  </w:pPr>
                  <w:r>
                    <w:rPr>
                      <w:rFonts w:hint="eastAsia" w:cs="Times New Roman"/>
                      <w:color w:val="000000" w:themeColor="text1"/>
                    </w:rPr>
                    <w:t>0.00003</w:t>
                  </w:r>
                </w:p>
              </w:tc>
              <w:tc>
                <w:tcPr>
                  <w:tcW w:w="994" w:type="pct"/>
                  <w:noWrap w:val="0"/>
                  <w:vAlign w:val="center"/>
                </w:tcPr>
                <w:p w14:paraId="441C24D3">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cs="Times New Roman"/>
                      <w:color w:val="000000" w:themeColor="text1"/>
                    </w:rPr>
                  </w:pPr>
                  <w:r>
                    <w:rPr>
                      <w:rFonts w:hint="eastAsia" w:cs="Times New Roman"/>
                      <w:color w:val="000000" w:themeColor="text1"/>
                    </w:rPr>
                    <w:t>危废暂存间</w:t>
                  </w:r>
                </w:p>
              </w:tc>
            </w:tr>
            <w:tr w14:paraId="20A55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noWrap w:val="0"/>
                  <w:vAlign w:val="center"/>
                </w:tcPr>
                <w:p w14:paraId="6E4C5411">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lang w:val="en-US" w:eastAsia="zh-CN"/>
                    </w:rPr>
                  </w:pPr>
                  <w:r>
                    <w:rPr>
                      <w:rFonts w:hint="eastAsia" w:cs="Times New Roman"/>
                      <w:color w:val="000000" w:themeColor="text1"/>
                      <w:lang w:val="en-US" w:eastAsia="zh-CN"/>
                    </w:rPr>
                    <w:t>2</w:t>
                  </w:r>
                </w:p>
              </w:tc>
              <w:tc>
                <w:tcPr>
                  <w:tcW w:w="1294" w:type="pct"/>
                  <w:noWrap w:val="0"/>
                  <w:vAlign w:val="center"/>
                </w:tcPr>
                <w:p w14:paraId="166B2A71">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eastAsia" w:eastAsia="宋体" w:cs="Times New Roman"/>
                      <w:color w:val="000000" w:themeColor="text1"/>
                      <w:lang w:val="en-US" w:eastAsia="zh-CN"/>
                    </w:rPr>
                  </w:pPr>
                  <w:r>
                    <w:rPr>
                      <w:rFonts w:hint="eastAsia" w:cs="Times New Roman"/>
                      <w:color w:val="000000" w:themeColor="text1"/>
                      <w:lang w:val="en-US" w:eastAsia="zh-CN"/>
                    </w:rPr>
                    <w:t>机油</w:t>
                  </w:r>
                </w:p>
              </w:tc>
              <w:tc>
                <w:tcPr>
                  <w:tcW w:w="726" w:type="pct"/>
                  <w:noWrap w:val="0"/>
                  <w:vAlign w:val="center"/>
                </w:tcPr>
                <w:p w14:paraId="7D3DA7AD">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lang w:val="en-US" w:eastAsia="zh-CN"/>
                    </w:rPr>
                  </w:pPr>
                  <w:r>
                    <w:rPr>
                      <w:rFonts w:hint="eastAsia" w:cs="Times New Roman"/>
                      <w:color w:val="000000" w:themeColor="text1"/>
                      <w:lang w:val="en-US" w:eastAsia="zh-CN"/>
                    </w:rPr>
                    <w:t>0.2</w:t>
                  </w:r>
                </w:p>
              </w:tc>
              <w:tc>
                <w:tcPr>
                  <w:tcW w:w="844" w:type="pct"/>
                  <w:noWrap w:val="0"/>
                  <w:vAlign w:val="center"/>
                </w:tcPr>
                <w:p w14:paraId="5D33415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lang w:val="en-US" w:eastAsia="zh-CN"/>
                    </w:rPr>
                  </w:pPr>
                  <w:r>
                    <w:rPr>
                      <w:rFonts w:hint="eastAsia" w:cs="Times New Roman"/>
                      <w:color w:val="000000" w:themeColor="text1"/>
                      <w:lang w:val="en-US" w:eastAsia="zh-CN"/>
                    </w:rPr>
                    <w:t>2500</w:t>
                  </w:r>
                </w:p>
              </w:tc>
              <w:tc>
                <w:tcPr>
                  <w:tcW w:w="738" w:type="pct"/>
                  <w:noWrap w:val="0"/>
                  <w:vAlign w:val="center"/>
                </w:tcPr>
                <w:p w14:paraId="4CF19758">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lang w:val="en-US" w:eastAsia="zh-CN"/>
                    </w:rPr>
                  </w:pPr>
                  <w:r>
                    <w:rPr>
                      <w:rFonts w:hint="eastAsia" w:cs="Times New Roman"/>
                      <w:color w:val="000000" w:themeColor="text1"/>
                      <w:lang w:val="en-US" w:eastAsia="zh-CN"/>
                    </w:rPr>
                    <w:t>0.00008</w:t>
                  </w:r>
                </w:p>
              </w:tc>
              <w:tc>
                <w:tcPr>
                  <w:tcW w:w="994" w:type="pct"/>
                  <w:noWrap w:val="0"/>
                  <w:vAlign w:val="center"/>
                </w:tcPr>
                <w:p w14:paraId="63FD96F2">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lang w:val="en-US" w:eastAsia="zh-CN"/>
                    </w:rPr>
                  </w:pPr>
                  <w:r>
                    <w:rPr>
                      <w:rFonts w:hint="eastAsia" w:cs="Times New Roman"/>
                      <w:color w:val="000000" w:themeColor="text1"/>
                      <w:lang w:val="en-US" w:eastAsia="zh-CN"/>
                    </w:rPr>
                    <w:t>维修车间</w:t>
                  </w:r>
                </w:p>
              </w:tc>
            </w:tr>
            <w:tr w14:paraId="5B210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7" w:type="pct"/>
                  <w:gridSpan w:val="4"/>
                  <w:noWrap w:val="0"/>
                  <w:vAlign w:val="center"/>
                </w:tcPr>
                <w:p w14:paraId="76A292A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cs="Times New Roman"/>
                      <w:color w:val="000000" w:themeColor="text1"/>
                    </w:rPr>
                  </w:pPr>
                  <w:r>
                    <w:rPr>
                      <w:rFonts w:hint="eastAsia" w:cs="Times New Roman"/>
                      <w:color w:val="000000" w:themeColor="text1"/>
                    </w:rPr>
                    <w:t>合计</w:t>
                  </w:r>
                </w:p>
              </w:tc>
              <w:tc>
                <w:tcPr>
                  <w:tcW w:w="738" w:type="pct"/>
                  <w:noWrap w:val="0"/>
                  <w:vAlign w:val="center"/>
                </w:tcPr>
                <w:p w14:paraId="2D9B7B4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eastAsia="宋体" w:cs="Times New Roman"/>
                      <w:color w:val="000000" w:themeColor="text1"/>
                      <w:lang w:val="en-US" w:eastAsia="zh-CN"/>
                    </w:rPr>
                  </w:pPr>
                  <w:r>
                    <w:rPr>
                      <w:rFonts w:hint="eastAsia" w:cs="Times New Roman"/>
                      <w:color w:val="000000" w:themeColor="text1"/>
                      <w:lang w:val="en-US" w:eastAsia="zh-CN"/>
                    </w:rPr>
                    <w:t>0.00011</w:t>
                  </w:r>
                </w:p>
              </w:tc>
              <w:tc>
                <w:tcPr>
                  <w:tcW w:w="994" w:type="pct"/>
                  <w:noWrap w:val="0"/>
                  <w:vAlign w:val="center"/>
                </w:tcPr>
                <w:p w14:paraId="009146EC">
                  <w:pPr>
                    <w:pStyle w:val="62"/>
                    <w:keepNext w:val="0"/>
                    <w:keepLines w:val="0"/>
                    <w:pageBreakBefore w:val="0"/>
                    <w:widowControl w:val="0"/>
                    <w:suppressLineNumbers w:val="0"/>
                    <w:tabs>
                      <w:tab w:val="center" w:pos="902"/>
                      <w:tab w:val="right" w:pos="1686"/>
                    </w:tabs>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cs="Times New Roman"/>
                      <w:color w:val="000000" w:themeColor="text1"/>
                    </w:rPr>
                  </w:pPr>
                  <w:r>
                    <w:rPr>
                      <w:rFonts w:hint="eastAsia" w:cs="Times New Roman"/>
                      <w:color w:val="000000" w:themeColor="text1"/>
                    </w:rPr>
                    <w:tab/>
                  </w:r>
                  <w:r>
                    <w:rPr>
                      <w:rFonts w:hint="eastAsia" w:cs="Times New Roman"/>
                      <w:color w:val="000000" w:themeColor="text1"/>
                    </w:rPr>
                    <w:t>/</w:t>
                  </w:r>
                  <w:r>
                    <w:rPr>
                      <w:rFonts w:hint="eastAsia" w:cs="Times New Roman"/>
                      <w:color w:val="000000" w:themeColor="text1"/>
                    </w:rPr>
                    <w:tab/>
                  </w:r>
                </w:p>
              </w:tc>
            </w:tr>
          </w:tbl>
          <w:p w14:paraId="2E5FF7CE">
            <w:pPr>
              <w:keepNext w:val="0"/>
              <w:keepLines w:val="0"/>
              <w:suppressLineNumbers w:val="0"/>
              <w:spacing w:before="0" w:beforeAutospacing="0" w:after="0" w:afterAutospacing="0"/>
              <w:ind w:left="0" w:right="0" w:firstLine="420"/>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本项目</w:t>
            </w:r>
            <w:r>
              <w:rPr>
                <w:rFonts w:hint="default" w:ascii="Times New Roman" w:hAnsi="Times New Roman" w:cs="Times New Roman"/>
                <w:color w:val="000000" w:themeColor="text1"/>
                <w:sz w:val="21"/>
                <w:szCs w:val="21"/>
              </w:rPr>
              <w:t>Q</w:t>
            </w:r>
            <w:r>
              <w:rPr>
                <w:rFonts w:hint="eastAsia" w:ascii="Times New Roman" w:hAnsi="Times New Roman" w:cs="Times New Roman"/>
                <w:color w:val="000000" w:themeColor="text1"/>
                <w:sz w:val="21"/>
                <w:szCs w:val="21"/>
              </w:rPr>
              <w:t>值为0.</w:t>
            </w:r>
            <w:r>
              <w:rPr>
                <w:rFonts w:hint="eastAsia" w:ascii="Times New Roman" w:hAnsi="Times New Roman" w:cs="Times New Roman"/>
                <w:color w:val="000000" w:themeColor="text1"/>
                <w:sz w:val="21"/>
                <w:szCs w:val="21"/>
                <w:lang w:val="en-US" w:eastAsia="zh-CN"/>
              </w:rPr>
              <w:t>00011</w:t>
            </w:r>
            <w:r>
              <w:rPr>
                <w:rFonts w:hint="eastAsia" w:ascii="Times New Roman" w:hAnsi="Times New Roman" w:cs="Times New Roman"/>
                <w:color w:val="000000" w:themeColor="text1"/>
                <w:sz w:val="21"/>
                <w:szCs w:val="21"/>
              </w:rPr>
              <w:t>，</w:t>
            </w:r>
            <w:r>
              <w:rPr>
                <w:rFonts w:hint="default" w:ascii="Times New Roman" w:hAnsi="Times New Roman" w:cs="Times New Roman"/>
                <w:color w:val="000000" w:themeColor="text1"/>
                <w:sz w:val="21"/>
                <w:szCs w:val="21"/>
              </w:rPr>
              <w:t>Q</w:t>
            </w:r>
            <w:r>
              <w:rPr>
                <w:rFonts w:hint="eastAsia" w:ascii="Times New Roman" w:hAnsi="Times New Roman" w:cs="Times New Roman"/>
                <w:color w:val="000000" w:themeColor="text1"/>
                <w:sz w:val="21"/>
                <w:szCs w:val="21"/>
              </w:rPr>
              <w:t>＜</w:t>
            </w:r>
            <w:r>
              <w:rPr>
                <w:rFonts w:hint="default" w:ascii="Times New Roman" w:hAnsi="Times New Roman" w:cs="Times New Roman"/>
                <w:color w:val="000000" w:themeColor="text1"/>
                <w:sz w:val="21"/>
                <w:szCs w:val="21"/>
              </w:rPr>
              <w:t>1</w:t>
            </w:r>
            <w:r>
              <w:rPr>
                <w:rFonts w:hint="eastAsia" w:ascii="Times New Roman" w:hAnsi="Times New Roman" w:cs="Times New Roman"/>
                <w:color w:val="000000" w:themeColor="text1"/>
                <w:sz w:val="21"/>
                <w:szCs w:val="21"/>
              </w:rPr>
              <w:t>。故本项目环境风险潜势划分为</w:t>
            </w:r>
            <w:r>
              <w:rPr>
                <w:rFonts w:hint="default" w:ascii="Times New Roman" w:hAnsi="Times New Roman" w:cs="Times New Roman"/>
                <w:color w:val="000000" w:themeColor="text1"/>
                <w:sz w:val="21"/>
                <w:szCs w:val="21"/>
              </w:rPr>
              <w:fldChar w:fldCharType="begin"/>
            </w:r>
            <w:r>
              <w:rPr>
                <w:rFonts w:hint="default" w:ascii="Times New Roman" w:hAnsi="Times New Roman" w:cs="Times New Roman"/>
                <w:color w:val="000000" w:themeColor="text1"/>
                <w:sz w:val="21"/>
                <w:szCs w:val="21"/>
              </w:rPr>
              <w:instrText xml:space="preserve"> = 1 \* ROMAN \* MERGEFORMAT </w:instrText>
            </w:r>
            <w:r>
              <w:rPr>
                <w:rFonts w:hint="default" w:ascii="Times New Roman" w:hAnsi="Times New Roman" w:cs="Times New Roman"/>
                <w:color w:val="000000" w:themeColor="text1"/>
                <w:sz w:val="21"/>
                <w:szCs w:val="21"/>
              </w:rPr>
              <w:fldChar w:fldCharType="separate"/>
            </w:r>
            <w:r>
              <w:rPr>
                <w:rFonts w:hint="default" w:ascii="Times New Roman" w:hAnsi="Times New Roman" w:cs="Times New Roman"/>
                <w:color w:val="000000" w:themeColor="text1"/>
                <w:sz w:val="21"/>
                <w:szCs w:val="21"/>
              </w:rPr>
              <w:t>I</w:t>
            </w:r>
            <w:r>
              <w:rPr>
                <w:rFonts w:hint="default" w:ascii="Times New Roman" w:hAnsi="Times New Roman" w:cs="Times New Roman"/>
                <w:color w:val="000000" w:themeColor="text1"/>
                <w:sz w:val="21"/>
                <w:szCs w:val="21"/>
              </w:rPr>
              <w:fldChar w:fldCharType="end"/>
            </w:r>
            <w:r>
              <w:rPr>
                <w:rFonts w:hint="eastAsia" w:ascii="Times New Roman" w:hAnsi="Times New Roman" w:cs="Times New Roman"/>
                <w:color w:val="000000" w:themeColor="text1"/>
                <w:sz w:val="21"/>
                <w:szCs w:val="21"/>
              </w:rPr>
              <w:t>。</w:t>
            </w:r>
          </w:p>
          <w:p w14:paraId="7487BF4C">
            <w:pPr>
              <w:keepNext w:val="0"/>
              <w:keepLines w:val="0"/>
              <w:suppressLineNumbers w:val="0"/>
              <w:spacing w:before="0" w:beforeAutospacing="0" w:after="0" w:afterAutospacing="0"/>
              <w:ind w:left="0" w:right="0" w:firstLine="422"/>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（3）评价等级</w:t>
            </w:r>
          </w:p>
          <w:p w14:paraId="6BA2ABE9">
            <w:pPr>
              <w:keepNext w:val="0"/>
              <w:keepLines w:val="0"/>
              <w:suppressLineNumbers w:val="0"/>
              <w:spacing w:before="0" w:beforeAutospacing="0" w:after="0" w:afterAutospacing="0"/>
              <w:ind w:left="0" w:right="0" w:firstLine="420"/>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根据《建设项目环境风险评价技术导则》（HJ169-2018） 评价等级划分原则， 建设项目环境风险评价工作等级判定标准表见下表。</w:t>
            </w:r>
          </w:p>
          <w:p w14:paraId="0F574571">
            <w:pPr>
              <w:keepNext w:val="0"/>
              <w:keepLines w:val="0"/>
              <w:pageBreakBefore w:val="0"/>
              <w:widowControl w:val="0"/>
              <w:suppressLineNumbers w:val="0"/>
              <w:tabs>
                <w:tab w:val="left" w:pos="941"/>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表</w:t>
            </w:r>
            <w:r>
              <w:rPr>
                <w:rFonts w:hint="default" w:ascii="Times New Roman" w:hAnsi="Times New Roman" w:cs="Times New Roman"/>
                <w:b/>
                <w:color w:val="000000" w:themeColor="text1"/>
                <w:spacing w:val="-52"/>
                <w:sz w:val="21"/>
                <w:szCs w:val="21"/>
              </w:rPr>
              <w:t xml:space="preserve"> </w:t>
            </w:r>
            <w:r>
              <w:rPr>
                <w:rFonts w:hint="default" w:ascii="Times New Roman" w:hAnsi="Times New Roman" w:cs="Times New Roman"/>
                <w:b/>
                <w:color w:val="000000" w:themeColor="text1"/>
                <w:sz w:val="21"/>
                <w:szCs w:val="21"/>
              </w:rPr>
              <w:t>4-</w:t>
            </w:r>
            <w:r>
              <w:rPr>
                <w:rFonts w:hint="eastAsia" w:ascii="Times New Roman" w:hAnsi="Times New Roman" w:cs="Times New Roman"/>
                <w:b/>
                <w:color w:val="000000" w:themeColor="text1"/>
                <w:sz w:val="21"/>
                <w:szCs w:val="21"/>
              </w:rPr>
              <w:t>1</w:t>
            </w:r>
            <w:r>
              <w:rPr>
                <w:rFonts w:hint="eastAsia" w:cs="Times New Roman"/>
                <w:b/>
                <w:color w:val="000000" w:themeColor="text1"/>
                <w:sz w:val="21"/>
                <w:szCs w:val="21"/>
                <w:lang w:val="en-US" w:eastAsia="zh-CN"/>
              </w:rPr>
              <w:t>6</w:t>
            </w:r>
            <w:r>
              <w:rPr>
                <w:rFonts w:hint="default" w:ascii="Times New Roman" w:hAnsi="Times New Roman" w:cs="Times New Roman"/>
                <w:b/>
                <w:color w:val="000000" w:themeColor="text1"/>
                <w:sz w:val="21"/>
                <w:szCs w:val="21"/>
              </w:rPr>
              <w:t xml:space="preserve">  环境风险评价工作级别划分表</w:t>
            </w:r>
          </w:p>
          <w:tbl>
            <w:tblPr>
              <w:tblStyle w:val="43"/>
              <w:tblW w:w="76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24"/>
              <w:gridCol w:w="1212"/>
              <w:gridCol w:w="1134"/>
              <w:gridCol w:w="1134"/>
              <w:gridCol w:w="2268"/>
            </w:tblGrid>
            <w:tr w14:paraId="2DA47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24" w:type="dxa"/>
                  <w:noWrap w:val="0"/>
                  <w:vAlign w:val="center"/>
                </w:tcPr>
                <w:p w14:paraId="2940E4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 w:val="21"/>
                      <w:szCs w:val="21"/>
                      <w:lang w:val="zh-CN" w:bidi="zh-CN"/>
                    </w:rPr>
                  </w:pPr>
                  <w:r>
                    <w:rPr>
                      <w:rFonts w:hint="default" w:ascii="Times New Roman" w:hAnsi="Times New Roman" w:cs="Times New Roman"/>
                      <w:bCs/>
                      <w:color w:val="000000" w:themeColor="text1"/>
                      <w:sz w:val="21"/>
                      <w:szCs w:val="21"/>
                      <w:lang w:val="zh-CN" w:bidi="zh-CN"/>
                    </w:rPr>
                    <w:t>环境风险潜势</w:t>
                  </w:r>
                </w:p>
              </w:tc>
              <w:tc>
                <w:tcPr>
                  <w:tcW w:w="1212" w:type="dxa"/>
                  <w:noWrap w:val="0"/>
                  <w:vAlign w:val="center"/>
                </w:tcPr>
                <w:p w14:paraId="6391F4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 w:val="21"/>
                      <w:szCs w:val="21"/>
                      <w:lang w:val="zh-CN" w:bidi="zh-CN"/>
                    </w:rPr>
                  </w:pPr>
                  <w:r>
                    <w:rPr>
                      <w:rFonts w:hint="default" w:ascii="Times New Roman" w:hAnsi="Times New Roman" w:cs="Times New Roman"/>
                      <w:bCs/>
                      <w:color w:val="000000" w:themeColor="text1"/>
                      <w:sz w:val="21"/>
                      <w:szCs w:val="21"/>
                      <w:lang w:val="zh-CN" w:bidi="zh-CN"/>
                    </w:rPr>
                    <w:t>Ⅳ、Ⅳ+</w:t>
                  </w:r>
                </w:p>
              </w:tc>
              <w:tc>
                <w:tcPr>
                  <w:tcW w:w="1134" w:type="dxa"/>
                  <w:noWrap w:val="0"/>
                  <w:vAlign w:val="center"/>
                </w:tcPr>
                <w:p w14:paraId="45A141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 w:val="21"/>
                      <w:szCs w:val="21"/>
                      <w:lang w:val="zh-CN" w:bidi="zh-CN"/>
                    </w:rPr>
                  </w:pPr>
                  <w:r>
                    <w:rPr>
                      <w:rFonts w:hint="default" w:ascii="Times New Roman" w:hAnsi="Times New Roman" w:cs="Times New Roman"/>
                      <w:bCs/>
                      <w:color w:val="000000" w:themeColor="text1"/>
                      <w:w w:val="99"/>
                      <w:sz w:val="21"/>
                      <w:szCs w:val="21"/>
                      <w:lang w:val="zh-CN" w:bidi="zh-CN"/>
                    </w:rPr>
                    <w:t>Ⅲ</w:t>
                  </w:r>
                </w:p>
              </w:tc>
              <w:tc>
                <w:tcPr>
                  <w:tcW w:w="1134" w:type="dxa"/>
                  <w:noWrap w:val="0"/>
                  <w:vAlign w:val="center"/>
                </w:tcPr>
                <w:p w14:paraId="58E7AF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 w:val="21"/>
                      <w:szCs w:val="21"/>
                      <w:lang w:val="zh-CN" w:bidi="zh-CN"/>
                    </w:rPr>
                  </w:pPr>
                  <w:r>
                    <w:rPr>
                      <w:rFonts w:hint="default" w:ascii="Times New Roman" w:hAnsi="Times New Roman" w:cs="Times New Roman"/>
                      <w:bCs/>
                      <w:color w:val="000000" w:themeColor="text1"/>
                      <w:w w:val="99"/>
                      <w:sz w:val="21"/>
                      <w:szCs w:val="21"/>
                      <w:lang w:val="zh-CN" w:bidi="zh-CN"/>
                    </w:rPr>
                    <w:t>Ⅱ</w:t>
                  </w:r>
                </w:p>
              </w:tc>
              <w:tc>
                <w:tcPr>
                  <w:tcW w:w="2268" w:type="dxa"/>
                  <w:noWrap w:val="0"/>
                  <w:vAlign w:val="center"/>
                </w:tcPr>
                <w:p w14:paraId="32B31C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 w:val="21"/>
                      <w:szCs w:val="21"/>
                      <w:lang w:val="zh-CN" w:bidi="zh-CN"/>
                    </w:rPr>
                  </w:pPr>
                  <w:r>
                    <w:rPr>
                      <w:rFonts w:hint="default" w:ascii="Times New Roman" w:hAnsi="Times New Roman" w:cs="Times New Roman"/>
                      <w:bCs/>
                      <w:color w:val="000000" w:themeColor="text1"/>
                      <w:w w:val="99"/>
                      <w:sz w:val="21"/>
                      <w:szCs w:val="21"/>
                      <w:lang w:val="zh-CN" w:bidi="zh-CN"/>
                    </w:rPr>
                    <w:t>Ⅰ</w:t>
                  </w:r>
                </w:p>
              </w:tc>
            </w:tr>
            <w:tr w14:paraId="0BD16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24" w:type="dxa"/>
                  <w:shd w:val="clear" w:color="auto" w:fill="auto"/>
                  <w:noWrap w:val="0"/>
                  <w:vAlign w:val="center"/>
                </w:tcPr>
                <w:p w14:paraId="546EF3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zh-CN" w:bidi="zh-CN"/>
                    </w:rPr>
                  </w:pPr>
                  <w:r>
                    <w:rPr>
                      <w:rFonts w:hint="default" w:ascii="Times New Roman" w:hAnsi="Times New Roman" w:cs="Times New Roman"/>
                      <w:color w:val="000000" w:themeColor="text1"/>
                      <w:sz w:val="21"/>
                      <w:szCs w:val="21"/>
                      <w:lang w:val="zh-CN" w:bidi="zh-CN"/>
                    </w:rPr>
                    <w:t>评价工作等级</w:t>
                  </w:r>
                </w:p>
              </w:tc>
              <w:tc>
                <w:tcPr>
                  <w:tcW w:w="1212" w:type="dxa"/>
                  <w:shd w:val="clear" w:color="auto" w:fill="auto"/>
                  <w:noWrap w:val="0"/>
                  <w:vAlign w:val="center"/>
                </w:tcPr>
                <w:p w14:paraId="398BFC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zh-CN" w:bidi="zh-CN"/>
                    </w:rPr>
                  </w:pPr>
                  <w:r>
                    <w:rPr>
                      <w:rFonts w:hint="default" w:ascii="Times New Roman" w:hAnsi="Times New Roman" w:cs="Times New Roman"/>
                      <w:color w:val="000000" w:themeColor="text1"/>
                      <w:w w:val="99"/>
                      <w:sz w:val="21"/>
                      <w:szCs w:val="21"/>
                      <w:lang w:val="zh-CN" w:bidi="zh-CN"/>
                    </w:rPr>
                    <w:t>一</w:t>
                  </w:r>
                </w:p>
              </w:tc>
              <w:tc>
                <w:tcPr>
                  <w:tcW w:w="1134" w:type="dxa"/>
                  <w:shd w:val="clear" w:color="auto" w:fill="auto"/>
                  <w:noWrap w:val="0"/>
                  <w:vAlign w:val="center"/>
                </w:tcPr>
                <w:p w14:paraId="3832D4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zh-CN" w:bidi="zh-CN"/>
                    </w:rPr>
                  </w:pPr>
                  <w:r>
                    <w:rPr>
                      <w:rFonts w:hint="default" w:ascii="Times New Roman" w:hAnsi="Times New Roman" w:cs="Times New Roman"/>
                      <w:color w:val="000000" w:themeColor="text1"/>
                      <w:w w:val="99"/>
                      <w:sz w:val="21"/>
                      <w:szCs w:val="21"/>
                      <w:lang w:val="zh-CN" w:bidi="zh-CN"/>
                    </w:rPr>
                    <w:t>二</w:t>
                  </w:r>
                </w:p>
              </w:tc>
              <w:tc>
                <w:tcPr>
                  <w:tcW w:w="1134" w:type="dxa"/>
                  <w:shd w:val="clear" w:color="auto" w:fill="auto"/>
                  <w:noWrap w:val="0"/>
                  <w:vAlign w:val="center"/>
                </w:tcPr>
                <w:p w14:paraId="755887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zh-CN" w:bidi="zh-CN"/>
                    </w:rPr>
                  </w:pPr>
                  <w:r>
                    <w:rPr>
                      <w:rFonts w:hint="default" w:ascii="Times New Roman" w:hAnsi="Times New Roman" w:cs="Times New Roman"/>
                      <w:color w:val="000000" w:themeColor="text1"/>
                      <w:w w:val="99"/>
                      <w:sz w:val="21"/>
                      <w:szCs w:val="21"/>
                      <w:lang w:val="zh-CN" w:bidi="zh-CN"/>
                    </w:rPr>
                    <w:t>三</w:t>
                  </w:r>
                </w:p>
              </w:tc>
              <w:tc>
                <w:tcPr>
                  <w:tcW w:w="2268" w:type="dxa"/>
                  <w:shd w:val="clear" w:color="auto" w:fill="D9D9D9"/>
                  <w:noWrap w:val="0"/>
                  <w:vAlign w:val="center"/>
                </w:tcPr>
                <w:p w14:paraId="7554BE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color w:val="000000" w:themeColor="text1"/>
                      <w:sz w:val="21"/>
                      <w:szCs w:val="21"/>
                      <w:lang w:val="zh-CN" w:bidi="zh-CN"/>
                    </w:rPr>
                  </w:pPr>
                  <w:r>
                    <w:rPr>
                      <w:rFonts w:hint="default" w:ascii="Times New Roman" w:hAnsi="Times New Roman" w:cs="Times New Roman"/>
                      <w:b/>
                      <w:color w:val="000000" w:themeColor="text1"/>
                      <w:sz w:val="21"/>
                      <w:szCs w:val="21"/>
                      <w:lang w:val="zh-CN" w:bidi="zh-CN"/>
                    </w:rPr>
                    <w:t>简单分析 a</w:t>
                  </w:r>
                </w:p>
              </w:tc>
            </w:tr>
            <w:tr w14:paraId="632EE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672" w:type="dxa"/>
                  <w:gridSpan w:val="5"/>
                  <w:noWrap w:val="0"/>
                  <w:vAlign w:val="center"/>
                </w:tcPr>
                <w:p w14:paraId="112587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ascii="Times New Roman" w:hAnsi="Times New Roman" w:cs="Times New Roman"/>
                      <w:color w:val="000000" w:themeColor="text1"/>
                      <w:sz w:val="21"/>
                      <w:szCs w:val="21"/>
                      <w:lang w:val="zh-CN" w:bidi="zh-CN"/>
                    </w:rPr>
                  </w:pPr>
                  <w:r>
                    <w:rPr>
                      <w:rFonts w:hint="default" w:ascii="Times New Roman" w:hAnsi="Times New Roman" w:cs="Times New Roman"/>
                      <w:color w:val="000000" w:themeColor="text1"/>
                      <w:sz w:val="18"/>
                      <w:szCs w:val="18"/>
                      <w:lang w:val="zh-CN" w:bidi="zh-CN"/>
                    </w:rPr>
                    <w:t>a 是相对于详细评价工作内容而言，在描述危险物质、环境影响途径、环境危害后果、风险防范措施等方面给出定性的说明。</w:t>
                  </w:r>
                </w:p>
              </w:tc>
            </w:tr>
          </w:tbl>
          <w:p w14:paraId="4BBBBB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根据上表的环境风险评价级别划分标准，本项目环境风险潜势为Ⅰ，环境风险评价工作等级为：简单分析。</w:t>
            </w:r>
          </w:p>
          <w:p w14:paraId="2FC995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textAlignment w:val="auto"/>
              <w:rPr>
                <w:rFonts w:hint="default" w:ascii="Times New Roman" w:hAnsi="Times New Roman" w:cs="Times New Roman"/>
                <w:b/>
                <w:bCs/>
                <w:color w:val="000000" w:themeColor="text1"/>
                <w:sz w:val="21"/>
                <w:szCs w:val="21"/>
              </w:rPr>
            </w:pPr>
            <w:r>
              <w:rPr>
                <w:rFonts w:hint="eastAsia" w:ascii="Times New Roman" w:hAnsi="Times New Roman" w:cs="Times New Roman"/>
                <w:b/>
                <w:bCs/>
                <w:color w:val="000000" w:themeColor="text1"/>
                <w:sz w:val="21"/>
                <w:szCs w:val="21"/>
              </w:rPr>
              <w:t>（4）</w:t>
            </w:r>
            <w:r>
              <w:rPr>
                <w:rFonts w:hint="default" w:ascii="Times New Roman" w:hAnsi="Times New Roman" w:cs="Times New Roman"/>
                <w:b/>
                <w:bCs/>
                <w:color w:val="000000" w:themeColor="text1"/>
                <w:sz w:val="21"/>
                <w:szCs w:val="21"/>
              </w:rPr>
              <w:t>环境风险分析</w:t>
            </w:r>
          </w:p>
          <w:p w14:paraId="4297DC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根据本项目工程特点，具体事故类型、环境污染特征、环境风险影响途径分析</w:t>
            </w:r>
            <w:r>
              <w:rPr>
                <w:rFonts w:hint="eastAsia" w:ascii="Times New Roman" w:hAnsi="Times New Roman" w:cs="Times New Roman"/>
                <w:color w:val="000000" w:themeColor="text1"/>
                <w:sz w:val="21"/>
                <w:szCs w:val="21"/>
              </w:rPr>
              <w:t>如下：</w:t>
            </w:r>
          </w:p>
          <w:p w14:paraId="39F238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表4-</w:t>
            </w:r>
            <w:r>
              <w:rPr>
                <w:rFonts w:hint="eastAsia" w:cs="Times New Roman"/>
                <w:b/>
                <w:bCs/>
                <w:color w:val="000000" w:themeColor="text1"/>
                <w:sz w:val="21"/>
                <w:szCs w:val="21"/>
                <w:lang w:val="en-US" w:eastAsia="zh-CN"/>
              </w:rPr>
              <w:t>17</w:t>
            </w:r>
            <w:r>
              <w:rPr>
                <w:rFonts w:hint="default" w:ascii="Times New Roman" w:hAnsi="Times New Roman" w:cs="Times New Roman"/>
                <w:b/>
                <w:bCs/>
                <w:color w:val="000000" w:themeColor="text1"/>
                <w:sz w:val="21"/>
                <w:szCs w:val="21"/>
              </w:rPr>
              <w:t xml:space="preserve">  </w:t>
            </w:r>
            <w:r>
              <w:rPr>
                <w:rFonts w:hint="eastAsia" w:ascii="Times New Roman" w:hAnsi="Times New Roman" w:cs="Times New Roman"/>
                <w:b/>
                <w:bCs/>
                <w:color w:val="000000" w:themeColor="text1"/>
                <w:sz w:val="21"/>
                <w:szCs w:val="21"/>
              </w:rPr>
              <w:t>环境风险影响途径分析</w:t>
            </w:r>
          </w:p>
          <w:tbl>
            <w:tblPr>
              <w:tblStyle w:val="43"/>
              <w:tblW w:w="7935" w:type="dxa"/>
              <w:jc w:val="center"/>
              <w:tblLayout w:type="fixed"/>
              <w:tblCellMar>
                <w:top w:w="0" w:type="dxa"/>
                <w:left w:w="57" w:type="dxa"/>
                <w:bottom w:w="0" w:type="dxa"/>
                <w:right w:w="57" w:type="dxa"/>
              </w:tblCellMar>
            </w:tblPr>
            <w:tblGrid>
              <w:gridCol w:w="1449"/>
              <w:gridCol w:w="992"/>
              <w:gridCol w:w="709"/>
              <w:gridCol w:w="708"/>
              <w:gridCol w:w="1134"/>
              <w:gridCol w:w="2943"/>
            </w:tblGrid>
            <w:tr w14:paraId="043FC7A3">
              <w:tblPrEx>
                <w:tblCellMar>
                  <w:top w:w="0" w:type="dxa"/>
                  <w:left w:w="57" w:type="dxa"/>
                  <w:bottom w:w="0" w:type="dxa"/>
                  <w:right w:w="57" w:type="dxa"/>
                </w:tblCellMar>
              </w:tblPrEx>
              <w:trPr>
                <w:trHeight w:val="397" w:hRule="atLeast"/>
                <w:jc w:val="center"/>
              </w:trPr>
              <w:tc>
                <w:tcPr>
                  <w:tcW w:w="1449" w:type="dxa"/>
                  <w:tcBorders>
                    <w:top w:val="single" w:color="000000" w:sz="4" w:space="0"/>
                    <w:left w:val="single" w:color="000000" w:sz="4" w:space="0"/>
                    <w:bottom w:val="single" w:color="000000" w:sz="4" w:space="0"/>
                    <w:right w:val="single" w:color="000000" w:sz="4" w:space="0"/>
                  </w:tcBorders>
                  <w:noWrap w:val="0"/>
                  <w:vAlign w:val="center"/>
                </w:tcPr>
                <w:p w14:paraId="66A894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sz w:val="21"/>
                      <w:szCs w:val="21"/>
                    </w:rPr>
                  </w:pPr>
                  <w:r>
                    <w:rPr>
                      <w:rFonts w:hint="eastAsia" w:ascii="Times New Roman" w:hAnsi="Times New Roman" w:cs="Times New Roman"/>
                      <w:b/>
                      <w:bCs/>
                      <w:color w:val="000000" w:themeColor="text1"/>
                      <w:sz w:val="21"/>
                      <w:szCs w:val="21"/>
                    </w:rPr>
                    <w:t>风险单元</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F70E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cs="Times New Roman"/>
                      <w:b/>
                      <w:bCs/>
                      <w:color w:val="000000" w:themeColor="text1"/>
                      <w:sz w:val="21"/>
                      <w:szCs w:val="21"/>
                    </w:rPr>
                  </w:pPr>
                  <w:r>
                    <w:rPr>
                      <w:rFonts w:hint="eastAsia" w:ascii="Times New Roman" w:hAnsi="Times New Roman" w:cs="Times New Roman"/>
                      <w:b/>
                      <w:bCs/>
                      <w:color w:val="000000" w:themeColor="text1"/>
                      <w:sz w:val="21"/>
                      <w:szCs w:val="21"/>
                    </w:rPr>
                    <w:t>潜在风险环节</w:t>
                  </w:r>
                </w:p>
              </w:tc>
              <w:tc>
                <w:tcPr>
                  <w:tcW w:w="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2045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sz w:val="21"/>
                      <w:szCs w:val="21"/>
                    </w:rPr>
                  </w:pPr>
                  <w:r>
                    <w:rPr>
                      <w:rFonts w:hint="eastAsia" w:ascii="Times New Roman" w:hAnsi="Times New Roman" w:cs="Times New Roman"/>
                      <w:b/>
                      <w:bCs/>
                      <w:color w:val="000000" w:themeColor="text1"/>
                      <w:sz w:val="21"/>
                      <w:szCs w:val="21"/>
                    </w:rPr>
                    <w:t>风险</w:t>
                  </w:r>
                </w:p>
                <w:p w14:paraId="21FD0A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sz w:val="21"/>
                      <w:szCs w:val="21"/>
                    </w:rPr>
                  </w:pPr>
                  <w:r>
                    <w:rPr>
                      <w:rFonts w:hint="eastAsia" w:ascii="Times New Roman" w:hAnsi="Times New Roman" w:cs="Times New Roman"/>
                      <w:b/>
                      <w:bCs/>
                      <w:color w:val="000000" w:themeColor="text1"/>
                      <w:sz w:val="21"/>
                      <w:szCs w:val="21"/>
                    </w:rPr>
                    <w:t>类型</w:t>
                  </w:r>
                </w:p>
              </w:tc>
              <w:tc>
                <w:tcPr>
                  <w:tcW w:w="7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C1C4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cs="Times New Roman"/>
                      <w:b/>
                      <w:bCs/>
                      <w:color w:val="000000" w:themeColor="text1"/>
                      <w:sz w:val="21"/>
                      <w:szCs w:val="21"/>
                    </w:rPr>
                  </w:pPr>
                  <w:r>
                    <w:rPr>
                      <w:rFonts w:hint="eastAsia" w:ascii="Times New Roman" w:hAnsi="Times New Roman" w:cs="Times New Roman"/>
                      <w:b/>
                      <w:bCs/>
                      <w:color w:val="000000" w:themeColor="text1"/>
                      <w:sz w:val="21"/>
                      <w:szCs w:val="21"/>
                    </w:rPr>
                    <w:t>风险物质</w:t>
                  </w:r>
                </w:p>
              </w:tc>
              <w:tc>
                <w:tcPr>
                  <w:tcW w:w="11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4C32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cs="Times New Roman"/>
                      <w:b/>
                      <w:bCs/>
                      <w:color w:val="000000" w:themeColor="text1"/>
                      <w:sz w:val="21"/>
                      <w:szCs w:val="21"/>
                    </w:rPr>
                  </w:pPr>
                  <w:r>
                    <w:rPr>
                      <w:rFonts w:hint="eastAsia" w:ascii="Times New Roman" w:hAnsi="Times New Roman" w:cs="Times New Roman"/>
                      <w:b/>
                      <w:bCs/>
                      <w:color w:val="000000" w:themeColor="text1"/>
                      <w:sz w:val="21"/>
                      <w:szCs w:val="21"/>
                    </w:rPr>
                    <w:t>危害对象</w:t>
                  </w:r>
                </w:p>
              </w:tc>
              <w:tc>
                <w:tcPr>
                  <w:tcW w:w="2943" w:type="dxa"/>
                  <w:tcBorders>
                    <w:top w:val="single" w:color="000000" w:sz="4" w:space="0"/>
                    <w:left w:val="single" w:color="000000" w:sz="4" w:space="0"/>
                    <w:bottom w:val="single" w:color="000000" w:sz="4" w:space="0"/>
                    <w:right w:val="single" w:color="000000" w:sz="4" w:space="0"/>
                  </w:tcBorders>
                  <w:noWrap w:val="0"/>
                  <w:vAlign w:val="center"/>
                </w:tcPr>
                <w:p w14:paraId="26CFC7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影响途径</w:t>
                  </w:r>
                </w:p>
              </w:tc>
            </w:tr>
            <w:tr w14:paraId="77870CF6">
              <w:tblPrEx>
                <w:tblCellMar>
                  <w:top w:w="0" w:type="dxa"/>
                  <w:left w:w="57" w:type="dxa"/>
                  <w:bottom w:w="0" w:type="dxa"/>
                  <w:right w:w="57" w:type="dxa"/>
                </w:tblCellMar>
              </w:tblPrEx>
              <w:trPr>
                <w:trHeight w:val="397" w:hRule="atLeast"/>
                <w:jc w:val="center"/>
              </w:trPr>
              <w:tc>
                <w:tcPr>
                  <w:tcW w:w="1449" w:type="dxa"/>
                  <w:tcBorders>
                    <w:top w:val="single" w:color="000000" w:sz="4" w:space="0"/>
                    <w:left w:val="single" w:color="000000" w:sz="4" w:space="0"/>
                    <w:bottom w:val="single" w:color="000000" w:sz="4" w:space="0"/>
                    <w:right w:val="single" w:color="000000" w:sz="4" w:space="0"/>
                  </w:tcBorders>
                  <w:noWrap w:val="0"/>
                  <w:vAlign w:val="center"/>
                </w:tcPr>
                <w:p w14:paraId="4F68C6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维修车间</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3F95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储存过程</w:t>
                  </w:r>
                </w:p>
              </w:tc>
              <w:tc>
                <w:tcPr>
                  <w:tcW w:w="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BEBB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泄漏</w:t>
                  </w:r>
                </w:p>
              </w:tc>
              <w:tc>
                <w:tcPr>
                  <w:tcW w:w="7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9396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机油</w:t>
                  </w:r>
                </w:p>
              </w:tc>
              <w:tc>
                <w:tcPr>
                  <w:tcW w:w="11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93BE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地表水、地下水、土壤</w:t>
                  </w:r>
                </w:p>
              </w:tc>
              <w:tc>
                <w:tcPr>
                  <w:tcW w:w="2943" w:type="dxa"/>
                  <w:tcBorders>
                    <w:top w:val="single" w:color="000000" w:sz="4" w:space="0"/>
                    <w:left w:val="single" w:color="000000" w:sz="4" w:space="0"/>
                    <w:bottom w:val="single" w:color="000000" w:sz="4" w:space="0"/>
                    <w:right w:val="single" w:color="000000" w:sz="4" w:space="0"/>
                  </w:tcBorders>
                  <w:noWrap w:val="0"/>
                  <w:vAlign w:val="center"/>
                </w:tcPr>
                <w:p w14:paraId="7E0856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收集和转运过程中若管理不当，导致渗漏和洒落至地面，并可能进入地表及地下水体，对土壤和水环境造成污染。</w:t>
                  </w:r>
                </w:p>
              </w:tc>
            </w:tr>
            <w:tr w14:paraId="3A2C4FBB">
              <w:tblPrEx>
                <w:tblCellMar>
                  <w:top w:w="0" w:type="dxa"/>
                  <w:left w:w="57" w:type="dxa"/>
                  <w:bottom w:w="0" w:type="dxa"/>
                  <w:right w:w="57" w:type="dxa"/>
                </w:tblCellMar>
              </w:tblPrEx>
              <w:trPr>
                <w:trHeight w:val="397" w:hRule="atLeast"/>
                <w:jc w:val="center"/>
              </w:trPr>
              <w:tc>
                <w:tcPr>
                  <w:tcW w:w="1449" w:type="dxa"/>
                  <w:tcBorders>
                    <w:top w:val="single" w:color="000000" w:sz="4" w:space="0"/>
                    <w:left w:val="single" w:color="000000" w:sz="4" w:space="0"/>
                    <w:bottom w:val="single" w:color="000000" w:sz="4" w:space="0"/>
                    <w:right w:val="single" w:color="000000" w:sz="4" w:space="0"/>
                  </w:tcBorders>
                  <w:noWrap w:val="0"/>
                  <w:vAlign w:val="center"/>
                </w:tcPr>
                <w:p w14:paraId="42B6ED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危废暂存间</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4363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储存过程</w:t>
                  </w:r>
                </w:p>
              </w:tc>
              <w:tc>
                <w:tcPr>
                  <w:tcW w:w="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CED4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泄漏</w:t>
                  </w:r>
                </w:p>
              </w:tc>
              <w:tc>
                <w:tcPr>
                  <w:tcW w:w="7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91D2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废机油</w:t>
                  </w:r>
                </w:p>
              </w:tc>
              <w:tc>
                <w:tcPr>
                  <w:tcW w:w="11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7908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地表水、地下水、土壤</w:t>
                  </w:r>
                </w:p>
              </w:tc>
              <w:tc>
                <w:tcPr>
                  <w:tcW w:w="2943" w:type="dxa"/>
                  <w:tcBorders>
                    <w:top w:val="single" w:color="000000" w:sz="4" w:space="0"/>
                    <w:left w:val="single" w:color="000000" w:sz="4" w:space="0"/>
                    <w:bottom w:val="single" w:color="000000" w:sz="4" w:space="0"/>
                    <w:right w:val="single" w:color="000000" w:sz="4" w:space="0"/>
                  </w:tcBorders>
                  <w:noWrap w:val="0"/>
                  <w:vAlign w:val="center"/>
                </w:tcPr>
                <w:p w14:paraId="473774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cs="Times New Roman"/>
                      <w:color w:val="000000" w:themeColor="text1"/>
                      <w:kern w:val="2"/>
                      <w:sz w:val="21"/>
                      <w:szCs w:val="21"/>
                      <w:lang w:val="en-US" w:eastAsia="zh-CN" w:bidi="ar-SA"/>
                    </w:rPr>
                  </w:pPr>
                  <w:r>
                    <w:rPr>
                      <w:rFonts w:hint="eastAsia" w:ascii="Times New Roman" w:hAnsi="Times New Roman" w:cs="Times New Roman"/>
                      <w:color w:val="000000" w:themeColor="text1"/>
                      <w:sz w:val="21"/>
                      <w:szCs w:val="21"/>
                    </w:rPr>
                    <w:t>收集和转运过程中若管理不当，导致渗漏和洒落至地面，并可能进入地表及地下水体，对土壤和水环境造成污染。</w:t>
                  </w:r>
                </w:p>
              </w:tc>
            </w:tr>
            <w:tr w14:paraId="3B01E334">
              <w:tblPrEx>
                <w:tblCellMar>
                  <w:top w:w="0" w:type="dxa"/>
                  <w:left w:w="57" w:type="dxa"/>
                  <w:bottom w:w="0" w:type="dxa"/>
                  <w:right w:w="57" w:type="dxa"/>
                </w:tblCellMar>
              </w:tblPrEx>
              <w:trPr>
                <w:trHeight w:val="397" w:hRule="atLeast"/>
                <w:jc w:val="center"/>
              </w:trPr>
              <w:tc>
                <w:tcPr>
                  <w:tcW w:w="1449" w:type="dxa"/>
                  <w:tcBorders>
                    <w:top w:val="single" w:color="000000" w:sz="4" w:space="0"/>
                    <w:left w:val="single" w:color="000000" w:sz="4" w:space="0"/>
                    <w:bottom w:val="single" w:color="000000" w:sz="4" w:space="0"/>
                    <w:right w:val="single" w:color="000000" w:sz="4" w:space="0"/>
                  </w:tcBorders>
                  <w:noWrap w:val="0"/>
                  <w:vAlign w:val="center"/>
                </w:tcPr>
                <w:p w14:paraId="0C10CC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rPr>
                    <w:t>原料</w:t>
                  </w:r>
                  <w:r>
                    <w:rPr>
                      <w:rFonts w:hint="eastAsia" w:ascii="Times New Roman" w:hAnsi="Times New Roman" w:cs="Times New Roman"/>
                      <w:color w:val="000000" w:themeColor="text1"/>
                      <w:sz w:val="21"/>
                      <w:szCs w:val="21"/>
                      <w:lang w:val="en-US" w:eastAsia="zh-CN"/>
                    </w:rPr>
                    <w:t>贮存区</w:t>
                  </w:r>
                  <w:r>
                    <w:rPr>
                      <w:rFonts w:hint="eastAsia" w:ascii="Times New Roman" w:hAnsi="Times New Roman" w:cs="Times New Roman"/>
                      <w:color w:val="000000" w:themeColor="text1"/>
                      <w:sz w:val="21"/>
                      <w:szCs w:val="21"/>
                    </w:rPr>
                    <w:t>、成品</w:t>
                  </w:r>
                  <w:r>
                    <w:rPr>
                      <w:rFonts w:hint="eastAsia" w:ascii="Times New Roman" w:hAnsi="Times New Roman" w:cs="Times New Roman"/>
                      <w:color w:val="000000" w:themeColor="text1"/>
                      <w:sz w:val="21"/>
                      <w:szCs w:val="21"/>
                      <w:lang w:val="en-US" w:eastAsia="zh-CN"/>
                    </w:rPr>
                    <w:t>贮存区</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E30B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lang w:val="en-US" w:eastAsia="zh-CN"/>
                    </w:rPr>
                    <w:t>储存过程</w:t>
                  </w:r>
                </w:p>
              </w:tc>
              <w:tc>
                <w:tcPr>
                  <w:tcW w:w="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68BD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火灾</w:t>
                  </w:r>
                </w:p>
              </w:tc>
              <w:tc>
                <w:tcPr>
                  <w:tcW w:w="7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62A4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纸制品</w:t>
                  </w:r>
                </w:p>
              </w:tc>
              <w:tc>
                <w:tcPr>
                  <w:tcW w:w="11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4865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环境空气、地表水、地下水、土壤</w:t>
                  </w:r>
                </w:p>
              </w:tc>
              <w:tc>
                <w:tcPr>
                  <w:tcW w:w="2943" w:type="dxa"/>
                  <w:tcBorders>
                    <w:top w:val="single" w:color="000000" w:sz="4" w:space="0"/>
                    <w:left w:val="single" w:color="000000" w:sz="4" w:space="0"/>
                    <w:bottom w:val="single" w:color="000000" w:sz="4" w:space="0"/>
                    <w:right w:val="single" w:color="000000" w:sz="4" w:space="0"/>
                  </w:tcBorders>
                  <w:noWrap w:val="0"/>
                  <w:vAlign w:val="center"/>
                </w:tcPr>
                <w:p w14:paraId="52420E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left"/>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处理过程中引发的污染主要包括燃烧时产生的烟气、扑灭火灾产生的消防废水。若不能得到及时有效的处理，可能会对大气环境、水环境和人群健康产生影响。</w:t>
                  </w:r>
                </w:p>
              </w:tc>
            </w:tr>
            <w:tr w14:paraId="7AE1595A">
              <w:tblPrEx>
                <w:tblCellMar>
                  <w:top w:w="0" w:type="dxa"/>
                  <w:left w:w="57" w:type="dxa"/>
                  <w:bottom w:w="0" w:type="dxa"/>
                  <w:right w:w="57" w:type="dxa"/>
                </w:tblCellMar>
              </w:tblPrEx>
              <w:trPr>
                <w:trHeight w:val="397" w:hRule="atLeast"/>
                <w:jc w:val="center"/>
              </w:trPr>
              <w:tc>
                <w:tcPr>
                  <w:tcW w:w="1449" w:type="dxa"/>
                  <w:tcBorders>
                    <w:top w:val="single" w:color="000000" w:sz="4" w:space="0"/>
                    <w:left w:val="single" w:color="000000" w:sz="4" w:space="0"/>
                    <w:bottom w:val="single" w:color="000000" w:sz="4" w:space="0"/>
                    <w:right w:val="single" w:color="000000" w:sz="4" w:space="0"/>
                  </w:tcBorders>
                  <w:noWrap w:val="0"/>
                  <w:vAlign w:val="center"/>
                </w:tcPr>
                <w:p w14:paraId="1DEBB6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废气处理设施</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B362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治理工程</w:t>
                  </w:r>
                </w:p>
              </w:tc>
              <w:tc>
                <w:tcPr>
                  <w:tcW w:w="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8F83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超标排放</w:t>
                  </w:r>
                </w:p>
              </w:tc>
              <w:tc>
                <w:tcPr>
                  <w:tcW w:w="7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CA4F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颗粒物</w:t>
                  </w:r>
                </w:p>
              </w:tc>
              <w:tc>
                <w:tcPr>
                  <w:tcW w:w="11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A3AF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环境空气</w:t>
                  </w:r>
                </w:p>
              </w:tc>
              <w:tc>
                <w:tcPr>
                  <w:tcW w:w="2943" w:type="dxa"/>
                  <w:tcBorders>
                    <w:top w:val="single" w:color="000000" w:sz="4" w:space="0"/>
                    <w:left w:val="single" w:color="000000" w:sz="4" w:space="0"/>
                    <w:bottom w:val="single" w:color="000000" w:sz="4" w:space="0"/>
                    <w:right w:val="single" w:color="000000" w:sz="4" w:space="0"/>
                  </w:tcBorders>
                  <w:noWrap w:val="0"/>
                  <w:vAlign w:val="center"/>
                </w:tcPr>
                <w:p w14:paraId="549855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left"/>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若废气处理设施发生故障，未经处理的废气直接排放会对周边环境造成影响。</w:t>
                  </w:r>
                </w:p>
              </w:tc>
            </w:tr>
            <w:tr w14:paraId="209A6993">
              <w:tblPrEx>
                <w:tblCellMar>
                  <w:top w:w="0" w:type="dxa"/>
                  <w:left w:w="57" w:type="dxa"/>
                  <w:bottom w:w="0" w:type="dxa"/>
                  <w:right w:w="57" w:type="dxa"/>
                </w:tblCellMar>
              </w:tblPrEx>
              <w:trPr>
                <w:trHeight w:val="397" w:hRule="atLeast"/>
                <w:jc w:val="center"/>
              </w:trPr>
              <w:tc>
                <w:tcPr>
                  <w:tcW w:w="1449" w:type="dxa"/>
                  <w:tcBorders>
                    <w:top w:val="single" w:color="000000" w:sz="4" w:space="0"/>
                    <w:left w:val="single" w:color="000000" w:sz="4" w:space="0"/>
                    <w:bottom w:val="single" w:color="000000" w:sz="4" w:space="0"/>
                    <w:right w:val="single" w:color="000000" w:sz="4" w:space="0"/>
                  </w:tcBorders>
                  <w:noWrap w:val="0"/>
                  <w:vAlign w:val="center"/>
                </w:tcPr>
                <w:p w14:paraId="3EE458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贮料池，废水循环系统</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1155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贮存和循环过程</w:t>
                  </w:r>
                </w:p>
              </w:tc>
              <w:tc>
                <w:tcPr>
                  <w:tcW w:w="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7704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泄漏</w:t>
                  </w:r>
                </w:p>
              </w:tc>
              <w:tc>
                <w:tcPr>
                  <w:tcW w:w="7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3BBB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生产废水</w:t>
                  </w:r>
                </w:p>
              </w:tc>
              <w:tc>
                <w:tcPr>
                  <w:tcW w:w="11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6424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u w:val="none"/>
                      <w:lang w:val="en-US" w:eastAsia="zh-CN"/>
                    </w:rPr>
                  </w:pPr>
                  <w:r>
                    <w:rPr>
                      <w:rFonts w:hint="eastAsia" w:ascii="Times New Roman" w:hAnsi="Times New Roman" w:cs="Times New Roman"/>
                      <w:color w:val="000000" w:themeColor="text1"/>
                      <w:sz w:val="21"/>
                      <w:szCs w:val="21"/>
                      <w:u w:val="none"/>
                      <w:lang w:val="en-US" w:eastAsia="zh-CN"/>
                    </w:rPr>
                    <w:t>地表水、地下水、土壤</w:t>
                  </w:r>
                </w:p>
              </w:tc>
              <w:tc>
                <w:tcPr>
                  <w:tcW w:w="2943" w:type="dxa"/>
                  <w:tcBorders>
                    <w:top w:val="single" w:color="000000" w:sz="4" w:space="0"/>
                    <w:left w:val="single" w:color="000000" w:sz="4" w:space="0"/>
                    <w:bottom w:val="single" w:color="000000" w:sz="4" w:space="0"/>
                    <w:right w:val="single" w:color="000000" w:sz="4" w:space="0"/>
                  </w:tcBorders>
                  <w:noWrap w:val="0"/>
                  <w:vAlign w:val="center"/>
                </w:tcPr>
                <w:p w14:paraId="12ED9E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left"/>
                    <w:textAlignment w:val="auto"/>
                    <w:rPr>
                      <w:rFonts w:hint="eastAsia" w:ascii="Times New Roman" w:hAnsi="Times New Roman" w:cs="Times New Roman"/>
                      <w:color w:val="000000" w:themeColor="text1"/>
                      <w:sz w:val="21"/>
                      <w:szCs w:val="21"/>
                      <w:u w:val="none"/>
                    </w:rPr>
                  </w:pPr>
                  <w:r>
                    <w:rPr>
                      <w:rFonts w:hint="eastAsia" w:ascii="Times New Roman" w:hAnsi="Times New Roman" w:eastAsia="宋体" w:cs="Times New Roman"/>
                      <w:color w:val="000000" w:themeColor="text1"/>
                      <w:kern w:val="2"/>
                      <w:sz w:val="21"/>
                      <w:szCs w:val="24"/>
                      <w:u w:val="none"/>
                      <w:lang w:val="en-US" w:eastAsia="zh-CN" w:bidi="ar"/>
                    </w:rPr>
                    <w:t>料池中的纸浆满溢或循环系统故障导致废水流出生产产区，</w:t>
                  </w:r>
                  <w:r>
                    <w:rPr>
                      <w:rFonts w:hint="eastAsia" w:ascii="Times New Roman" w:hAnsi="Times New Roman" w:cs="Times New Roman"/>
                      <w:color w:val="000000" w:themeColor="text1"/>
                      <w:sz w:val="21"/>
                      <w:szCs w:val="21"/>
                    </w:rPr>
                    <w:t>进入地表及地下水体，对土壤和水环境造成污染</w:t>
                  </w:r>
                  <w:r>
                    <w:rPr>
                      <w:rFonts w:hint="eastAsia" w:ascii="Times New Roman" w:hAnsi="Times New Roman" w:eastAsia="宋体" w:cs="Times New Roman"/>
                      <w:color w:val="000000" w:themeColor="text1"/>
                      <w:kern w:val="2"/>
                      <w:sz w:val="21"/>
                      <w:szCs w:val="24"/>
                      <w:u w:val="none"/>
                      <w:lang w:val="en-US" w:eastAsia="zh-CN" w:bidi="ar"/>
                    </w:rPr>
                    <w:t>水环境造成影响。</w:t>
                  </w:r>
                </w:p>
              </w:tc>
            </w:tr>
          </w:tbl>
          <w:p w14:paraId="4C3ED1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textAlignment w:val="auto"/>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（5）风险防范措施</w:t>
            </w:r>
          </w:p>
          <w:p w14:paraId="3DA7E6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textAlignment w:val="auto"/>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1）环保设施和生产设施防范措施</w:t>
            </w:r>
          </w:p>
          <w:p w14:paraId="0B3E39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宋体" w:hAnsi="宋体" w:cs="宋体"/>
                <w:color w:val="000000" w:themeColor="text1"/>
                <w:sz w:val="21"/>
                <w:szCs w:val="21"/>
              </w:rPr>
              <w:t>①</w:t>
            </w:r>
            <w:r>
              <w:rPr>
                <w:rFonts w:hint="default" w:ascii="Times New Roman" w:hAnsi="Times New Roman" w:cs="Times New Roman"/>
                <w:color w:val="000000" w:themeColor="text1"/>
                <w:sz w:val="21"/>
                <w:szCs w:val="21"/>
              </w:rPr>
              <w:t>定期检查项目各污水、废水管</w:t>
            </w:r>
            <w:r>
              <w:rPr>
                <w:rFonts w:hint="default" w:ascii="Times New Roman" w:hAnsi="Times New Roman" w:cs="Times New Roman"/>
                <w:color w:val="000000" w:themeColor="text1"/>
                <w:sz w:val="21"/>
                <w:szCs w:val="21"/>
                <w:u w:val="none"/>
              </w:rPr>
              <w:t>道、池体的完好性，</w:t>
            </w:r>
            <w:r>
              <w:rPr>
                <w:rFonts w:hint="eastAsia" w:ascii="Times New Roman" w:hAnsi="Times New Roman" w:eastAsia="宋体" w:cs="Times New Roman"/>
                <w:color w:val="000000" w:themeColor="text1"/>
                <w:kern w:val="2"/>
                <w:sz w:val="21"/>
                <w:szCs w:val="24"/>
                <w:u w:val="none"/>
                <w:lang w:val="en-US" w:eastAsia="zh-CN" w:bidi="ar"/>
              </w:rPr>
              <w:t>严格做好主生产装置区、配料池、制料池等池体的防渗以及收集、储存、处理设施防渗措施，确保主生产装置区、配料池、制料池等池体防渗设施完好，</w:t>
            </w:r>
            <w:r>
              <w:rPr>
                <w:rFonts w:hint="eastAsia" w:ascii="Times New Roman" w:hAnsi="Times New Roman" w:eastAsia="宋体" w:cs="Times New Roman"/>
                <w:color w:val="000000" w:themeColor="text1"/>
                <w:kern w:val="2"/>
                <w:sz w:val="21"/>
                <w:szCs w:val="21"/>
                <w:u w:val="none"/>
                <w:lang w:val="en-US" w:eastAsia="zh-CN" w:bidi="ar"/>
              </w:rPr>
              <w:t>一旦出现破损，应立即采取有效补漏措施，避免渗漏污染地下水、土壤环境。</w:t>
            </w:r>
          </w:p>
          <w:p w14:paraId="6DB98F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宋体" w:hAnsi="宋体" w:cs="宋体"/>
                <w:color w:val="000000" w:themeColor="text1"/>
                <w:sz w:val="21"/>
                <w:szCs w:val="21"/>
              </w:rPr>
              <w:t>②</w:t>
            </w:r>
            <w:r>
              <w:rPr>
                <w:rFonts w:hint="default" w:ascii="Times New Roman" w:hAnsi="Times New Roman" w:cs="Times New Roman"/>
                <w:color w:val="000000" w:themeColor="text1"/>
                <w:sz w:val="21"/>
                <w:szCs w:val="21"/>
              </w:rPr>
              <w:t>定期对废气收集排放系统进行检修维护，以降低因设备故障造成的事故排放；</w:t>
            </w:r>
          </w:p>
          <w:p w14:paraId="45AC0F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宋体" w:hAnsi="宋体" w:cs="宋体"/>
                <w:color w:val="000000" w:themeColor="text1"/>
                <w:sz w:val="21"/>
                <w:szCs w:val="21"/>
              </w:rPr>
              <w:t>③</w:t>
            </w:r>
            <w:r>
              <w:rPr>
                <w:rFonts w:hint="default" w:ascii="Times New Roman" w:hAnsi="Times New Roman" w:cs="Times New Roman"/>
                <w:color w:val="000000" w:themeColor="text1"/>
                <w:sz w:val="21"/>
                <w:szCs w:val="21"/>
              </w:rPr>
              <w:t>加强员工的岗前培训，强化安全意识，制定操作规程；</w:t>
            </w:r>
          </w:p>
          <w:p w14:paraId="4EBFF5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textAlignment w:val="auto"/>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2）</w:t>
            </w:r>
            <w:r>
              <w:rPr>
                <w:rFonts w:hint="default" w:ascii="宋体" w:hAnsi="宋体" w:eastAsia="宋体" w:cs="宋体"/>
                <w:b/>
                <w:bCs/>
                <w:color w:val="000000" w:themeColor="text1"/>
                <w:sz w:val="21"/>
                <w:szCs w:val="21"/>
              </w:rPr>
              <w:t>物料存储、使用过程</w:t>
            </w:r>
            <w:r>
              <w:rPr>
                <w:rFonts w:hint="default" w:ascii="Times New Roman" w:hAnsi="Times New Roman" w:cs="Times New Roman"/>
                <w:b/>
                <w:bCs/>
                <w:color w:val="000000" w:themeColor="text1"/>
                <w:sz w:val="21"/>
                <w:szCs w:val="21"/>
              </w:rPr>
              <w:t>防范措施</w:t>
            </w:r>
          </w:p>
          <w:p w14:paraId="68C9EA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宋体" w:hAnsi="宋体" w:eastAsia="宋体" w:cs="宋体"/>
                <w:color w:val="000000" w:themeColor="text1"/>
                <w:sz w:val="21"/>
                <w:szCs w:val="21"/>
              </w:rPr>
            </w:pPr>
            <w:r>
              <w:rPr>
                <w:rFonts w:hint="eastAsia" w:ascii="宋体" w:hAnsi="宋体" w:cs="宋体"/>
                <w:color w:val="000000" w:themeColor="text1"/>
                <w:sz w:val="21"/>
                <w:szCs w:val="21"/>
              </w:rPr>
              <w:t>①</w:t>
            </w:r>
            <w:r>
              <w:rPr>
                <w:rFonts w:hint="eastAsia" w:ascii="宋体" w:hAnsi="宋体" w:cs="宋体"/>
                <w:color w:val="000000" w:themeColor="text1"/>
                <w:sz w:val="21"/>
                <w:szCs w:val="21"/>
                <w:lang w:val="en-US" w:eastAsia="zh-CN"/>
              </w:rPr>
              <w:t>废机油/机油</w:t>
            </w:r>
            <w:r>
              <w:rPr>
                <w:rFonts w:hint="default" w:ascii="宋体" w:hAnsi="宋体" w:eastAsia="宋体" w:cs="宋体"/>
                <w:color w:val="000000" w:themeColor="text1"/>
                <w:sz w:val="21"/>
                <w:szCs w:val="21"/>
              </w:rPr>
              <w:t>在厂区使用专用容器，并将收集容器贴上标签，存储于</w:t>
            </w:r>
            <w:r>
              <w:rPr>
                <w:rFonts w:hint="eastAsia" w:ascii="宋体" w:hAnsi="宋体" w:eastAsia="宋体" w:cs="宋体"/>
                <w:color w:val="000000" w:themeColor="text1"/>
                <w:sz w:val="21"/>
                <w:szCs w:val="21"/>
                <w:lang w:val="en-US" w:eastAsia="zh-CN"/>
              </w:rPr>
              <w:t>专门的仓库或</w:t>
            </w:r>
            <w:r>
              <w:rPr>
                <w:rFonts w:hint="default" w:ascii="宋体" w:hAnsi="宋体" w:eastAsia="宋体" w:cs="宋体"/>
                <w:color w:val="000000" w:themeColor="text1"/>
                <w:sz w:val="21"/>
                <w:szCs w:val="21"/>
              </w:rPr>
              <w:t>危废暂存间内。危废暂存间设置“三防”措施。按照重点防渗区要求进行防渗处理。危废暂存间必须派专人进行管理，并严格执行危废暂存间的管理制度，降低管理产生的风险。</w:t>
            </w:r>
          </w:p>
          <w:p w14:paraId="6755AB05">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textAlignment w:val="auto"/>
              <w:rPr>
                <w:rFonts w:hint="eastAsia" w:hAnsi="宋体" w:cs="宋体"/>
                <w:color w:val="000000" w:themeColor="text1"/>
                <w:sz w:val="21"/>
                <w:szCs w:val="21"/>
                <w:lang w:eastAsia="zh-CN"/>
              </w:rPr>
            </w:pPr>
            <w:r>
              <w:rPr>
                <w:rFonts w:hint="eastAsia" w:ascii="宋体" w:hAnsi="宋体" w:cs="宋体"/>
                <w:color w:val="000000" w:themeColor="text1"/>
                <w:sz w:val="21"/>
                <w:szCs w:val="21"/>
              </w:rPr>
              <w:t>②对各类废纸按计划采购、分期分批入库，严格控制贮存量</w:t>
            </w:r>
            <w:r>
              <w:rPr>
                <w:rFonts w:hint="eastAsia" w:hAnsi="宋体" w:cs="宋体"/>
                <w:color w:val="000000" w:themeColor="text1"/>
                <w:sz w:val="21"/>
                <w:szCs w:val="21"/>
                <w:lang w:eastAsia="zh-CN"/>
              </w:rPr>
              <w:t>；</w:t>
            </w:r>
          </w:p>
          <w:p w14:paraId="5A45A6FA">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textAlignment w:val="auto"/>
              <w:rPr>
                <w:rFonts w:hint="eastAsia" w:hAnsi="宋体" w:cs="宋体"/>
                <w:color w:val="000000" w:themeColor="text1"/>
                <w:sz w:val="21"/>
                <w:szCs w:val="21"/>
                <w:lang w:eastAsia="zh-CN"/>
              </w:rPr>
            </w:pPr>
            <w:r>
              <w:rPr>
                <w:rFonts w:hint="eastAsia" w:ascii="宋体" w:hAnsi="宋体" w:cs="宋体"/>
                <w:color w:val="000000" w:themeColor="text1"/>
                <w:sz w:val="21"/>
                <w:szCs w:val="21"/>
              </w:rPr>
              <w:t>③</w:t>
            </w:r>
            <w:r>
              <w:rPr>
                <w:rFonts w:hint="eastAsia" w:hAnsi="宋体" w:cs="宋体"/>
                <w:color w:val="000000" w:themeColor="text1"/>
                <w:sz w:val="21"/>
                <w:szCs w:val="21"/>
                <w:lang w:eastAsia="zh-CN"/>
              </w:rPr>
              <w:t>对各类火种、货源和有散发火花危险的机械设备、作业活动，以及可燃、易燃物品的控制和管理。</w:t>
            </w:r>
          </w:p>
          <w:p w14:paraId="5825C7B6">
            <w:pPr>
              <w:keepNext w:val="0"/>
              <w:keepLines w:val="0"/>
              <w:suppressLineNumbers w:val="0"/>
              <w:spacing w:before="0" w:beforeAutospacing="0" w:after="0" w:afterAutospacing="0"/>
              <w:ind w:left="0" w:right="0"/>
              <w:rPr>
                <w:rFonts w:hint="default"/>
                <w:lang w:val="en-US" w:eastAsia="zh-CN"/>
              </w:rPr>
            </w:pPr>
            <w:r>
              <w:rPr>
                <w:rFonts w:hint="eastAsia" w:hAnsi="宋体" w:cs="宋体"/>
                <w:color w:val="00B050"/>
                <w:sz w:val="21"/>
                <w:szCs w:val="21"/>
                <w:lang w:val="en-US" w:eastAsia="zh-CN"/>
              </w:rPr>
              <w:t>④为避免贮料池和配料池事故泄漏对周边地表水造成污染，本次要求在项目制料区设置环形明沟，并设置排水管道与事故水池相连，配料区建设1个不小于160m³的事故应急池，对贮料池、配料池、事故水池及生产线区域进行一般防渗，确保一般防渗区地面防渗能力相当于等效黏土防渗层Mb≥1.5m，渗透系数K≤1.0×10</w:t>
            </w:r>
            <w:r>
              <w:rPr>
                <w:rFonts w:hint="eastAsia" w:hAnsi="宋体" w:cs="宋体"/>
                <w:color w:val="00B050"/>
                <w:sz w:val="21"/>
                <w:szCs w:val="21"/>
                <w:vertAlign w:val="superscript"/>
                <w:lang w:val="en-US" w:eastAsia="zh-CN"/>
              </w:rPr>
              <w:t>-7</w:t>
            </w:r>
            <w:r>
              <w:rPr>
                <w:rFonts w:hint="eastAsia" w:hAnsi="宋体" w:cs="宋体"/>
                <w:color w:val="00B050"/>
                <w:sz w:val="21"/>
                <w:szCs w:val="21"/>
                <w:lang w:val="en-US" w:eastAsia="zh-CN"/>
              </w:rPr>
              <w:t>cm/s。</w:t>
            </w:r>
          </w:p>
          <w:p w14:paraId="6964F7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3）其他风险防范措施</w:t>
            </w:r>
          </w:p>
          <w:p w14:paraId="50A899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宋体" w:hAnsi="宋体" w:cs="宋体"/>
                <w:color w:val="000000" w:themeColor="text1"/>
                <w:sz w:val="21"/>
                <w:szCs w:val="21"/>
              </w:rPr>
              <w:t>①</w:t>
            </w:r>
            <w:r>
              <w:rPr>
                <w:rFonts w:hint="default" w:ascii="Times New Roman" w:hAnsi="Times New Roman" w:cs="Times New Roman"/>
                <w:color w:val="000000" w:themeColor="text1"/>
                <w:sz w:val="21"/>
                <w:szCs w:val="21"/>
              </w:rPr>
              <w:t>远离火种、热源。</w:t>
            </w:r>
          </w:p>
          <w:p w14:paraId="64C4A1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宋体" w:hAnsi="宋体" w:cs="宋体"/>
                <w:color w:val="000000" w:themeColor="text1"/>
                <w:sz w:val="21"/>
                <w:szCs w:val="21"/>
              </w:rPr>
              <w:t>②</w:t>
            </w:r>
            <w:r>
              <w:rPr>
                <w:rFonts w:hint="default" w:ascii="Times New Roman" w:hAnsi="Times New Roman" w:cs="Times New Roman"/>
                <w:color w:val="000000" w:themeColor="text1"/>
                <w:sz w:val="21"/>
                <w:szCs w:val="21"/>
              </w:rPr>
              <w:t>储存区应备有泄漏应急处理设备和合适的收容材料。</w:t>
            </w:r>
          </w:p>
          <w:p w14:paraId="2D0DD2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宋体" w:hAnsi="宋体" w:cs="宋体"/>
                <w:color w:val="000000" w:themeColor="text1"/>
                <w:sz w:val="21"/>
                <w:szCs w:val="21"/>
              </w:rPr>
              <w:t>③</w:t>
            </w:r>
            <w:r>
              <w:rPr>
                <w:rFonts w:hint="default" w:ascii="Times New Roman" w:hAnsi="Times New Roman" w:cs="Times New Roman"/>
                <w:color w:val="000000" w:themeColor="text1"/>
                <w:sz w:val="21"/>
                <w:szCs w:val="21"/>
              </w:rPr>
              <w:t>贴有安全事故告知标识、区域安全提示牌、“禁止烟火”、“职业病危害告知”等制度及标识。</w:t>
            </w:r>
          </w:p>
          <w:p w14:paraId="201E48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宋体" w:hAnsi="宋体" w:cs="宋体"/>
                <w:color w:val="000000" w:themeColor="text1"/>
                <w:sz w:val="21"/>
                <w:szCs w:val="21"/>
              </w:rPr>
              <w:t>④</w:t>
            </w:r>
            <w:r>
              <w:rPr>
                <w:rFonts w:hint="default" w:ascii="Times New Roman" w:hAnsi="Times New Roman" w:cs="Times New Roman"/>
                <w:color w:val="000000" w:themeColor="text1"/>
                <w:sz w:val="21"/>
                <w:szCs w:val="21"/>
              </w:rPr>
              <w:t>加强生产设备、环保设备运行管理，厂区各设施及生产、危废存储区均按照相关标准及规范设置。从物品存储、运输等全过程控制产品泄漏，采取行之有效的防渗措施，定期检查，及时消除污染隐患，杜绝跑冒滴漏现象：发现有污染物泄漏或渗漏，及时清理污染物和修补漏洞等补救措施。废气处理设备和生产设备同步投入运行，废气处理设备发生故障时，企业采取停止生产的措施。</w:t>
            </w:r>
          </w:p>
          <w:p w14:paraId="752BA4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宋体" w:hAnsi="宋体" w:cs="宋体"/>
                <w:color w:val="000000" w:themeColor="text1"/>
                <w:sz w:val="21"/>
                <w:szCs w:val="21"/>
              </w:rPr>
              <w:t>⑤</w:t>
            </w:r>
            <w:r>
              <w:rPr>
                <w:rFonts w:hint="default" w:ascii="Times New Roman" w:hAnsi="Times New Roman" w:cs="Times New Roman"/>
                <w:color w:val="000000" w:themeColor="text1"/>
                <w:sz w:val="21"/>
                <w:szCs w:val="21"/>
              </w:rPr>
              <w:t>采取三级防控措施</w:t>
            </w:r>
          </w:p>
          <w:p w14:paraId="072CC2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为了防范和控制事故时或事故处理过程中产生的物料和污水对周边水体环境的污染 和危害、降低环境风险、确保环境安全，本项目建立“三级防控”体系，确保事故状况下废水不对周边环境产生影响。</w:t>
            </w:r>
          </w:p>
          <w:p w14:paraId="6A3E9789">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rPr>
            </w:pPr>
            <w:r>
              <w:rPr>
                <w:rFonts w:hint="eastAsia" w:ascii="Times New Roman" w:hAnsi="Times New Roman" w:cs="Times New Roman"/>
                <w:color w:val="000000" w:themeColor="text1"/>
                <w:sz w:val="21"/>
              </w:rPr>
              <w:t>①一级防控</w:t>
            </w:r>
          </w:p>
          <w:p w14:paraId="79E2BD37">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rPr>
            </w:pPr>
            <w:r>
              <w:rPr>
                <w:rFonts w:hint="eastAsia" w:ascii="Times New Roman" w:hAnsi="Times New Roman" w:cs="Times New Roman"/>
                <w:color w:val="000000" w:themeColor="text1"/>
                <w:sz w:val="21"/>
              </w:rPr>
              <w:t>项目</w:t>
            </w:r>
            <w:r>
              <w:rPr>
                <w:rFonts w:hint="eastAsia" w:ascii="Times New Roman" w:hAnsi="Times New Roman" w:cs="Times New Roman"/>
                <w:color w:val="000000" w:themeColor="text1"/>
                <w:sz w:val="21"/>
                <w:lang w:val="en-US" w:eastAsia="zh-CN"/>
              </w:rPr>
              <w:t>制料</w:t>
            </w:r>
            <w:r>
              <w:rPr>
                <w:rFonts w:hint="eastAsia" w:ascii="Times New Roman" w:hAnsi="Times New Roman" w:cs="Times New Roman"/>
                <w:color w:val="000000" w:themeColor="text1"/>
                <w:sz w:val="21"/>
              </w:rPr>
              <w:t>区设置环形明沟，并设置排水管道与事故水池相连。</w:t>
            </w:r>
          </w:p>
          <w:p w14:paraId="270853A2">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rPr>
            </w:pPr>
            <w:r>
              <w:rPr>
                <w:rFonts w:hint="eastAsia" w:ascii="Times New Roman" w:hAnsi="Times New Roman" w:cs="Times New Roman"/>
                <w:color w:val="000000" w:themeColor="text1"/>
                <w:sz w:val="21"/>
              </w:rPr>
              <w:t>②二级防控</w:t>
            </w:r>
          </w:p>
          <w:p w14:paraId="4E93F8C5">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rPr>
            </w:pPr>
            <w:r>
              <w:rPr>
                <w:rFonts w:hint="eastAsia" w:ascii="Times New Roman" w:hAnsi="Times New Roman" w:cs="Times New Roman"/>
                <w:color w:val="000000" w:themeColor="text1"/>
                <w:sz w:val="21"/>
              </w:rPr>
              <w:t>为避免储存罐泄漏对周边地表水造成污染，本次要求在</w:t>
            </w:r>
            <w:r>
              <w:rPr>
                <w:rFonts w:hint="eastAsia" w:ascii="Times New Roman" w:hAnsi="Times New Roman" w:cs="Times New Roman"/>
                <w:color w:val="000000" w:themeColor="text1"/>
                <w:sz w:val="21"/>
                <w:lang w:val="en-US" w:eastAsia="zh-CN"/>
              </w:rPr>
              <w:t>制料</w:t>
            </w:r>
            <w:r>
              <w:rPr>
                <w:rFonts w:hint="eastAsia" w:ascii="Times New Roman" w:hAnsi="Times New Roman" w:cs="Times New Roman"/>
                <w:color w:val="000000" w:themeColor="text1"/>
                <w:sz w:val="21"/>
              </w:rPr>
              <w:t>区建设1个不小于160m</w:t>
            </w:r>
            <w:r>
              <w:rPr>
                <w:rFonts w:hint="eastAsia" w:ascii="Times New Roman" w:hAnsi="Times New Roman" w:cs="Times New Roman"/>
                <w:color w:val="000000" w:themeColor="text1"/>
                <w:sz w:val="21"/>
                <w:vertAlign w:val="superscript"/>
              </w:rPr>
              <w:t>3</w:t>
            </w:r>
            <w:r>
              <w:rPr>
                <w:rFonts w:hint="eastAsia" w:ascii="Times New Roman" w:hAnsi="Times New Roman" w:cs="Times New Roman"/>
                <w:color w:val="000000" w:themeColor="text1"/>
                <w:sz w:val="21"/>
              </w:rPr>
              <w:t>（考虑1.2的安全序数）的事故应急池。</w:t>
            </w:r>
          </w:p>
          <w:p w14:paraId="0A8BE4FD">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color w:val="000000" w:themeColor="text1"/>
                <w:sz w:val="21"/>
              </w:rPr>
            </w:pPr>
            <w:r>
              <w:rPr>
                <w:rFonts w:hint="eastAsia" w:ascii="Times New Roman" w:hAnsi="Times New Roman" w:cs="Times New Roman"/>
                <w:color w:val="000000" w:themeColor="text1"/>
                <w:sz w:val="21"/>
              </w:rPr>
              <w:t>③三级防控</w:t>
            </w:r>
          </w:p>
          <w:p w14:paraId="2A6258BC">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rPr>
            </w:pPr>
            <w:r>
              <w:rPr>
                <w:rFonts w:hint="eastAsia" w:ascii="Times New Roman" w:hAnsi="Times New Roman" w:cs="Times New Roman"/>
                <w:color w:val="000000" w:themeColor="text1"/>
                <w:sz w:val="21"/>
              </w:rPr>
              <w:t>项目在厂区雨水排放口设置总阀门，当厂区发生事故时，第一时间关闭阀门，截断废水外排途径。</w:t>
            </w:r>
          </w:p>
          <w:p w14:paraId="748610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textAlignment w:val="auto"/>
              <w:rPr>
                <w:rFonts w:hint="default" w:ascii="Times New Roman" w:hAnsi="Times New Roman" w:cs="Times New Roman"/>
                <w:b/>
                <w:bCs/>
                <w:color w:val="000000" w:themeColor="text1"/>
                <w:sz w:val="21"/>
                <w:szCs w:val="21"/>
              </w:rPr>
            </w:pPr>
            <w:r>
              <w:rPr>
                <w:rFonts w:hint="eastAsia" w:ascii="Times New Roman" w:hAnsi="Times New Roman" w:cs="Times New Roman"/>
                <w:b/>
                <w:bCs/>
                <w:color w:val="000000" w:themeColor="text1"/>
                <w:sz w:val="21"/>
                <w:szCs w:val="21"/>
              </w:rPr>
              <w:t>（6）</w:t>
            </w:r>
            <w:r>
              <w:rPr>
                <w:rFonts w:hint="default" w:ascii="Times New Roman" w:hAnsi="Times New Roman" w:cs="Times New Roman"/>
                <w:b/>
                <w:bCs/>
                <w:color w:val="000000" w:themeColor="text1"/>
                <w:sz w:val="21"/>
                <w:szCs w:val="21"/>
              </w:rPr>
              <w:t>应急要求</w:t>
            </w:r>
          </w:p>
          <w:p w14:paraId="52A600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w:t>
            </w:r>
            <w:r>
              <w:rPr>
                <w:rFonts w:hint="default" w:ascii="Times New Roman" w:hAnsi="Times New Roman" w:cs="Times New Roman"/>
                <w:color w:val="000000" w:themeColor="text1"/>
                <w:sz w:val="21"/>
                <w:szCs w:val="21"/>
              </w:rPr>
              <w:t>按照相关要求企业应该编制环境风险事故应急预案，本着立足“自救为主，外援为辅，统一指挥，当机立断”原则，制定防止重大环境污染事故发生的工作计划、消除事故隐患的措施及突发性事故应急处理办法等。</w:t>
            </w:r>
          </w:p>
          <w:p w14:paraId="29CE65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w:t>
            </w:r>
            <w:r>
              <w:rPr>
                <w:rFonts w:hint="default" w:ascii="Times New Roman" w:hAnsi="Times New Roman" w:cs="Times New Roman"/>
                <w:color w:val="000000" w:themeColor="text1"/>
                <w:sz w:val="21"/>
                <w:szCs w:val="21"/>
              </w:rPr>
              <w:t>一旦出现突发事故，必须按事先拟定的应急预案，进行紧急处理。它包括应急状态分类、应急计划区、事故等级水平、应急防护和应急医学处理等。运行人员在巡视设备中，发现导热油炉发生泄露，及时汇报和通知公司人员进行抢修。并设好围挡、悬挂标示牌，疏散现场财物，并向主管生产的部门汇报；</w:t>
            </w:r>
          </w:p>
          <w:p w14:paraId="4BF0CE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3）</w:t>
            </w:r>
            <w:r>
              <w:rPr>
                <w:rFonts w:hint="default" w:ascii="Times New Roman" w:hAnsi="Times New Roman" w:cs="Times New Roman"/>
                <w:color w:val="000000" w:themeColor="text1"/>
                <w:sz w:val="21"/>
                <w:szCs w:val="21"/>
              </w:rPr>
              <w:t>发生</w:t>
            </w:r>
            <w:r>
              <w:rPr>
                <w:rFonts w:hint="eastAsia" w:ascii="Times New Roman" w:hAnsi="Times New Roman" w:cs="Times New Roman"/>
                <w:color w:val="000000" w:themeColor="text1"/>
                <w:sz w:val="21"/>
                <w:szCs w:val="21"/>
              </w:rPr>
              <w:t>物料</w:t>
            </w:r>
            <w:r>
              <w:rPr>
                <w:rFonts w:hint="default" w:ascii="Times New Roman" w:hAnsi="Times New Roman" w:cs="Times New Roman"/>
                <w:color w:val="000000" w:themeColor="text1"/>
                <w:sz w:val="21"/>
                <w:szCs w:val="21"/>
              </w:rPr>
              <w:t>泄露，不得有明火靠近，并严格按照消防管理制度执行；企业应指定专人负责抢修现场指挥，及时组织抢修人员进行查漏、堵漏，严防事故有外漏而造成的环境污染。</w:t>
            </w:r>
          </w:p>
          <w:p w14:paraId="5735BD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4）</w:t>
            </w:r>
            <w:r>
              <w:rPr>
                <w:rFonts w:hint="default" w:ascii="Times New Roman" w:hAnsi="Times New Roman" w:cs="Times New Roman"/>
                <w:color w:val="000000" w:themeColor="text1"/>
                <w:sz w:val="21"/>
                <w:szCs w:val="21"/>
              </w:rPr>
              <w:t>发生泄漏、火灾事故，事故应急方案及时启动，可有效防止事故蔓延；发现锅炉废气排气异常，及时停止锅炉运行，避免废气污染物继续产生，及时组织抢修人员进行维修，检修完成前，不得继续运行。</w:t>
            </w:r>
          </w:p>
          <w:p w14:paraId="141A71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5</w:t>
            </w:r>
            <w:r>
              <w:rPr>
                <w:rFonts w:hint="default" w:ascii="Times New Roman" w:hAnsi="Times New Roman" w:cs="Times New Roman"/>
                <w:color w:val="000000" w:themeColor="text1"/>
                <w:sz w:val="21"/>
                <w:szCs w:val="21"/>
              </w:rPr>
              <w:t>）突发环境事件应急预案编制要求</w:t>
            </w:r>
          </w:p>
          <w:p w14:paraId="18A726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lang w:val="zh-CN"/>
              </w:rPr>
            </w:pPr>
            <w:r>
              <w:rPr>
                <w:rFonts w:hint="eastAsia" w:ascii="Times New Roman" w:hAnsi="Times New Roman" w:cs="Times New Roman"/>
                <w:color w:val="000000" w:themeColor="text1"/>
                <w:sz w:val="21"/>
                <w:szCs w:val="21"/>
              </w:rPr>
              <w:t>编制</w:t>
            </w:r>
            <w:r>
              <w:rPr>
                <w:rFonts w:hint="default" w:ascii="Times New Roman" w:hAnsi="Times New Roman" w:cs="Times New Roman"/>
                <w:color w:val="000000" w:themeColor="text1"/>
                <w:sz w:val="21"/>
                <w:szCs w:val="21"/>
              </w:rPr>
              <w:t>风险应急预案</w:t>
            </w:r>
            <w:r>
              <w:rPr>
                <w:rFonts w:hint="eastAsia" w:ascii="Times New Roman" w:hAnsi="Times New Roman" w:cs="Times New Roman"/>
                <w:color w:val="000000" w:themeColor="text1"/>
                <w:sz w:val="21"/>
                <w:szCs w:val="21"/>
              </w:rPr>
              <w:t>，</w:t>
            </w:r>
            <w:r>
              <w:rPr>
                <w:rFonts w:hint="default" w:ascii="Times New Roman" w:hAnsi="Times New Roman" w:cs="Times New Roman"/>
                <w:color w:val="000000" w:themeColor="text1"/>
                <w:sz w:val="21"/>
                <w:szCs w:val="21"/>
                <w:lang w:val="zh-CN"/>
              </w:rPr>
              <w:t>为有效应对突发环境事件，提高应对突发环境事件的能力，将突发环境事件对人员、财产和环境造成的损失降至最小程度、最大限度地保障人民群众的生命财产安全及环境安全，维护社会稳定，促进企业全面、协调、持续发展。根据《中华人民共和国环境保护法》、《中华人民共和国水污染防治法》、《中华人民共和国大气污染防治法》、《危险化学品安全管理条例》（国务院344号）以及《中华人民共和国安全生产法》的相关规定，结合建设单位的实际情况，建设单位应参照《建设项目环境风险评价技术导则》（HJ169-20</w:t>
            </w:r>
            <w:r>
              <w:rPr>
                <w:rFonts w:hint="default" w:ascii="Times New Roman" w:hAnsi="Times New Roman" w:cs="Times New Roman"/>
                <w:color w:val="000000" w:themeColor="text1"/>
                <w:sz w:val="21"/>
                <w:szCs w:val="21"/>
              </w:rPr>
              <w:t>18</w:t>
            </w:r>
            <w:r>
              <w:rPr>
                <w:rFonts w:hint="default" w:ascii="Times New Roman" w:hAnsi="Times New Roman" w:cs="Times New Roman"/>
                <w:color w:val="000000" w:themeColor="text1"/>
                <w:sz w:val="21"/>
                <w:szCs w:val="21"/>
                <w:lang w:val="zh-CN"/>
              </w:rPr>
              <w:t>）的相关要求，制定</w:t>
            </w:r>
            <w:r>
              <w:rPr>
                <w:rFonts w:hint="default" w:ascii="Times New Roman" w:hAnsi="Times New Roman" w:cs="Times New Roman"/>
                <w:color w:val="000000" w:themeColor="text1"/>
                <w:sz w:val="21"/>
                <w:szCs w:val="21"/>
              </w:rPr>
              <w:t>突发</w:t>
            </w:r>
            <w:r>
              <w:rPr>
                <w:rFonts w:hint="default" w:ascii="Times New Roman" w:hAnsi="Times New Roman" w:cs="Times New Roman"/>
                <w:color w:val="000000" w:themeColor="text1"/>
                <w:sz w:val="21"/>
                <w:szCs w:val="21"/>
                <w:lang w:val="zh-CN"/>
              </w:rPr>
              <w:t>环境风险应急预案，并上报</w:t>
            </w:r>
            <w:r>
              <w:rPr>
                <w:rFonts w:hint="eastAsia" w:ascii="Times New Roman" w:hAnsi="Times New Roman" w:cs="Times New Roman"/>
                <w:color w:val="000000" w:themeColor="text1"/>
                <w:sz w:val="21"/>
                <w:szCs w:val="21"/>
                <w:lang w:val="zh-CN"/>
              </w:rPr>
              <w:t>当地环保部门</w:t>
            </w:r>
            <w:r>
              <w:rPr>
                <w:rFonts w:hint="default" w:ascii="Times New Roman" w:hAnsi="Times New Roman" w:cs="Times New Roman"/>
                <w:color w:val="000000" w:themeColor="text1"/>
                <w:sz w:val="21"/>
                <w:szCs w:val="21"/>
                <w:lang w:val="zh-CN"/>
              </w:rPr>
              <w:t>备案。</w:t>
            </w:r>
          </w:p>
          <w:p w14:paraId="770807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textAlignment w:val="auto"/>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w:t>
            </w:r>
            <w:r>
              <w:rPr>
                <w:rFonts w:hint="eastAsia" w:ascii="Times New Roman" w:hAnsi="Times New Roman" w:cs="Times New Roman"/>
                <w:b/>
                <w:bCs/>
                <w:color w:val="000000" w:themeColor="text1"/>
                <w:sz w:val="21"/>
                <w:szCs w:val="21"/>
              </w:rPr>
              <w:t>7</w:t>
            </w:r>
            <w:r>
              <w:rPr>
                <w:rFonts w:hint="default" w:ascii="Times New Roman" w:hAnsi="Times New Roman" w:cs="Times New Roman"/>
                <w:b/>
                <w:bCs/>
                <w:color w:val="000000" w:themeColor="text1"/>
                <w:sz w:val="21"/>
                <w:szCs w:val="21"/>
              </w:rPr>
              <w:t>）分析结论</w:t>
            </w:r>
          </w:p>
          <w:p w14:paraId="790859BC">
            <w:pPr>
              <w:pStyle w:val="3"/>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right="0" w:firstLine="420" w:firstLineChars="200"/>
              <w:textAlignment w:val="auto"/>
              <w:rPr>
                <w:rFonts w:hint="default" w:ascii="Times New Roman" w:hAnsi="Times New Roman" w:eastAsia="宋体" w:cs="Times New Roman"/>
                <w:b w:val="0"/>
                <w:bCs/>
                <w:color w:val="000000" w:themeColor="text1"/>
                <w:sz w:val="21"/>
                <w:szCs w:val="21"/>
              </w:rPr>
            </w:pPr>
            <w:r>
              <w:rPr>
                <w:rFonts w:hint="default" w:ascii="Times New Roman" w:hAnsi="Times New Roman" w:eastAsia="宋体" w:cs="Times New Roman"/>
                <w:b w:val="0"/>
                <w:bCs/>
                <w:color w:val="000000" w:themeColor="text1"/>
                <w:sz w:val="21"/>
                <w:szCs w:val="21"/>
              </w:rPr>
              <w:t>本项目环境风险潜势为I，潜在危险性较小。建设单位应按照相关要求，做好风险防范和减缓措施，杜绝环境风险事故的发生。只要企业严格按照有关规范标准、规范及条例的要求，认真落实环境风险防范措施，则环境风险对周围环境的影响是可以接受的。</w:t>
            </w:r>
          </w:p>
          <w:p w14:paraId="370EB288">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641"/>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b/>
                <w:bCs/>
                <w:color w:val="000000" w:themeColor="text1"/>
                <w:sz w:val="21"/>
                <w:szCs w:val="21"/>
              </w:rPr>
              <w:t>表4-</w:t>
            </w:r>
            <w:r>
              <w:rPr>
                <w:rFonts w:hint="eastAsia" w:ascii="Times New Roman" w:hAnsi="Times New Roman" w:cs="Times New Roman"/>
                <w:b/>
                <w:bCs/>
                <w:color w:val="000000" w:themeColor="text1"/>
                <w:sz w:val="21"/>
                <w:szCs w:val="21"/>
                <w:lang w:val="en-US" w:eastAsia="zh-CN"/>
              </w:rPr>
              <w:t>1</w:t>
            </w:r>
            <w:r>
              <w:rPr>
                <w:rFonts w:hint="eastAsia" w:cs="Times New Roman"/>
                <w:b/>
                <w:bCs/>
                <w:color w:val="000000" w:themeColor="text1"/>
                <w:sz w:val="21"/>
                <w:szCs w:val="21"/>
                <w:lang w:val="en-US" w:eastAsia="zh-CN"/>
              </w:rPr>
              <w:t>8</w:t>
            </w:r>
            <w:r>
              <w:rPr>
                <w:rFonts w:hint="eastAsia" w:ascii="Times New Roman" w:hAnsi="Times New Roman" w:cs="Times New Roman"/>
                <w:b/>
                <w:bCs/>
                <w:color w:val="000000" w:themeColor="text1"/>
                <w:sz w:val="21"/>
                <w:szCs w:val="21"/>
                <w:lang w:val="en-US" w:eastAsia="zh-CN"/>
              </w:rPr>
              <w:t xml:space="preserve">  </w:t>
            </w:r>
            <w:r>
              <w:rPr>
                <w:rFonts w:hint="default" w:ascii="Times New Roman" w:hAnsi="Times New Roman" w:cs="Times New Roman"/>
                <w:b/>
                <w:bCs/>
                <w:color w:val="000000" w:themeColor="text1"/>
                <w:sz w:val="21"/>
                <w:szCs w:val="21"/>
              </w:rPr>
              <w:t>建设项目环境风险简单分析内容表</w:t>
            </w:r>
          </w:p>
          <w:tbl>
            <w:tblPr>
              <w:tblStyle w:val="4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6225"/>
            </w:tblGrid>
            <w:tr w14:paraId="10A3A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75" w:type="pct"/>
                  <w:tcBorders>
                    <w:tl2br w:val="nil"/>
                    <w:tr2bl w:val="nil"/>
                  </w:tcBorders>
                  <w:noWrap w:val="0"/>
                  <w:vAlign w:val="center"/>
                </w:tcPr>
                <w:p w14:paraId="2C1D0062">
                  <w:pPr>
                    <w:pStyle w:val="20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建设项目名称</w:t>
                  </w:r>
                </w:p>
              </w:tc>
              <w:tc>
                <w:tcPr>
                  <w:tcW w:w="3924" w:type="pct"/>
                  <w:tcBorders>
                    <w:tl2br w:val="nil"/>
                    <w:tr2bl w:val="nil"/>
                  </w:tcBorders>
                  <w:noWrap w:val="0"/>
                  <w:vAlign w:val="center"/>
                </w:tcPr>
                <w:p w14:paraId="78CD1A1E">
                  <w:pPr>
                    <w:pStyle w:val="20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新建(搬迁)年产3亿片纸浆模塑包装制品项目</w:t>
                  </w:r>
                </w:p>
              </w:tc>
            </w:tr>
            <w:tr w14:paraId="4AEA0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75" w:type="pct"/>
                  <w:tcBorders>
                    <w:tl2br w:val="nil"/>
                    <w:tr2bl w:val="nil"/>
                  </w:tcBorders>
                  <w:noWrap w:val="0"/>
                  <w:vAlign w:val="center"/>
                </w:tcPr>
                <w:p w14:paraId="27FED0AD">
                  <w:pPr>
                    <w:pStyle w:val="20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建设地点</w:t>
                  </w:r>
                </w:p>
              </w:tc>
              <w:tc>
                <w:tcPr>
                  <w:tcW w:w="3924" w:type="pct"/>
                  <w:tcBorders>
                    <w:tl2br w:val="nil"/>
                    <w:tr2bl w:val="nil"/>
                  </w:tcBorders>
                  <w:noWrap w:val="0"/>
                  <w:vAlign w:val="center"/>
                </w:tcPr>
                <w:p w14:paraId="28DCBA7F">
                  <w:pPr>
                    <w:pStyle w:val="20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通海五金产业园区里山片区</w:t>
                  </w:r>
                </w:p>
              </w:tc>
            </w:tr>
            <w:tr w14:paraId="22818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75" w:type="pct"/>
                  <w:tcBorders>
                    <w:tl2br w:val="nil"/>
                    <w:tr2bl w:val="nil"/>
                  </w:tcBorders>
                  <w:noWrap w:val="0"/>
                  <w:vAlign w:val="center"/>
                </w:tcPr>
                <w:p w14:paraId="0AFC95A7">
                  <w:pPr>
                    <w:pStyle w:val="20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地理坐标</w:t>
                  </w:r>
                </w:p>
              </w:tc>
              <w:tc>
                <w:tcPr>
                  <w:tcW w:w="3924" w:type="pct"/>
                  <w:tcBorders>
                    <w:tl2br w:val="nil"/>
                    <w:tr2bl w:val="nil"/>
                  </w:tcBorders>
                  <w:noWrap w:val="0"/>
                  <w:vAlign w:val="center"/>
                </w:tcPr>
                <w:p w14:paraId="18C1E194">
                  <w:pPr>
                    <w:pStyle w:val="20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东经：102°46′03.315″；北纬：24°05′00.298″</w:t>
                  </w:r>
                </w:p>
              </w:tc>
            </w:tr>
            <w:tr w14:paraId="0355B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1075" w:type="pct"/>
                  <w:tcBorders>
                    <w:tl2br w:val="nil"/>
                    <w:tr2bl w:val="nil"/>
                  </w:tcBorders>
                  <w:noWrap w:val="0"/>
                  <w:vAlign w:val="center"/>
                </w:tcPr>
                <w:p w14:paraId="2CEAFC25">
                  <w:pPr>
                    <w:pStyle w:val="20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主要危险物质及分布</w:t>
                  </w:r>
                </w:p>
              </w:tc>
              <w:tc>
                <w:tcPr>
                  <w:tcW w:w="3924" w:type="pct"/>
                  <w:tcBorders>
                    <w:tl2br w:val="nil"/>
                    <w:tr2bl w:val="nil"/>
                  </w:tcBorders>
                  <w:noWrap w:val="0"/>
                  <w:vAlign w:val="center"/>
                </w:tcPr>
                <w:p w14:paraId="7B009B75">
                  <w:pPr>
                    <w:pStyle w:val="20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firstLine="0" w:firstLineChars="0"/>
                    <w:jc w:val="both"/>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风险物质：</w:t>
                  </w:r>
                  <w:r>
                    <w:rPr>
                      <w:rFonts w:hint="default" w:ascii="Times New Roman" w:hAnsi="Times New Roman" w:eastAsia="宋体" w:cs="Times New Roman"/>
                      <w:b w:val="0"/>
                      <w:bCs w:val="0"/>
                      <w:color w:val="000000" w:themeColor="text1"/>
                      <w:sz w:val="21"/>
                      <w:szCs w:val="21"/>
                      <w:lang w:val="en-US" w:eastAsia="zh-CN"/>
                    </w:rPr>
                    <w:t>废机油</w:t>
                  </w:r>
                  <w:r>
                    <w:rPr>
                      <w:rFonts w:hint="eastAsia" w:ascii="Times New Roman" w:hAnsi="Times New Roman" w:eastAsia="宋体" w:cs="Times New Roman"/>
                      <w:b w:val="0"/>
                      <w:bCs w:val="0"/>
                      <w:color w:val="000000" w:themeColor="text1"/>
                      <w:sz w:val="21"/>
                      <w:szCs w:val="21"/>
                      <w:lang w:val="en-US" w:eastAsia="zh-CN"/>
                    </w:rPr>
                    <w:t>和机油</w:t>
                  </w:r>
                </w:p>
                <w:p w14:paraId="2CA28DFD">
                  <w:pPr>
                    <w:pStyle w:val="20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firstLine="0" w:firstLineChars="0"/>
                    <w:jc w:val="both"/>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主要风险单元：维修车间</w:t>
                  </w:r>
                  <w:r>
                    <w:rPr>
                      <w:rFonts w:hint="eastAsia" w:ascii="Times New Roman" w:hAnsi="Times New Roman" w:eastAsia="宋体" w:cs="Times New Roman"/>
                      <w:b w:val="0"/>
                      <w:bCs w:val="0"/>
                      <w:color w:val="000000" w:themeColor="text1"/>
                      <w:sz w:val="21"/>
                      <w:szCs w:val="21"/>
                      <w:lang w:val="en-US" w:eastAsia="zh-CN"/>
                    </w:rPr>
                    <w:t>、</w:t>
                  </w:r>
                  <w:r>
                    <w:rPr>
                      <w:rFonts w:hint="default" w:ascii="Times New Roman" w:hAnsi="Times New Roman" w:eastAsia="宋体" w:cs="Times New Roman"/>
                      <w:b w:val="0"/>
                      <w:bCs w:val="0"/>
                      <w:color w:val="000000" w:themeColor="text1"/>
                      <w:sz w:val="21"/>
                      <w:szCs w:val="21"/>
                      <w:lang w:val="en-US" w:eastAsia="zh-CN"/>
                    </w:rPr>
                    <w:t>危废暂存间</w:t>
                  </w:r>
                  <w:r>
                    <w:rPr>
                      <w:rFonts w:hint="eastAsia" w:ascii="Times New Roman" w:hAnsi="Times New Roman" w:eastAsia="宋体" w:cs="Times New Roman"/>
                      <w:b w:val="0"/>
                      <w:bCs w:val="0"/>
                      <w:color w:val="000000" w:themeColor="text1"/>
                      <w:sz w:val="21"/>
                      <w:szCs w:val="21"/>
                      <w:lang w:val="en-US" w:eastAsia="zh-CN"/>
                    </w:rPr>
                    <w:t>、</w:t>
                  </w:r>
                  <w:r>
                    <w:rPr>
                      <w:rFonts w:hint="default" w:ascii="Times New Roman" w:hAnsi="Times New Roman" w:eastAsia="宋体" w:cs="Times New Roman"/>
                      <w:b w:val="0"/>
                      <w:bCs w:val="0"/>
                      <w:color w:val="000000" w:themeColor="text1"/>
                      <w:sz w:val="21"/>
                      <w:szCs w:val="21"/>
                      <w:lang w:val="en-US" w:eastAsia="zh-CN"/>
                    </w:rPr>
                    <w:t>原料贮存区、成品贮存区</w:t>
                  </w:r>
                  <w:r>
                    <w:rPr>
                      <w:rFonts w:hint="eastAsia" w:ascii="Times New Roman" w:hAnsi="Times New Roman" w:eastAsia="宋体" w:cs="Times New Roman"/>
                      <w:b w:val="0"/>
                      <w:bCs w:val="0"/>
                      <w:color w:val="000000" w:themeColor="text1"/>
                      <w:sz w:val="21"/>
                      <w:szCs w:val="21"/>
                      <w:lang w:val="en-US" w:eastAsia="zh-CN"/>
                    </w:rPr>
                    <w:t>、</w:t>
                  </w:r>
                  <w:r>
                    <w:rPr>
                      <w:rFonts w:hint="default" w:ascii="Times New Roman" w:hAnsi="Times New Roman" w:eastAsia="宋体" w:cs="Times New Roman"/>
                      <w:b w:val="0"/>
                      <w:bCs w:val="0"/>
                      <w:color w:val="000000" w:themeColor="text1"/>
                      <w:sz w:val="21"/>
                      <w:szCs w:val="21"/>
                      <w:lang w:val="en-US" w:eastAsia="zh-CN"/>
                    </w:rPr>
                    <w:t>废气处理设施</w:t>
                  </w:r>
                  <w:r>
                    <w:rPr>
                      <w:rFonts w:hint="eastAsia" w:ascii="Times New Roman" w:hAnsi="Times New Roman" w:eastAsia="宋体" w:cs="Times New Roman"/>
                      <w:b w:val="0"/>
                      <w:bCs w:val="0"/>
                      <w:color w:val="000000" w:themeColor="text1"/>
                      <w:sz w:val="21"/>
                      <w:szCs w:val="21"/>
                      <w:lang w:val="en-US" w:eastAsia="zh-CN"/>
                    </w:rPr>
                    <w:t>、</w:t>
                  </w:r>
                  <w:r>
                    <w:rPr>
                      <w:rFonts w:hint="default" w:ascii="Times New Roman" w:hAnsi="Times New Roman" w:eastAsia="宋体" w:cs="Times New Roman"/>
                      <w:b w:val="0"/>
                      <w:bCs w:val="0"/>
                      <w:color w:val="000000" w:themeColor="text1"/>
                      <w:sz w:val="21"/>
                      <w:szCs w:val="21"/>
                      <w:lang w:val="en-US" w:eastAsia="zh-CN"/>
                    </w:rPr>
                    <w:t>贮料池</w:t>
                  </w:r>
                  <w:r>
                    <w:rPr>
                      <w:rFonts w:hint="eastAsia" w:ascii="Times New Roman" w:hAnsi="Times New Roman" w:eastAsia="宋体" w:cs="Times New Roman"/>
                      <w:b w:val="0"/>
                      <w:bCs w:val="0"/>
                      <w:color w:val="000000" w:themeColor="text1"/>
                      <w:sz w:val="21"/>
                      <w:szCs w:val="21"/>
                      <w:lang w:val="en-US" w:eastAsia="zh-CN"/>
                    </w:rPr>
                    <w:t>等。</w:t>
                  </w:r>
                </w:p>
              </w:tc>
            </w:tr>
            <w:tr w14:paraId="42F35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75" w:type="pct"/>
                  <w:tcBorders>
                    <w:tl2br w:val="nil"/>
                    <w:tr2bl w:val="nil"/>
                  </w:tcBorders>
                  <w:noWrap w:val="0"/>
                  <w:vAlign w:val="center"/>
                </w:tcPr>
                <w:p w14:paraId="6A082C61">
                  <w:pPr>
                    <w:pStyle w:val="20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环境影响途径及危害后果</w:t>
                  </w:r>
                </w:p>
              </w:tc>
              <w:tc>
                <w:tcPr>
                  <w:tcW w:w="3924" w:type="pct"/>
                  <w:tcBorders>
                    <w:tl2br w:val="nil"/>
                    <w:tr2bl w:val="nil"/>
                  </w:tcBorders>
                  <w:noWrap w:val="0"/>
                  <w:vAlign w:val="center"/>
                </w:tcPr>
                <w:p w14:paraId="5DBDB799">
                  <w:pPr>
                    <w:pStyle w:val="20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firstLine="0" w:firstLineChars="0"/>
                    <w:jc w:val="both"/>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泄漏、火灾事故</w:t>
                  </w:r>
                </w:p>
              </w:tc>
            </w:tr>
            <w:tr w14:paraId="77A8E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pct"/>
                  <w:tcBorders>
                    <w:tl2br w:val="nil"/>
                    <w:tr2bl w:val="nil"/>
                  </w:tcBorders>
                  <w:noWrap w:val="0"/>
                  <w:vAlign w:val="center"/>
                </w:tcPr>
                <w:p w14:paraId="44A61BAA">
                  <w:pPr>
                    <w:pStyle w:val="20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风险防范措施</w:t>
                  </w:r>
                </w:p>
              </w:tc>
              <w:tc>
                <w:tcPr>
                  <w:tcW w:w="3924" w:type="pct"/>
                  <w:tcBorders>
                    <w:tl2br w:val="nil"/>
                    <w:tr2bl w:val="nil"/>
                  </w:tcBorders>
                  <w:noWrap w:val="0"/>
                  <w:vAlign w:val="center"/>
                </w:tcPr>
                <w:p w14:paraId="7CBEB3D7">
                  <w:pPr>
                    <w:pStyle w:val="1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1）环保设施和生产设施防范措施</w:t>
                  </w:r>
                </w:p>
                <w:p w14:paraId="1B49ECE0">
                  <w:pPr>
                    <w:pStyle w:val="1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①定期检查项目各污水、废水管道、池体的完好性，严格做好主生产装置区、配料池、制料池等池体的防渗以及收集、储存、处理设施防渗措施，确保主生产装置区、配料池、制料池等池体防渗设施完好，一旦出现破损，应立即采取有效补漏措施，避免渗漏污染地下水、土壤环境。</w:t>
                  </w:r>
                </w:p>
                <w:p w14:paraId="6DFD6B38">
                  <w:pPr>
                    <w:pStyle w:val="1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②定期对废气收集排放系统进行检修维护，以降低因设备故障造成的事故排放；</w:t>
                  </w:r>
                </w:p>
                <w:p w14:paraId="2BB70FC1">
                  <w:pPr>
                    <w:pStyle w:val="1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③加强员工的岗前培训，强化安全意识，制定操作规程；</w:t>
                  </w:r>
                </w:p>
                <w:p w14:paraId="625E177F">
                  <w:pPr>
                    <w:pStyle w:val="1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2）物料存储、使用过程防范措施</w:t>
                  </w:r>
                </w:p>
                <w:p w14:paraId="5551DDD2">
                  <w:pPr>
                    <w:pStyle w:val="1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①废机油/机油在厂区使用专用容器，并将收集容器贴上标签，存储于专门的仓库或危废暂存间内。危废暂存间设置“三防”措施。按照重点防渗区要求进行防渗处理。危废暂存间必须派专人进行管理，并严格执行危废暂存间的管理制度，降低管理产生的风险。</w:t>
                  </w:r>
                </w:p>
                <w:p w14:paraId="2F4ABBA5">
                  <w:pPr>
                    <w:pStyle w:val="1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②对各类废纸按计划采购、分期分批入库，严格控制贮存量；</w:t>
                  </w:r>
                </w:p>
                <w:p w14:paraId="4AF26A14">
                  <w:pPr>
                    <w:pStyle w:val="1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③对各类火种、货源和有散发火花危险的机械设备、作业活动，以及可燃、易燃物品的控制和管理。</w:t>
                  </w:r>
                </w:p>
                <w:p w14:paraId="0A1077AD">
                  <w:pPr>
                    <w:pStyle w:val="1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④为避免贮料池和配料池事故泄漏对周边地表水造成污染，本次要求在项目制料区设置环形明沟，并设置排水管道与事故水池相连，配料区建设1个不小于160m³的事故应急池，对贮料池、配料池、事故水池及生产线区域进行一般防渗。</w:t>
                  </w:r>
                </w:p>
                <w:p w14:paraId="27B1454C">
                  <w:pPr>
                    <w:pStyle w:val="1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3）其他风险防范措施</w:t>
                  </w:r>
                </w:p>
                <w:p w14:paraId="6DBE7636">
                  <w:pPr>
                    <w:pStyle w:val="1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①远离火种、热源。</w:t>
                  </w:r>
                </w:p>
                <w:p w14:paraId="39D03A38">
                  <w:pPr>
                    <w:pStyle w:val="1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②储存区应备有泄漏应急处理设备和合适的收容材料。</w:t>
                  </w:r>
                </w:p>
                <w:p w14:paraId="3B93E02B">
                  <w:pPr>
                    <w:pStyle w:val="1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③贴有安全事故告知标识、区域安全提示牌、“禁止烟火”、“职业病危害告知”等制度及标识。</w:t>
                  </w:r>
                </w:p>
                <w:p w14:paraId="630E5505">
                  <w:pPr>
                    <w:pStyle w:val="1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④加强生产设备、环保设备运行管理，厂区各设施及生产、危废存储区均按照相关标准及规范设置。从物品存储、运输等全过程控制产品泄漏，采取行之有效的防渗措施，定期检查，及时消除污染隐患，杜绝跑冒滴漏现象：发现有污染物泄漏或渗漏，及时清理污染物和修补漏洞等补救措施。废气处理设备和生产设备同步投入运行，废气处理设备发生故障时，企业采取停止生产的措施。</w:t>
                  </w:r>
                </w:p>
                <w:p w14:paraId="53CFFA55">
                  <w:pPr>
                    <w:pStyle w:val="1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⑤采取三级防控措施</w:t>
                  </w:r>
                </w:p>
                <w:p w14:paraId="42308AE6">
                  <w:pPr>
                    <w:pStyle w:val="1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为了防范和控制事故时或事故处理过程中产生的物料和污水对周边水体环境的污染 和危害、降低环境风险、确保环境安全，本项目建立“三级防控”体系，确保事故状况下废水不对周边环境产生影响。</w:t>
                  </w:r>
                </w:p>
                <w:p w14:paraId="00AF7ED2">
                  <w:pPr>
                    <w:pStyle w:val="1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①一级防控</w:t>
                  </w:r>
                </w:p>
                <w:p w14:paraId="6BDFD042">
                  <w:pPr>
                    <w:pStyle w:val="1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项目制料区设置环形明沟，并设置排水管道与事故水池相连。</w:t>
                  </w:r>
                </w:p>
                <w:p w14:paraId="17A5A214">
                  <w:pPr>
                    <w:pStyle w:val="1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②二级防控</w:t>
                  </w:r>
                </w:p>
                <w:p w14:paraId="59A049DB">
                  <w:pPr>
                    <w:pStyle w:val="1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为避免储存罐泄漏对周边地表水造成污染，本次要求在制料区建设1个不小于160m</w:t>
                  </w:r>
                  <w:r>
                    <w:rPr>
                      <w:rFonts w:hint="default" w:ascii="Times New Roman" w:hAnsi="Times New Roman" w:eastAsia="宋体" w:cs="Times New Roman"/>
                      <w:b w:val="0"/>
                      <w:bCs w:val="0"/>
                      <w:color w:val="000000" w:themeColor="text1"/>
                      <w:sz w:val="21"/>
                      <w:szCs w:val="21"/>
                      <w:vertAlign w:val="superscript"/>
                      <w:lang w:val="en-US" w:eastAsia="zh-CN"/>
                    </w:rPr>
                    <w:t>3</w:t>
                  </w:r>
                  <w:r>
                    <w:rPr>
                      <w:rFonts w:hint="default" w:ascii="Times New Roman" w:hAnsi="Times New Roman" w:eastAsia="宋体" w:cs="Times New Roman"/>
                      <w:b w:val="0"/>
                      <w:bCs w:val="0"/>
                      <w:color w:val="000000" w:themeColor="text1"/>
                      <w:sz w:val="21"/>
                      <w:szCs w:val="21"/>
                      <w:lang w:val="en-US" w:eastAsia="zh-CN"/>
                    </w:rPr>
                    <w:t>（考虑1.2的安全序数）的事故应急池。</w:t>
                  </w:r>
                </w:p>
                <w:p w14:paraId="21E8205D">
                  <w:pPr>
                    <w:pStyle w:val="1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③三级防控</w:t>
                  </w:r>
                </w:p>
                <w:p w14:paraId="51B6151F">
                  <w:pPr>
                    <w:pStyle w:val="1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项目在厂区雨水排放口设置总阀门，当厂区发生事故时，第一时间关闭阀门，截断废水外排途径。</w:t>
                  </w:r>
                </w:p>
              </w:tc>
            </w:tr>
            <w:tr w14:paraId="5A05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2"/>
                  <w:tcBorders>
                    <w:tl2br w:val="nil"/>
                    <w:tr2bl w:val="nil"/>
                  </w:tcBorders>
                  <w:noWrap w:val="0"/>
                  <w:vAlign w:val="center"/>
                </w:tcPr>
                <w:p w14:paraId="0C4848CC">
                  <w:pPr>
                    <w:pStyle w:val="1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填表说明（列出项目相关信息及评价说明）：</w:t>
                  </w:r>
                </w:p>
                <w:p w14:paraId="7B5E122C">
                  <w:pPr>
                    <w:pStyle w:val="19"/>
                    <w:keepNext w:val="0"/>
                    <w:keepLines w:val="0"/>
                    <w:pageBreakBefore w:val="0"/>
                    <w:widowControl w:val="0"/>
                    <w:numPr>
                      <w:ilvl w:val="0"/>
                      <w:numId w:val="7"/>
                    </w:numPr>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textAlignment w:val="auto"/>
                    <w:rPr>
                      <w:rFonts w:hint="default" w:ascii="Times New Roman" w:hAnsi="Times New Roman" w:eastAsia="宋体" w:cs="Times New Roman"/>
                      <w:b w:val="0"/>
                      <w:bCs w:val="0"/>
                      <w:color w:val="000000" w:themeColor="text1"/>
                      <w:kern w:val="0"/>
                      <w:sz w:val="21"/>
                      <w:szCs w:val="21"/>
                      <w:lang w:val="en-US" w:eastAsia="zh-CN" w:bidi="ar-SA"/>
                    </w:rPr>
                  </w:pPr>
                  <w:r>
                    <w:rPr>
                      <w:rFonts w:hint="default" w:ascii="Times New Roman" w:hAnsi="Times New Roman" w:eastAsia="宋体" w:cs="Times New Roman"/>
                      <w:b w:val="0"/>
                      <w:bCs w:val="0"/>
                      <w:color w:val="000000" w:themeColor="text1"/>
                      <w:kern w:val="0"/>
                      <w:sz w:val="21"/>
                      <w:szCs w:val="21"/>
                      <w:lang w:val="en-US" w:eastAsia="zh-CN" w:bidi="ar-SA"/>
                    </w:rPr>
                    <w:t>风险调查：本项目生产过程中环境风险物质主要为废机油等危险废物。</w:t>
                  </w:r>
                </w:p>
                <w:p w14:paraId="6816D1B4">
                  <w:pPr>
                    <w:pStyle w:val="19"/>
                    <w:keepNext w:val="0"/>
                    <w:keepLines w:val="0"/>
                    <w:pageBreakBefore w:val="0"/>
                    <w:widowControl w:val="0"/>
                    <w:numPr>
                      <w:ilvl w:val="0"/>
                      <w:numId w:val="7"/>
                    </w:numPr>
                    <w:suppressLineNumbers w:val="0"/>
                    <w:kinsoku/>
                    <w:wordWrap/>
                    <w:overflowPunct/>
                    <w:topLinePunct w:val="0"/>
                    <w:bidi w:val="0"/>
                    <w:adjustRightInd w:val="0"/>
                    <w:snapToGrid w:val="0"/>
                    <w:spacing w:before="0" w:beforeAutospacing="0" w:after="0" w:afterAutospacing="0" w:line="320" w:lineRule="exact"/>
                    <w:ind w:left="0" w:leftChars="0" w:right="0" w:firstLine="0" w:firstLineChars="0"/>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kern w:val="0"/>
                      <w:sz w:val="21"/>
                      <w:szCs w:val="21"/>
                      <w:lang w:val="en-US" w:eastAsia="zh-CN" w:bidi="ar-SA"/>
                    </w:rPr>
                    <w:t>评价等级：根据《建设项目环境风险评价技术导则》（HJ 169-2018）对环境风险评价工作等级进行判定，本项目环境风险潜势为Ⅰ，简单分析。</w:t>
                  </w:r>
                </w:p>
              </w:tc>
            </w:tr>
          </w:tbl>
          <w:p w14:paraId="15E5CF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综上所述，</w:t>
            </w:r>
            <w:r>
              <w:rPr>
                <w:rFonts w:hint="eastAsia" w:ascii="Times New Roman" w:hAnsi="Times New Roman" w:cs="Times New Roman"/>
                <w:color w:val="000000" w:themeColor="text1"/>
                <w:sz w:val="21"/>
                <w:szCs w:val="21"/>
              </w:rPr>
              <w:t>本项目环境风险较小，不构成重大危险源，当发生突发环境事件时，采取措施后，对周围环境及人体健康的影响较小。因此，项目积极落实应急措施和风险防治措施后，环境风险可以接受。事故一旦发生立即启动应急预案，可以使事故造成的后果影响控制在最小范围内</w:t>
            </w:r>
            <w:r>
              <w:rPr>
                <w:rFonts w:hint="default" w:ascii="Times New Roman" w:hAnsi="Times New Roman" w:cs="Times New Roman"/>
                <w:color w:val="000000" w:themeColor="text1"/>
                <w:sz w:val="21"/>
                <w:szCs w:val="21"/>
              </w:rPr>
              <w:t>。</w:t>
            </w:r>
          </w:p>
          <w:p w14:paraId="378294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p>
          <w:p w14:paraId="5127C8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textAlignment w:val="auto"/>
              <w:rPr>
                <w:rFonts w:hint="default" w:ascii="Times New Roman" w:hAnsi="Times New Roman" w:cs="Times New Roman"/>
                <w:b/>
                <w:color w:val="000000" w:themeColor="text1"/>
                <w:sz w:val="21"/>
                <w:szCs w:val="21"/>
              </w:rPr>
            </w:pPr>
            <w:r>
              <w:rPr>
                <w:rFonts w:hint="default" w:ascii="Times New Roman" w:hAnsi="Times New Roman" w:cs="Times New Roman"/>
                <w:b/>
                <w:bCs/>
                <w:color w:val="000000" w:themeColor="text1"/>
                <w:spacing w:val="-10"/>
                <w:sz w:val="21"/>
                <w:szCs w:val="21"/>
              </w:rPr>
              <w:t>7、</w:t>
            </w:r>
            <w:r>
              <w:rPr>
                <w:rFonts w:hint="default" w:ascii="Times New Roman" w:hAnsi="Times New Roman" w:cs="Times New Roman"/>
                <w:b/>
                <w:color w:val="000000" w:themeColor="text1"/>
                <w:sz w:val="21"/>
                <w:szCs w:val="21"/>
              </w:rPr>
              <w:t>电磁辐射</w:t>
            </w:r>
          </w:p>
          <w:p w14:paraId="18B05A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本项目不涉及电磁辐射。</w:t>
            </w:r>
          </w:p>
          <w:p w14:paraId="780272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textAlignment w:val="auto"/>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8、环境管理</w:t>
            </w:r>
          </w:p>
          <w:p w14:paraId="40100D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0"/>
              <w:textAlignment w:val="auto"/>
              <w:rPr>
                <w:rFonts w:hint="default" w:ascii="Times New Roman" w:hAnsi="Times New Roman" w:cs="Times New Roman"/>
                <w:b/>
                <w:bCs/>
                <w:color w:val="000000" w:themeColor="text1"/>
                <w:kern w:val="0"/>
                <w:sz w:val="21"/>
                <w:szCs w:val="21"/>
              </w:rPr>
            </w:pPr>
            <w:r>
              <w:rPr>
                <w:rFonts w:hint="default" w:ascii="Times New Roman" w:hAnsi="Times New Roman" w:cs="Times New Roman"/>
                <w:b/>
                <w:bCs/>
                <w:color w:val="000000" w:themeColor="text1"/>
                <w:kern w:val="0"/>
                <w:sz w:val="21"/>
                <w:szCs w:val="21"/>
              </w:rPr>
              <w:t>（1）环境管理要求</w:t>
            </w:r>
          </w:p>
          <w:p w14:paraId="6D0013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0"/>
              <w:textAlignment w:val="auto"/>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为贯彻执行有关环境保护法规，及时了解项目及其周围环境质量变化情况，掌握环境保护措施实施的效果，保证该区域良好的环境质量，建设单位进行相应的环境管理。</w:t>
            </w:r>
          </w:p>
          <w:p w14:paraId="69FD03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0"/>
              <w:textAlignment w:val="auto"/>
              <w:rPr>
                <w:rFonts w:hint="default" w:ascii="Times New Roman" w:hAnsi="Times New Roman" w:cs="Times New Roman"/>
                <w:color w:val="000000" w:themeColor="text1"/>
                <w:kern w:val="0"/>
                <w:sz w:val="21"/>
                <w:szCs w:val="21"/>
              </w:rPr>
            </w:pPr>
            <w:r>
              <w:rPr>
                <w:rFonts w:hint="eastAsia" w:ascii="宋体" w:hAnsi="宋体" w:cs="宋体"/>
                <w:color w:val="000000" w:themeColor="text1"/>
                <w:kern w:val="0"/>
                <w:sz w:val="21"/>
                <w:szCs w:val="21"/>
              </w:rPr>
              <w:t>①</w:t>
            </w:r>
            <w:r>
              <w:rPr>
                <w:rFonts w:hint="default" w:ascii="Times New Roman" w:hAnsi="Times New Roman" w:cs="Times New Roman"/>
                <w:color w:val="000000" w:themeColor="text1"/>
                <w:kern w:val="0"/>
                <w:sz w:val="21"/>
                <w:szCs w:val="21"/>
              </w:rPr>
              <w:t>贯彻落实国家相关法律法规及政策，以国家相关法律法规为依据，落实防治环境污染措施，及时向当地环境保护部门汇报各阶段的情况。</w:t>
            </w:r>
          </w:p>
          <w:p w14:paraId="4CCC25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0"/>
              <w:textAlignment w:val="auto"/>
              <w:rPr>
                <w:rFonts w:hint="default" w:ascii="Times New Roman" w:hAnsi="Times New Roman" w:cs="Times New Roman"/>
                <w:color w:val="000000" w:themeColor="text1"/>
                <w:kern w:val="0"/>
                <w:sz w:val="21"/>
                <w:szCs w:val="21"/>
              </w:rPr>
            </w:pPr>
            <w:r>
              <w:rPr>
                <w:rFonts w:hint="eastAsia" w:ascii="宋体" w:hAnsi="宋体" w:cs="宋体"/>
                <w:color w:val="000000" w:themeColor="text1"/>
                <w:kern w:val="0"/>
                <w:sz w:val="21"/>
                <w:szCs w:val="21"/>
              </w:rPr>
              <w:t>②</w:t>
            </w:r>
            <w:r>
              <w:rPr>
                <w:rFonts w:hint="default" w:ascii="Times New Roman" w:hAnsi="Times New Roman" w:cs="Times New Roman"/>
                <w:color w:val="000000" w:themeColor="text1"/>
                <w:kern w:val="0"/>
                <w:sz w:val="21"/>
                <w:szCs w:val="21"/>
              </w:rPr>
              <w:t>项目的建设遵循“三同时”制度，即项目环保措施与主体工程同时设计、同时施工、同时投产使用。</w:t>
            </w:r>
          </w:p>
          <w:p w14:paraId="2BD27E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0"/>
              <w:textAlignment w:val="auto"/>
              <w:rPr>
                <w:rFonts w:hint="default" w:ascii="Times New Roman" w:hAnsi="Times New Roman" w:cs="Times New Roman"/>
                <w:color w:val="000000" w:themeColor="text1"/>
                <w:kern w:val="0"/>
                <w:sz w:val="21"/>
                <w:szCs w:val="21"/>
              </w:rPr>
            </w:pPr>
            <w:r>
              <w:rPr>
                <w:rFonts w:hint="eastAsia" w:ascii="宋体" w:hAnsi="宋体" w:cs="宋体"/>
                <w:color w:val="000000" w:themeColor="text1"/>
                <w:kern w:val="0"/>
                <w:sz w:val="21"/>
                <w:szCs w:val="21"/>
              </w:rPr>
              <w:t>③</w:t>
            </w:r>
            <w:r>
              <w:rPr>
                <w:rFonts w:hint="default" w:ascii="Times New Roman" w:hAnsi="Times New Roman" w:cs="Times New Roman"/>
                <w:color w:val="000000" w:themeColor="text1"/>
                <w:kern w:val="0"/>
                <w:sz w:val="21"/>
                <w:szCs w:val="21"/>
              </w:rPr>
              <w:t>建设项目竣工后，建设单位或者其委托的技术机构应当依照国家有关法律法规、建设项竣工环境保护验收技术规范、建设项目环境影响报告表和审批决定等要求，如实查验、监测、记录建设项目环境保护设施的建设和调试情况，同时还应如实记载其他环境保护对策措施“三同时”落实情况，编制竣工环境保护验收报告。</w:t>
            </w:r>
          </w:p>
          <w:p w14:paraId="792526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0"/>
              <w:textAlignment w:val="auto"/>
              <w:rPr>
                <w:rFonts w:hint="default" w:ascii="Times New Roman" w:hAnsi="Times New Roman" w:cs="Times New Roman"/>
                <w:b/>
                <w:bCs/>
                <w:color w:val="000000" w:themeColor="text1"/>
                <w:kern w:val="0"/>
                <w:sz w:val="21"/>
                <w:szCs w:val="21"/>
              </w:rPr>
            </w:pPr>
            <w:r>
              <w:rPr>
                <w:rFonts w:hint="default" w:ascii="Times New Roman" w:hAnsi="Times New Roman" w:cs="Times New Roman"/>
                <w:b/>
                <w:bCs/>
                <w:color w:val="000000" w:themeColor="text1"/>
                <w:kern w:val="0"/>
                <w:sz w:val="21"/>
                <w:szCs w:val="21"/>
              </w:rPr>
              <w:t>（2）排污口规范化管理</w:t>
            </w:r>
          </w:p>
          <w:p w14:paraId="5FC281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0"/>
              <w:textAlignment w:val="auto"/>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对排放口规范化整治的统一要求做到：首先排污口要设立标示管理，按照国家标准规定设立标志牌，根据排放口污染物的排放特点，设置提示性或警告性环境保护图形标志牌。一般污染源设置提示性标志牌。建设项目的污染源需设立提示性标志牌。其次废气排放口应按照国家有关规定，规范排气筒数量，高度。此外按照《固定污染源监测质量保证与质量控制技术规范（试行）》（HJ/T373－2007）和《固定污染源排气中颗粒物测定与气态污染物采样方法》（GB/T16157－1996）要求，对现场监测条件按规范要求搭设采样监测平台，废气治理措施治理前后预留监测孔，便于环境管理及监测部门的日常监督、检查及监测。</w:t>
            </w:r>
          </w:p>
          <w:p w14:paraId="7C6D38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0"/>
              <w:textAlignment w:val="auto"/>
              <w:rPr>
                <w:rFonts w:hint="default" w:ascii="Times New Roman" w:hAnsi="Times New Roman" w:cs="Times New Roman"/>
                <w:color w:val="000000" w:themeColor="text1"/>
                <w:kern w:val="0"/>
                <w:sz w:val="21"/>
                <w:szCs w:val="21"/>
              </w:rPr>
            </w:pPr>
            <w:r>
              <w:rPr>
                <w:rFonts w:hint="eastAsia" w:ascii="宋体" w:hAnsi="宋体" w:cs="宋体"/>
                <w:color w:val="000000" w:themeColor="text1"/>
                <w:kern w:val="0"/>
                <w:sz w:val="21"/>
                <w:szCs w:val="21"/>
              </w:rPr>
              <w:t>①</w:t>
            </w:r>
            <w:r>
              <w:rPr>
                <w:rFonts w:hint="default" w:ascii="Times New Roman" w:hAnsi="Times New Roman" w:cs="Times New Roman"/>
                <w:color w:val="000000" w:themeColor="text1"/>
                <w:kern w:val="0"/>
                <w:sz w:val="21"/>
                <w:szCs w:val="21"/>
              </w:rPr>
              <w:t>建设规范化排污口</w:t>
            </w:r>
          </w:p>
          <w:p w14:paraId="5A9E6D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0"/>
              <w:textAlignment w:val="auto"/>
              <w:rPr>
                <w:rFonts w:hint="eastAsia" w:ascii="Times New Roman" w:hAnsi="Times New Roman" w:cs="Times New Roman"/>
                <w:color w:val="000000" w:themeColor="text1"/>
                <w:kern w:val="0"/>
                <w:sz w:val="21"/>
                <w:szCs w:val="21"/>
              </w:rPr>
            </w:pPr>
            <w:r>
              <w:rPr>
                <w:rFonts w:hint="eastAsia" w:ascii="Times New Roman" w:hAnsi="Times New Roman" w:cs="Times New Roman"/>
                <w:color w:val="000000" w:themeColor="text1"/>
                <w:kern w:val="0"/>
                <w:sz w:val="21"/>
                <w:szCs w:val="21"/>
              </w:rPr>
              <w:t>废气排放口必须符合规定的高度和按照《污染源监测技术规范》便于采样、监测的要求，保留1.5米以上水平烟道，预留采样口，设置直径不大于75mm的采样口。如无法满足要求的，其采样口与环境监测部门共同确认。</w:t>
            </w:r>
          </w:p>
          <w:p w14:paraId="719248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0"/>
              <w:textAlignment w:val="auto"/>
              <w:rPr>
                <w:rFonts w:hint="default" w:ascii="Times New Roman" w:hAnsi="Times New Roman" w:cs="Times New Roman"/>
                <w:color w:val="000000" w:themeColor="text1"/>
                <w:kern w:val="0"/>
                <w:sz w:val="21"/>
                <w:szCs w:val="21"/>
              </w:rPr>
            </w:pPr>
            <w:r>
              <w:rPr>
                <w:rFonts w:hint="eastAsia" w:ascii="宋体" w:hAnsi="宋体" w:cs="宋体"/>
                <w:color w:val="000000" w:themeColor="text1"/>
                <w:kern w:val="0"/>
                <w:sz w:val="21"/>
                <w:szCs w:val="21"/>
              </w:rPr>
              <w:t>②</w:t>
            </w:r>
            <w:r>
              <w:rPr>
                <w:rFonts w:hint="default" w:ascii="Times New Roman" w:hAnsi="Times New Roman" w:cs="Times New Roman"/>
                <w:color w:val="000000" w:themeColor="text1"/>
                <w:kern w:val="0"/>
                <w:sz w:val="21"/>
                <w:szCs w:val="21"/>
              </w:rPr>
              <w:t>设立标志牌</w:t>
            </w:r>
          </w:p>
          <w:p w14:paraId="01A134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0"/>
              <w:textAlignment w:val="auto"/>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设立排污口标志牌。</w:t>
            </w:r>
          </w:p>
          <w:p w14:paraId="6D5C671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color w:val="000000" w:themeColor="text1"/>
                <w:kern w:val="18"/>
                <w:sz w:val="21"/>
                <w:szCs w:val="21"/>
              </w:rPr>
            </w:pPr>
          </w:p>
          <w:p w14:paraId="619B623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color w:val="000000" w:themeColor="text1"/>
                <w:kern w:val="18"/>
                <w:sz w:val="21"/>
                <w:szCs w:val="21"/>
              </w:rPr>
            </w:pPr>
            <w:r>
              <w:rPr>
                <w:rFonts w:hint="default" w:ascii="Times New Roman" w:hAnsi="Times New Roman" w:cs="Times New Roman"/>
                <w:b/>
                <w:color w:val="000000" w:themeColor="text1"/>
                <w:kern w:val="18"/>
                <w:sz w:val="21"/>
                <w:szCs w:val="21"/>
              </w:rPr>
              <w:t>表4-</w:t>
            </w:r>
            <w:r>
              <w:rPr>
                <w:rFonts w:hint="eastAsia" w:cs="Times New Roman"/>
                <w:b/>
                <w:color w:val="000000" w:themeColor="text1"/>
                <w:kern w:val="18"/>
                <w:sz w:val="21"/>
                <w:szCs w:val="21"/>
                <w:lang w:val="en-US" w:eastAsia="zh-CN"/>
              </w:rPr>
              <w:t>19</w:t>
            </w:r>
            <w:r>
              <w:rPr>
                <w:rFonts w:hint="default" w:ascii="Times New Roman" w:hAnsi="Times New Roman" w:cs="Times New Roman"/>
                <w:b/>
                <w:color w:val="000000" w:themeColor="text1"/>
                <w:kern w:val="18"/>
                <w:sz w:val="21"/>
                <w:szCs w:val="21"/>
              </w:rPr>
              <w:t xml:space="preserve"> </w:t>
            </w:r>
            <w:r>
              <w:rPr>
                <w:rFonts w:hint="eastAsia" w:ascii="Times New Roman" w:hAnsi="Times New Roman" w:cs="Times New Roman"/>
                <w:b/>
                <w:color w:val="000000" w:themeColor="text1"/>
                <w:kern w:val="18"/>
                <w:sz w:val="21"/>
                <w:szCs w:val="21"/>
              </w:rPr>
              <w:t xml:space="preserve"> </w:t>
            </w:r>
            <w:r>
              <w:rPr>
                <w:rFonts w:hint="default" w:ascii="Times New Roman" w:hAnsi="Times New Roman" w:cs="Times New Roman"/>
                <w:b/>
                <w:color w:val="000000" w:themeColor="text1"/>
                <w:kern w:val="18"/>
                <w:sz w:val="21"/>
                <w:szCs w:val="21"/>
              </w:rPr>
              <w:t>环境保护图形标志的形状及颜色表</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1419"/>
              <w:gridCol w:w="2173"/>
              <w:gridCol w:w="2173"/>
            </w:tblGrid>
            <w:tr w14:paraId="279F6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67" w:type="pct"/>
                  <w:noWrap w:val="0"/>
                  <w:vAlign w:val="center"/>
                </w:tcPr>
                <w:p w14:paraId="1FBA2BDD">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kern w:val="0"/>
                      <w:sz w:val="21"/>
                      <w:szCs w:val="21"/>
                    </w:rPr>
                  </w:pPr>
                  <w:r>
                    <w:rPr>
                      <w:rFonts w:hint="default" w:ascii="Times New Roman" w:hAnsi="Times New Roman" w:cs="Times New Roman"/>
                      <w:b/>
                      <w:bCs/>
                      <w:color w:val="000000" w:themeColor="text1"/>
                      <w:kern w:val="0"/>
                      <w:sz w:val="21"/>
                      <w:szCs w:val="21"/>
                    </w:rPr>
                    <w:t>标志名称</w:t>
                  </w:r>
                </w:p>
              </w:tc>
              <w:tc>
                <w:tcPr>
                  <w:tcW w:w="895" w:type="pct"/>
                  <w:noWrap w:val="0"/>
                  <w:vAlign w:val="center"/>
                </w:tcPr>
                <w:p w14:paraId="03E47D98">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kern w:val="0"/>
                      <w:sz w:val="21"/>
                      <w:szCs w:val="21"/>
                    </w:rPr>
                  </w:pPr>
                  <w:r>
                    <w:rPr>
                      <w:rFonts w:hint="default" w:ascii="Times New Roman" w:hAnsi="Times New Roman" w:cs="Times New Roman"/>
                      <w:b/>
                      <w:bCs/>
                      <w:color w:val="000000" w:themeColor="text1"/>
                      <w:kern w:val="0"/>
                      <w:sz w:val="21"/>
                      <w:szCs w:val="21"/>
                    </w:rPr>
                    <w:t>形状</w:t>
                  </w:r>
                </w:p>
              </w:tc>
              <w:tc>
                <w:tcPr>
                  <w:tcW w:w="1368" w:type="pct"/>
                  <w:noWrap w:val="0"/>
                  <w:vAlign w:val="center"/>
                </w:tcPr>
                <w:p w14:paraId="1273669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kern w:val="0"/>
                      <w:sz w:val="21"/>
                      <w:szCs w:val="21"/>
                    </w:rPr>
                  </w:pPr>
                  <w:r>
                    <w:rPr>
                      <w:rFonts w:hint="default" w:ascii="Times New Roman" w:hAnsi="Times New Roman" w:cs="Times New Roman"/>
                      <w:b/>
                      <w:bCs/>
                      <w:color w:val="000000" w:themeColor="text1"/>
                      <w:kern w:val="0"/>
                      <w:sz w:val="21"/>
                      <w:szCs w:val="21"/>
                    </w:rPr>
                    <w:t>背景颜色</w:t>
                  </w:r>
                </w:p>
              </w:tc>
              <w:tc>
                <w:tcPr>
                  <w:tcW w:w="1368" w:type="pct"/>
                  <w:noWrap w:val="0"/>
                  <w:vAlign w:val="center"/>
                </w:tcPr>
                <w:p w14:paraId="0840144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kern w:val="0"/>
                      <w:sz w:val="21"/>
                      <w:szCs w:val="21"/>
                    </w:rPr>
                  </w:pPr>
                  <w:r>
                    <w:rPr>
                      <w:rFonts w:hint="default" w:ascii="Times New Roman" w:hAnsi="Times New Roman" w:cs="Times New Roman"/>
                      <w:b/>
                      <w:bCs/>
                      <w:color w:val="000000" w:themeColor="text1"/>
                      <w:kern w:val="0"/>
                      <w:sz w:val="21"/>
                      <w:szCs w:val="21"/>
                    </w:rPr>
                    <w:t>图形颜色</w:t>
                  </w:r>
                </w:p>
              </w:tc>
            </w:tr>
            <w:tr w14:paraId="7EB69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67" w:type="pct"/>
                  <w:noWrap w:val="0"/>
                  <w:vAlign w:val="center"/>
                </w:tcPr>
                <w:p w14:paraId="088D73AD">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警告标志</w:t>
                  </w:r>
                </w:p>
              </w:tc>
              <w:tc>
                <w:tcPr>
                  <w:tcW w:w="895" w:type="pct"/>
                  <w:noWrap w:val="0"/>
                  <w:vAlign w:val="center"/>
                </w:tcPr>
                <w:p w14:paraId="7A5BCFC7">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三角形边框</w:t>
                  </w:r>
                </w:p>
              </w:tc>
              <w:tc>
                <w:tcPr>
                  <w:tcW w:w="1368" w:type="pct"/>
                  <w:noWrap w:val="0"/>
                  <w:vAlign w:val="center"/>
                </w:tcPr>
                <w:p w14:paraId="79550772">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黄色</w:t>
                  </w:r>
                </w:p>
              </w:tc>
              <w:tc>
                <w:tcPr>
                  <w:tcW w:w="1368" w:type="pct"/>
                  <w:noWrap w:val="0"/>
                  <w:vAlign w:val="center"/>
                </w:tcPr>
                <w:p w14:paraId="471FC56F">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黑色</w:t>
                  </w:r>
                </w:p>
              </w:tc>
            </w:tr>
            <w:tr w14:paraId="269A7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67" w:type="pct"/>
                  <w:noWrap w:val="0"/>
                  <w:vAlign w:val="center"/>
                </w:tcPr>
                <w:p w14:paraId="453BA1F6">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提示标志</w:t>
                  </w:r>
                </w:p>
              </w:tc>
              <w:tc>
                <w:tcPr>
                  <w:tcW w:w="895" w:type="pct"/>
                  <w:noWrap w:val="0"/>
                  <w:vAlign w:val="center"/>
                </w:tcPr>
                <w:p w14:paraId="6879B7F9">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正方形边框</w:t>
                  </w:r>
                </w:p>
              </w:tc>
              <w:tc>
                <w:tcPr>
                  <w:tcW w:w="1368" w:type="pct"/>
                  <w:noWrap w:val="0"/>
                  <w:vAlign w:val="center"/>
                </w:tcPr>
                <w:p w14:paraId="128AF38F">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绿色</w:t>
                  </w:r>
                </w:p>
              </w:tc>
              <w:tc>
                <w:tcPr>
                  <w:tcW w:w="1368" w:type="pct"/>
                  <w:noWrap w:val="0"/>
                  <w:vAlign w:val="center"/>
                </w:tcPr>
                <w:p w14:paraId="4A44CC9F">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白色</w:t>
                  </w:r>
                </w:p>
              </w:tc>
            </w:tr>
          </w:tbl>
          <w:p w14:paraId="5A8B7C6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color w:val="000000" w:themeColor="text1"/>
                <w:kern w:val="18"/>
                <w:sz w:val="21"/>
                <w:szCs w:val="21"/>
              </w:rPr>
            </w:pPr>
            <w:r>
              <w:rPr>
                <w:rFonts w:hint="default" w:ascii="Times New Roman" w:hAnsi="Times New Roman" w:cs="Times New Roman"/>
                <w:b/>
                <w:color w:val="000000" w:themeColor="text1"/>
                <w:kern w:val="18"/>
                <w:sz w:val="21"/>
                <w:szCs w:val="21"/>
              </w:rPr>
              <w:t>表4-</w:t>
            </w:r>
            <w:r>
              <w:rPr>
                <w:rFonts w:hint="eastAsia" w:ascii="Times New Roman" w:hAnsi="Times New Roman" w:cs="Times New Roman"/>
                <w:b/>
                <w:color w:val="000000" w:themeColor="text1"/>
                <w:kern w:val="18"/>
                <w:sz w:val="21"/>
                <w:szCs w:val="21"/>
                <w:lang w:val="en-US" w:eastAsia="zh-CN"/>
              </w:rPr>
              <w:t>2</w:t>
            </w:r>
            <w:r>
              <w:rPr>
                <w:rFonts w:hint="eastAsia" w:cs="Times New Roman"/>
                <w:b/>
                <w:color w:val="000000" w:themeColor="text1"/>
                <w:kern w:val="18"/>
                <w:sz w:val="21"/>
                <w:szCs w:val="21"/>
                <w:lang w:val="en-US" w:eastAsia="zh-CN"/>
              </w:rPr>
              <w:t>0</w:t>
            </w:r>
            <w:r>
              <w:rPr>
                <w:rFonts w:hint="eastAsia" w:ascii="Times New Roman" w:hAnsi="Times New Roman" w:cs="Times New Roman"/>
                <w:b/>
                <w:color w:val="000000" w:themeColor="text1"/>
                <w:kern w:val="18"/>
                <w:sz w:val="21"/>
                <w:szCs w:val="21"/>
              </w:rPr>
              <w:t xml:space="preserve"> </w:t>
            </w:r>
            <w:r>
              <w:rPr>
                <w:rFonts w:hint="default" w:ascii="Times New Roman" w:hAnsi="Times New Roman" w:cs="Times New Roman"/>
                <w:b/>
                <w:color w:val="000000" w:themeColor="text1"/>
                <w:kern w:val="18"/>
                <w:sz w:val="21"/>
                <w:szCs w:val="21"/>
              </w:rPr>
              <w:t xml:space="preserve"> 环境保护图形符号一览表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1481"/>
              <w:gridCol w:w="1637"/>
              <w:gridCol w:w="1408"/>
              <w:gridCol w:w="2808"/>
            </w:tblGrid>
            <w:tr w14:paraId="4EB3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81" w:type="pct"/>
                  <w:noWrap w:val="0"/>
                  <w:vAlign w:val="center"/>
                </w:tcPr>
                <w:p w14:paraId="05520B09">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kern w:val="0"/>
                      <w:sz w:val="21"/>
                      <w:szCs w:val="21"/>
                    </w:rPr>
                  </w:pPr>
                  <w:r>
                    <w:rPr>
                      <w:rFonts w:hint="default" w:ascii="Times New Roman" w:hAnsi="Times New Roman" w:cs="Times New Roman"/>
                      <w:b/>
                      <w:bCs/>
                      <w:color w:val="000000" w:themeColor="text1"/>
                      <w:kern w:val="0"/>
                      <w:sz w:val="21"/>
                      <w:szCs w:val="21"/>
                    </w:rPr>
                    <w:t>序号</w:t>
                  </w:r>
                </w:p>
              </w:tc>
              <w:tc>
                <w:tcPr>
                  <w:tcW w:w="932" w:type="pct"/>
                  <w:noWrap w:val="0"/>
                  <w:vAlign w:val="center"/>
                </w:tcPr>
                <w:p w14:paraId="6CF1732F">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kern w:val="0"/>
                      <w:sz w:val="21"/>
                      <w:szCs w:val="21"/>
                    </w:rPr>
                  </w:pPr>
                  <w:r>
                    <w:rPr>
                      <w:rFonts w:hint="default" w:ascii="Times New Roman" w:hAnsi="Times New Roman" w:cs="Times New Roman"/>
                      <w:b/>
                      <w:bCs/>
                      <w:color w:val="000000" w:themeColor="text1"/>
                      <w:kern w:val="0"/>
                      <w:sz w:val="21"/>
                      <w:szCs w:val="21"/>
                    </w:rPr>
                    <w:t>提示图形符号</w:t>
                  </w:r>
                </w:p>
              </w:tc>
              <w:tc>
                <w:tcPr>
                  <w:tcW w:w="1030" w:type="pct"/>
                  <w:noWrap w:val="0"/>
                  <w:vAlign w:val="center"/>
                </w:tcPr>
                <w:p w14:paraId="35F14697">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kern w:val="0"/>
                      <w:sz w:val="21"/>
                      <w:szCs w:val="21"/>
                    </w:rPr>
                  </w:pPr>
                  <w:r>
                    <w:rPr>
                      <w:rFonts w:hint="default" w:ascii="Times New Roman" w:hAnsi="Times New Roman" w:cs="Times New Roman"/>
                      <w:b/>
                      <w:bCs/>
                      <w:color w:val="000000" w:themeColor="text1"/>
                      <w:kern w:val="0"/>
                      <w:sz w:val="21"/>
                      <w:szCs w:val="21"/>
                    </w:rPr>
                    <w:t>警告图形符号</w:t>
                  </w:r>
                </w:p>
              </w:tc>
              <w:tc>
                <w:tcPr>
                  <w:tcW w:w="886" w:type="pct"/>
                  <w:noWrap w:val="0"/>
                  <w:vAlign w:val="center"/>
                </w:tcPr>
                <w:p w14:paraId="3664E93D">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kern w:val="0"/>
                      <w:sz w:val="21"/>
                      <w:szCs w:val="21"/>
                    </w:rPr>
                  </w:pPr>
                  <w:r>
                    <w:rPr>
                      <w:rFonts w:hint="default" w:ascii="Times New Roman" w:hAnsi="Times New Roman" w:cs="Times New Roman"/>
                      <w:b/>
                      <w:bCs/>
                      <w:color w:val="000000" w:themeColor="text1"/>
                      <w:kern w:val="0"/>
                      <w:sz w:val="21"/>
                      <w:szCs w:val="21"/>
                    </w:rPr>
                    <w:t>名称</w:t>
                  </w:r>
                </w:p>
              </w:tc>
              <w:tc>
                <w:tcPr>
                  <w:tcW w:w="1768" w:type="pct"/>
                  <w:noWrap w:val="0"/>
                  <w:vAlign w:val="center"/>
                </w:tcPr>
                <w:p w14:paraId="103E6215">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kern w:val="0"/>
                      <w:sz w:val="21"/>
                      <w:szCs w:val="21"/>
                    </w:rPr>
                  </w:pPr>
                  <w:r>
                    <w:rPr>
                      <w:rFonts w:hint="default" w:ascii="Times New Roman" w:hAnsi="Times New Roman" w:cs="Times New Roman"/>
                      <w:b/>
                      <w:bCs/>
                      <w:color w:val="000000" w:themeColor="text1"/>
                      <w:kern w:val="0"/>
                      <w:sz w:val="21"/>
                      <w:szCs w:val="21"/>
                    </w:rPr>
                    <w:t>功能</w:t>
                  </w:r>
                </w:p>
              </w:tc>
            </w:tr>
            <w:tr w14:paraId="5E3F3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381" w:type="pct"/>
                  <w:noWrap w:val="0"/>
                  <w:vAlign w:val="center"/>
                </w:tcPr>
                <w:p w14:paraId="6B1EFBD3">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1</w:t>
                  </w:r>
                </w:p>
              </w:tc>
              <w:tc>
                <w:tcPr>
                  <w:tcW w:w="932" w:type="pct"/>
                  <w:noWrap w:val="0"/>
                  <w:vAlign w:val="center"/>
                </w:tcPr>
                <w:p w14:paraId="239BFC7F">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pict>
                      <v:shape id="_x0000_i1046" o:spt="75" alt="13003" type="#_x0000_t75" style="height:67.5pt;width:66.8pt;" filled="f" stroked="f" coordsize="21600,21600">
                        <v:path/>
                        <v:fill on="f" focussize="0,0"/>
                        <v:stroke on="f"/>
                        <v:imagedata r:id="rId47" o:title="13003"/>
                        <o:lock v:ext="edit" grouping="f" rotation="f" aspectratio="t"/>
                        <w10:wrap type="none"/>
                        <w10:anchorlock/>
                      </v:shape>
                    </w:pict>
                  </w:r>
                </w:p>
              </w:tc>
              <w:tc>
                <w:tcPr>
                  <w:tcW w:w="1030" w:type="pct"/>
                  <w:noWrap w:val="0"/>
                  <w:vAlign w:val="center"/>
                </w:tcPr>
                <w:p w14:paraId="469247EF">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pict>
                      <v:shape id="_x0000_i1047" o:spt="75" alt="4" type="#_x0000_t75" style="height:69.8pt;width:69.75pt;" filled="f" stroked="f" coordsize="21600,21600">
                        <v:path/>
                        <v:fill on="f" focussize="0,0"/>
                        <v:stroke on="f"/>
                        <v:imagedata r:id="rId48" o:title="4"/>
                        <o:lock v:ext="edit" grouping="f" rotation="f" aspectratio="t"/>
                        <w10:wrap type="none"/>
                        <w10:anchorlock/>
                      </v:shape>
                    </w:pict>
                  </w:r>
                </w:p>
              </w:tc>
              <w:tc>
                <w:tcPr>
                  <w:tcW w:w="886" w:type="pct"/>
                  <w:noWrap w:val="0"/>
                  <w:vAlign w:val="center"/>
                </w:tcPr>
                <w:p w14:paraId="4851AB42">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废气排放口</w:t>
                  </w:r>
                </w:p>
              </w:tc>
              <w:tc>
                <w:tcPr>
                  <w:tcW w:w="1768" w:type="pct"/>
                  <w:noWrap w:val="0"/>
                  <w:vAlign w:val="center"/>
                </w:tcPr>
                <w:p w14:paraId="08442339">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表示废气向大气环境排放</w:t>
                  </w:r>
                </w:p>
              </w:tc>
            </w:tr>
            <w:tr w14:paraId="72814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jc w:val="center"/>
              </w:trPr>
              <w:tc>
                <w:tcPr>
                  <w:tcW w:w="381" w:type="pct"/>
                  <w:noWrap w:val="0"/>
                  <w:vAlign w:val="center"/>
                </w:tcPr>
                <w:p w14:paraId="758BD8AE">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2</w:t>
                  </w:r>
                </w:p>
              </w:tc>
              <w:tc>
                <w:tcPr>
                  <w:tcW w:w="932" w:type="pct"/>
                  <w:noWrap w:val="0"/>
                  <w:vAlign w:val="center"/>
                </w:tcPr>
                <w:p w14:paraId="1A9C49A5">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pict>
                      <v:shape id="_x0000_i1048" o:spt="75" alt="14001" type="#_x0000_t75" style="height:67.5pt;width:66.8pt;" filled="f" stroked="f" coordsize="21600,21600">
                        <v:path/>
                        <v:fill on="f" focussize="0,0"/>
                        <v:stroke on="f"/>
                        <v:imagedata r:id="rId49" o:title="14001"/>
                        <o:lock v:ext="edit" grouping="f" rotation="f" aspectratio="t"/>
                        <w10:wrap type="none"/>
                        <w10:anchorlock/>
                      </v:shape>
                    </w:pict>
                  </w:r>
                </w:p>
              </w:tc>
              <w:tc>
                <w:tcPr>
                  <w:tcW w:w="1030" w:type="pct"/>
                  <w:noWrap w:val="0"/>
                  <w:vAlign w:val="center"/>
                </w:tcPr>
                <w:p w14:paraId="35D42A77">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pict>
                      <v:shape id="_x0000_i1049" o:spt="75" alt="14002" type="#_x0000_t75" style="height:67.5pt;width:72pt;" filled="f" stroked="f" coordsize="21600,21600">
                        <v:path/>
                        <v:fill on="f" focussize="0,0"/>
                        <v:stroke on="f"/>
                        <v:imagedata r:id="rId50" o:title="14002"/>
                        <o:lock v:ext="edit" grouping="f" rotation="f" aspectratio="t"/>
                        <w10:wrap type="none"/>
                        <w10:anchorlock/>
                      </v:shape>
                    </w:pict>
                  </w:r>
                </w:p>
              </w:tc>
              <w:tc>
                <w:tcPr>
                  <w:tcW w:w="886" w:type="pct"/>
                  <w:noWrap w:val="0"/>
                  <w:vAlign w:val="center"/>
                </w:tcPr>
                <w:p w14:paraId="508F9F1F">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一般固体废物</w:t>
                  </w:r>
                </w:p>
              </w:tc>
              <w:tc>
                <w:tcPr>
                  <w:tcW w:w="1768" w:type="pct"/>
                  <w:noWrap w:val="0"/>
                  <w:vAlign w:val="center"/>
                </w:tcPr>
                <w:p w14:paraId="09379F4D">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表示一般固体废物贮存、</w:t>
                  </w:r>
                </w:p>
                <w:p w14:paraId="19CE6D28">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处置场</w:t>
                  </w:r>
                </w:p>
              </w:tc>
            </w:tr>
            <w:tr w14:paraId="7234A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4" w:hRule="atLeast"/>
                <w:jc w:val="center"/>
              </w:trPr>
              <w:tc>
                <w:tcPr>
                  <w:tcW w:w="381" w:type="pct"/>
                  <w:noWrap w:val="0"/>
                  <w:vAlign w:val="center"/>
                </w:tcPr>
                <w:p w14:paraId="0782ACAE">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3</w:t>
                  </w:r>
                </w:p>
              </w:tc>
              <w:tc>
                <w:tcPr>
                  <w:tcW w:w="932" w:type="pct"/>
                  <w:noWrap w:val="0"/>
                  <w:vAlign w:val="center"/>
                </w:tcPr>
                <w:p w14:paraId="69C354B6">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pict>
                      <v:shape id="_x0000_i1050" o:spt="75" alt="200602201518049853" type="#_x0000_t75" style="height:66.75pt;width:66.75pt;" filled="f" stroked="f" coordsize="21600,21600">
                        <v:path/>
                        <v:fill on="f" focussize="0,0"/>
                        <v:stroke on="f"/>
                        <v:imagedata r:id="rId51" o:title="200602201518049853"/>
                        <o:lock v:ext="edit" grouping="f" rotation="f" aspectratio="t"/>
                        <w10:wrap type="none"/>
                        <w10:anchorlock/>
                      </v:shape>
                    </w:pict>
                  </w:r>
                </w:p>
              </w:tc>
              <w:tc>
                <w:tcPr>
                  <w:tcW w:w="1030" w:type="pct"/>
                  <w:noWrap w:val="0"/>
                  <w:vAlign w:val="center"/>
                </w:tcPr>
                <w:p w14:paraId="0048508E">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pict>
                      <v:shape id="_x0000_i1051" o:spt="75" alt="200602201519018631" type="#_x0000_t75" style="height:66.6pt;width:75pt;" filled="f" stroked="f" coordsize="21600,21600">
                        <v:path/>
                        <v:fill on="f" focussize="0,0"/>
                        <v:stroke on="f"/>
                        <v:imagedata r:id="rId52" o:title="200602201519018631"/>
                        <o:lock v:ext="edit" grouping="f" rotation="f" aspectratio="t"/>
                        <w10:wrap type="none"/>
                        <w10:anchorlock/>
                      </v:shape>
                    </w:pict>
                  </w:r>
                </w:p>
              </w:tc>
              <w:tc>
                <w:tcPr>
                  <w:tcW w:w="886" w:type="pct"/>
                  <w:noWrap w:val="0"/>
                  <w:vAlign w:val="center"/>
                </w:tcPr>
                <w:p w14:paraId="4F12E96A">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噪声排放源</w:t>
                  </w:r>
                </w:p>
              </w:tc>
              <w:tc>
                <w:tcPr>
                  <w:tcW w:w="1768" w:type="pct"/>
                  <w:noWrap w:val="0"/>
                  <w:vAlign w:val="center"/>
                </w:tcPr>
                <w:p w14:paraId="05FB7B19">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表示噪声向外环境排放</w:t>
                  </w:r>
                </w:p>
              </w:tc>
            </w:tr>
          </w:tbl>
          <w:p w14:paraId="06D833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textAlignment w:val="auto"/>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kern w:val="0"/>
                <w:sz w:val="21"/>
                <w:szCs w:val="21"/>
              </w:rPr>
              <w:t>（3）</w:t>
            </w:r>
            <w:r>
              <w:rPr>
                <w:rFonts w:hint="default" w:ascii="Times New Roman" w:hAnsi="Times New Roman" w:cs="Times New Roman"/>
                <w:b/>
                <w:bCs/>
                <w:color w:val="000000" w:themeColor="text1"/>
                <w:sz w:val="21"/>
                <w:szCs w:val="21"/>
              </w:rPr>
              <w:t>排污许可制度衔接</w:t>
            </w:r>
          </w:p>
          <w:p w14:paraId="4DC6FB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根据项目的国民经济行业类别C2239其他纸制品制造，按《固定污染源排污许可分类管理名录（2019年版）》进行判定，可知：本项目属于固定污染源排污许可分类管理名录表中的“十七、造纸和纸制品业22”“纸制品制造223有工业废水或者废气排放的”。本项目的排污许可填报“管理类别”应为“简化管理”；同时，根据《固定污染源排污许可分类管理名录（2019年版）》，“五十一、通用工序”类中“除纳入重点排污单位名录的，除以天然气或者电为能源的加热炉、热处理炉、干燥炉（窑）以外的其他工业炉窑”，属于简化管理，在建设投产前，</w:t>
            </w:r>
            <w:r>
              <w:rPr>
                <w:rFonts w:hint="default" w:ascii="Times New Roman" w:hAnsi="Times New Roman" w:cs="Times New Roman"/>
                <w:color w:val="000000" w:themeColor="text1"/>
                <w:sz w:val="21"/>
                <w:szCs w:val="21"/>
              </w:rPr>
              <w:t>建设单位应按照《排污许可管理办法（试行）》、《固定污染源排污许可分类管理名录（2019年版）》等排污许可证相关管理要求，在全国排污许可证管理信息平台进行信息填报，取得排污许可证</w:t>
            </w:r>
            <w:r>
              <w:rPr>
                <w:rFonts w:hint="eastAsia" w:ascii="Times New Roman" w:hAnsi="Times New Roman" w:cs="Times New Roman"/>
                <w:color w:val="000000" w:themeColor="text1"/>
                <w:sz w:val="21"/>
                <w:szCs w:val="21"/>
              </w:rPr>
              <w:t>或</w:t>
            </w:r>
            <w:r>
              <w:rPr>
                <w:rFonts w:hint="default" w:ascii="Times New Roman" w:hAnsi="Times New Roman" w:cs="Times New Roman"/>
                <w:color w:val="000000" w:themeColor="text1"/>
                <w:sz w:val="21"/>
                <w:szCs w:val="21"/>
              </w:rPr>
              <w:t>登记信息回执。</w:t>
            </w:r>
          </w:p>
          <w:p w14:paraId="62261CC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firstLine="422" w:firstLineChars="200"/>
              <w:jc w:val="left"/>
              <w:textAlignment w:val="auto"/>
              <w:rPr>
                <w:rFonts w:hint="default" w:ascii="Times New Roman" w:hAnsi="Times New Roman" w:cs="Times New Roman"/>
                <w:b/>
                <w:bCs/>
                <w:color w:val="000000" w:themeColor="text1"/>
                <w:sz w:val="21"/>
                <w:szCs w:val="21"/>
                <w:lang w:val="en-US"/>
              </w:rPr>
            </w:pPr>
            <w:r>
              <w:rPr>
                <w:rFonts w:hint="eastAsia" w:ascii="Times New Roman" w:hAnsi="Times New Roman" w:eastAsia="宋体" w:cs="宋体"/>
                <w:b/>
                <w:bCs/>
                <w:color w:val="000000" w:themeColor="text1"/>
                <w:kern w:val="2"/>
                <w:sz w:val="21"/>
                <w:szCs w:val="21"/>
                <w:lang w:val="en-US" w:eastAsia="zh-CN" w:bidi="ar"/>
              </w:rPr>
              <w:t>（</w:t>
            </w:r>
            <w:r>
              <w:rPr>
                <w:rFonts w:hint="default" w:ascii="Times New Roman" w:hAnsi="Times New Roman" w:eastAsia="宋体" w:cs="Times New Roman"/>
                <w:b/>
                <w:bCs/>
                <w:color w:val="000000" w:themeColor="text1"/>
                <w:kern w:val="2"/>
                <w:sz w:val="21"/>
                <w:szCs w:val="21"/>
                <w:lang w:val="en-US" w:eastAsia="zh-CN" w:bidi="ar"/>
              </w:rPr>
              <w:t>4</w:t>
            </w:r>
            <w:r>
              <w:rPr>
                <w:rFonts w:hint="eastAsia" w:ascii="Times New Roman" w:hAnsi="Times New Roman" w:eastAsia="宋体" w:cs="宋体"/>
                <w:b/>
                <w:bCs/>
                <w:color w:val="000000" w:themeColor="text1"/>
                <w:kern w:val="2"/>
                <w:sz w:val="21"/>
                <w:szCs w:val="21"/>
                <w:lang w:val="en-US" w:eastAsia="zh-CN" w:bidi="ar"/>
              </w:rPr>
              <w:t>）运营期监测计划</w:t>
            </w:r>
          </w:p>
          <w:p w14:paraId="09FA05F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jc w:val="left"/>
              <w:textAlignment w:val="auto"/>
              <w:rPr>
                <w:rFonts w:hint="default" w:ascii="Times New Roman" w:hAnsi="Times New Roman" w:cs="Times New Roman"/>
                <w:color w:val="000000" w:themeColor="text1"/>
                <w:szCs w:val="21"/>
                <w:lang w:val="en-US"/>
              </w:rPr>
            </w:pPr>
            <w:r>
              <w:rPr>
                <w:rFonts w:hint="eastAsia" w:ascii="Times New Roman" w:hAnsi="Times New Roman" w:eastAsia="宋体" w:cs="宋体"/>
                <w:bCs/>
                <w:color w:val="000000" w:themeColor="text1"/>
                <w:kern w:val="2"/>
                <w:sz w:val="21"/>
                <w:szCs w:val="21"/>
                <w:lang w:val="en-US" w:eastAsia="zh-CN" w:bidi="ar"/>
              </w:rPr>
              <w:t>根据《排污单位自行监测技术指南总则》（</w:t>
            </w:r>
            <w:r>
              <w:rPr>
                <w:rFonts w:hint="default" w:ascii="Times New Roman" w:hAnsi="Times New Roman" w:eastAsia="宋体" w:cs="Times New Roman"/>
                <w:bCs/>
                <w:color w:val="000000" w:themeColor="text1"/>
                <w:kern w:val="2"/>
                <w:sz w:val="21"/>
                <w:szCs w:val="21"/>
                <w:lang w:val="en-US" w:eastAsia="zh-CN" w:bidi="ar"/>
              </w:rPr>
              <w:t>HJ819-2017</w:t>
            </w:r>
            <w:r>
              <w:rPr>
                <w:rFonts w:hint="eastAsia" w:ascii="Times New Roman" w:hAnsi="Times New Roman" w:eastAsia="宋体" w:cs="宋体"/>
                <w:bCs/>
                <w:color w:val="000000" w:themeColor="text1"/>
                <w:kern w:val="2"/>
                <w:sz w:val="21"/>
                <w:szCs w:val="21"/>
                <w:lang w:val="en-US" w:eastAsia="zh-CN" w:bidi="ar"/>
              </w:rPr>
              <w:t>）、《排污许可证申请与核发技术规范</w:t>
            </w:r>
            <w:r>
              <w:rPr>
                <w:rFonts w:hint="default" w:ascii="Times New Roman" w:hAnsi="Times New Roman" w:eastAsia="宋体" w:cs="Times New Roman"/>
                <w:bCs/>
                <w:color w:val="000000" w:themeColor="text1"/>
                <w:kern w:val="2"/>
                <w:sz w:val="21"/>
                <w:szCs w:val="21"/>
                <w:lang w:val="en-US" w:eastAsia="zh-CN" w:bidi="ar"/>
              </w:rPr>
              <w:t xml:space="preserve"> </w:t>
            </w:r>
            <w:r>
              <w:rPr>
                <w:rFonts w:hint="eastAsia" w:ascii="Times New Roman" w:hAnsi="Times New Roman" w:eastAsia="宋体" w:cs="宋体"/>
                <w:bCs/>
                <w:color w:val="000000" w:themeColor="text1"/>
                <w:kern w:val="2"/>
                <w:sz w:val="21"/>
                <w:szCs w:val="21"/>
                <w:lang w:val="en-US" w:eastAsia="zh-CN" w:bidi="ar"/>
              </w:rPr>
              <w:t>总则》（</w:t>
            </w:r>
            <w:r>
              <w:rPr>
                <w:rFonts w:hint="default" w:ascii="Times New Roman" w:hAnsi="Times New Roman" w:eastAsia="宋体" w:cs="Times New Roman"/>
                <w:bCs/>
                <w:color w:val="000000" w:themeColor="text1"/>
                <w:kern w:val="2"/>
                <w:sz w:val="21"/>
                <w:szCs w:val="21"/>
                <w:lang w:val="en-US" w:eastAsia="zh-CN" w:bidi="ar"/>
              </w:rPr>
              <w:t>HJ942-2018</w:t>
            </w:r>
            <w:r>
              <w:rPr>
                <w:rFonts w:hint="eastAsia" w:ascii="Times New Roman" w:hAnsi="Times New Roman" w:eastAsia="宋体" w:cs="宋体"/>
                <w:bCs/>
                <w:color w:val="000000" w:themeColor="text1"/>
                <w:kern w:val="2"/>
                <w:sz w:val="21"/>
                <w:szCs w:val="21"/>
                <w:lang w:val="en-US" w:eastAsia="zh-CN" w:bidi="ar"/>
              </w:rPr>
              <w:t>）、</w:t>
            </w:r>
            <w:r>
              <w:rPr>
                <w:rFonts w:hint="eastAsia" w:ascii="Times New Roman" w:hAnsi="Times New Roman" w:cs="Times New Roman"/>
                <w:color w:val="000000" w:themeColor="text1"/>
                <w:sz w:val="21"/>
                <w:szCs w:val="21"/>
              </w:rPr>
              <w:t>《排污许可证申请与核发技术规范</w:t>
            </w:r>
            <w:r>
              <w:rPr>
                <w:rFonts w:hint="eastAsia" w:ascii="Times New Roman" w:hAnsi="Times New Roman" w:cs="Times New Roman"/>
                <w:color w:val="000000" w:themeColor="text1"/>
                <w:sz w:val="21"/>
                <w:szCs w:val="21"/>
                <w:lang w:val="en-US" w:eastAsia="zh-CN"/>
              </w:rPr>
              <w:t>-</w:t>
            </w:r>
            <w:r>
              <w:rPr>
                <w:rFonts w:hint="eastAsia" w:ascii="Times New Roman" w:hAnsi="Times New Roman" w:cs="Times New Roman"/>
                <w:color w:val="000000" w:themeColor="text1"/>
                <w:sz w:val="21"/>
                <w:szCs w:val="21"/>
              </w:rPr>
              <w:t>工业噪声》（HJ1301—2023）</w:t>
            </w:r>
            <w:r>
              <w:rPr>
                <w:rFonts w:hint="eastAsia" w:ascii="Times New Roman" w:hAnsi="Times New Roman" w:eastAsia="宋体" w:cs="宋体"/>
                <w:bCs/>
                <w:color w:val="000000" w:themeColor="text1"/>
                <w:kern w:val="2"/>
                <w:sz w:val="21"/>
                <w:szCs w:val="21"/>
                <w:lang w:val="en-US" w:eastAsia="zh-CN" w:bidi="ar"/>
              </w:rPr>
              <w:t>及其</w:t>
            </w:r>
            <w:r>
              <w:rPr>
                <w:rFonts w:hint="default" w:ascii="宋体" w:hAnsi="宋体" w:eastAsia="宋体" w:cs="宋体"/>
                <w:color w:val="000000" w:themeColor="text1"/>
                <w:sz w:val="21"/>
                <w:szCs w:val="21"/>
              </w:rPr>
              <w:t>《排污许可证申请与核发技术规范</w:t>
            </w:r>
            <w:r>
              <w:rPr>
                <w:rFonts w:hint="eastAsia" w:ascii="宋体" w:hAnsi="宋体" w:eastAsia="宋体" w:cs="宋体"/>
                <w:color w:val="000000" w:themeColor="text1"/>
                <w:sz w:val="21"/>
                <w:szCs w:val="21"/>
                <w:lang w:val="en-US" w:eastAsia="zh-CN"/>
              </w:rPr>
              <w:t>-</w:t>
            </w:r>
            <w:r>
              <w:rPr>
                <w:rFonts w:hint="default" w:ascii="宋体" w:hAnsi="宋体" w:eastAsia="宋体" w:cs="宋体"/>
                <w:color w:val="000000" w:themeColor="text1"/>
                <w:sz w:val="21"/>
                <w:szCs w:val="21"/>
              </w:rPr>
              <w:t>工业炉窑》（HJ1121-2020</w:t>
            </w:r>
            <w:r>
              <w:rPr>
                <w:rFonts w:hint="eastAsia" w:ascii="Times New Roman" w:hAnsi="Times New Roman" w:eastAsia="宋体" w:cs="宋体"/>
                <w:color w:val="000000" w:themeColor="text1"/>
                <w:kern w:val="2"/>
                <w:sz w:val="21"/>
                <w:szCs w:val="21"/>
                <w:lang w:val="en-US" w:eastAsia="zh-CN" w:bidi="ar"/>
              </w:rPr>
              <w:t>的要求对项目各类污染治理设施的运转情况进行定期检查，监测可委托有资质的单位实施，监测方法按环境监测技术规范进行，监测统计报表根据国家和省、市生态环境部门有关规定进行。项目运营期监测计划汇总如下：</w:t>
            </w:r>
          </w:p>
          <w:p w14:paraId="2EF62215">
            <w:pPr>
              <w:pStyle w:val="203"/>
              <w:keepNext w:val="0"/>
              <w:keepLines w:val="0"/>
              <w:pageBreakBefore w:val="0"/>
              <w:widowControl/>
              <w:kinsoku/>
              <w:wordWrap/>
              <w:overflowPunct/>
              <w:topLinePunct w:val="0"/>
              <w:autoSpaceDE w:val="0"/>
              <w:autoSpaceDN w:val="0"/>
              <w:bidi w:val="0"/>
              <w:adjustRightInd/>
              <w:snapToGrid/>
              <w:spacing w:line="320" w:lineRule="exact"/>
              <w:ind w:left="0" w:firstLine="0" w:firstLineChars="0"/>
              <w:jc w:val="center"/>
              <w:textAlignment w:val="auto"/>
              <w:rPr>
                <w:b/>
                <w:bCs w:val="0"/>
                <w:color w:val="000000" w:themeColor="text1"/>
                <w:sz w:val="21"/>
                <w:szCs w:val="21"/>
                <w:lang w:val="en-US"/>
              </w:rPr>
            </w:pPr>
            <w:r>
              <w:rPr>
                <w:rFonts w:hint="eastAsia" w:ascii="Times New Roman" w:hAnsi="Times New Roman" w:eastAsia="宋体" w:cs="宋体"/>
                <w:b/>
                <w:bCs w:val="0"/>
                <w:color w:val="000000" w:themeColor="text1"/>
                <w:sz w:val="21"/>
                <w:szCs w:val="21"/>
                <w:lang w:eastAsia="zh-CN"/>
              </w:rPr>
              <w:t>表</w:t>
            </w:r>
            <w:r>
              <w:rPr>
                <w:b/>
                <w:bCs w:val="0"/>
                <w:color w:val="000000" w:themeColor="text1"/>
                <w:sz w:val="21"/>
                <w:szCs w:val="21"/>
                <w:lang w:val="en-US"/>
              </w:rPr>
              <w:t>4-2</w:t>
            </w:r>
            <w:r>
              <w:rPr>
                <w:rFonts w:hint="eastAsia"/>
                <w:b/>
                <w:bCs w:val="0"/>
                <w:color w:val="000000" w:themeColor="text1"/>
                <w:sz w:val="21"/>
                <w:szCs w:val="21"/>
                <w:lang w:val="en-US" w:eastAsia="zh-CN"/>
              </w:rPr>
              <w:t>1</w:t>
            </w:r>
            <w:r>
              <w:rPr>
                <w:b/>
                <w:bCs w:val="0"/>
                <w:color w:val="000000" w:themeColor="text1"/>
                <w:sz w:val="21"/>
                <w:szCs w:val="21"/>
                <w:lang w:val="en-US"/>
              </w:rPr>
              <w:t xml:space="preserve">  </w:t>
            </w:r>
            <w:r>
              <w:rPr>
                <w:rFonts w:hint="eastAsia" w:ascii="Times New Roman" w:hAnsi="Times New Roman" w:eastAsia="宋体" w:cs="宋体"/>
                <w:b/>
                <w:bCs w:val="0"/>
                <w:color w:val="000000" w:themeColor="text1"/>
                <w:sz w:val="21"/>
                <w:szCs w:val="21"/>
                <w:lang w:eastAsia="zh-CN"/>
              </w:rPr>
              <w:t>环境监测计划汇总</w:t>
            </w:r>
          </w:p>
          <w:tbl>
            <w:tblPr>
              <w:tblStyle w:val="43"/>
              <w:tblW w:w="7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800"/>
              <w:gridCol w:w="1400"/>
              <w:gridCol w:w="700"/>
              <w:gridCol w:w="3145"/>
            </w:tblGrid>
            <w:tr w14:paraId="3D5F5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dxa"/>
                  <w:tcBorders>
                    <w:top w:val="single" w:color="auto" w:sz="4" w:space="0"/>
                    <w:left w:val="single" w:color="auto" w:sz="4" w:space="0"/>
                    <w:bottom w:val="single" w:color="auto" w:sz="4" w:space="0"/>
                    <w:right w:val="single" w:color="auto" w:sz="4" w:space="0"/>
                  </w:tcBorders>
                  <w:noWrap w:val="0"/>
                  <w:vAlign w:val="center"/>
                </w:tcPr>
                <w:p w14:paraId="4DAEC6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szCs w:val="21"/>
                      <w:lang w:val="en-US"/>
                    </w:rPr>
                  </w:pPr>
                  <w:r>
                    <w:rPr>
                      <w:rFonts w:hint="eastAsia" w:ascii="Times New Roman" w:hAnsi="Times New Roman" w:eastAsia="宋体" w:cs="宋体"/>
                      <w:b/>
                      <w:bCs w:val="0"/>
                      <w:color w:val="000000" w:themeColor="text1"/>
                      <w:kern w:val="2"/>
                      <w:sz w:val="21"/>
                      <w:szCs w:val="21"/>
                      <w:lang w:val="en-US" w:eastAsia="zh-CN" w:bidi="ar"/>
                    </w:rPr>
                    <w:t>项目</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B193F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szCs w:val="21"/>
                      <w:lang w:val="en-US"/>
                    </w:rPr>
                  </w:pPr>
                  <w:r>
                    <w:rPr>
                      <w:rFonts w:hint="eastAsia" w:ascii="Times New Roman" w:hAnsi="Times New Roman" w:eastAsia="宋体" w:cs="宋体"/>
                      <w:b/>
                      <w:bCs w:val="0"/>
                      <w:color w:val="000000" w:themeColor="text1"/>
                      <w:kern w:val="2"/>
                      <w:sz w:val="21"/>
                      <w:szCs w:val="21"/>
                      <w:lang w:val="en-US" w:eastAsia="zh-CN" w:bidi="ar"/>
                    </w:rPr>
                    <w:t>监测点位</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22F92C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szCs w:val="21"/>
                      <w:lang w:val="en-US"/>
                    </w:rPr>
                  </w:pPr>
                  <w:r>
                    <w:rPr>
                      <w:rFonts w:hint="eastAsia" w:ascii="Times New Roman" w:hAnsi="Times New Roman" w:eastAsia="宋体" w:cs="宋体"/>
                      <w:b/>
                      <w:bCs w:val="0"/>
                      <w:color w:val="000000" w:themeColor="text1"/>
                      <w:kern w:val="2"/>
                      <w:sz w:val="21"/>
                      <w:szCs w:val="21"/>
                      <w:lang w:val="en-US" w:eastAsia="zh-CN" w:bidi="ar"/>
                    </w:rPr>
                    <w:t>监测指标</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6EC7E9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szCs w:val="21"/>
                      <w:lang w:val="en-US"/>
                    </w:rPr>
                  </w:pPr>
                  <w:r>
                    <w:rPr>
                      <w:rFonts w:hint="eastAsia" w:ascii="Times New Roman" w:hAnsi="Times New Roman" w:eastAsia="宋体" w:cs="宋体"/>
                      <w:b/>
                      <w:bCs w:val="0"/>
                      <w:color w:val="000000" w:themeColor="text1"/>
                      <w:kern w:val="2"/>
                      <w:sz w:val="21"/>
                      <w:szCs w:val="21"/>
                      <w:lang w:val="en-US" w:eastAsia="zh-CN" w:bidi="ar"/>
                    </w:rPr>
                    <w:t>监测频率</w:t>
                  </w:r>
                </w:p>
              </w:tc>
              <w:tc>
                <w:tcPr>
                  <w:tcW w:w="3145" w:type="dxa"/>
                  <w:tcBorders>
                    <w:top w:val="single" w:color="auto" w:sz="4" w:space="0"/>
                    <w:left w:val="single" w:color="auto" w:sz="4" w:space="0"/>
                    <w:bottom w:val="single" w:color="auto" w:sz="4" w:space="0"/>
                    <w:right w:val="single" w:color="auto" w:sz="4" w:space="0"/>
                  </w:tcBorders>
                  <w:noWrap w:val="0"/>
                  <w:vAlign w:val="center"/>
                </w:tcPr>
                <w:p w14:paraId="754C74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000000" w:themeColor="text1"/>
                      <w:szCs w:val="21"/>
                      <w:lang w:val="en-US"/>
                    </w:rPr>
                  </w:pPr>
                  <w:r>
                    <w:rPr>
                      <w:rFonts w:hint="eastAsia" w:ascii="Times New Roman" w:hAnsi="Times New Roman" w:eastAsia="宋体" w:cs="宋体"/>
                      <w:b/>
                      <w:bCs w:val="0"/>
                      <w:color w:val="000000" w:themeColor="text1"/>
                      <w:kern w:val="2"/>
                      <w:sz w:val="21"/>
                      <w:szCs w:val="21"/>
                      <w:lang w:val="en-US" w:eastAsia="zh-CN" w:bidi="ar"/>
                    </w:rPr>
                    <w:t>执行排放标准</w:t>
                  </w:r>
                </w:p>
              </w:tc>
            </w:tr>
            <w:tr w14:paraId="7CD36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685" w:type="dxa"/>
                  <w:tcBorders>
                    <w:top w:val="single" w:color="auto" w:sz="4" w:space="0"/>
                    <w:left w:val="single" w:color="auto" w:sz="4" w:space="0"/>
                    <w:right w:val="single" w:color="auto" w:sz="4" w:space="0"/>
                  </w:tcBorders>
                  <w:noWrap w:val="0"/>
                  <w:vAlign w:val="center"/>
                </w:tcPr>
                <w:p w14:paraId="30C2FF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Cs w:val="21"/>
                      <w:lang w:val="en-US"/>
                    </w:rPr>
                  </w:pPr>
                  <w:r>
                    <w:rPr>
                      <w:rFonts w:hint="eastAsia" w:ascii="Times New Roman" w:hAnsi="Times New Roman" w:eastAsia="宋体" w:cs="宋体"/>
                      <w:bCs/>
                      <w:color w:val="000000" w:themeColor="text1"/>
                      <w:kern w:val="2"/>
                      <w:sz w:val="21"/>
                      <w:szCs w:val="21"/>
                      <w:lang w:val="en-US" w:eastAsia="zh-CN" w:bidi="ar"/>
                    </w:rPr>
                    <w:t>有组织废气</w:t>
                  </w:r>
                </w:p>
              </w:tc>
              <w:tc>
                <w:tcPr>
                  <w:tcW w:w="1800" w:type="dxa"/>
                  <w:tcBorders>
                    <w:top w:val="single" w:color="auto" w:sz="4" w:space="0"/>
                    <w:left w:val="single" w:color="auto" w:sz="4" w:space="0"/>
                    <w:right w:val="single" w:color="auto" w:sz="4" w:space="0"/>
                  </w:tcBorders>
                  <w:noWrap w:val="0"/>
                  <w:vAlign w:val="center"/>
                </w:tcPr>
                <w:p w14:paraId="69ED83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Cs w:val="21"/>
                      <w:lang w:val="en-US"/>
                    </w:rPr>
                  </w:pPr>
                  <w:r>
                    <w:rPr>
                      <w:rFonts w:hint="default" w:ascii="Times New Roman" w:hAnsi="Times New Roman" w:eastAsia="宋体" w:cs="Times New Roman"/>
                      <w:bCs/>
                      <w:color w:val="000000" w:themeColor="text1"/>
                      <w:kern w:val="2"/>
                      <w:sz w:val="21"/>
                      <w:szCs w:val="21"/>
                      <w:lang w:val="en-US" w:eastAsia="zh-CN" w:bidi="ar"/>
                    </w:rPr>
                    <w:t>DA001</w:t>
                  </w:r>
                  <w:r>
                    <w:rPr>
                      <w:rFonts w:hint="eastAsia" w:ascii="Times New Roman" w:hAnsi="Times New Roman" w:eastAsia="宋体" w:cs="宋体"/>
                      <w:bCs/>
                      <w:color w:val="000000" w:themeColor="text1"/>
                      <w:kern w:val="2"/>
                      <w:sz w:val="21"/>
                      <w:szCs w:val="21"/>
                      <w:lang w:val="en-US" w:eastAsia="zh-CN" w:bidi="ar"/>
                    </w:rPr>
                    <w:t>排放口</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0E3374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B050"/>
                      <w:szCs w:val="21"/>
                      <w:lang w:val="en-US"/>
                    </w:rPr>
                  </w:pPr>
                  <w:r>
                    <w:rPr>
                      <w:rFonts w:hint="eastAsia" w:ascii="Times New Roman" w:hAnsi="Times New Roman" w:eastAsia="宋体" w:cs="宋体"/>
                      <w:bCs/>
                      <w:color w:val="00B050"/>
                      <w:kern w:val="2"/>
                      <w:sz w:val="21"/>
                      <w:szCs w:val="21"/>
                      <w:lang w:val="en-US" w:eastAsia="zh-CN" w:bidi="ar"/>
                    </w:rPr>
                    <w:t>颗粒物、</w:t>
                  </w:r>
                  <w:r>
                    <w:rPr>
                      <w:rFonts w:hint="default" w:ascii="Times New Roman" w:hAnsi="Times New Roman" w:eastAsia="宋体" w:cs="Times New Roman"/>
                      <w:bCs/>
                      <w:color w:val="00B050"/>
                      <w:kern w:val="2"/>
                      <w:sz w:val="21"/>
                      <w:szCs w:val="21"/>
                      <w:lang w:val="en-US" w:eastAsia="zh-CN" w:bidi="ar"/>
                    </w:rPr>
                    <w:t>SO</w:t>
                  </w:r>
                  <w:r>
                    <w:rPr>
                      <w:rFonts w:hint="default" w:ascii="Times New Roman" w:hAnsi="Times New Roman" w:eastAsia="宋体" w:cs="Times New Roman"/>
                      <w:bCs/>
                      <w:color w:val="00B050"/>
                      <w:kern w:val="2"/>
                      <w:sz w:val="21"/>
                      <w:szCs w:val="21"/>
                      <w:vertAlign w:val="subscript"/>
                      <w:lang w:val="en-US" w:eastAsia="zh-CN" w:bidi="ar"/>
                    </w:rPr>
                    <w:t>2</w:t>
                  </w:r>
                  <w:r>
                    <w:rPr>
                      <w:rFonts w:hint="eastAsia" w:ascii="Times New Roman" w:hAnsi="Times New Roman" w:eastAsia="宋体" w:cs="Times New Roman"/>
                      <w:bCs/>
                      <w:color w:val="00B050"/>
                      <w:kern w:val="2"/>
                      <w:sz w:val="21"/>
                      <w:szCs w:val="21"/>
                      <w:vertAlign w:val="baseline"/>
                      <w:lang w:val="en-US" w:eastAsia="zh-CN" w:bidi="ar"/>
                    </w:rPr>
                    <w:t>、</w:t>
                  </w:r>
                  <w:r>
                    <w:rPr>
                      <w:rFonts w:hint="default" w:ascii="Times New Roman" w:hAnsi="Times New Roman" w:eastAsia="宋体" w:cs="Times New Roman"/>
                      <w:bCs/>
                      <w:color w:val="00B050"/>
                      <w:kern w:val="2"/>
                      <w:sz w:val="21"/>
                      <w:szCs w:val="21"/>
                      <w:lang w:val="en-US" w:eastAsia="zh-CN" w:bidi="ar"/>
                    </w:rPr>
                    <w:t>NOx</w:t>
                  </w:r>
                  <w:r>
                    <w:rPr>
                      <w:rFonts w:hint="eastAsia" w:cs="Times New Roman"/>
                      <w:bCs/>
                      <w:color w:val="00B050"/>
                      <w:kern w:val="2"/>
                      <w:sz w:val="21"/>
                      <w:szCs w:val="21"/>
                      <w:lang w:val="en-US" w:eastAsia="zh-CN" w:bidi="ar"/>
                    </w:rPr>
                    <w:t>、</w:t>
                  </w:r>
                  <w:r>
                    <w:rPr>
                      <w:rFonts w:hint="eastAsia" w:ascii="Times New Roman" w:hAnsi="Times New Roman" w:eastAsia="宋体" w:cs="宋体"/>
                      <w:bCs/>
                      <w:color w:val="00B050"/>
                      <w:kern w:val="2"/>
                      <w:sz w:val="21"/>
                      <w:szCs w:val="21"/>
                      <w:lang w:val="en-US" w:eastAsia="zh-CN" w:bidi="ar"/>
                    </w:rPr>
                    <w:t>烟气黑度</w:t>
                  </w:r>
                </w:p>
              </w:tc>
              <w:tc>
                <w:tcPr>
                  <w:tcW w:w="700" w:type="dxa"/>
                  <w:tcBorders>
                    <w:top w:val="single" w:color="auto" w:sz="4" w:space="0"/>
                    <w:left w:val="single" w:color="auto" w:sz="4" w:space="0"/>
                    <w:right w:val="single" w:color="auto" w:sz="4" w:space="0"/>
                  </w:tcBorders>
                  <w:noWrap w:val="0"/>
                  <w:vAlign w:val="center"/>
                </w:tcPr>
                <w:p w14:paraId="312A54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B050"/>
                      <w:sz w:val="21"/>
                      <w:szCs w:val="21"/>
                      <w:lang w:val="en-US"/>
                    </w:rPr>
                  </w:pPr>
                  <w:r>
                    <w:rPr>
                      <w:rFonts w:hint="default" w:ascii="Times New Roman" w:hAnsi="Times New Roman" w:eastAsia="宋体" w:cs="Times New Roman"/>
                      <w:bCs/>
                      <w:color w:val="00B050"/>
                      <w:kern w:val="2"/>
                      <w:sz w:val="21"/>
                      <w:szCs w:val="21"/>
                      <w:lang w:val="en-US" w:eastAsia="zh-CN" w:bidi="ar"/>
                    </w:rPr>
                    <w:t>1</w:t>
                  </w:r>
                  <w:r>
                    <w:rPr>
                      <w:rFonts w:hint="eastAsia" w:ascii="Times New Roman" w:hAnsi="Times New Roman" w:eastAsia="宋体" w:cs="宋体"/>
                      <w:bCs/>
                      <w:color w:val="00B050"/>
                      <w:kern w:val="2"/>
                      <w:sz w:val="21"/>
                      <w:szCs w:val="21"/>
                      <w:lang w:val="en-US" w:eastAsia="zh-CN" w:bidi="ar"/>
                    </w:rPr>
                    <w:t>次</w:t>
                  </w:r>
                  <w:r>
                    <w:rPr>
                      <w:rFonts w:hint="default" w:ascii="Times New Roman" w:hAnsi="Times New Roman" w:eastAsia="宋体" w:cs="Times New Roman"/>
                      <w:bCs/>
                      <w:color w:val="00B050"/>
                      <w:kern w:val="2"/>
                      <w:sz w:val="21"/>
                      <w:szCs w:val="21"/>
                      <w:lang w:val="en-US" w:eastAsia="zh-CN" w:bidi="ar"/>
                    </w:rPr>
                    <w:t>/</w:t>
                  </w:r>
                  <w:r>
                    <w:rPr>
                      <w:rFonts w:hint="eastAsia" w:ascii="Times New Roman" w:hAnsi="Times New Roman" w:eastAsia="宋体" w:cs="Times New Roman"/>
                      <w:bCs/>
                      <w:color w:val="00B050"/>
                      <w:kern w:val="2"/>
                      <w:sz w:val="21"/>
                      <w:szCs w:val="21"/>
                      <w:lang w:val="en-US" w:eastAsia="zh-CN" w:bidi="ar"/>
                    </w:rPr>
                    <w:t>年</w:t>
                  </w:r>
                </w:p>
              </w:tc>
              <w:tc>
                <w:tcPr>
                  <w:tcW w:w="3145" w:type="dxa"/>
                  <w:tcBorders>
                    <w:top w:val="single" w:color="auto" w:sz="4" w:space="0"/>
                    <w:left w:val="single" w:color="auto" w:sz="4" w:space="0"/>
                    <w:right w:val="single" w:color="auto" w:sz="4" w:space="0"/>
                  </w:tcBorders>
                  <w:noWrap w:val="0"/>
                  <w:vAlign w:val="center"/>
                </w:tcPr>
                <w:p w14:paraId="163F0A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 w:val="21"/>
                      <w:szCs w:val="21"/>
                      <w:lang w:val="en-US"/>
                    </w:rPr>
                  </w:pPr>
                  <w:r>
                    <w:rPr>
                      <w:rFonts w:hint="default" w:ascii="Times New Roman" w:hAnsi="Times New Roman" w:eastAsia="宋体" w:cs="Times New Roman"/>
                      <w:bCs/>
                      <w:color w:val="000000" w:themeColor="text1"/>
                      <w:kern w:val="2"/>
                      <w:sz w:val="21"/>
                      <w:szCs w:val="21"/>
                      <w:lang w:val="en-US" w:eastAsia="zh-CN" w:bidi="ar"/>
                    </w:rPr>
                    <w:t>SO</w:t>
                  </w:r>
                  <w:r>
                    <w:rPr>
                      <w:rFonts w:hint="default" w:ascii="Times New Roman" w:hAnsi="Times New Roman" w:eastAsia="宋体" w:cs="Times New Roman"/>
                      <w:bCs/>
                      <w:color w:val="000000" w:themeColor="text1"/>
                      <w:kern w:val="2"/>
                      <w:sz w:val="21"/>
                      <w:szCs w:val="21"/>
                      <w:vertAlign w:val="subscript"/>
                      <w:lang w:val="en-US" w:eastAsia="zh-CN" w:bidi="ar"/>
                    </w:rPr>
                    <w:t>2</w:t>
                  </w:r>
                  <w:r>
                    <w:rPr>
                      <w:rFonts w:hint="eastAsia" w:ascii="Times New Roman" w:hAnsi="Times New Roman" w:eastAsia="宋体" w:cs="Times New Roman"/>
                      <w:bCs/>
                      <w:color w:val="000000" w:themeColor="text1"/>
                      <w:kern w:val="2"/>
                      <w:sz w:val="21"/>
                      <w:szCs w:val="21"/>
                      <w:lang w:val="en-US" w:eastAsia="zh-CN" w:bidi="ar"/>
                    </w:rPr>
                    <w:t>和</w:t>
                  </w:r>
                  <w:r>
                    <w:rPr>
                      <w:rFonts w:hint="default" w:ascii="Times New Roman" w:hAnsi="Times New Roman" w:eastAsia="宋体" w:cs="Times New Roman"/>
                      <w:bCs/>
                      <w:color w:val="000000" w:themeColor="text1"/>
                      <w:kern w:val="2"/>
                      <w:sz w:val="21"/>
                      <w:szCs w:val="21"/>
                      <w:lang w:val="en-US" w:eastAsia="zh-CN" w:bidi="ar"/>
                    </w:rPr>
                    <w:t>NOx</w:t>
                  </w:r>
                  <w:r>
                    <w:rPr>
                      <w:rFonts w:hint="eastAsia" w:ascii="Times New Roman" w:hAnsi="Times New Roman" w:eastAsia="宋体" w:cs="Times New Roman"/>
                      <w:bCs/>
                      <w:color w:val="000000" w:themeColor="text1"/>
                      <w:kern w:val="2"/>
                      <w:sz w:val="21"/>
                      <w:szCs w:val="21"/>
                      <w:lang w:val="en-US" w:eastAsia="zh-CN" w:bidi="ar"/>
                    </w:rPr>
                    <w:t>执行《大气污染物综合排放标准》</w:t>
                  </w:r>
                  <w:r>
                    <w:rPr>
                      <w:rFonts w:hint="default" w:ascii="Times New Roman" w:hAnsi="Times New Roman" w:eastAsia="宋体" w:cs="Times New Roman"/>
                      <w:bCs/>
                      <w:color w:val="000000" w:themeColor="text1"/>
                      <w:kern w:val="2"/>
                      <w:sz w:val="21"/>
                      <w:szCs w:val="21"/>
                      <w:lang w:val="en-US" w:eastAsia="zh-CN" w:bidi="ar"/>
                    </w:rPr>
                    <w:t>(GB16297-1996)</w:t>
                  </w:r>
                  <w:r>
                    <w:rPr>
                      <w:rFonts w:hint="eastAsia" w:ascii="Times New Roman" w:hAnsi="Times New Roman" w:eastAsia="宋体" w:cs="Times New Roman"/>
                      <w:bCs/>
                      <w:color w:val="000000" w:themeColor="text1"/>
                      <w:kern w:val="2"/>
                      <w:sz w:val="21"/>
                      <w:szCs w:val="21"/>
                      <w:lang w:val="en-US" w:eastAsia="zh-CN" w:bidi="ar"/>
                    </w:rPr>
                    <w:t>表</w:t>
                  </w:r>
                  <w:r>
                    <w:rPr>
                      <w:rFonts w:hint="default" w:ascii="Times New Roman" w:hAnsi="Times New Roman" w:eastAsia="宋体" w:cs="Times New Roman"/>
                      <w:bCs/>
                      <w:color w:val="000000" w:themeColor="text1"/>
                      <w:kern w:val="2"/>
                      <w:sz w:val="21"/>
                      <w:szCs w:val="21"/>
                      <w:lang w:val="en-US" w:eastAsia="zh-CN" w:bidi="ar"/>
                    </w:rPr>
                    <w:t>2</w:t>
                  </w:r>
                  <w:r>
                    <w:rPr>
                      <w:rFonts w:hint="eastAsia" w:ascii="Times New Roman" w:hAnsi="Times New Roman" w:eastAsia="宋体" w:cs="Times New Roman"/>
                      <w:bCs/>
                      <w:color w:val="000000" w:themeColor="text1"/>
                      <w:kern w:val="2"/>
                      <w:sz w:val="21"/>
                      <w:szCs w:val="21"/>
                      <w:lang w:val="en-US" w:eastAsia="zh-CN" w:bidi="ar"/>
                    </w:rPr>
                    <w:t>中的二级标准限值；烟（粉</w:t>
                  </w:r>
                  <w:r>
                    <w:rPr>
                      <w:rFonts w:hint="default" w:ascii="Times New Roman" w:hAnsi="Times New Roman" w:eastAsia="宋体" w:cs="Times New Roman"/>
                      <w:bCs/>
                      <w:color w:val="000000" w:themeColor="text1"/>
                      <w:kern w:val="2"/>
                      <w:sz w:val="21"/>
                      <w:szCs w:val="21"/>
                      <w:lang w:val="en-US" w:eastAsia="zh-CN" w:bidi="ar"/>
                    </w:rPr>
                    <w:t>)</w:t>
                  </w:r>
                  <w:r>
                    <w:rPr>
                      <w:rFonts w:hint="eastAsia" w:ascii="Times New Roman" w:hAnsi="Times New Roman" w:eastAsia="宋体" w:cs="Times New Roman"/>
                      <w:bCs/>
                      <w:color w:val="000000" w:themeColor="text1"/>
                      <w:kern w:val="2"/>
                      <w:sz w:val="21"/>
                      <w:szCs w:val="21"/>
                      <w:lang w:val="en-US" w:eastAsia="zh-CN" w:bidi="ar"/>
                    </w:rPr>
                    <w:t>尘、烟气黑度（林格曼黑度）执行《工业炉窑大气污染物排放标准》</w:t>
                  </w:r>
                  <w:r>
                    <w:rPr>
                      <w:rFonts w:hint="default" w:ascii="Times New Roman" w:hAnsi="Times New Roman" w:eastAsia="宋体" w:cs="Times New Roman"/>
                      <w:bCs/>
                      <w:color w:val="000000" w:themeColor="text1"/>
                      <w:kern w:val="2"/>
                      <w:sz w:val="21"/>
                      <w:szCs w:val="21"/>
                      <w:lang w:val="en-US" w:eastAsia="zh-CN" w:bidi="ar"/>
                    </w:rPr>
                    <w:t>(GB9078-1996)</w:t>
                  </w:r>
                  <w:r>
                    <w:rPr>
                      <w:rFonts w:hint="eastAsia" w:ascii="Times New Roman" w:hAnsi="Times New Roman" w:eastAsia="宋体" w:cs="Times New Roman"/>
                      <w:bCs/>
                      <w:color w:val="000000" w:themeColor="text1"/>
                      <w:kern w:val="2"/>
                      <w:sz w:val="21"/>
                      <w:szCs w:val="21"/>
                      <w:lang w:val="en-US" w:eastAsia="zh-CN" w:bidi="ar"/>
                    </w:rPr>
                    <w:t>中“干燥炉、窑”及“其他”二级排放标准限值</w:t>
                  </w:r>
                </w:p>
              </w:tc>
            </w:tr>
            <w:tr w14:paraId="11E6E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dxa"/>
                  <w:tcBorders>
                    <w:top w:val="single" w:color="auto" w:sz="4" w:space="0"/>
                    <w:left w:val="single" w:color="auto" w:sz="4" w:space="0"/>
                    <w:bottom w:val="single" w:color="auto" w:sz="4" w:space="0"/>
                    <w:right w:val="single" w:color="auto" w:sz="4" w:space="0"/>
                  </w:tcBorders>
                  <w:noWrap w:val="0"/>
                  <w:vAlign w:val="center"/>
                </w:tcPr>
                <w:p w14:paraId="25CEC9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Cs w:val="21"/>
                      <w:lang w:val="en-US"/>
                    </w:rPr>
                  </w:pPr>
                  <w:r>
                    <w:rPr>
                      <w:rFonts w:hint="eastAsia" w:ascii="Times New Roman" w:hAnsi="Times New Roman" w:eastAsia="宋体" w:cs="宋体"/>
                      <w:bCs/>
                      <w:color w:val="000000" w:themeColor="text1"/>
                      <w:kern w:val="2"/>
                      <w:sz w:val="21"/>
                      <w:szCs w:val="21"/>
                      <w:lang w:val="en-US" w:eastAsia="zh-CN" w:bidi="ar"/>
                    </w:rPr>
                    <w:t>无组织废气</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533944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Cs w:val="21"/>
                      <w:lang w:val="en-US"/>
                    </w:rPr>
                  </w:pPr>
                  <w:r>
                    <w:rPr>
                      <w:rFonts w:hint="eastAsia" w:ascii="Times New Roman" w:hAnsi="Times New Roman" w:eastAsia="宋体" w:cs="宋体"/>
                      <w:bCs/>
                      <w:color w:val="000000" w:themeColor="text1"/>
                      <w:kern w:val="2"/>
                      <w:sz w:val="21"/>
                      <w:szCs w:val="21"/>
                      <w:lang w:val="en-US" w:eastAsia="zh-CN" w:bidi="ar"/>
                    </w:rPr>
                    <w:t>上风向设置</w:t>
                  </w:r>
                  <w:r>
                    <w:rPr>
                      <w:rFonts w:hint="default" w:ascii="Times New Roman" w:hAnsi="Times New Roman" w:eastAsia="宋体" w:cs="Times New Roman"/>
                      <w:bCs/>
                      <w:color w:val="000000" w:themeColor="text1"/>
                      <w:kern w:val="2"/>
                      <w:sz w:val="21"/>
                      <w:szCs w:val="21"/>
                      <w:lang w:val="en-US" w:eastAsia="zh-CN" w:bidi="ar"/>
                    </w:rPr>
                    <w:t>1</w:t>
                  </w:r>
                  <w:r>
                    <w:rPr>
                      <w:rFonts w:hint="eastAsia" w:ascii="Times New Roman" w:hAnsi="Times New Roman" w:eastAsia="宋体" w:cs="宋体"/>
                      <w:bCs/>
                      <w:color w:val="000000" w:themeColor="text1"/>
                      <w:kern w:val="2"/>
                      <w:sz w:val="21"/>
                      <w:szCs w:val="21"/>
                      <w:lang w:val="en-US" w:eastAsia="zh-CN" w:bidi="ar"/>
                    </w:rPr>
                    <w:t>个参照点、下风向设置</w:t>
                  </w:r>
                  <w:r>
                    <w:rPr>
                      <w:rFonts w:hint="default" w:ascii="Times New Roman" w:hAnsi="Times New Roman" w:eastAsia="宋体" w:cs="Times New Roman"/>
                      <w:bCs/>
                      <w:color w:val="000000" w:themeColor="text1"/>
                      <w:kern w:val="2"/>
                      <w:sz w:val="21"/>
                      <w:szCs w:val="21"/>
                      <w:lang w:val="en-US" w:eastAsia="zh-CN" w:bidi="ar"/>
                    </w:rPr>
                    <w:t>3</w:t>
                  </w:r>
                  <w:r>
                    <w:rPr>
                      <w:rFonts w:hint="eastAsia" w:ascii="Times New Roman" w:hAnsi="Times New Roman" w:eastAsia="宋体" w:cs="宋体"/>
                      <w:bCs/>
                      <w:color w:val="000000" w:themeColor="text1"/>
                      <w:kern w:val="2"/>
                      <w:sz w:val="21"/>
                      <w:szCs w:val="21"/>
                      <w:lang w:val="en-US" w:eastAsia="zh-CN" w:bidi="ar"/>
                    </w:rPr>
                    <w:t>个监控点</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2C38CE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Cs w:val="21"/>
                      <w:lang w:val="en-US"/>
                    </w:rPr>
                  </w:pPr>
                  <w:r>
                    <w:rPr>
                      <w:rFonts w:hint="eastAsia" w:ascii="Times New Roman" w:hAnsi="Times New Roman" w:eastAsia="宋体" w:cs="宋体"/>
                      <w:bCs/>
                      <w:color w:val="000000" w:themeColor="text1"/>
                      <w:kern w:val="2"/>
                      <w:sz w:val="21"/>
                      <w:szCs w:val="21"/>
                      <w:lang w:val="en-US" w:eastAsia="zh-CN" w:bidi="ar"/>
                    </w:rPr>
                    <w:t>颗粒物</w:t>
                  </w:r>
                </w:p>
              </w:tc>
              <w:tc>
                <w:tcPr>
                  <w:tcW w:w="700" w:type="dxa"/>
                  <w:tcBorders>
                    <w:left w:val="single" w:color="auto" w:sz="4" w:space="0"/>
                    <w:bottom w:val="single" w:color="auto" w:sz="4" w:space="0"/>
                    <w:right w:val="single" w:color="auto" w:sz="4" w:space="0"/>
                  </w:tcBorders>
                  <w:noWrap w:val="0"/>
                  <w:vAlign w:val="center"/>
                </w:tcPr>
                <w:p w14:paraId="7E03EB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lang w:val="en-US" w:eastAsia="zh-CN"/>
                    </w:rPr>
                    <w:t>1次/年</w:t>
                  </w:r>
                </w:p>
              </w:tc>
              <w:tc>
                <w:tcPr>
                  <w:tcW w:w="3145" w:type="dxa"/>
                  <w:tcBorders>
                    <w:top w:val="single" w:color="auto" w:sz="4" w:space="0"/>
                    <w:left w:val="single" w:color="auto" w:sz="4" w:space="0"/>
                    <w:bottom w:val="single" w:color="auto" w:sz="4" w:space="0"/>
                    <w:right w:val="single" w:color="auto" w:sz="4" w:space="0"/>
                  </w:tcBorders>
                  <w:noWrap w:val="0"/>
                  <w:vAlign w:val="center"/>
                </w:tcPr>
                <w:p w14:paraId="33562A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 w:val="21"/>
                      <w:szCs w:val="21"/>
                      <w:lang w:val="en-US"/>
                    </w:rPr>
                  </w:pPr>
                  <w:r>
                    <w:rPr>
                      <w:rFonts w:hint="eastAsia" w:ascii="Times New Roman" w:hAnsi="Times New Roman" w:cs="Times New Roman"/>
                      <w:bCs/>
                      <w:color w:val="000000" w:themeColor="text1"/>
                      <w:sz w:val="21"/>
                      <w:szCs w:val="21"/>
                      <w:lang w:val="en-US"/>
                    </w:rPr>
                    <w:t>《大气污染物综合排放标准》（GB 16297-1996）</w:t>
                  </w:r>
                  <w:r>
                    <w:rPr>
                      <w:rFonts w:hint="eastAsia" w:ascii="Times New Roman" w:hAnsi="Times New Roman" w:eastAsia="宋体" w:cs="Times New Roman"/>
                      <w:bCs/>
                      <w:color w:val="000000" w:themeColor="text1"/>
                      <w:kern w:val="2"/>
                      <w:sz w:val="21"/>
                      <w:szCs w:val="21"/>
                      <w:lang w:val="en-US" w:eastAsia="zh-CN" w:bidi="ar"/>
                    </w:rPr>
                    <w:t>表</w:t>
                  </w:r>
                  <w:r>
                    <w:rPr>
                      <w:rFonts w:hint="default" w:ascii="Times New Roman" w:hAnsi="Times New Roman" w:eastAsia="宋体" w:cs="Times New Roman"/>
                      <w:bCs/>
                      <w:color w:val="000000" w:themeColor="text1"/>
                      <w:kern w:val="2"/>
                      <w:sz w:val="21"/>
                      <w:szCs w:val="21"/>
                      <w:lang w:val="en-US" w:eastAsia="zh-CN" w:bidi="ar"/>
                    </w:rPr>
                    <w:t>2</w:t>
                  </w:r>
                  <w:r>
                    <w:rPr>
                      <w:rFonts w:hint="eastAsia" w:ascii="Times New Roman" w:hAnsi="Times New Roman" w:eastAsia="宋体" w:cs="Times New Roman"/>
                      <w:bCs/>
                      <w:color w:val="000000" w:themeColor="text1"/>
                      <w:kern w:val="2"/>
                      <w:sz w:val="21"/>
                      <w:szCs w:val="21"/>
                      <w:lang w:val="en-US" w:eastAsia="zh-CN" w:bidi="ar"/>
                    </w:rPr>
                    <w:t>中无组织排放限值</w:t>
                  </w:r>
                </w:p>
              </w:tc>
            </w:tr>
            <w:tr w14:paraId="28603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dxa"/>
                  <w:tcBorders>
                    <w:top w:val="single" w:color="auto" w:sz="4" w:space="0"/>
                    <w:left w:val="single" w:color="auto" w:sz="4" w:space="0"/>
                    <w:bottom w:val="single" w:color="auto" w:sz="4" w:space="0"/>
                    <w:right w:val="single" w:color="auto" w:sz="4" w:space="0"/>
                  </w:tcBorders>
                  <w:noWrap w:val="0"/>
                  <w:vAlign w:val="center"/>
                </w:tcPr>
                <w:p w14:paraId="03C435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Cs w:val="21"/>
                      <w:lang w:val="en-US"/>
                    </w:rPr>
                  </w:pPr>
                  <w:r>
                    <w:rPr>
                      <w:rFonts w:hint="eastAsia" w:ascii="Times New Roman" w:hAnsi="Times New Roman" w:eastAsia="宋体" w:cs="宋体"/>
                      <w:bCs/>
                      <w:color w:val="000000" w:themeColor="text1"/>
                      <w:kern w:val="0"/>
                      <w:sz w:val="21"/>
                      <w:szCs w:val="21"/>
                      <w:lang w:val="en-US" w:eastAsia="zh-CN" w:bidi="ar"/>
                    </w:rPr>
                    <w:t>废水</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6AA86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kern w:val="0"/>
                      <w:szCs w:val="21"/>
                      <w:lang w:val="en-US"/>
                    </w:rPr>
                  </w:pPr>
                  <w:r>
                    <w:rPr>
                      <w:rFonts w:hint="eastAsia" w:ascii="Times New Roman" w:hAnsi="Times New Roman" w:eastAsia="宋体" w:cs="宋体"/>
                      <w:bCs/>
                      <w:color w:val="000000" w:themeColor="text1"/>
                      <w:kern w:val="0"/>
                      <w:sz w:val="21"/>
                      <w:szCs w:val="21"/>
                      <w:lang w:val="en-US" w:eastAsia="zh-CN" w:bidi="ar"/>
                    </w:rPr>
                    <w:t>出口</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508508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kern w:val="0"/>
                      <w:szCs w:val="21"/>
                      <w:lang w:val="en-US"/>
                    </w:rPr>
                  </w:pPr>
                  <w:r>
                    <w:rPr>
                      <w:rFonts w:hint="default" w:ascii="Times New Roman" w:hAnsi="Times New Roman" w:eastAsia="宋体" w:cs="Times New Roman"/>
                      <w:bCs/>
                      <w:color w:val="000000" w:themeColor="text1"/>
                      <w:kern w:val="0"/>
                      <w:sz w:val="21"/>
                      <w:szCs w:val="21"/>
                      <w:lang w:val="en-US" w:eastAsia="zh-CN" w:bidi="ar"/>
                    </w:rPr>
                    <w:t>pH</w:t>
                  </w:r>
                  <w:r>
                    <w:rPr>
                      <w:rFonts w:hint="eastAsia" w:ascii="Times New Roman" w:hAnsi="Times New Roman" w:eastAsia="宋体" w:cs="宋体"/>
                      <w:bCs/>
                      <w:color w:val="000000" w:themeColor="text1"/>
                      <w:kern w:val="0"/>
                      <w:sz w:val="21"/>
                      <w:szCs w:val="21"/>
                      <w:lang w:val="en-US" w:eastAsia="zh-CN" w:bidi="ar"/>
                    </w:rPr>
                    <w:t>、</w:t>
                  </w:r>
                  <w:r>
                    <w:rPr>
                      <w:rFonts w:hint="default" w:ascii="Times New Roman" w:hAnsi="Times New Roman" w:eastAsia="宋体" w:cs="Times New Roman"/>
                      <w:bCs/>
                      <w:color w:val="000000" w:themeColor="text1"/>
                      <w:kern w:val="0"/>
                      <w:sz w:val="21"/>
                      <w:szCs w:val="21"/>
                      <w:lang w:val="en-US" w:eastAsia="zh-CN" w:bidi="ar"/>
                    </w:rPr>
                    <w:t>COD</w:t>
                  </w:r>
                  <w:r>
                    <w:rPr>
                      <w:rFonts w:hint="eastAsia" w:ascii="Times New Roman" w:hAnsi="Times New Roman" w:eastAsia="宋体" w:cs="宋体"/>
                      <w:bCs/>
                      <w:color w:val="000000" w:themeColor="text1"/>
                      <w:kern w:val="0"/>
                      <w:sz w:val="21"/>
                      <w:szCs w:val="21"/>
                      <w:lang w:val="en-US" w:eastAsia="zh-CN" w:bidi="ar"/>
                    </w:rPr>
                    <w:t>、</w:t>
                  </w:r>
                  <w:r>
                    <w:rPr>
                      <w:rFonts w:hint="default" w:ascii="Times New Roman" w:hAnsi="Times New Roman" w:eastAsia="宋体" w:cs="Times New Roman"/>
                      <w:bCs/>
                      <w:color w:val="000000" w:themeColor="text1"/>
                      <w:kern w:val="0"/>
                      <w:sz w:val="21"/>
                      <w:szCs w:val="21"/>
                      <w:lang w:val="en-US" w:eastAsia="zh-CN" w:bidi="ar"/>
                    </w:rPr>
                    <w:t>BOD</w:t>
                  </w:r>
                  <w:r>
                    <w:rPr>
                      <w:rFonts w:hint="default" w:ascii="Times New Roman" w:hAnsi="Times New Roman" w:eastAsia="宋体" w:cs="Times New Roman"/>
                      <w:bCs/>
                      <w:color w:val="000000" w:themeColor="text1"/>
                      <w:kern w:val="0"/>
                      <w:sz w:val="21"/>
                      <w:szCs w:val="21"/>
                      <w:vertAlign w:val="subscript"/>
                      <w:lang w:val="en-US" w:eastAsia="zh-CN" w:bidi="ar"/>
                    </w:rPr>
                    <w:t>5</w:t>
                  </w:r>
                  <w:r>
                    <w:rPr>
                      <w:rFonts w:hint="eastAsia" w:ascii="Times New Roman" w:hAnsi="Times New Roman" w:eastAsia="宋体" w:cs="宋体"/>
                      <w:bCs/>
                      <w:color w:val="000000" w:themeColor="text1"/>
                      <w:kern w:val="0"/>
                      <w:sz w:val="21"/>
                      <w:szCs w:val="21"/>
                      <w:lang w:val="en-US" w:eastAsia="zh-CN" w:bidi="ar"/>
                    </w:rPr>
                    <w:t>、</w:t>
                  </w:r>
                  <w:r>
                    <w:rPr>
                      <w:rFonts w:hint="default" w:ascii="Times New Roman" w:hAnsi="Times New Roman" w:eastAsia="宋体" w:cs="Times New Roman"/>
                      <w:bCs/>
                      <w:color w:val="000000" w:themeColor="text1"/>
                      <w:kern w:val="0"/>
                      <w:sz w:val="21"/>
                      <w:szCs w:val="21"/>
                      <w:lang w:val="en-US" w:eastAsia="zh-CN" w:bidi="ar"/>
                    </w:rPr>
                    <w:t>SS</w:t>
                  </w:r>
                  <w:r>
                    <w:rPr>
                      <w:rFonts w:hint="eastAsia" w:ascii="Times New Roman" w:hAnsi="Times New Roman" w:eastAsia="宋体" w:cs="宋体"/>
                      <w:bCs/>
                      <w:color w:val="000000" w:themeColor="text1"/>
                      <w:kern w:val="0"/>
                      <w:sz w:val="21"/>
                      <w:szCs w:val="21"/>
                      <w:lang w:val="en-US" w:eastAsia="zh-CN" w:bidi="ar"/>
                    </w:rPr>
                    <w:t>、</w:t>
                  </w:r>
                  <w:r>
                    <w:rPr>
                      <w:rFonts w:hint="default" w:ascii="Times New Roman" w:hAnsi="Times New Roman" w:eastAsia="宋体" w:cs="Times New Roman"/>
                      <w:bCs/>
                      <w:color w:val="000000" w:themeColor="text1"/>
                      <w:kern w:val="0"/>
                      <w:sz w:val="21"/>
                      <w:szCs w:val="21"/>
                      <w:lang w:val="en-US" w:eastAsia="zh-CN" w:bidi="ar"/>
                    </w:rPr>
                    <w:t>NH</w:t>
                  </w:r>
                  <w:r>
                    <w:rPr>
                      <w:rFonts w:hint="default" w:ascii="Times New Roman" w:hAnsi="Times New Roman" w:eastAsia="宋体" w:cs="Times New Roman"/>
                      <w:bCs/>
                      <w:color w:val="000000" w:themeColor="text1"/>
                      <w:kern w:val="0"/>
                      <w:sz w:val="21"/>
                      <w:szCs w:val="21"/>
                      <w:vertAlign w:val="subscript"/>
                      <w:lang w:val="en-US" w:eastAsia="zh-CN" w:bidi="ar"/>
                    </w:rPr>
                    <w:t>3</w:t>
                  </w:r>
                  <w:r>
                    <w:rPr>
                      <w:rFonts w:hint="default" w:ascii="Times New Roman" w:hAnsi="Times New Roman" w:eastAsia="宋体" w:cs="Times New Roman"/>
                      <w:bCs/>
                      <w:color w:val="000000" w:themeColor="text1"/>
                      <w:kern w:val="0"/>
                      <w:sz w:val="21"/>
                      <w:szCs w:val="21"/>
                      <w:lang w:val="en-US" w:eastAsia="zh-CN" w:bidi="ar"/>
                    </w:rPr>
                    <w:t>-N</w:t>
                  </w:r>
                  <w:r>
                    <w:rPr>
                      <w:rFonts w:hint="eastAsia" w:ascii="Times New Roman" w:hAnsi="Times New Roman" w:eastAsia="宋体" w:cs="宋体"/>
                      <w:bCs/>
                      <w:color w:val="000000" w:themeColor="text1"/>
                      <w:kern w:val="0"/>
                      <w:sz w:val="21"/>
                      <w:szCs w:val="21"/>
                      <w:lang w:val="en-US" w:eastAsia="zh-CN" w:bidi="ar"/>
                    </w:rPr>
                    <w:t>、总磷、动植物油</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753780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Cs w:val="21"/>
                      <w:lang w:val="en-US"/>
                    </w:rPr>
                  </w:pPr>
                  <w:r>
                    <w:rPr>
                      <w:rFonts w:hint="default" w:ascii="Times New Roman" w:hAnsi="Times New Roman" w:eastAsia="宋体" w:cs="Times New Roman"/>
                      <w:bCs/>
                      <w:color w:val="000000" w:themeColor="text1"/>
                      <w:kern w:val="0"/>
                      <w:sz w:val="21"/>
                      <w:szCs w:val="21"/>
                      <w:lang w:val="en-US" w:eastAsia="zh-CN" w:bidi="ar"/>
                    </w:rPr>
                    <w:t>1</w:t>
                  </w:r>
                  <w:r>
                    <w:rPr>
                      <w:rFonts w:hint="eastAsia" w:ascii="Times New Roman" w:hAnsi="Times New Roman" w:eastAsia="宋体" w:cs="宋体"/>
                      <w:bCs/>
                      <w:color w:val="000000" w:themeColor="text1"/>
                      <w:kern w:val="0"/>
                      <w:sz w:val="21"/>
                      <w:szCs w:val="21"/>
                      <w:lang w:val="en-US" w:eastAsia="zh-CN" w:bidi="ar"/>
                    </w:rPr>
                    <w:t>次</w:t>
                  </w:r>
                  <w:r>
                    <w:rPr>
                      <w:rFonts w:hint="default" w:ascii="Times New Roman" w:hAnsi="Times New Roman" w:eastAsia="宋体" w:cs="Times New Roman"/>
                      <w:bCs/>
                      <w:color w:val="000000" w:themeColor="text1"/>
                      <w:kern w:val="0"/>
                      <w:sz w:val="21"/>
                      <w:szCs w:val="21"/>
                      <w:lang w:val="en-US" w:eastAsia="zh-CN" w:bidi="ar"/>
                    </w:rPr>
                    <w:t>/</w:t>
                  </w:r>
                  <w:r>
                    <w:rPr>
                      <w:rFonts w:hint="eastAsia" w:ascii="Times New Roman" w:hAnsi="Times New Roman" w:eastAsia="宋体" w:cs="宋体"/>
                      <w:bCs/>
                      <w:color w:val="000000" w:themeColor="text1"/>
                      <w:kern w:val="0"/>
                      <w:sz w:val="21"/>
                      <w:szCs w:val="21"/>
                      <w:lang w:val="en-US" w:eastAsia="zh-CN" w:bidi="ar"/>
                    </w:rPr>
                    <w:t>年</w:t>
                  </w:r>
                </w:p>
              </w:tc>
              <w:tc>
                <w:tcPr>
                  <w:tcW w:w="3145" w:type="dxa"/>
                  <w:tcBorders>
                    <w:top w:val="single" w:color="auto" w:sz="4" w:space="0"/>
                    <w:left w:val="single" w:color="auto" w:sz="4" w:space="0"/>
                    <w:bottom w:val="single" w:color="auto" w:sz="4" w:space="0"/>
                    <w:right w:val="single" w:color="auto" w:sz="4" w:space="0"/>
                  </w:tcBorders>
                  <w:noWrap w:val="0"/>
                  <w:vAlign w:val="center"/>
                </w:tcPr>
                <w:p w14:paraId="45D8B7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Cs w:val="21"/>
                      <w:lang w:val="en-US"/>
                    </w:rPr>
                  </w:pPr>
                  <w:r>
                    <w:rPr>
                      <w:rFonts w:hint="eastAsia" w:ascii="Times New Roman" w:hAnsi="Times New Roman" w:eastAsia="宋体" w:cs="宋体"/>
                      <w:color w:val="000000" w:themeColor="text1"/>
                      <w:kern w:val="2"/>
                      <w:sz w:val="21"/>
                      <w:szCs w:val="21"/>
                      <w:lang w:val="en-US" w:eastAsia="zh-CN" w:bidi="ar"/>
                    </w:rPr>
                    <w:t>《污水综合排放标准》（</w:t>
                  </w:r>
                  <w:r>
                    <w:rPr>
                      <w:rFonts w:hint="default" w:ascii="Times New Roman" w:hAnsi="Times New Roman" w:eastAsia="宋体" w:cs="Times New Roman"/>
                      <w:color w:val="000000" w:themeColor="text1"/>
                      <w:kern w:val="2"/>
                      <w:sz w:val="21"/>
                      <w:szCs w:val="21"/>
                      <w:lang w:val="en-US" w:eastAsia="zh-CN" w:bidi="ar"/>
                    </w:rPr>
                    <w:t>GB 8978-1996</w:t>
                  </w:r>
                  <w:r>
                    <w:rPr>
                      <w:rFonts w:hint="eastAsia" w:ascii="Times New Roman" w:hAnsi="Times New Roman" w:eastAsia="宋体" w:cs="宋体"/>
                      <w:color w:val="000000" w:themeColor="text1"/>
                      <w:kern w:val="2"/>
                      <w:sz w:val="21"/>
                      <w:szCs w:val="21"/>
                      <w:lang w:val="en-US" w:eastAsia="zh-CN" w:bidi="ar"/>
                    </w:rPr>
                    <w:t>）三级以及《污水排入城镇下水道水质标准》（</w:t>
                  </w:r>
                  <w:r>
                    <w:rPr>
                      <w:rFonts w:hint="default" w:ascii="Times New Roman" w:hAnsi="Times New Roman" w:eastAsia="宋体" w:cs="Times New Roman"/>
                      <w:color w:val="000000" w:themeColor="text1"/>
                      <w:kern w:val="2"/>
                      <w:sz w:val="21"/>
                      <w:szCs w:val="21"/>
                      <w:lang w:val="en-US" w:eastAsia="zh-CN" w:bidi="ar"/>
                    </w:rPr>
                    <w:t>GB/T 31962-2015</w:t>
                  </w:r>
                  <w:r>
                    <w:rPr>
                      <w:rFonts w:hint="eastAsia" w:ascii="Times New Roman" w:hAnsi="Times New Roman" w:eastAsia="宋体" w:cs="宋体"/>
                      <w:color w:val="000000" w:themeColor="text1"/>
                      <w:kern w:val="2"/>
                      <w:sz w:val="21"/>
                      <w:szCs w:val="21"/>
                      <w:lang w:val="en-US" w:eastAsia="zh-CN" w:bidi="ar"/>
                    </w:rPr>
                    <w:t>）B级标准。</w:t>
                  </w:r>
                </w:p>
              </w:tc>
            </w:tr>
            <w:tr w14:paraId="2765D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dxa"/>
                  <w:tcBorders>
                    <w:top w:val="single" w:color="auto" w:sz="4" w:space="0"/>
                    <w:left w:val="single" w:color="auto" w:sz="4" w:space="0"/>
                    <w:bottom w:val="single" w:color="auto" w:sz="4" w:space="0"/>
                    <w:right w:val="single" w:color="auto" w:sz="4" w:space="0"/>
                  </w:tcBorders>
                  <w:noWrap w:val="0"/>
                  <w:vAlign w:val="center"/>
                </w:tcPr>
                <w:p w14:paraId="220E54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Cs w:val="21"/>
                      <w:lang w:val="en-US"/>
                    </w:rPr>
                  </w:pPr>
                  <w:r>
                    <w:rPr>
                      <w:rFonts w:hint="eastAsia" w:ascii="Times New Roman" w:hAnsi="Times New Roman" w:eastAsia="宋体" w:cs="宋体"/>
                      <w:bCs/>
                      <w:color w:val="000000" w:themeColor="text1"/>
                      <w:kern w:val="2"/>
                      <w:sz w:val="21"/>
                      <w:szCs w:val="21"/>
                      <w:lang w:val="en-US" w:eastAsia="zh-CN" w:bidi="ar"/>
                    </w:rPr>
                    <w:t>噪声</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A5F18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Cs w:val="21"/>
                      <w:lang w:val="en-US"/>
                    </w:rPr>
                  </w:pPr>
                  <w:r>
                    <w:rPr>
                      <w:rFonts w:hint="eastAsia" w:ascii="Times New Roman" w:hAnsi="Times New Roman" w:eastAsia="宋体" w:cs="宋体"/>
                      <w:bCs/>
                      <w:color w:val="000000" w:themeColor="text1"/>
                      <w:kern w:val="2"/>
                      <w:sz w:val="21"/>
                      <w:szCs w:val="21"/>
                      <w:lang w:val="en-US" w:eastAsia="zh-CN" w:bidi="ar"/>
                    </w:rPr>
                    <w:t>厂界四周</w:t>
                  </w:r>
                </w:p>
                <w:p w14:paraId="37FC6F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Cs w:val="21"/>
                      <w:lang w:val="en-US"/>
                    </w:rPr>
                  </w:pPr>
                  <w:r>
                    <w:rPr>
                      <w:rFonts w:hint="eastAsia" w:ascii="Times New Roman" w:hAnsi="Times New Roman" w:eastAsia="宋体" w:cs="宋体"/>
                      <w:bCs/>
                      <w:color w:val="000000" w:themeColor="text1"/>
                      <w:kern w:val="2"/>
                      <w:sz w:val="21"/>
                      <w:szCs w:val="21"/>
                      <w:lang w:val="en-US" w:eastAsia="zh-CN" w:bidi="ar"/>
                    </w:rPr>
                    <w:t>外</w:t>
                  </w:r>
                  <w:r>
                    <w:rPr>
                      <w:rFonts w:hint="default" w:ascii="Times New Roman" w:hAnsi="Times New Roman" w:eastAsia="宋体" w:cs="Times New Roman"/>
                      <w:bCs/>
                      <w:color w:val="000000" w:themeColor="text1"/>
                      <w:kern w:val="2"/>
                      <w:sz w:val="21"/>
                      <w:szCs w:val="21"/>
                      <w:lang w:val="en-US" w:eastAsia="zh-CN" w:bidi="ar"/>
                    </w:rPr>
                    <w:t>1m</w:t>
                  </w:r>
                  <w:r>
                    <w:rPr>
                      <w:rFonts w:hint="eastAsia" w:ascii="Times New Roman" w:hAnsi="Times New Roman" w:eastAsia="宋体" w:cs="宋体"/>
                      <w:bCs/>
                      <w:color w:val="000000" w:themeColor="text1"/>
                      <w:kern w:val="2"/>
                      <w:sz w:val="21"/>
                      <w:szCs w:val="21"/>
                      <w:lang w:val="en-US" w:eastAsia="zh-CN" w:bidi="ar"/>
                    </w:rPr>
                    <w:t>处</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19464E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Cs w:val="21"/>
                      <w:lang w:val="en-US"/>
                    </w:rPr>
                  </w:pPr>
                  <w:r>
                    <w:rPr>
                      <w:rFonts w:hint="default" w:ascii="Times New Roman" w:hAnsi="Times New Roman" w:eastAsia="宋体" w:cs="Times New Roman"/>
                      <w:bCs/>
                      <w:color w:val="000000" w:themeColor="text1"/>
                      <w:kern w:val="2"/>
                      <w:sz w:val="21"/>
                      <w:szCs w:val="21"/>
                      <w:lang w:val="en-US" w:eastAsia="zh-CN" w:bidi="ar"/>
                    </w:rPr>
                    <w:t>Leq</w:t>
                  </w:r>
                  <w:r>
                    <w:rPr>
                      <w:rFonts w:hint="eastAsia" w:ascii="Times New Roman" w:hAnsi="Times New Roman" w:eastAsia="宋体" w:cs="宋体"/>
                      <w:bCs/>
                      <w:color w:val="000000" w:themeColor="text1"/>
                      <w:kern w:val="2"/>
                      <w:sz w:val="21"/>
                      <w:szCs w:val="21"/>
                      <w:lang w:val="en-US" w:eastAsia="zh-CN" w:bidi="ar"/>
                    </w:rPr>
                    <w:t>（</w:t>
                  </w:r>
                  <w:r>
                    <w:rPr>
                      <w:rFonts w:hint="default" w:ascii="Times New Roman" w:hAnsi="Times New Roman" w:eastAsia="宋体" w:cs="Times New Roman"/>
                      <w:bCs/>
                      <w:color w:val="000000" w:themeColor="text1"/>
                      <w:kern w:val="2"/>
                      <w:sz w:val="21"/>
                      <w:szCs w:val="21"/>
                      <w:lang w:val="en-US" w:eastAsia="zh-CN" w:bidi="ar"/>
                    </w:rPr>
                    <w:t>A</w:t>
                  </w:r>
                  <w:r>
                    <w:rPr>
                      <w:rFonts w:hint="eastAsia" w:ascii="Times New Roman" w:hAnsi="Times New Roman" w:eastAsia="宋体" w:cs="宋体"/>
                      <w:bCs/>
                      <w:color w:val="000000" w:themeColor="text1"/>
                      <w:kern w:val="2"/>
                      <w:sz w:val="21"/>
                      <w:szCs w:val="21"/>
                      <w:lang w:val="en-US" w:eastAsia="zh-CN" w:bidi="ar"/>
                    </w:rPr>
                    <w:t>）</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539856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Cs w:val="21"/>
                      <w:lang w:val="en-US"/>
                    </w:rPr>
                  </w:pPr>
                  <w:r>
                    <w:rPr>
                      <w:rFonts w:hint="default" w:ascii="Times New Roman" w:hAnsi="Times New Roman" w:eastAsia="宋体" w:cs="Times New Roman"/>
                      <w:bCs/>
                      <w:color w:val="000000" w:themeColor="text1"/>
                      <w:kern w:val="2"/>
                      <w:sz w:val="21"/>
                      <w:szCs w:val="21"/>
                      <w:lang w:val="en-US" w:eastAsia="zh-CN" w:bidi="ar"/>
                    </w:rPr>
                    <w:t>1</w:t>
                  </w:r>
                  <w:r>
                    <w:rPr>
                      <w:rFonts w:hint="eastAsia" w:ascii="Times New Roman" w:hAnsi="Times New Roman" w:eastAsia="宋体" w:cs="宋体"/>
                      <w:bCs/>
                      <w:color w:val="000000" w:themeColor="text1"/>
                      <w:kern w:val="2"/>
                      <w:sz w:val="21"/>
                      <w:szCs w:val="21"/>
                      <w:lang w:val="en-US" w:eastAsia="zh-CN" w:bidi="ar"/>
                    </w:rPr>
                    <w:t>次</w:t>
                  </w:r>
                  <w:r>
                    <w:rPr>
                      <w:rFonts w:hint="default" w:ascii="Times New Roman" w:hAnsi="Times New Roman" w:eastAsia="宋体" w:cs="Times New Roman"/>
                      <w:bCs/>
                      <w:color w:val="000000" w:themeColor="text1"/>
                      <w:kern w:val="2"/>
                      <w:sz w:val="21"/>
                      <w:szCs w:val="21"/>
                      <w:lang w:val="en-US" w:eastAsia="zh-CN" w:bidi="ar"/>
                    </w:rPr>
                    <w:t>/</w:t>
                  </w:r>
                  <w:r>
                    <w:rPr>
                      <w:rFonts w:hint="eastAsia" w:ascii="Times New Roman" w:hAnsi="Times New Roman" w:eastAsia="宋体" w:cs="宋体"/>
                      <w:bCs/>
                      <w:color w:val="000000" w:themeColor="text1"/>
                      <w:kern w:val="2"/>
                      <w:sz w:val="21"/>
                      <w:szCs w:val="21"/>
                      <w:lang w:val="en-US" w:eastAsia="zh-CN" w:bidi="ar"/>
                    </w:rPr>
                    <w:t>季度</w:t>
                  </w:r>
                </w:p>
              </w:tc>
              <w:tc>
                <w:tcPr>
                  <w:tcW w:w="3145" w:type="dxa"/>
                  <w:tcBorders>
                    <w:top w:val="single" w:color="auto" w:sz="4" w:space="0"/>
                    <w:left w:val="single" w:color="auto" w:sz="4" w:space="0"/>
                    <w:bottom w:val="single" w:color="auto" w:sz="4" w:space="0"/>
                    <w:right w:val="single" w:color="auto" w:sz="4" w:space="0"/>
                  </w:tcBorders>
                  <w:noWrap w:val="0"/>
                  <w:vAlign w:val="center"/>
                </w:tcPr>
                <w:p w14:paraId="553292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Cs w:val="21"/>
                      <w:lang w:val="en-US"/>
                    </w:rPr>
                  </w:pPr>
                  <w:r>
                    <w:rPr>
                      <w:rFonts w:hint="eastAsia" w:ascii="Times New Roman" w:hAnsi="Times New Roman" w:eastAsia="宋体" w:cs="宋体"/>
                      <w:bCs/>
                      <w:color w:val="000000" w:themeColor="text1"/>
                      <w:kern w:val="2"/>
                      <w:sz w:val="21"/>
                      <w:szCs w:val="21"/>
                      <w:lang w:val="en-US" w:eastAsia="zh-CN" w:bidi="ar"/>
                    </w:rPr>
                    <w:t>《工业企业厂界环境噪声排放标准》（</w:t>
                  </w:r>
                  <w:r>
                    <w:rPr>
                      <w:rFonts w:hint="default" w:ascii="Times New Roman" w:hAnsi="Times New Roman" w:eastAsia="宋体" w:cs="Times New Roman"/>
                      <w:bCs/>
                      <w:color w:val="000000" w:themeColor="text1"/>
                      <w:kern w:val="2"/>
                      <w:sz w:val="21"/>
                      <w:szCs w:val="21"/>
                      <w:lang w:val="en-US" w:eastAsia="zh-CN" w:bidi="ar"/>
                    </w:rPr>
                    <w:t>GB12348</w:t>
                  </w:r>
                  <w:r>
                    <w:rPr>
                      <w:rFonts w:hint="eastAsia" w:ascii="Times New Roman" w:hAnsi="Times New Roman" w:eastAsia="宋体" w:cs="宋体"/>
                      <w:bCs/>
                      <w:color w:val="000000" w:themeColor="text1"/>
                      <w:kern w:val="2"/>
                      <w:sz w:val="21"/>
                      <w:szCs w:val="21"/>
                      <w:lang w:val="en-US" w:eastAsia="zh-CN" w:bidi="ar"/>
                    </w:rPr>
                    <w:t>－</w:t>
                  </w:r>
                  <w:r>
                    <w:rPr>
                      <w:rFonts w:hint="default" w:ascii="Times New Roman" w:hAnsi="Times New Roman" w:eastAsia="宋体" w:cs="Times New Roman"/>
                      <w:bCs/>
                      <w:color w:val="000000" w:themeColor="text1"/>
                      <w:kern w:val="2"/>
                      <w:sz w:val="21"/>
                      <w:szCs w:val="21"/>
                      <w:lang w:val="en-US" w:eastAsia="zh-CN" w:bidi="ar"/>
                    </w:rPr>
                    <w:t>2008</w:t>
                  </w:r>
                  <w:r>
                    <w:rPr>
                      <w:rFonts w:hint="eastAsia" w:ascii="Times New Roman" w:hAnsi="Times New Roman" w:eastAsia="宋体" w:cs="宋体"/>
                      <w:bCs/>
                      <w:color w:val="000000" w:themeColor="text1"/>
                      <w:kern w:val="2"/>
                      <w:sz w:val="21"/>
                      <w:szCs w:val="21"/>
                      <w:lang w:val="en-US" w:eastAsia="zh-CN" w:bidi="ar"/>
                    </w:rPr>
                    <w:t>）</w:t>
                  </w:r>
                  <w:r>
                    <w:rPr>
                      <w:rFonts w:hint="default" w:ascii="Times New Roman" w:hAnsi="Times New Roman" w:eastAsia="宋体" w:cs="Times New Roman"/>
                      <w:bCs/>
                      <w:color w:val="000000" w:themeColor="text1"/>
                      <w:kern w:val="2"/>
                      <w:sz w:val="21"/>
                      <w:szCs w:val="21"/>
                      <w:lang w:val="en-US" w:eastAsia="zh-CN" w:bidi="ar"/>
                    </w:rPr>
                    <w:t>3</w:t>
                  </w:r>
                  <w:r>
                    <w:rPr>
                      <w:rFonts w:hint="eastAsia" w:ascii="Times New Roman" w:hAnsi="Times New Roman" w:eastAsia="宋体" w:cs="宋体"/>
                      <w:bCs/>
                      <w:color w:val="000000" w:themeColor="text1"/>
                      <w:kern w:val="2"/>
                      <w:sz w:val="21"/>
                      <w:szCs w:val="21"/>
                      <w:lang w:val="en-US" w:eastAsia="zh-CN" w:bidi="ar"/>
                    </w:rPr>
                    <w:t>类。</w:t>
                  </w:r>
                </w:p>
              </w:tc>
            </w:tr>
          </w:tbl>
          <w:p w14:paraId="1389E2F5">
            <w:pPr>
              <w:keepNext w:val="0"/>
              <w:keepLines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jc w:val="left"/>
              <w:textAlignment w:val="auto"/>
              <w:rPr>
                <w:rFonts w:hint="default" w:ascii="Times New Roman" w:hAnsi="Times New Roman" w:cs="Times New Roman"/>
                <w:b/>
                <w:bCs/>
                <w:color w:val="000000" w:themeColor="text1"/>
                <w:kern w:val="0"/>
                <w:sz w:val="21"/>
                <w:szCs w:val="21"/>
              </w:rPr>
            </w:pPr>
            <w:r>
              <w:rPr>
                <w:rFonts w:hint="default" w:ascii="Times New Roman" w:hAnsi="Times New Roman" w:cs="Times New Roman"/>
                <w:b/>
                <w:bCs/>
                <w:color w:val="000000" w:themeColor="text1"/>
                <w:kern w:val="0"/>
                <w:sz w:val="21"/>
                <w:szCs w:val="21"/>
              </w:rPr>
              <w:t>（</w:t>
            </w:r>
            <w:r>
              <w:rPr>
                <w:rFonts w:hint="eastAsia" w:ascii="Times New Roman" w:hAnsi="Times New Roman" w:cs="Times New Roman"/>
                <w:b/>
                <w:bCs/>
                <w:color w:val="000000" w:themeColor="text1"/>
                <w:kern w:val="0"/>
                <w:sz w:val="21"/>
                <w:szCs w:val="21"/>
                <w:lang w:val="en-US" w:eastAsia="zh-CN"/>
              </w:rPr>
              <w:t>5</w:t>
            </w:r>
            <w:r>
              <w:rPr>
                <w:rFonts w:hint="default" w:ascii="Times New Roman" w:hAnsi="Times New Roman" w:cs="Times New Roman"/>
                <w:b/>
                <w:bCs/>
                <w:color w:val="000000" w:themeColor="text1"/>
                <w:kern w:val="0"/>
                <w:sz w:val="21"/>
                <w:szCs w:val="21"/>
              </w:rPr>
              <w:t>）建设项目环境保护竣工验收</w:t>
            </w:r>
          </w:p>
          <w:p w14:paraId="352F13AC">
            <w:pPr>
              <w:keepNext w:val="0"/>
              <w:keepLines w:val="0"/>
              <w:pageBreakBefore/>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自主开展环境保护验收的程序和标准。根据《建设项目竣工环境保护验收暂行办法》（国环规环评[2017]4号）（以下简称《暂行办法》）及《建设项目环境保护管理条例》的要求，建设单位是建设项目竣工环境保护验收的责任主体，应当按照《暂行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14:paraId="5CB6EF7C">
            <w:pPr>
              <w:keepNext w:val="0"/>
              <w:keepLines w:val="0"/>
              <w:pageBreakBefore/>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1）建设单位如实查验、监测记载环保设施的建设和调试情况。调试期间，建设单位应当确保该期间污染物排放符合国家和地方的有关污染物排放标准和排污许可等相关规定。环境保护设施未与主体工程同时建成的，或者应当取得排污许可证但未取得的，建设单位不得对该建设项目环境保护设施进行调试。</w:t>
            </w:r>
          </w:p>
          <w:p w14:paraId="6CC54C7B">
            <w:pPr>
              <w:keepNext w:val="0"/>
              <w:keepLines w:val="0"/>
              <w:pageBreakBefore/>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2）编制验收监测报告，本项以排放污染物为主的建设项目，参照《建设项目竣工环境保护验收技术指南——污染影响类》编制验收监测报告，建设单位不具备自主验收能力的可以委托有能力的技术机构编制。</w:t>
            </w:r>
          </w:p>
          <w:p w14:paraId="5FE7982F">
            <w:pPr>
              <w:keepNext w:val="0"/>
              <w:keepLines w:val="0"/>
              <w:pageBreakBefore/>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3）验收监测报告编制完成后，建设单位应当根据验收监测报告结论，逐一检查是否存在《建设项目竣工环保验收暂行办法》中第八条所列验收不合格的情形，提出验收意见。存在问题的，建设单位应当进行整改，整改完成后方可提出验收意见。验收意见包括工程建设基本情况、工程变动情况、环境保护设施落实情况、环境保护设施调试效果、工程建设对环境的影响、验收结论和后续要求等内容。</w:t>
            </w:r>
          </w:p>
          <w:p w14:paraId="0133CB6D">
            <w:pPr>
              <w:keepNext w:val="0"/>
              <w:keepLines w:val="0"/>
              <w:pageBreakBefore/>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4）验收报告编制完成后5个工作日内，公开验收报告，公示的期限不得少于20个工作日，同步公开环保设施竣工日期以及对环保设施公开调试的起始日期。建设单位公开上述信息的同时，应当向所在地县级以上环境保护主管部门报送相关信息，并接受监督检查。</w:t>
            </w:r>
          </w:p>
          <w:p w14:paraId="6271113B">
            <w:pPr>
              <w:keepNext w:val="0"/>
              <w:keepLines w:val="0"/>
              <w:pageBreakBefore/>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5）验收报告公示期满后5个工作日内，建设单位应当登录全国建设项目竣工环境保护验收信息平台，填报建设项目基本信息、环境保护设施验收情况等相关信息，环境保护主管部门对上述信息予以公开。</w:t>
            </w:r>
          </w:p>
          <w:p w14:paraId="570B2AF0">
            <w:pPr>
              <w:keepNext w:val="0"/>
              <w:keepLines w:val="0"/>
              <w:pageBreakBefore/>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color w:val="000000" w:themeColor="text1"/>
              </w:rPr>
            </w:pPr>
            <w:r>
              <w:rPr>
                <w:rFonts w:hint="default" w:ascii="Times New Roman" w:hAnsi="Times New Roman" w:cs="Times New Roman"/>
                <w:color w:val="000000" w:themeColor="text1"/>
                <w:kern w:val="0"/>
                <w:sz w:val="21"/>
                <w:szCs w:val="21"/>
              </w:rPr>
              <w:t>6）纳入排污许可管理的建设项目，排污单位应当在项目产生实际污染物排放之前，按照国家排污许可有关管理规定要求，申请排污许可证。建设项目验收报告中与污染物排放相关的主要内容应当纳入该项目验收完成当年排污许可证执行年报。</w:t>
            </w:r>
          </w:p>
          <w:p w14:paraId="46985D5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表4-2</w:t>
            </w:r>
            <w:r>
              <w:rPr>
                <w:rFonts w:hint="eastAsia" w:cs="Times New Roman"/>
                <w:b/>
                <w:bCs/>
                <w:color w:val="000000" w:themeColor="text1"/>
                <w:sz w:val="21"/>
                <w:szCs w:val="21"/>
                <w:lang w:val="en-US" w:eastAsia="zh-CN"/>
              </w:rPr>
              <w:t>2</w:t>
            </w:r>
            <w:r>
              <w:rPr>
                <w:rFonts w:hint="default" w:ascii="Times New Roman" w:hAnsi="Times New Roman" w:cs="Times New Roman"/>
                <w:b/>
                <w:bCs/>
                <w:color w:val="000000" w:themeColor="text1"/>
                <w:sz w:val="21"/>
                <w:szCs w:val="21"/>
              </w:rPr>
              <w:t xml:space="preserve">  环境保护“三同时”验收一览表</w:t>
            </w:r>
          </w:p>
          <w:tbl>
            <w:tblPr>
              <w:tblStyle w:val="43"/>
              <w:tblW w:w="80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585"/>
              <w:gridCol w:w="301"/>
              <w:gridCol w:w="709"/>
              <w:gridCol w:w="2345"/>
              <w:gridCol w:w="714"/>
              <w:gridCol w:w="972"/>
              <w:gridCol w:w="2400"/>
            </w:tblGrid>
            <w:tr w14:paraId="09691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585" w:type="dxa"/>
                  <w:tcBorders>
                    <w:top w:val="single" w:color="000000" w:sz="4" w:space="0"/>
                    <w:left w:val="single" w:color="000000" w:sz="4" w:space="0"/>
                    <w:bottom w:val="single" w:color="000000" w:sz="4" w:space="0"/>
                    <w:right w:val="single" w:color="000000" w:sz="4" w:space="0"/>
                  </w:tcBorders>
                  <w:noWrap w:val="0"/>
                  <w:vAlign w:val="center"/>
                </w:tcPr>
                <w:p w14:paraId="6530BDDE">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污染类型</w:t>
                  </w:r>
                </w:p>
              </w:tc>
              <w:tc>
                <w:tcPr>
                  <w:tcW w:w="1010" w:type="dxa"/>
                  <w:gridSpan w:val="2"/>
                  <w:tcBorders>
                    <w:top w:val="single" w:color="000000" w:sz="4" w:space="0"/>
                    <w:left w:val="single" w:color="000000" w:sz="4" w:space="0"/>
                    <w:bottom w:val="single" w:color="000000" w:sz="4" w:space="0"/>
                    <w:right w:val="single" w:color="000000" w:sz="4" w:space="0"/>
                  </w:tcBorders>
                  <w:noWrap w:val="0"/>
                  <w:vAlign w:val="center"/>
                </w:tcPr>
                <w:p w14:paraId="2C7252E7">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治理对象</w:t>
                  </w:r>
                </w:p>
              </w:tc>
              <w:tc>
                <w:tcPr>
                  <w:tcW w:w="2345" w:type="dxa"/>
                  <w:tcBorders>
                    <w:top w:val="single" w:color="000000" w:sz="4" w:space="0"/>
                    <w:left w:val="single" w:color="000000" w:sz="4" w:space="0"/>
                    <w:bottom w:val="single" w:color="000000" w:sz="4" w:space="0"/>
                    <w:right w:val="single" w:color="000000" w:sz="4" w:space="0"/>
                  </w:tcBorders>
                  <w:noWrap w:val="0"/>
                  <w:vAlign w:val="center"/>
                </w:tcPr>
                <w:p w14:paraId="30810009">
                  <w:pPr>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kern w:val="0"/>
                      <w:sz w:val="21"/>
                      <w:szCs w:val="21"/>
                    </w:rPr>
                  </w:pPr>
                  <w:r>
                    <w:rPr>
                      <w:rFonts w:hint="default" w:ascii="Times New Roman" w:hAnsi="Times New Roman" w:cs="Times New Roman"/>
                      <w:b/>
                      <w:bCs/>
                      <w:color w:val="000000" w:themeColor="text1"/>
                      <w:sz w:val="21"/>
                      <w:szCs w:val="21"/>
                    </w:rPr>
                    <w:t>环保措施</w:t>
                  </w:r>
                </w:p>
              </w:tc>
              <w:tc>
                <w:tcPr>
                  <w:tcW w:w="714" w:type="dxa"/>
                  <w:tcBorders>
                    <w:top w:val="single" w:color="000000" w:sz="4" w:space="0"/>
                    <w:left w:val="single" w:color="000000" w:sz="4" w:space="0"/>
                    <w:bottom w:val="single" w:color="000000" w:sz="4" w:space="0"/>
                    <w:right w:val="single" w:color="000000" w:sz="4" w:space="0"/>
                  </w:tcBorders>
                  <w:noWrap w:val="0"/>
                  <w:vAlign w:val="center"/>
                </w:tcPr>
                <w:p w14:paraId="2E1469D8">
                  <w:pPr>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监测点位</w:t>
                  </w:r>
                </w:p>
              </w:tc>
              <w:tc>
                <w:tcPr>
                  <w:tcW w:w="972" w:type="dxa"/>
                  <w:tcBorders>
                    <w:top w:val="single" w:color="000000" w:sz="4" w:space="0"/>
                    <w:left w:val="single" w:color="000000" w:sz="4" w:space="0"/>
                    <w:bottom w:val="single" w:color="000000" w:sz="4" w:space="0"/>
                    <w:right w:val="single" w:color="000000" w:sz="4" w:space="0"/>
                  </w:tcBorders>
                  <w:noWrap w:val="0"/>
                  <w:vAlign w:val="center"/>
                </w:tcPr>
                <w:p w14:paraId="02534F6A">
                  <w:pPr>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监测</w:t>
                  </w:r>
                </w:p>
                <w:p w14:paraId="043AFC3C">
                  <w:pPr>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因子</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AED304E">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排放要求</w:t>
                  </w:r>
                </w:p>
              </w:tc>
            </w:tr>
            <w:tr w14:paraId="3ABE4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585" w:type="dxa"/>
                  <w:vMerge w:val="restart"/>
                  <w:tcBorders>
                    <w:top w:val="single" w:color="000000" w:sz="4" w:space="0"/>
                    <w:left w:val="single" w:color="000000" w:sz="4" w:space="0"/>
                    <w:right w:val="single" w:color="000000" w:sz="4" w:space="0"/>
                  </w:tcBorders>
                  <w:noWrap w:val="0"/>
                  <w:vAlign w:val="center"/>
                </w:tcPr>
                <w:p w14:paraId="32687F7C">
                  <w:pPr>
                    <w:keepNext w:val="0"/>
                    <w:keepLines w:val="0"/>
                    <w:pageBreakBefore w:val="0"/>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废气</w:t>
                  </w:r>
                </w:p>
              </w:tc>
              <w:tc>
                <w:tcPr>
                  <w:tcW w:w="1010" w:type="dxa"/>
                  <w:gridSpan w:val="2"/>
                  <w:tcBorders>
                    <w:top w:val="single" w:color="000000" w:sz="4" w:space="0"/>
                    <w:left w:val="single" w:color="000000" w:sz="4" w:space="0"/>
                    <w:right w:val="single" w:color="000000" w:sz="4" w:space="0"/>
                  </w:tcBorders>
                  <w:noWrap w:val="0"/>
                  <w:vAlign w:val="center"/>
                </w:tcPr>
                <w:p w14:paraId="3C4D616A">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无组织废气</w:t>
                  </w:r>
                </w:p>
              </w:tc>
              <w:tc>
                <w:tcPr>
                  <w:tcW w:w="2345" w:type="dxa"/>
                  <w:tcBorders>
                    <w:top w:val="single" w:color="000000" w:sz="4" w:space="0"/>
                    <w:left w:val="single" w:color="000000" w:sz="4" w:space="0"/>
                    <w:right w:val="single" w:color="000000" w:sz="4" w:space="0"/>
                  </w:tcBorders>
                  <w:noWrap w:val="0"/>
                  <w:vAlign w:val="center"/>
                </w:tcPr>
                <w:p w14:paraId="449F3F41">
                  <w:pPr>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定期清扫厂房、厂房封闭</w:t>
                  </w:r>
                </w:p>
              </w:tc>
              <w:tc>
                <w:tcPr>
                  <w:tcW w:w="714" w:type="dxa"/>
                  <w:tcBorders>
                    <w:top w:val="single" w:color="000000" w:sz="4" w:space="0"/>
                    <w:left w:val="single" w:color="000000" w:sz="4" w:space="0"/>
                    <w:right w:val="single" w:color="000000" w:sz="4" w:space="0"/>
                  </w:tcBorders>
                  <w:noWrap w:val="0"/>
                  <w:vAlign w:val="center"/>
                </w:tcPr>
                <w:p w14:paraId="66B1DED2">
                  <w:pPr>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厂界四周</w:t>
                  </w:r>
                </w:p>
              </w:tc>
              <w:tc>
                <w:tcPr>
                  <w:tcW w:w="972" w:type="dxa"/>
                  <w:tcBorders>
                    <w:top w:val="single" w:color="000000" w:sz="4" w:space="0"/>
                    <w:left w:val="single" w:color="000000" w:sz="4" w:space="0"/>
                    <w:right w:val="single" w:color="000000" w:sz="4" w:space="0"/>
                  </w:tcBorders>
                  <w:noWrap w:val="0"/>
                  <w:vAlign w:val="center"/>
                </w:tcPr>
                <w:p w14:paraId="621C71B0">
                  <w:pPr>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颗粒物</w:t>
                  </w:r>
                </w:p>
              </w:tc>
              <w:tc>
                <w:tcPr>
                  <w:tcW w:w="2400" w:type="dxa"/>
                  <w:tcBorders>
                    <w:top w:val="single" w:color="000000" w:sz="4" w:space="0"/>
                    <w:left w:val="single" w:color="000000" w:sz="4" w:space="0"/>
                    <w:right w:val="single" w:color="000000" w:sz="4" w:space="0"/>
                  </w:tcBorders>
                  <w:noWrap w:val="0"/>
                  <w:vAlign w:val="center"/>
                </w:tcPr>
                <w:p w14:paraId="26CD267A">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bCs/>
                      <w:color w:val="000000" w:themeColor="text1"/>
                      <w:sz w:val="21"/>
                      <w:szCs w:val="21"/>
                    </w:rPr>
                    <w:t>《大气污染物综合排放标准》</w:t>
                  </w:r>
                  <w:r>
                    <w:rPr>
                      <w:rFonts w:hint="default" w:ascii="Times New Roman" w:hAnsi="Times New Roman" w:cs="Times New Roman"/>
                      <w:color w:val="000000" w:themeColor="text1"/>
                      <w:sz w:val="21"/>
                      <w:szCs w:val="21"/>
                    </w:rPr>
                    <w:t>（GB16297-1996）</w:t>
                  </w:r>
                  <w:r>
                    <w:rPr>
                      <w:rFonts w:hint="default" w:ascii="Times New Roman" w:hAnsi="Times New Roman" w:cs="Times New Roman"/>
                      <w:bCs/>
                      <w:color w:val="000000" w:themeColor="text1"/>
                      <w:sz w:val="21"/>
                      <w:szCs w:val="21"/>
                    </w:rPr>
                    <w:t>表2无组织排放限值</w:t>
                  </w:r>
                </w:p>
              </w:tc>
            </w:tr>
            <w:tr w14:paraId="43CC1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265" w:hRule="atLeast"/>
                <w:jc w:val="center"/>
              </w:trPr>
              <w:tc>
                <w:tcPr>
                  <w:tcW w:w="585" w:type="dxa"/>
                  <w:vMerge w:val="continue"/>
                  <w:tcBorders>
                    <w:left w:val="single" w:color="000000" w:sz="4" w:space="0"/>
                    <w:right w:val="single" w:color="000000" w:sz="4" w:space="0"/>
                  </w:tcBorders>
                  <w:noWrap w:val="0"/>
                  <w:vAlign w:val="center"/>
                </w:tcPr>
                <w:p w14:paraId="6E15777C">
                  <w:pPr>
                    <w:keepNext w:val="0"/>
                    <w:keepLines w:val="0"/>
                    <w:pageBreakBefore w:val="0"/>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301" w:type="dxa"/>
                  <w:vMerge w:val="restart"/>
                  <w:tcBorders>
                    <w:top w:val="single" w:color="000000" w:sz="4" w:space="0"/>
                    <w:left w:val="single" w:color="000000" w:sz="4" w:space="0"/>
                    <w:right w:val="single" w:color="000000" w:sz="4" w:space="0"/>
                  </w:tcBorders>
                  <w:noWrap w:val="0"/>
                  <w:vAlign w:val="center"/>
                </w:tcPr>
                <w:p w14:paraId="6D2811C8">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有组织废气</w:t>
                  </w:r>
                </w:p>
              </w:tc>
              <w:tc>
                <w:tcPr>
                  <w:tcW w:w="709" w:type="dxa"/>
                  <w:noWrap w:val="0"/>
                  <w:vAlign w:val="center"/>
                </w:tcPr>
                <w:p w14:paraId="58EB0A0A">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烘干废气</w:t>
                  </w:r>
                </w:p>
              </w:tc>
              <w:tc>
                <w:tcPr>
                  <w:tcW w:w="2345" w:type="dxa"/>
                  <w:noWrap w:val="0"/>
                  <w:vAlign w:val="center"/>
                </w:tcPr>
                <w:p w14:paraId="480EC406">
                  <w:pPr>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kern w:val="0"/>
                      <w:sz w:val="21"/>
                      <w:szCs w:val="21"/>
                    </w:rPr>
                    <w:t>收集经</w:t>
                  </w:r>
                  <w:r>
                    <w:rPr>
                      <w:rFonts w:hint="eastAsia" w:ascii="Times New Roman" w:hAnsi="Times New Roman" w:cs="Times New Roman"/>
                      <w:color w:val="000000" w:themeColor="text1"/>
                      <w:kern w:val="0"/>
                      <w:sz w:val="21"/>
                      <w:szCs w:val="21"/>
                      <w:lang w:val="en-US" w:eastAsia="zh-CN"/>
                    </w:rPr>
                    <w:t>“</w:t>
                  </w:r>
                  <w:r>
                    <w:rPr>
                      <w:rFonts w:hint="eastAsia" w:ascii="Times New Roman" w:hAnsi="Times New Roman" w:cs="Times New Roman"/>
                      <w:color w:val="00B050"/>
                      <w:kern w:val="0"/>
                      <w:sz w:val="21"/>
                      <w:szCs w:val="21"/>
                      <w:lang w:val="en-US" w:eastAsia="zh-CN"/>
                    </w:rPr>
                    <w:t>重力沉降+布袋除尘+水膜除尘设施”（TA001）</w:t>
                  </w:r>
                  <w:r>
                    <w:rPr>
                      <w:rFonts w:hint="eastAsia" w:ascii="Times New Roman" w:hAnsi="Times New Roman" w:cs="Times New Roman"/>
                      <w:color w:val="000000" w:themeColor="text1"/>
                      <w:kern w:val="0"/>
                      <w:sz w:val="21"/>
                      <w:szCs w:val="21"/>
                    </w:rPr>
                    <w:t>处理后通过</w:t>
                  </w:r>
                  <w:r>
                    <w:rPr>
                      <w:rFonts w:hint="eastAsia" w:cs="Times New Roman"/>
                      <w:color w:val="000000" w:themeColor="text1"/>
                      <w:kern w:val="0"/>
                      <w:sz w:val="21"/>
                      <w:szCs w:val="21"/>
                      <w:lang w:eastAsia="zh-CN"/>
                    </w:rPr>
                    <w:t>20</w:t>
                  </w:r>
                  <w:r>
                    <w:rPr>
                      <w:rFonts w:hint="eastAsia" w:ascii="Times New Roman" w:hAnsi="Times New Roman" w:cs="Times New Roman"/>
                      <w:color w:val="000000" w:themeColor="text1"/>
                      <w:kern w:val="0"/>
                      <w:sz w:val="21"/>
                      <w:szCs w:val="21"/>
                    </w:rPr>
                    <w:t>m排气筒（DA001）排放</w:t>
                  </w:r>
                  <w:r>
                    <w:rPr>
                      <w:rFonts w:hint="default" w:ascii="Times New Roman" w:hAnsi="Times New Roman" w:cs="Times New Roman"/>
                      <w:color w:val="000000" w:themeColor="text1"/>
                      <w:sz w:val="21"/>
                      <w:szCs w:val="21"/>
                    </w:rPr>
                    <w:t>。</w:t>
                  </w:r>
                </w:p>
              </w:tc>
              <w:tc>
                <w:tcPr>
                  <w:tcW w:w="714" w:type="dxa"/>
                  <w:tcBorders>
                    <w:top w:val="single" w:color="000000" w:sz="4" w:space="0"/>
                    <w:left w:val="single" w:color="000000" w:sz="4" w:space="0"/>
                    <w:right w:val="single" w:color="000000" w:sz="4" w:space="0"/>
                  </w:tcBorders>
                  <w:noWrap w:val="0"/>
                  <w:vAlign w:val="center"/>
                </w:tcPr>
                <w:p w14:paraId="7AF8149A">
                  <w:pPr>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DA001</w:t>
                  </w:r>
                </w:p>
              </w:tc>
              <w:tc>
                <w:tcPr>
                  <w:tcW w:w="972" w:type="dxa"/>
                  <w:tcBorders>
                    <w:top w:val="single" w:color="000000" w:sz="4" w:space="0"/>
                    <w:left w:val="single" w:color="000000" w:sz="4" w:space="0"/>
                    <w:right w:val="single" w:color="000000" w:sz="4" w:space="0"/>
                  </w:tcBorders>
                  <w:noWrap w:val="0"/>
                  <w:vAlign w:val="center"/>
                </w:tcPr>
                <w:p w14:paraId="657A9F1C">
                  <w:pPr>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颗粒物</w:t>
                  </w:r>
                  <w:r>
                    <w:rPr>
                      <w:rFonts w:hint="default" w:ascii="Times New Roman" w:hAnsi="Times New Roman" w:cs="Times New Roman"/>
                      <w:color w:val="00B050"/>
                      <w:sz w:val="21"/>
                      <w:szCs w:val="21"/>
                      <w:lang w:val="en-US" w:eastAsia="zh-CN"/>
                    </w:rPr>
                    <w:t>、SO</w:t>
                  </w:r>
                  <w:r>
                    <w:rPr>
                      <w:rFonts w:hint="default" w:ascii="Times New Roman" w:hAnsi="Times New Roman" w:cs="Times New Roman"/>
                      <w:color w:val="00B050"/>
                      <w:sz w:val="21"/>
                      <w:szCs w:val="21"/>
                      <w:vertAlign w:val="subscript"/>
                      <w:lang w:val="en-US" w:eastAsia="zh-CN"/>
                    </w:rPr>
                    <w:t>2</w:t>
                  </w:r>
                  <w:r>
                    <w:rPr>
                      <w:rFonts w:hint="default" w:ascii="Times New Roman" w:hAnsi="Times New Roman" w:cs="Times New Roman"/>
                      <w:color w:val="00B050"/>
                      <w:sz w:val="21"/>
                      <w:szCs w:val="21"/>
                      <w:lang w:val="en-US" w:eastAsia="zh-CN"/>
                    </w:rPr>
                    <w:t>、NOx</w:t>
                  </w:r>
                </w:p>
              </w:tc>
              <w:tc>
                <w:tcPr>
                  <w:tcW w:w="2400" w:type="dxa"/>
                  <w:tcBorders>
                    <w:top w:val="single" w:color="000000" w:sz="4" w:space="0"/>
                    <w:left w:val="single" w:color="000000" w:sz="4" w:space="0"/>
                    <w:right w:val="single" w:color="000000" w:sz="4" w:space="0"/>
                  </w:tcBorders>
                  <w:noWrap w:val="0"/>
                  <w:vAlign w:val="center"/>
                </w:tcPr>
                <w:p w14:paraId="381CD4DB">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烟尘（颗粒物）、黑度污染物执行《工业炉窑大气污染物排放标准》（GB9078-1996），NO</w:t>
                  </w:r>
                  <w:r>
                    <w:rPr>
                      <w:rFonts w:hint="eastAsia" w:ascii="Times New Roman" w:hAnsi="Times New Roman" w:cs="Times New Roman"/>
                      <w:color w:val="000000" w:themeColor="text1"/>
                      <w:sz w:val="21"/>
                      <w:szCs w:val="21"/>
                      <w:vertAlign w:val="subscript"/>
                    </w:rPr>
                    <w:t>X</w:t>
                  </w:r>
                  <w:r>
                    <w:rPr>
                      <w:rFonts w:hint="eastAsia" w:ascii="Times New Roman" w:hAnsi="Times New Roman" w:cs="Times New Roman"/>
                      <w:color w:val="000000" w:themeColor="text1"/>
                      <w:sz w:val="21"/>
                      <w:szCs w:val="21"/>
                    </w:rPr>
                    <w:t>、SO</w:t>
                  </w:r>
                  <w:r>
                    <w:rPr>
                      <w:rFonts w:hint="eastAsia" w:ascii="Times New Roman" w:hAnsi="Times New Roman" w:cs="Times New Roman"/>
                      <w:color w:val="000000" w:themeColor="text1"/>
                      <w:sz w:val="21"/>
                      <w:szCs w:val="21"/>
                      <w:vertAlign w:val="subscript"/>
                    </w:rPr>
                    <w:t>2</w:t>
                  </w:r>
                  <w:r>
                    <w:rPr>
                      <w:rFonts w:hint="eastAsia" w:ascii="Times New Roman" w:hAnsi="Times New Roman" w:cs="Times New Roman"/>
                      <w:color w:val="000000" w:themeColor="text1"/>
                      <w:sz w:val="21"/>
                      <w:szCs w:val="21"/>
                    </w:rPr>
                    <w:t>执行《大气污染物综合排放标准》（GB16297-1996）中表2二级标准排放限值。</w:t>
                  </w:r>
                </w:p>
              </w:tc>
            </w:tr>
            <w:tr w14:paraId="66E19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585" w:type="dxa"/>
                  <w:vMerge w:val="continue"/>
                  <w:tcBorders>
                    <w:left w:val="single" w:color="000000" w:sz="4" w:space="0"/>
                    <w:right w:val="single" w:color="000000" w:sz="4" w:space="0"/>
                  </w:tcBorders>
                  <w:noWrap w:val="0"/>
                  <w:vAlign w:val="center"/>
                </w:tcPr>
                <w:p w14:paraId="7632CABC">
                  <w:pPr>
                    <w:keepNext w:val="0"/>
                    <w:keepLines w:val="0"/>
                    <w:pageBreakBefore w:val="0"/>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301" w:type="dxa"/>
                  <w:vMerge w:val="continue"/>
                  <w:tcBorders>
                    <w:top w:val="single" w:color="000000" w:sz="4" w:space="0"/>
                    <w:left w:val="single" w:color="000000" w:sz="4" w:space="0"/>
                    <w:right w:val="single" w:color="000000" w:sz="4" w:space="0"/>
                  </w:tcBorders>
                  <w:noWrap w:val="0"/>
                  <w:vAlign w:val="center"/>
                </w:tcPr>
                <w:p w14:paraId="58355BAC">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709" w:type="dxa"/>
                  <w:noWrap w:val="0"/>
                  <w:vAlign w:val="center"/>
                </w:tcPr>
                <w:p w14:paraId="7B6EB89C">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 w:val="21"/>
                      <w:szCs w:val="21"/>
                    </w:rPr>
                  </w:pPr>
                  <w:r>
                    <w:rPr>
                      <w:rFonts w:hint="default" w:ascii="Times New Roman" w:hAnsi="Times New Roman" w:cs="Times New Roman"/>
                      <w:color w:val="000000" w:themeColor="text1"/>
                      <w:sz w:val="21"/>
                      <w:szCs w:val="21"/>
                    </w:rPr>
                    <w:t>油烟</w:t>
                  </w:r>
                </w:p>
              </w:tc>
              <w:tc>
                <w:tcPr>
                  <w:tcW w:w="2345" w:type="dxa"/>
                  <w:noWrap w:val="0"/>
                  <w:vAlign w:val="center"/>
                </w:tcPr>
                <w:p w14:paraId="072617EF">
                  <w:pPr>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食堂设置</w:t>
                  </w:r>
                  <w:r>
                    <w:rPr>
                      <w:rFonts w:hint="eastAsia" w:ascii="Times New Roman" w:hAnsi="Times New Roman" w:cs="Times New Roman"/>
                      <w:color w:val="000000" w:themeColor="text1"/>
                      <w:sz w:val="21"/>
                      <w:szCs w:val="21"/>
                    </w:rPr>
                    <w:t>抽</w:t>
                  </w:r>
                  <w:r>
                    <w:rPr>
                      <w:rFonts w:hint="default" w:ascii="Times New Roman" w:hAnsi="Times New Roman" w:cs="Times New Roman"/>
                      <w:color w:val="000000" w:themeColor="text1"/>
                      <w:sz w:val="21"/>
                      <w:szCs w:val="21"/>
                    </w:rPr>
                    <w:t>油烟</w:t>
                  </w:r>
                  <w:r>
                    <w:rPr>
                      <w:rFonts w:hint="eastAsia" w:ascii="Times New Roman" w:hAnsi="Times New Roman" w:cs="Times New Roman"/>
                      <w:color w:val="000000" w:themeColor="text1"/>
                      <w:sz w:val="21"/>
                      <w:szCs w:val="21"/>
                    </w:rPr>
                    <w:t>机</w:t>
                  </w:r>
                  <w:r>
                    <w:rPr>
                      <w:rFonts w:hint="default" w:ascii="Times New Roman" w:hAnsi="Times New Roman" w:cs="Times New Roman"/>
                      <w:color w:val="000000" w:themeColor="text1"/>
                      <w:sz w:val="21"/>
                      <w:szCs w:val="21"/>
                    </w:rPr>
                    <w:t>。</w:t>
                  </w:r>
                </w:p>
              </w:tc>
              <w:tc>
                <w:tcPr>
                  <w:tcW w:w="714" w:type="dxa"/>
                  <w:tcBorders>
                    <w:top w:val="single" w:color="000000" w:sz="4" w:space="0"/>
                    <w:left w:val="single" w:color="000000" w:sz="4" w:space="0"/>
                    <w:bottom w:val="single" w:color="000000" w:sz="4" w:space="0"/>
                    <w:right w:val="single" w:color="000000" w:sz="4" w:space="0"/>
                  </w:tcBorders>
                  <w:noWrap w:val="0"/>
                  <w:vAlign w:val="center"/>
                </w:tcPr>
                <w:p w14:paraId="4D448813">
                  <w:pPr>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w:t>
                  </w:r>
                </w:p>
              </w:tc>
              <w:tc>
                <w:tcPr>
                  <w:tcW w:w="972" w:type="dxa"/>
                  <w:tcBorders>
                    <w:top w:val="single" w:color="000000" w:sz="4" w:space="0"/>
                    <w:left w:val="single" w:color="000000" w:sz="4" w:space="0"/>
                    <w:bottom w:val="single" w:color="000000" w:sz="4" w:space="0"/>
                    <w:right w:val="single" w:color="000000" w:sz="4" w:space="0"/>
                  </w:tcBorders>
                  <w:noWrap w:val="0"/>
                  <w:vAlign w:val="center"/>
                </w:tcPr>
                <w:p w14:paraId="38BFFDB5">
                  <w:pPr>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油烟</w:t>
                  </w:r>
                </w:p>
              </w:tc>
              <w:tc>
                <w:tcPr>
                  <w:tcW w:w="2400" w:type="dxa"/>
                  <w:tcBorders>
                    <w:top w:val="single" w:color="000000" w:sz="4" w:space="0"/>
                    <w:left w:val="single" w:color="000000" w:sz="4" w:space="0"/>
                    <w:right w:val="single" w:color="000000" w:sz="4" w:space="0"/>
                  </w:tcBorders>
                  <w:noWrap w:val="0"/>
                  <w:vAlign w:val="center"/>
                </w:tcPr>
                <w:p w14:paraId="1F73C878">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《饮食业油烟排放标准》（GB18483-2001）小型规模排放标准</w:t>
                  </w:r>
                </w:p>
              </w:tc>
            </w:tr>
            <w:tr w14:paraId="3A366F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585" w:type="dxa"/>
                  <w:vMerge w:val="restart"/>
                  <w:tcBorders>
                    <w:top w:val="single" w:color="000000" w:sz="4" w:space="0"/>
                    <w:left w:val="single" w:color="000000" w:sz="4" w:space="0"/>
                    <w:bottom w:val="single" w:color="000000" w:sz="4" w:space="0"/>
                    <w:right w:val="single" w:color="000000" w:sz="4" w:space="0"/>
                  </w:tcBorders>
                  <w:noWrap w:val="0"/>
                  <w:vAlign w:val="center"/>
                </w:tcPr>
                <w:p w14:paraId="7563574B">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废水</w:t>
                  </w:r>
                </w:p>
              </w:tc>
              <w:tc>
                <w:tcPr>
                  <w:tcW w:w="1010" w:type="dxa"/>
                  <w:gridSpan w:val="2"/>
                  <w:tcBorders>
                    <w:top w:val="single" w:color="000000" w:sz="4" w:space="0"/>
                    <w:left w:val="single" w:color="000000" w:sz="4" w:space="0"/>
                    <w:bottom w:val="single" w:color="000000" w:sz="4" w:space="0"/>
                    <w:right w:val="single" w:color="000000" w:sz="4" w:space="0"/>
                  </w:tcBorders>
                  <w:noWrap w:val="0"/>
                  <w:vAlign w:val="center"/>
                </w:tcPr>
                <w:p w14:paraId="316E3163">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pacing w:val="6"/>
                      <w:sz w:val="21"/>
                      <w:szCs w:val="21"/>
                    </w:rPr>
                  </w:pPr>
                  <w:r>
                    <w:rPr>
                      <w:rFonts w:hint="default" w:ascii="Times New Roman" w:hAnsi="Times New Roman" w:cs="Times New Roman"/>
                      <w:color w:val="000000" w:themeColor="text1"/>
                      <w:spacing w:val="6"/>
                      <w:sz w:val="21"/>
                      <w:szCs w:val="21"/>
                    </w:rPr>
                    <w:t>生活污水</w:t>
                  </w:r>
                </w:p>
              </w:tc>
              <w:tc>
                <w:tcPr>
                  <w:tcW w:w="2345" w:type="dxa"/>
                  <w:tcBorders>
                    <w:top w:val="single" w:color="000000" w:sz="4" w:space="0"/>
                    <w:left w:val="single" w:color="000000" w:sz="4" w:space="0"/>
                    <w:bottom w:val="single" w:color="auto" w:sz="4" w:space="0"/>
                    <w:right w:val="single" w:color="000000" w:sz="4" w:space="0"/>
                  </w:tcBorders>
                  <w:noWrap w:val="0"/>
                  <w:vAlign w:val="center"/>
                </w:tcPr>
                <w:p w14:paraId="7B161FFD">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食堂废水经设置</w:t>
                  </w:r>
                  <w:r>
                    <w:rPr>
                      <w:rFonts w:hint="eastAsia" w:ascii="Times New Roman" w:hAnsi="Times New Roman" w:cs="Times New Roman"/>
                      <w:color w:val="000000" w:themeColor="text1"/>
                      <w:sz w:val="21"/>
                      <w:szCs w:val="21"/>
                    </w:rPr>
                    <w:t>0.</w:t>
                  </w:r>
                  <w:r>
                    <w:rPr>
                      <w:rFonts w:hint="eastAsia" w:ascii="Times New Roman" w:hAnsi="Times New Roman" w:cs="Times New Roman"/>
                      <w:color w:val="000000" w:themeColor="text1"/>
                      <w:sz w:val="21"/>
                      <w:szCs w:val="21"/>
                      <w:lang w:val="en-US" w:eastAsia="zh-CN"/>
                    </w:rPr>
                    <w:t>5</w:t>
                  </w:r>
                  <w:r>
                    <w:rPr>
                      <w:rFonts w:hint="default" w:ascii="Times New Roman" w:hAnsi="Times New Roman" w:cs="Times New Roman"/>
                      <w:color w:val="000000" w:themeColor="text1"/>
                      <w:sz w:val="21"/>
                      <w:szCs w:val="21"/>
                    </w:rPr>
                    <w:t>m</w:t>
                  </w:r>
                  <w:r>
                    <w:rPr>
                      <w:rFonts w:hint="default" w:ascii="Times New Roman" w:hAnsi="Times New Roman" w:cs="Times New Roman"/>
                      <w:color w:val="000000" w:themeColor="text1"/>
                      <w:sz w:val="21"/>
                      <w:szCs w:val="21"/>
                      <w:vertAlign w:val="superscript"/>
                    </w:rPr>
                    <w:t>3</w:t>
                  </w:r>
                  <w:r>
                    <w:rPr>
                      <w:rFonts w:hint="default" w:ascii="Times New Roman" w:hAnsi="Times New Roman" w:cs="Times New Roman"/>
                      <w:color w:val="000000" w:themeColor="text1"/>
                      <w:sz w:val="21"/>
                      <w:szCs w:val="21"/>
                    </w:rPr>
                    <w:t>的隔油池</w:t>
                  </w:r>
                  <w:r>
                    <w:rPr>
                      <w:rFonts w:hint="default" w:ascii="Times New Roman" w:hAnsi="Times New Roman" w:cs="Times New Roman"/>
                      <w:color w:val="000000" w:themeColor="text1"/>
                      <w:sz w:val="21"/>
                      <w:szCs w:val="21"/>
                      <w:lang w:val="en-US" w:eastAsia="zh-CN"/>
                    </w:rPr>
                    <w:t>（TW001）</w:t>
                  </w:r>
                  <w:r>
                    <w:rPr>
                      <w:rFonts w:hint="default" w:ascii="Times New Roman" w:hAnsi="Times New Roman" w:cs="Times New Roman"/>
                      <w:color w:val="000000" w:themeColor="text1"/>
                      <w:sz w:val="21"/>
                      <w:szCs w:val="21"/>
                    </w:rPr>
                    <w:t>和办公废水一起经化粪池</w:t>
                  </w:r>
                  <w:r>
                    <w:rPr>
                      <w:rFonts w:hint="default" w:ascii="Times New Roman" w:hAnsi="Times New Roman" w:cs="Times New Roman"/>
                      <w:color w:val="000000" w:themeColor="text1"/>
                      <w:sz w:val="21"/>
                      <w:szCs w:val="21"/>
                      <w:lang w:val="en-US" w:eastAsia="zh-CN"/>
                    </w:rPr>
                    <w:t>（TW00</w:t>
                  </w:r>
                  <w:r>
                    <w:rPr>
                      <w:rFonts w:hint="eastAsia" w:cs="Times New Roman"/>
                      <w:color w:val="000000" w:themeColor="text1"/>
                      <w:sz w:val="21"/>
                      <w:szCs w:val="21"/>
                      <w:lang w:val="en-US" w:eastAsia="zh-CN"/>
                    </w:rPr>
                    <w:t>2</w:t>
                  </w:r>
                  <w:r>
                    <w:rPr>
                      <w:rFonts w:hint="default" w:ascii="Times New Roman" w:hAnsi="Times New Roman" w:cs="Times New Roman"/>
                      <w:color w:val="000000" w:themeColor="text1"/>
                      <w:sz w:val="21"/>
                      <w:szCs w:val="21"/>
                      <w:lang w:val="en-US" w:eastAsia="zh-CN"/>
                    </w:rPr>
                    <w:t>）</w:t>
                  </w:r>
                  <w:r>
                    <w:rPr>
                      <w:rFonts w:hint="eastAsia" w:ascii="Times New Roman" w:hAnsi="Times New Roman" w:cs="Times New Roman"/>
                      <w:color w:val="000000" w:themeColor="text1"/>
                      <w:sz w:val="21"/>
                      <w:szCs w:val="21"/>
                      <w:lang w:val="en-US" w:eastAsia="zh-CN"/>
                    </w:rPr>
                    <w:t>5</w:t>
                  </w:r>
                  <w:r>
                    <w:rPr>
                      <w:rFonts w:hint="default" w:ascii="Times New Roman" w:hAnsi="Times New Roman" w:cs="Times New Roman"/>
                      <w:color w:val="000000" w:themeColor="text1"/>
                      <w:sz w:val="21"/>
                      <w:szCs w:val="21"/>
                    </w:rPr>
                    <w:t>m</w:t>
                  </w:r>
                  <w:r>
                    <w:rPr>
                      <w:rFonts w:hint="default" w:ascii="Times New Roman" w:hAnsi="Times New Roman" w:cs="Times New Roman"/>
                      <w:color w:val="000000" w:themeColor="text1"/>
                      <w:sz w:val="21"/>
                      <w:szCs w:val="21"/>
                      <w:vertAlign w:val="superscript"/>
                    </w:rPr>
                    <w:t>3</w:t>
                  </w:r>
                  <w:r>
                    <w:rPr>
                      <w:rFonts w:hint="eastAsia" w:ascii="Times New Roman" w:hAnsi="Times New Roman" w:cs="Times New Roman"/>
                      <w:color w:val="000000" w:themeColor="text1"/>
                      <w:sz w:val="21"/>
                      <w:szCs w:val="21"/>
                      <w:vertAlign w:val="baseline"/>
                      <w:lang w:val="en-US" w:eastAsia="zh-CN"/>
                    </w:rPr>
                    <w:t>预</w:t>
                  </w:r>
                  <w:r>
                    <w:rPr>
                      <w:rFonts w:hint="default" w:ascii="Times New Roman" w:hAnsi="Times New Roman" w:cs="Times New Roman"/>
                      <w:color w:val="000000" w:themeColor="text1"/>
                      <w:sz w:val="21"/>
                      <w:szCs w:val="21"/>
                    </w:rPr>
                    <w:t>处理</w:t>
                  </w:r>
                  <w:r>
                    <w:rPr>
                      <w:rFonts w:hint="eastAsia" w:ascii="Times New Roman" w:hAnsi="Times New Roman" w:cs="Times New Roman"/>
                      <w:color w:val="000000" w:themeColor="text1"/>
                      <w:sz w:val="21"/>
                      <w:szCs w:val="21"/>
                      <w:lang w:val="en-US" w:eastAsia="zh-CN"/>
                    </w:rPr>
                    <w:t>后接管园区污水处理厂处理。</w:t>
                  </w:r>
                </w:p>
              </w:tc>
              <w:tc>
                <w:tcPr>
                  <w:tcW w:w="714" w:type="dxa"/>
                  <w:tcBorders>
                    <w:top w:val="single" w:color="000000" w:sz="4" w:space="0"/>
                    <w:left w:val="single" w:color="000000" w:sz="4" w:space="0"/>
                    <w:bottom w:val="single" w:color="auto" w:sz="4" w:space="0"/>
                    <w:right w:val="single" w:color="000000" w:sz="4" w:space="0"/>
                  </w:tcBorders>
                  <w:noWrap w:val="0"/>
                  <w:vAlign w:val="center"/>
                </w:tcPr>
                <w:p w14:paraId="0A9ABF0D">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w:t>
                  </w:r>
                </w:p>
              </w:tc>
              <w:tc>
                <w:tcPr>
                  <w:tcW w:w="972" w:type="dxa"/>
                  <w:tcBorders>
                    <w:top w:val="single" w:color="000000" w:sz="4" w:space="0"/>
                    <w:left w:val="single" w:color="000000" w:sz="4" w:space="0"/>
                    <w:right w:val="single" w:color="000000" w:sz="4" w:space="0"/>
                  </w:tcBorders>
                  <w:noWrap w:val="0"/>
                  <w:vAlign w:val="center"/>
                </w:tcPr>
                <w:p w14:paraId="58C13B5B">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COD、BOD</w:t>
                  </w:r>
                  <w:r>
                    <w:rPr>
                      <w:rFonts w:hint="eastAsia" w:ascii="Times New Roman" w:hAnsi="Times New Roman" w:cs="Times New Roman"/>
                      <w:color w:val="000000" w:themeColor="text1"/>
                      <w:sz w:val="21"/>
                      <w:szCs w:val="21"/>
                      <w:vertAlign w:val="subscript"/>
                      <w:lang w:val="en-US" w:eastAsia="zh-CN"/>
                    </w:rPr>
                    <w:t>5</w:t>
                  </w:r>
                </w:p>
                <w:p w14:paraId="777EC73C">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SS、NH</w:t>
                  </w:r>
                  <w:r>
                    <w:rPr>
                      <w:rFonts w:hint="eastAsia" w:ascii="Times New Roman" w:hAnsi="Times New Roman" w:cs="Times New Roman"/>
                      <w:color w:val="000000" w:themeColor="text1"/>
                      <w:sz w:val="21"/>
                      <w:szCs w:val="21"/>
                      <w:vertAlign w:val="subscript"/>
                      <w:lang w:val="en-US" w:eastAsia="zh-CN"/>
                    </w:rPr>
                    <w:t>3</w:t>
                  </w:r>
                  <w:r>
                    <w:rPr>
                      <w:rFonts w:hint="eastAsia" w:ascii="Times New Roman" w:hAnsi="Times New Roman" w:cs="Times New Roman"/>
                      <w:color w:val="000000" w:themeColor="text1"/>
                      <w:sz w:val="21"/>
                      <w:szCs w:val="21"/>
                      <w:lang w:val="en-US" w:eastAsia="zh-CN"/>
                    </w:rPr>
                    <w:t>-N</w:t>
                  </w:r>
                </w:p>
                <w:p w14:paraId="0B8F2EE7">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总磷、动植物油、pH</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2BF25FF">
                  <w:pPr>
                    <w:keepNext w:val="0"/>
                    <w:keepLines w:val="0"/>
                    <w:pageBreakBefore w:val="0"/>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预处理达</w:t>
                  </w:r>
                  <w:r>
                    <w:rPr>
                      <w:rFonts w:hint="eastAsia" w:ascii="Times New Roman" w:hAnsi="Times New Roman" w:cs="Times New Roman"/>
                      <w:color w:val="000000" w:themeColor="text1"/>
                      <w:sz w:val="21"/>
                      <w:szCs w:val="21"/>
                    </w:rPr>
                    <w:t>《污水排入城市下水道水质标准》（GB/T31962-2015）和《污水综合排放标准》（GB 8978-1996）三级标准</w:t>
                  </w:r>
                  <w:r>
                    <w:rPr>
                      <w:rFonts w:hint="eastAsia" w:ascii="Times New Roman" w:hAnsi="Times New Roman" w:cs="Times New Roman"/>
                      <w:color w:val="000000" w:themeColor="text1"/>
                      <w:sz w:val="21"/>
                      <w:szCs w:val="21"/>
                      <w:lang w:val="en-US" w:eastAsia="zh-CN"/>
                    </w:rPr>
                    <w:t>接管园区污水处理厂处理。</w:t>
                  </w:r>
                </w:p>
              </w:tc>
            </w:tr>
            <w:tr w14:paraId="3834B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5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4DF4FD">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p>
              </w:tc>
              <w:tc>
                <w:tcPr>
                  <w:tcW w:w="1010" w:type="dxa"/>
                  <w:gridSpan w:val="2"/>
                  <w:tcBorders>
                    <w:top w:val="single" w:color="000000" w:sz="4" w:space="0"/>
                    <w:left w:val="single" w:color="000000" w:sz="4" w:space="0"/>
                    <w:bottom w:val="single" w:color="000000" w:sz="4" w:space="0"/>
                    <w:right w:val="single" w:color="000000" w:sz="4" w:space="0"/>
                  </w:tcBorders>
                  <w:noWrap w:val="0"/>
                  <w:vAlign w:val="center"/>
                </w:tcPr>
                <w:p w14:paraId="0D61C3E4">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pacing w:val="6"/>
                      <w:sz w:val="21"/>
                      <w:szCs w:val="21"/>
                      <w:lang w:val="en-US" w:eastAsia="zh-CN"/>
                    </w:rPr>
                  </w:pPr>
                  <w:r>
                    <w:rPr>
                      <w:rFonts w:hint="eastAsia" w:ascii="Times New Roman" w:hAnsi="Times New Roman" w:cs="Times New Roman"/>
                      <w:color w:val="000000" w:themeColor="text1"/>
                      <w:spacing w:val="6"/>
                      <w:sz w:val="21"/>
                      <w:szCs w:val="21"/>
                      <w:lang w:val="en-US" w:eastAsia="zh-CN"/>
                    </w:rPr>
                    <w:t>生产废水</w:t>
                  </w:r>
                </w:p>
              </w:tc>
              <w:tc>
                <w:tcPr>
                  <w:tcW w:w="2345" w:type="dxa"/>
                  <w:tcBorders>
                    <w:top w:val="single" w:color="000000" w:sz="4" w:space="0"/>
                    <w:left w:val="single" w:color="000000" w:sz="4" w:space="0"/>
                    <w:bottom w:val="single" w:color="auto" w:sz="4" w:space="0"/>
                    <w:right w:val="single" w:color="000000" w:sz="4" w:space="0"/>
                  </w:tcBorders>
                  <w:noWrap w:val="0"/>
                  <w:vAlign w:val="center"/>
                </w:tcPr>
                <w:p w14:paraId="7D8ED2D2">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收集</w:t>
                  </w:r>
                  <w:r>
                    <w:rPr>
                      <w:rFonts w:hint="eastAsia" w:ascii="Times New Roman" w:hAnsi="Times New Roman" w:cs="Times New Roman"/>
                      <w:color w:val="000000" w:themeColor="text1"/>
                      <w:sz w:val="21"/>
                      <w:szCs w:val="21"/>
                      <w:lang w:val="en-US" w:eastAsia="zh-CN"/>
                    </w:rPr>
                    <w:t>后通过回流管道回用于制料工序</w:t>
                  </w:r>
                  <w:r>
                    <w:rPr>
                      <w:rFonts w:hint="eastAsia" w:ascii="Times New Roman" w:hAnsi="Times New Roman" w:cs="Times New Roman"/>
                      <w:color w:val="000000" w:themeColor="text1"/>
                      <w:sz w:val="21"/>
                      <w:szCs w:val="21"/>
                    </w:rPr>
                    <w:t>。</w:t>
                  </w:r>
                </w:p>
              </w:tc>
              <w:tc>
                <w:tcPr>
                  <w:tcW w:w="714" w:type="dxa"/>
                  <w:tcBorders>
                    <w:top w:val="single" w:color="000000" w:sz="4" w:space="0"/>
                    <w:left w:val="single" w:color="000000" w:sz="4" w:space="0"/>
                    <w:bottom w:val="single" w:color="auto" w:sz="4" w:space="0"/>
                    <w:right w:val="single" w:color="000000" w:sz="4" w:space="0"/>
                  </w:tcBorders>
                  <w:noWrap w:val="0"/>
                  <w:vAlign w:val="center"/>
                </w:tcPr>
                <w:p w14:paraId="6933FD7A">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pacing w:val="6"/>
                      <w:sz w:val="21"/>
                      <w:szCs w:val="21"/>
                    </w:rPr>
                  </w:pPr>
                  <w:r>
                    <w:rPr>
                      <w:rFonts w:hint="default" w:ascii="Times New Roman" w:hAnsi="Times New Roman" w:cs="Times New Roman"/>
                      <w:color w:val="000000" w:themeColor="text1"/>
                      <w:spacing w:val="6"/>
                      <w:sz w:val="21"/>
                      <w:szCs w:val="21"/>
                    </w:rPr>
                    <w:t>/</w:t>
                  </w:r>
                </w:p>
              </w:tc>
              <w:tc>
                <w:tcPr>
                  <w:tcW w:w="972" w:type="dxa"/>
                  <w:tcBorders>
                    <w:top w:val="single" w:color="000000" w:sz="4" w:space="0"/>
                    <w:left w:val="single" w:color="000000" w:sz="4" w:space="0"/>
                    <w:right w:val="single" w:color="000000" w:sz="4" w:space="0"/>
                  </w:tcBorders>
                  <w:noWrap w:val="0"/>
                  <w:vAlign w:val="center"/>
                </w:tcPr>
                <w:p w14:paraId="2B83CC93">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SS</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241C5A2">
                  <w:pPr>
                    <w:keepNext w:val="0"/>
                    <w:keepLines w:val="0"/>
                    <w:pageBreakBefore w:val="0"/>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循环使用，不外排</w:t>
                  </w:r>
                </w:p>
              </w:tc>
            </w:tr>
            <w:tr w14:paraId="1D4D2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585" w:type="dxa"/>
                  <w:tcBorders>
                    <w:top w:val="single" w:color="000000" w:sz="4" w:space="0"/>
                    <w:left w:val="single" w:color="000000" w:sz="4" w:space="0"/>
                    <w:bottom w:val="single" w:color="000000" w:sz="4" w:space="0"/>
                    <w:right w:val="single" w:color="000000" w:sz="4" w:space="0"/>
                  </w:tcBorders>
                  <w:noWrap w:val="0"/>
                  <w:vAlign w:val="center"/>
                </w:tcPr>
                <w:p w14:paraId="686B3371">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噪声</w:t>
                  </w:r>
                </w:p>
              </w:tc>
              <w:tc>
                <w:tcPr>
                  <w:tcW w:w="1010" w:type="dxa"/>
                  <w:gridSpan w:val="2"/>
                  <w:tcBorders>
                    <w:top w:val="single" w:color="000000" w:sz="4" w:space="0"/>
                    <w:left w:val="single" w:color="000000" w:sz="4" w:space="0"/>
                    <w:bottom w:val="single" w:color="000000" w:sz="4" w:space="0"/>
                    <w:right w:val="single" w:color="000000" w:sz="4" w:space="0"/>
                  </w:tcBorders>
                  <w:noWrap w:val="0"/>
                  <w:vAlign w:val="center"/>
                </w:tcPr>
                <w:p w14:paraId="43BCA863">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pacing w:val="6"/>
                      <w:sz w:val="21"/>
                      <w:szCs w:val="21"/>
                    </w:rPr>
                  </w:pPr>
                  <w:r>
                    <w:rPr>
                      <w:rFonts w:hint="default" w:ascii="Times New Roman" w:hAnsi="Times New Roman" w:cs="Times New Roman"/>
                      <w:color w:val="000000" w:themeColor="text1"/>
                      <w:spacing w:val="6"/>
                      <w:sz w:val="21"/>
                      <w:szCs w:val="21"/>
                    </w:rPr>
                    <w:t>设备噪声</w:t>
                  </w:r>
                </w:p>
              </w:tc>
              <w:tc>
                <w:tcPr>
                  <w:tcW w:w="2345" w:type="dxa"/>
                  <w:tcBorders>
                    <w:top w:val="single" w:color="000000" w:sz="4" w:space="0"/>
                    <w:left w:val="single" w:color="000000" w:sz="4" w:space="0"/>
                    <w:bottom w:val="single" w:color="000000" w:sz="4" w:space="0"/>
                    <w:right w:val="single" w:color="000000" w:sz="4" w:space="0"/>
                  </w:tcBorders>
                  <w:noWrap w:val="0"/>
                  <w:vAlign w:val="center"/>
                </w:tcPr>
                <w:p w14:paraId="79E82064">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cs="Times New Roman"/>
                      <w:color w:val="000000" w:themeColor="text1"/>
                      <w:spacing w:val="4"/>
                      <w:sz w:val="21"/>
                      <w:szCs w:val="21"/>
                    </w:rPr>
                  </w:pPr>
                  <w:r>
                    <w:rPr>
                      <w:rFonts w:hint="default" w:ascii="Times New Roman" w:hAnsi="Times New Roman" w:cs="Times New Roman"/>
                      <w:color w:val="000000" w:themeColor="text1"/>
                      <w:spacing w:val="4"/>
                      <w:sz w:val="21"/>
                      <w:szCs w:val="21"/>
                    </w:rPr>
                    <w:t>选用低噪声设备，采取隔声、设备基础减震、定期检修设备等综合措施。</w:t>
                  </w:r>
                </w:p>
              </w:tc>
              <w:tc>
                <w:tcPr>
                  <w:tcW w:w="714" w:type="dxa"/>
                  <w:tcBorders>
                    <w:top w:val="single" w:color="000000" w:sz="4" w:space="0"/>
                    <w:left w:val="single" w:color="000000" w:sz="4" w:space="0"/>
                    <w:bottom w:val="single" w:color="000000" w:sz="4" w:space="0"/>
                    <w:right w:val="single" w:color="000000" w:sz="4" w:space="0"/>
                  </w:tcBorders>
                  <w:noWrap w:val="0"/>
                  <w:vAlign w:val="center"/>
                </w:tcPr>
                <w:p w14:paraId="1734F8BC">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pacing w:val="4"/>
                      <w:sz w:val="21"/>
                      <w:szCs w:val="21"/>
                    </w:rPr>
                  </w:pPr>
                  <w:r>
                    <w:rPr>
                      <w:rFonts w:hint="default" w:ascii="Times New Roman" w:hAnsi="Times New Roman" w:cs="Times New Roman"/>
                      <w:color w:val="000000" w:themeColor="text1"/>
                      <w:kern w:val="0"/>
                      <w:sz w:val="21"/>
                      <w:szCs w:val="21"/>
                    </w:rPr>
                    <w:t>厂界</w:t>
                  </w:r>
                </w:p>
              </w:tc>
              <w:tc>
                <w:tcPr>
                  <w:tcW w:w="972" w:type="dxa"/>
                  <w:tcBorders>
                    <w:top w:val="single" w:color="000000" w:sz="4" w:space="0"/>
                    <w:left w:val="single" w:color="000000" w:sz="4" w:space="0"/>
                    <w:bottom w:val="single" w:color="000000" w:sz="4" w:space="0"/>
                    <w:right w:val="single" w:color="000000" w:sz="4" w:space="0"/>
                  </w:tcBorders>
                  <w:noWrap w:val="0"/>
                  <w:vAlign w:val="center"/>
                </w:tcPr>
                <w:p w14:paraId="24D347D5">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pacing w:val="4"/>
                      <w:sz w:val="21"/>
                      <w:szCs w:val="21"/>
                    </w:rPr>
                  </w:pPr>
                  <w:r>
                    <w:rPr>
                      <w:rFonts w:hint="default" w:ascii="Times New Roman" w:hAnsi="Times New Roman" w:cs="Times New Roman"/>
                      <w:color w:val="000000" w:themeColor="text1"/>
                      <w:kern w:val="0"/>
                      <w:sz w:val="21"/>
                      <w:szCs w:val="21"/>
                    </w:rPr>
                    <w:t>连续等效A声级</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D19A959">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《工业企业厂界环境噪声排放标准》（GB12348-2008）</w:t>
                  </w:r>
                </w:p>
                <w:p w14:paraId="33C9D323">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lang w:val="en-US" w:eastAsia="zh-CN"/>
                    </w:rPr>
                    <w:t>3</w:t>
                  </w:r>
                  <w:r>
                    <w:rPr>
                      <w:rFonts w:hint="default" w:ascii="Times New Roman" w:hAnsi="Times New Roman" w:cs="Times New Roman"/>
                      <w:color w:val="000000" w:themeColor="text1"/>
                      <w:sz w:val="21"/>
                      <w:szCs w:val="21"/>
                    </w:rPr>
                    <w:t>类标准。</w:t>
                  </w:r>
                </w:p>
              </w:tc>
            </w:tr>
            <w:tr w14:paraId="45CFE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585" w:type="dxa"/>
                  <w:vMerge w:val="restart"/>
                  <w:tcBorders>
                    <w:top w:val="single" w:color="000000" w:sz="4" w:space="0"/>
                    <w:left w:val="single" w:color="000000" w:sz="4" w:space="0"/>
                    <w:right w:val="single" w:color="000000" w:sz="4" w:space="0"/>
                  </w:tcBorders>
                  <w:noWrap w:val="0"/>
                  <w:vAlign w:val="center"/>
                </w:tcPr>
                <w:p w14:paraId="6B7A8F6B">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固体废物</w:t>
                  </w:r>
                </w:p>
              </w:tc>
              <w:tc>
                <w:tcPr>
                  <w:tcW w:w="1010" w:type="dxa"/>
                  <w:gridSpan w:val="2"/>
                  <w:noWrap w:val="0"/>
                  <w:vAlign w:val="center"/>
                </w:tcPr>
                <w:p w14:paraId="6ECDA11C">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snapToGrid w:val="0"/>
                      <w:color w:val="000000" w:themeColor="text1"/>
                      <w:sz w:val="21"/>
                      <w:szCs w:val="21"/>
                    </w:rPr>
                  </w:pPr>
                  <w:r>
                    <w:rPr>
                      <w:rFonts w:hint="default" w:ascii="Times New Roman" w:hAnsi="Times New Roman" w:cs="Times New Roman"/>
                      <w:color w:val="000000" w:themeColor="text1"/>
                      <w:sz w:val="21"/>
                      <w:szCs w:val="21"/>
                    </w:rPr>
                    <w:t>生活垃圾桶</w:t>
                  </w:r>
                </w:p>
              </w:tc>
              <w:tc>
                <w:tcPr>
                  <w:tcW w:w="2345" w:type="dxa"/>
                  <w:noWrap w:val="0"/>
                  <w:vAlign w:val="center"/>
                </w:tcPr>
                <w:p w14:paraId="071B8225">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cs="Times New Roman"/>
                      <w:snapToGrid w:val="0"/>
                      <w:color w:val="000000" w:themeColor="text1"/>
                      <w:sz w:val="21"/>
                      <w:szCs w:val="21"/>
                    </w:rPr>
                  </w:pPr>
                  <w:r>
                    <w:rPr>
                      <w:rFonts w:hint="default" w:ascii="Times New Roman" w:hAnsi="Times New Roman" w:cs="Times New Roman"/>
                      <w:color w:val="000000" w:themeColor="text1"/>
                      <w:sz w:val="21"/>
                      <w:szCs w:val="21"/>
                    </w:rPr>
                    <w:t>若干只，分散设置于办公区和生产车间内，生活垃圾集中收集后委托环卫部门清运处置。</w:t>
                  </w:r>
                </w:p>
              </w:tc>
              <w:tc>
                <w:tcPr>
                  <w:tcW w:w="714" w:type="dxa"/>
                  <w:tcBorders>
                    <w:top w:val="single" w:color="000000" w:sz="4" w:space="0"/>
                    <w:left w:val="single" w:color="000000" w:sz="4" w:space="0"/>
                    <w:bottom w:val="single" w:color="000000" w:sz="4" w:space="0"/>
                    <w:right w:val="single" w:color="000000" w:sz="4" w:space="0"/>
                  </w:tcBorders>
                  <w:noWrap w:val="0"/>
                  <w:vAlign w:val="center"/>
                </w:tcPr>
                <w:p w14:paraId="6F35134F">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snapToGrid w:val="0"/>
                      <w:color w:val="000000" w:themeColor="text1"/>
                      <w:sz w:val="21"/>
                      <w:szCs w:val="21"/>
                    </w:rPr>
                  </w:pPr>
                  <w:r>
                    <w:rPr>
                      <w:rFonts w:hint="default" w:ascii="Times New Roman" w:hAnsi="Times New Roman" w:cs="Times New Roman"/>
                      <w:color w:val="000000" w:themeColor="text1"/>
                      <w:sz w:val="21"/>
                      <w:szCs w:val="21"/>
                    </w:rPr>
                    <w:t>—</w:t>
                  </w:r>
                </w:p>
              </w:tc>
              <w:tc>
                <w:tcPr>
                  <w:tcW w:w="972" w:type="dxa"/>
                  <w:tcBorders>
                    <w:top w:val="single" w:color="000000" w:sz="4" w:space="0"/>
                    <w:left w:val="single" w:color="000000" w:sz="4" w:space="0"/>
                    <w:bottom w:val="single" w:color="000000" w:sz="4" w:space="0"/>
                    <w:right w:val="single" w:color="000000" w:sz="4" w:space="0"/>
                  </w:tcBorders>
                  <w:noWrap w:val="0"/>
                  <w:vAlign w:val="center"/>
                </w:tcPr>
                <w:p w14:paraId="66C4CC3B">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bidi="ar"/>
                    </w:rPr>
                  </w:pPr>
                  <w:r>
                    <w:rPr>
                      <w:rFonts w:hint="default" w:ascii="Times New Roman" w:hAnsi="Times New Roman" w:cs="Times New Roman"/>
                      <w:color w:val="000000" w:themeColor="text1"/>
                      <w:sz w:val="21"/>
                      <w:szCs w:val="21"/>
                    </w:rPr>
                    <w:t>—</w:t>
                  </w:r>
                </w:p>
              </w:tc>
              <w:tc>
                <w:tcPr>
                  <w:tcW w:w="2400" w:type="dxa"/>
                  <w:vMerge w:val="restart"/>
                  <w:tcBorders>
                    <w:top w:val="single" w:color="000000" w:sz="4" w:space="0"/>
                    <w:left w:val="single" w:color="000000" w:sz="4" w:space="0"/>
                    <w:right w:val="single" w:color="000000" w:sz="4" w:space="0"/>
                  </w:tcBorders>
                  <w:noWrap w:val="0"/>
                  <w:vAlign w:val="center"/>
                </w:tcPr>
                <w:p w14:paraId="22A77396">
                  <w:pPr>
                    <w:keepNext w:val="0"/>
                    <w:keepLines w:val="0"/>
                    <w:pageBreakBefore w:val="0"/>
                    <w:suppressLineNumbers w:val="0"/>
                    <w:kinsoku/>
                    <w:wordWrap/>
                    <w:topLinePunct w:val="0"/>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cs="Times New Roman"/>
                      <w:color w:val="000000" w:themeColor="text1"/>
                      <w:sz w:val="21"/>
                      <w:szCs w:val="21"/>
                    </w:rPr>
                  </w:pPr>
                  <w:r>
                    <w:rPr>
                      <w:rFonts w:hint="default" w:ascii="Times New Roman" w:hAnsi="Times New Roman" w:cs="Times New Roman"/>
                      <w:snapToGrid w:val="0"/>
                      <w:color w:val="000000" w:themeColor="text1"/>
                      <w:sz w:val="21"/>
                      <w:szCs w:val="21"/>
                    </w:rPr>
                    <w:t>贮存场所管理和建设符合</w:t>
                  </w:r>
                  <w:r>
                    <w:rPr>
                      <w:rFonts w:hint="default" w:ascii="Times New Roman" w:hAnsi="Times New Roman" w:cs="Times New Roman"/>
                      <w:color w:val="000000" w:themeColor="text1"/>
                      <w:sz w:val="21"/>
                      <w:szCs w:val="21"/>
                    </w:rPr>
                    <w:t>《一般工业固体废物储存和填埋污染控制标准》（GB18599-2020）；固废100％安全妥善处置。</w:t>
                  </w:r>
                </w:p>
              </w:tc>
            </w:tr>
            <w:tr w14:paraId="1B943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585" w:type="dxa"/>
                  <w:vMerge w:val="continue"/>
                  <w:tcBorders>
                    <w:left w:val="single" w:color="000000" w:sz="4" w:space="0"/>
                    <w:right w:val="single" w:color="000000" w:sz="4" w:space="0"/>
                  </w:tcBorders>
                  <w:noWrap w:val="0"/>
                  <w:vAlign w:val="center"/>
                </w:tcPr>
                <w:p w14:paraId="7FFA0547">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left"/>
                    <w:textAlignment w:val="auto"/>
                    <w:rPr>
                      <w:rFonts w:hint="default" w:ascii="Times New Roman" w:hAnsi="Times New Roman" w:cs="Times New Roman"/>
                      <w:color w:val="000000" w:themeColor="text1"/>
                      <w:sz w:val="21"/>
                      <w:szCs w:val="21"/>
                    </w:rPr>
                  </w:pPr>
                </w:p>
              </w:tc>
              <w:tc>
                <w:tcPr>
                  <w:tcW w:w="1010" w:type="dxa"/>
                  <w:gridSpan w:val="2"/>
                  <w:noWrap w:val="0"/>
                  <w:vAlign w:val="center"/>
                </w:tcPr>
                <w:p w14:paraId="6EB6475C">
                  <w:pPr>
                    <w:keepNext w:val="0"/>
                    <w:keepLines w:val="0"/>
                    <w:pageBreakBefore w:val="0"/>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一般</w:t>
                  </w:r>
                </w:p>
                <w:p w14:paraId="6719F16D">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pacing w:val="6"/>
                      <w:sz w:val="21"/>
                      <w:szCs w:val="21"/>
                    </w:rPr>
                  </w:pPr>
                  <w:r>
                    <w:rPr>
                      <w:rFonts w:hint="default" w:ascii="Times New Roman" w:hAnsi="Times New Roman" w:cs="Times New Roman"/>
                      <w:color w:val="000000" w:themeColor="text1"/>
                      <w:sz w:val="21"/>
                      <w:szCs w:val="21"/>
                    </w:rPr>
                    <w:t>固废</w:t>
                  </w:r>
                </w:p>
              </w:tc>
              <w:tc>
                <w:tcPr>
                  <w:tcW w:w="2345" w:type="dxa"/>
                  <w:noWrap w:val="0"/>
                  <w:vAlign w:val="center"/>
                </w:tcPr>
                <w:p w14:paraId="1C34F790">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textAlignment w:val="auto"/>
                    <w:rPr>
                      <w:rFonts w:hint="eastAsia" w:ascii="Times New Roman" w:hAnsi="Times New Roman" w:eastAsia="宋体" w:cs="Times New Roman"/>
                      <w:snapToGrid w:val="0"/>
                      <w:color w:val="000000" w:themeColor="text1"/>
                      <w:sz w:val="21"/>
                      <w:szCs w:val="21"/>
                      <w:lang w:eastAsia="zh-CN"/>
                    </w:rPr>
                  </w:pPr>
                  <w:r>
                    <w:rPr>
                      <w:rFonts w:hint="eastAsia" w:ascii="Times New Roman" w:hAnsi="Times New Roman" w:cs="Times New Roman"/>
                      <w:snapToGrid w:val="0"/>
                      <w:color w:val="000000" w:themeColor="text1"/>
                      <w:sz w:val="21"/>
                      <w:szCs w:val="21"/>
                    </w:rPr>
                    <w:t>废包装袋</w:t>
                  </w:r>
                  <w:r>
                    <w:rPr>
                      <w:rFonts w:hint="eastAsia" w:cs="Times New Roman"/>
                      <w:snapToGrid w:val="0"/>
                      <w:color w:val="000000" w:themeColor="text1"/>
                      <w:sz w:val="21"/>
                      <w:szCs w:val="21"/>
                      <w:lang w:eastAsia="zh-CN"/>
                    </w:rPr>
                    <w:t>、</w:t>
                  </w:r>
                  <w:r>
                    <w:rPr>
                      <w:rFonts w:hint="eastAsia" w:cs="Times New Roman"/>
                      <w:snapToGrid w:val="0"/>
                      <w:color w:val="000000" w:themeColor="text1"/>
                      <w:sz w:val="21"/>
                      <w:szCs w:val="21"/>
                      <w:lang w:val="en-US" w:eastAsia="zh-CN"/>
                    </w:rPr>
                    <w:t>过滤废渣</w:t>
                  </w:r>
                  <w:r>
                    <w:rPr>
                      <w:rFonts w:hint="eastAsia" w:ascii="Times New Roman" w:hAnsi="Times New Roman" w:cs="Times New Roman"/>
                      <w:snapToGrid w:val="0"/>
                      <w:color w:val="000000" w:themeColor="text1"/>
                      <w:sz w:val="21"/>
                      <w:szCs w:val="21"/>
                      <w:lang w:eastAsia="zh-CN"/>
                    </w:rPr>
                    <w:t>：</w:t>
                  </w:r>
                  <w:r>
                    <w:rPr>
                      <w:rFonts w:hint="eastAsia" w:ascii="Times New Roman" w:hAnsi="Times New Roman" w:cs="Times New Roman"/>
                      <w:snapToGrid w:val="0"/>
                      <w:color w:val="000000" w:themeColor="text1"/>
                      <w:sz w:val="21"/>
                      <w:szCs w:val="21"/>
                    </w:rPr>
                    <w:t>外售相关回收单位处理</w:t>
                  </w:r>
                  <w:r>
                    <w:rPr>
                      <w:rFonts w:hint="eastAsia" w:ascii="Times New Roman" w:hAnsi="Times New Roman" w:cs="Times New Roman"/>
                      <w:snapToGrid w:val="0"/>
                      <w:color w:val="000000" w:themeColor="text1"/>
                      <w:sz w:val="21"/>
                      <w:szCs w:val="21"/>
                      <w:lang w:eastAsia="zh-CN"/>
                    </w:rPr>
                    <w:t>；</w:t>
                  </w:r>
                  <w:r>
                    <w:rPr>
                      <w:rFonts w:hint="eastAsia" w:ascii="Times New Roman" w:hAnsi="Times New Roman" w:cs="Times New Roman"/>
                      <w:snapToGrid w:val="0"/>
                      <w:color w:val="000000" w:themeColor="text1"/>
                      <w:sz w:val="21"/>
                      <w:szCs w:val="21"/>
                    </w:rPr>
                    <w:t>不合格品作为原料进行二次利用</w:t>
                  </w:r>
                  <w:r>
                    <w:rPr>
                      <w:rFonts w:hint="eastAsia" w:ascii="Times New Roman" w:hAnsi="Times New Roman" w:cs="Times New Roman"/>
                      <w:snapToGrid w:val="0"/>
                      <w:color w:val="000000" w:themeColor="text1"/>
                      <w:sz w:val="21"/>
                      <w:szCs w:val="21"/>
                      <w:lang w:eastAsia="zh-CN"/>
                    </w:rPr>
                    <w:t>；</w:t>
                  </w:r>
                  <w:r>
                    <w:rPr>
                      <w:rFonts w:hint="eastAsia" w:ascii="Times New Roman" w:hAnsi="Times New Roman" w:cs="Times New Roman"/>
                      <w:snapToGrid w:val="0"/>
                      <w:color w:val="000000" w:themeColor="text1"/>
                      <w:sz w:val="21"/>
                      <w:szCs w:val="21"/>
                    </w:rPr>
                    <w:t>除尘渣</w:t>
                  </w:r>
                  <w:r>
                    <w:rPr>
                      <w:rFonts w:hint="eastAsia" w:ascii="Times New Roman" w:hAnsi="Times New Roman" w:cs="Times New Roman"/>
                      <w:snapToGrid w:val="0"/>
                      <w:color w:val="000000" w:themeColor="text1"/>
                      <w:sz w:val="21"/>
                      <w:szCs w:val="21"/>
                      <w:lang w:val="en-US" w:eastAsia="zh-CN"/>
                    </w:rPr>
                    <w:t>和炉渣：</w:t>
                  </w:r>
                  <w:r>
                    <w:rPr>
                      <w:rFonts w:hint="eastAsia" w:ascii="Times New Roman" w:hAnsi="Times New Roman" w:cs="Times New Roman"/>
                      <w:snapToGrid w:val="0"/>
                      <w:color w:val="000000" w:themeColor="text1"/>
                      <w:sz w:val="21"/>
                      <w:szCs w:val="21"/>
                    </w:rPr>
                    <w:t>统一收集后，定期委托</w:t>
                  </w:r>
                  <w:r>
                    <w:rPr>
                      <w:rFonts w:hint="eastAsia" w:ascii="Times New Roman" w:hAnsi="Times New Roman" w:cs="Times New Roman"/>
                      <w:snapToGrid w:val="0"/>
                      <w:color w:val="000000" w:themeColor="text1"/>
                      <w:sz w:val="21"/>
                      <w:szCs w:val="21"/>
                      <w:lang w:val="en-US" w:eastAsia="zh-CN"/>
                    </w:rPr>
                    <w:t>周边农户清运用作农肥</w:t>
                  </w:r>
                  <w:r>
                    <w:rPr>
                      <w:rFonts w:hint="eastAsia" w:ascii="Times New Roman" w:hAnsi="Times New Roman" w:cs="Times New Roman"/>
                      <w:snapToGrid w:val="0"/>
                      <w:color w:val="000000" w:themeColor="text1"/>
                      <w:sz w:val="21"/>
                      <w:szCs w:val="21"/>
                    </w:rPr>
                    <w:t>，不外排</w:t>
                  </w:r>
                  <w:r>
                    <w:rPr>
                      <w:rFonts w:hint="eastAsia" w:ascii="Times New Roman" w:hAnsi="Times New Roman" w:cs="Times New Roman"/>
                      <w:snapToGrid w:val="0"/>
                      <w:color w:val="000000" w:themeColor="text1"/>
                      <w:sz w:val="21"/>
                      <w:szCs w:val="21"/>
                      <w:lang w:eastAsia="zh-CN"/>
                    </w:rPr>
                    <w:t>；</w:t>
                  </w:r>
                  <w:r>
                    <w:rPr>
                      <w:rFonts w:hint="eastAsia" w:ascii="Times New Roman" w:hAnsi="Times New Roman" w:cs="Times New Roman"/>
                      <w:snapToGrid w:val="0"/>
                      <w:color w:val="000000" w:themeColor="text1"/>
                      <w:sz w:val="21"/>
                      <w:szCs w:val="21"/>
                    </w:rPr>
                    <w:t>化粪池污泥</w:t>
                  </w:r>
                  <w:r>
                    <w:rPr>
                      <w:rFonts w:hint="eastAsia" w:ascii="Times New Roman" w:hAnsi="Times New Roman" w:cs="Times New Roman"/>
                      <w:snapToGrid w:val="0"/>
                      <w:color w:val="000000" w:themeColor="text1"/>
                      <w:sz w:val="21"/>
                      <w:szCs w:val="21"/>
                      <w:lang w:eastAsia="zh-CN"/>
                    </w:rPr>
                    <w:t>：</w:t>
                  </w:r>
                  <w:r>
                    <w:rPr>
                      <w:rFonts w:hint="eastAsia" w:ascii="Times New Roman" w:hAnsi="Times New Roman" w:cs="Times New Roman"/>
                      <w:color w:val="000000" w:themeColor="text1"/>
                      <w:kern w:val="0"/>
                      <w:sz w:val="21"/>
                      <w:szCs w:val="21"/>
                    </w:rPr>
                    <w:t>由周边农户定期清掏作为农肥使用</w:t>
                  </w:r>
                  <w:r>
                    <w:rPr>
                      <w:rFonts w:hint="eastAsia" w:ascii="Times New Roman" w:hAnsi="Times New Roman" w:cs="Times New Roman"/>
                      <w:snapToGrid w:val="0"/>
                      <w:color w:val="000000" w:themeColor="text1"/>
                      <w:sz w:val="21"/>
                      <w:szCs w:val="21"/>
                      <w:lang w:eastAsia="zh-CN"/>
                    </w:rPr>
                    <w:t>。</w:t>
                  </w:r>
                </w:p>
              </w:tc>
              <w:tc>
                <w:tcPr>
                  <w:tcW w:w="714" w:type="dxa"/>
                  <w:tcBorders>
                    <w:top w:val="single" w:color="000000" w:sz="4" w:space="0"/>
                    <w:left w:val="single" w:color="000000" w:sz="4" w:space="0"/>
                    <w:bottom w:val="single" w:color="000000" w:sz="4" w:space="0"/>
                    <w:right w:val="single" w:color="auto" w:sz="4" w:space="0"/>
                  </w:tcBorders>
                  <w:noWrap w:val="0"/>
                  <w:vAlign w:val="center"/>
                </w:tcPr>
                <w:p w14:paraId="0EDCD9D9">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snapToGrid w:val="0"/>
                      <w:color w:val="000000" w:themeColor="text1"/>
                      <w:sz w:val="21"/>
                      <w:szCs w:val="21"/>
                    </w:rPr>
                  </w:pPr>
                  <w:r>
                    <w:rPr>
                      <w:rFonts w:hint="default" w:ascii="Times New Roman" w:hAnsi="Times New Roman" w:cs="Times New Roman"/>
                      <w:color w:val="000000" w:themeColor="text1"/>
                      <w:sz w:val="21"/>
                      <w:szCs w:val="21"/>
                    </w:rPr>
                    <w:t>—</w:t>
                  </w:r>
                </w:p>
              </w:tc>
              <w:tc>
                <w:tcPr>
                  <w:tcW w:w="972" w:type="dxa"/>
                  <w:tcBorders>
                    <w:top w:val="single" w:color="000000" w:sz="4" w:space="0"/>
                    <w:left w:val="single" w:color="auto" w:sz="4" w:space="0"/>
                    <w:bottom w:val="single" w:color="000000" w:sz="4" w:space="0"/>
                    <w:right w:val="single" w:color="000000" w:sz="4" w:space="0"/>
                  </w:tcBorders>
                  <w:noWrap w:val="0"/>
                  <w:vAlign w:val="center"/>
                </w:tcPr>
                <w:p w14:paraId="34368944">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bidi="ar"/>
                    </w:rPr>
                  </w:pPr>
                  <w:r>
                    <w:rPr>
                      <w:rFonts w:hint="default" w:ascii="Times New Roman" w:hAnsi="Times New Roman" w:cs="Times New Roman"/>
                      <w:color w:val="000000" w:themeColor="text1"/>
                      <w:sz w:val="21"/>
                      <w:szCs w:val="21"/>
                    </w:rPr>
                    <w:t>—</w:t>
                  </w:r>
                </w:p>
              </w:tc>
              <w:tc>
                <w:tcPr>
                  <w:tcW w:w="2400" w:type="dxa"/>
                  <w:vMerge w:val="continue"/>
                  <w:tcBorders>
                    <w:left w:val="single" w:color="000000" w:sz="4" w:space="0"/>
                    <w:bottom w:val="single" w:color="000000" w:sz="4" w:space="0"/>
                    <w:right w:val="single" w:color="000000" w:sz="4" w:space="0"/>
                  </w:tcBorders>
                  <w:noWrap w:val="0"/>
                  <w:vAlign w:val="center"/>
                </w:tcPr>
                <w:p w14:paraId="3CB48711">
                  <w:pPr>
                    <w:keepNext w:val="0"/>
                    <w:keepLines w:val="0"/>
                    <w:pageBreakBefore w:val="0"/>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snapToGrid w:val="0"/>
                      <w:color w:val="000000" w:themeColor="text1"/>
                      <w:sz w:val="21"/>
                      <w:szCs w:val="21"/>
                    </w:rPr>
                  </w:pPr>
                </w:p>
              </w:tc>
            </w:tr>
            <w:tr w14:paraId="53B817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585" w:type="dxa"/>
                  <w:vMerge w:val="continue"/>
                  <w:tcBorders>
                    <w:left w:val="single" w:color="000000" w:sz="4" w:space="0"/>
                    <w:bottom w:val="single" w:color="000000" w:sz="4" w:space="0"/>
                    <w:right w:val="single" w:color="000000" w:sz="4" w:space="0"/>
                  </w:tcBorders>
                  <w:noWrap w:val="0"/>
                  <w:vAlign w:val="center"/>
                </w:tcPr>
                <w:p w14:paraId="033E69A9">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left"/>
                    <w:textAlignment w:val="auto"/>
                    <w:rPr>
                      <w:rFonts w:hint="default" w:ascii="Times New Roman" w:hAnsi="Times New Roman" w:cs="Times New Roman"/>
                      <w:color w:val="000000" w:themeColor="text1"/>
                      <w:sz w:val="21"/>
                      <w:szCs w:val="21"/>
                    </w:rPr>
                  </w:pPr>
                </w:p>
              </w:tc>
              <w:tc>
                <w:tcPr>
                  <w:tcW w:w="1010" w:type="dxa"/>
                  <w:gridSpan w:val="2"/>
                  <w:noWrap w:val="0"/>
                  <w:vAlign w:val="center"/>
                </w:tcPr>
                <w:p w14:paraId="5F24AEA1">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pacing w:val="6"/>
                      <w:sz w:val="21"/>
                      <w:szCs w:val="21"/>
                    </w:rPr>
                  </w:pPr>
                  <w:r>
                    <w:rPr>
                      <w:rFonts w:hint="default" w:ascii="Times New Roman" w:hAnsi="Times New Roman" w:cs="Times New Roman"/>
                      <w:color w:val="000000" w:themeColor="text1"/>
                      <w:sz w:val="21"/>
                      <w:szCs w:val="21"/>
                    </w:rPr>
                    <w:t>危废暂存间</w:t>
                  </w:r>
                </w:p>
              </w:tc>
              <w:tc>
                <w:tcPr>
                  <w:tcW w:w="2345" w:type="dxa"/>
                  <w:noWrap w:val="0"/>
                  <w:vAlign w:val="center"/>
                </w:tcPr>
                <w:p w14:paraId="1B6DD7BC">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cs="Times New Roman"/>
                      <w:snapToGrid w:val="0"/>
                      <w:color w:val="000000" w:themeColor="text1"/>
                      <w:sz w:val="21"/>
                      <w:szCs w:val="21"/>
                    </w:rPr>
                  </w:pPr>
                  <w:r>
                    <w:rPr>
                      <w:rFonts w:hint="eastAsia" w:ascii="Times New Roman" w:hAnsi="Times New Roman" w:cs="Times New Roman"/>
                      <w:color w:val="000000" w:themeColor="text1"/>
                      <w:sz w:val="21"/>
                      <w:szCs w:val="21"/>
                    </w:rPr>
                    <w:t>废</w:t>
                  </w:r>
                  <w:r>
                    <w:rPr>
                      <w:rFonts w:hint="eastAsia" w:ascii="Times New Roman" w:hAnsi="Times New Roman" w:cs="Times New Roman"/>
                      <w:color w:val="000000" w:themeColor="text1"/>
                      <w:sz w:val="21"/>
                      <w:szCs w:val="21"/>
                      <w:lang w:val="en-US" w:eastAsia="zh-CN"/>
                    </w:rPr>
                    <w:t>机</w:t>
                  </w:r>
                  <w:r>
                    <w:rPr>
                      <w:rFonts w:hint="eastAsia" w:ascii="Times New Roman" w:hAnsi="Times New Roman" w:cs="Times New Roman"/>
                      <w:color w:val="000000" w:themeColor="text1"/>
                      <w:sz w:val="21"/>
                      <w:szCs w:val="21"/>
                    </w:rPr>
                    <w:t>油暂存于危废暂存间，委托有资质单位定期处置。危废暂存间</w:t>
                  </w:r>
                  <w:r>
                    <w:rPr>
                      <w:rFonts w:hint="default" w:ascii="Times New Roman" w:hAnsi="Times New Roman" w:cs="Times New Roman"/>
                      <w:color w:val="000000" w:themeColor="text1"/>
                      <w:sz w:val="21"/>
                      <w:szCs w:val="21"/>
                    </w:rPr>
                    <w:t>建筑面积约5m</w:t>
                  </w:r>
                  <w:r>
                    <w:rPr>
                      <w:rFonts w:hint="default" w:ascii="Times New Roman" w:hAnsi="Times New Roman" w:cs="Times New Roman"/>
                      <w:color w:val="000000" w:themeColor="text1"/>
                      <w:sz w:val="21"/>
                      <w:szCs w:val="21"/>
                      <w:vertAlign w:val="superscript"/>
                    </w:rPr>
                    <w:t>2</w:t>
                  </w:r>
                  <w:r>
                    <w:rPr>
                      <w:rFonts w:hint="default" w:ascii="Times New Roman" w:hAnsi="Times New Roman" w:cs="Times New Roman"/>
                      <w:color w:val="000000" w:themeColor="text1"/>
                      <w:sz w:val="21"/>
                      <w:szCs w:val="21"/>
                    </w:rPr>
                    <w:t>，按照《危险废物贮存污染控制标准》（GB18597-2023）建设。</w:t>
                  </w:r>
                </w:p>
              </w:tc>
              <w:tc>
                <w:tcPr>
                  <w:tcW w:w="714" w:type="dxa"/>
                  <w:tcBorders>
                    <w:top w:val="single" w:color="000000" w:sz="4" w:space="0"/>
                    <w:left w:val="single" w:color="000000" w:sz="4" w:space="0"/>
                    <w:bottom w:val="single" w:color="000000" w:sz="4" w:space="0"/>
                    <w:right w:val="single" w:color="000000" w:sz="4" w:space="0"/>
                  </w:tcBorders>
                  <w:noWrap w:val="0"/>
                  <w:vAlign w:val="center"/>
                </w:tcPr>
                <w:p w14:paraId="2B65109A">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w:t>
                  </w:r>
                </w:p>
              </w:tc>
              <w:tc>
                <w:tcPr>
                  <w:tcW w:w="972" w:type="dxa"/>
                  <w:tcBorders>
                    <w:top w:val="single" w:color="000000" w:sz="4" w:space="0"/>
                    <w:left w:val="single" w:color="000000" w:sz="4" w:space="0"/>
                    <w:bottom w:val="single" w:color="000000" w:sz="4" w:space="0"/>
                    <w:right w:val="single" w:color="000000" w:sz="4" w:space="0"/>
                  </w:tcBorders>
                  <w:noWrap w:val="0"/>
                  <w:vAlign w:val="center"/>
                </w:tcPr>
                <w:p w14:paraId="10F95047">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987F153">
                  <w:pPr>
                    <w:keepNext w:val="0"/>
                    <w:keepLines w:val="0"/>
                    <w:pageBreakBefore w:val="0"/>
                    <w:suppressLineNumbers w:val="0"/>
                    <w:kinsoku/>
                    <w:wordWrap/>
                    <w:topLinePunct w:val="0"/>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cs="Times New Roman"/>
                      <w:snapToGrid w:val="0"/>
                      <w:color w:val="000000" w:themeColor="text1"/>
                      <w:sz w:val="21"/>
                      <w:szCs w:val="21"/>
                    </w:rPr>
                  </w:pPr>
                  <w:r>
                    <w:rPr>
                      <w:rFonts w:hint="default" w:ascii="Times New Roman" w:hAnsi="Times New Roman" w:cs="Times New Roman"/>
                      <w:snapToGrid w:val="0"/>
                      <w:color w:val="000000" w:themeColor="text1"/>
                      <w:sz w:val="21"/>
                      <w:szCs w:val="21"/>
                    </w:rPr>
                    <w:t>贮存场所建设和管理符合</w:t>
                  </w:r>
                  <w:r>
                    <w:rPr>
                      <w:rFonts w:hint="default" w:ascii="Times New Roman" w:hAnsi="Times New Roman" w:cs="Times New Roman"/>
                      <w:color w:val="000000" w:themeColor="text1"/>
                      <w:sz w:val="21"/>
                      <w:szCs w:val="21"/>
                    </w:rPr>
                    <w:t>《危险废物贮存污染控制标准》（GB18597-2023）；固废100％安全妥善处置。</w:t>
                  </w:r>
                </w:p>
              </w:tc>
            </w:tr>
            <w:tr w14:paraId="58CC5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1595" w:type="dxa"/>
                  <w:gridSpan w:val="3"/>
                  <w:tcBorders>
                    <w:top w:val="single" w:color="000000" w:sz="4" w:space="0"/>
                    <w:left w:val="single" w:color="000000" w:sz="4" w:space="0"/>
                    <w:bottom w:val="single" w:color="000000" w:sz="4" w:space="0"/>
                    <w:right w:val="single" w:color="000000" w:sz="4" w:space="0"/>
                  </w:tcBorders>
                  <w:noWrap w:val="0"/>
                  <w:vAlign w:val="center"/>
                </w:tcPr>
                <w:p w14:paraId="0535D0F7">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pacing w:val="6"/>
                      <w:sz w:val="21"/>
                      <w:szCs w:val="21"/>
                    </w:rPr>
                  </w:pPr>
                  <w:r>
                    <w:rPr>
                      <w:rFonts w:hint="default" w:ascii="Times New Roman" w:hAnsi="Times New Roman" w:cs="Times New Roman"/>
                      <w:color w:val="000000" w:themeColor="text1"/>
                      <w:spacing w:val="-8"/>
                      <w:sz w:val="21"/>
                      <w:szCs w:val="21"/>
                    </w:rPr>
                    <w:t>环境风险</w:t>
                  </w:r>
                </w:p>
              </w:tc>
              <w:tc>
                <w:tcPr>
                  <w:tcW w:w="2345" w:type="dxa"/>
                  <w:tcBorders>
                    <w:top w:val="single" w:color="000000" w:sz="4" w:space="0"/>
                    <w:left w:val="single" w:color="000000" w:sz="4" w:space="0"/>
                    <w:bottom w:val="single" w:color="000000" w:sz="4" w:space="0"/>
                    <w:right w:val="single" w:color="auto" w:sz="4" w:space="0"/>
                  </w:tcBorders>
                  <w:noWrap w:val="0"/>
                  <w:vAlign w:val="center"/>
                </w:tcPr>
                <w:p w14:paraId="49452442">
                  <w:pPr>
                    <w:keepNext w:val="0"/>
                    <w:keepLines w:val="0"/>
                    <w:pageBreakBefore w:val="0"/>
                    <w:suppressLineNumbers w:val="0"/>
                    <w:kinsoku/>
                    <w:wordWrap/>
                    <w:topLinePunct w:val="0"/>
                    <w:autoSpaceDE w:val="0"/>
                    <w:autoSpaceDN w:val="0"/>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配备</w:t>
                  </w:r>
                  <w:r>
                    <w:rPr>
                      <w:rFonts w:hint="eastAsia" w:ascii="Times New Roman" w:hAnsi="Times New Roman" w:cs="Times New Roman"/>
                      <w:color w:val="000000" w:themeColor="text1"/>
                      <w:kern w:val="0"/>
                      <w:sz w:val="21"/>
                      <w:szCs w:val="21"/>
                    </w:rPr>
                    <w:t>事故池等风险预防设施，配置相关风险事故应急物资</w:t>
                  </w:r>
                  <w:r>
                    <w:rPr>
                      <w:rFonts w:hint="default" w:ascii="Times New Roman" w:hAnsi="Times New Roman" w:cs="Times New Roman"/>
                      <w:color w:val="000000" w:themeColor="text1"/>
                      <w:kern w:val="0"/>
                      <w:sz w:val="21"/>
                      <w:szCs w:val="21"/>
                    </w:rPr>
                    <w:t>。</w:t>
                  </w:r>
                </w:p>
              </w:tc>
              <w:tc>
                <w:tcPr>
                  <w:tcW w:w="714" w:type="dxa"/>
                  <w:tcBorders>
                    <w:top w:val="single" w:color="000000" w:sz="4" w:space="0"/>
                    <w:left w:val="single" w:color="auto" w:sz="4" w:space="0"/>
                    <w:bottom w:val="single" w:color="000000" w:sz="4" w:space="0"/>
                    <w:right w:val="single" w:color="auto" w:sz="4" w:space="0"/>
                  </w:tcBorders>
                  <w:noWrap w:val="0"/>
                  <w:vAlign w:val="center"/>
                </w:tcPr>
                <w:p w14:paraId="7FC25825">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w:t>
                  </w:r>
                </w:p>
              </w:tc>
              <w:tc>
                <w:tcPr>
                  <w:tcW w:w="972" w:type="dxa"/>
                  <w:tcBorders>
                    <w:top w:val="single" w:color="000000" w:sz="4" w:space="0"/>
                    <w:left w:val="single" w:color="auto" w:sz="4" w:space="0"/>
                    <w:bottom w:val="single" w:color="000000" w:sz="4" w:space="0"/>
                    <w:right w:val="single" w:color="auto" w:sz="4" w:space="0"/>
                  </w:tcBorders>
                  <w:noWrap w:val="0"/>
                  <w:vAlign w:val="center"/>
                </w:tcPr>
                <w:p w14:paraId="2B68C2EF">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w:t>
                  </w:r>
                </w:p>
              </w:tc>
              <w:tc>
                <w:tcPr>
                  <w:tcW w:w="2400" w:type="dxa"/>
                  <w:tcBorders>
                    <w:top w:val="single" w:color="000000" w:sz="4" w:space="0"/>
                    <w:left w:val="single" w:color="auto" w:sz="4" w:space="0"/>
                    <w:bottom w:val="single" w:color="000000" w:sz="4" w:space="0"/>
                    <w:right w:val="single" w:color="000000" w:sz="4" w:space="0"/>
                  </w:tcBorders>
                  <w:noWrap w:val="0"/>
                  <w:vAlign w:val="center"/>
                </w:tcPr>
                <w:p w14:paraId="2131C859">
                  <w:pPr>
                    <w:keepNext w:val="0"/>
                    <w:keepLines w:val="0"/>
                    <w:pageBreakBefore w:val="0"/>
                    <w:widowControl/>
                    <w:suppressLineNumbers w:val="0"/>
                    <w:kinsoku/>
                    <w:wordWrap/>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制定突发环境风险应急预案，并上报当地环保部门备案。</w:t>
                  </w:r>
                </w:p>
              </w:tc>
            </w:tr>
          </w:tbl>
          <w:p w14:paraId="2699D126">
            <w:pPr>
              <w:pStyle w:val="4"/>
              <w:keepNext w:val="0"/>
              <w:keepLines w:val="0"/>
              <w:suppressLineNumbers w:val="0"/>
              <w:adjustRightInd w:val="0"/>
              <w:snapToGrid w:val="0"/>
              <w:spacing w:before="0" w:beforeAutospacing="0" w:after="0" w:afterAutospacing="0"/>
              <w:ind w:left="0" w:right="0" w:firstLine="0" w:firstLineChars="0"/>
              <w:rPr>
                <w:rFonts w:hint="eastAsia" w:cs="Times New Roman"/>
                <w:color w:val="000000" w:themeColor="text1"/>
                <w:sz w:val="21"/>
                <w:szCs w:val="21"/>
              </w:rPr>
            </w:pPr>
          </w:p>
        </w:tc>
      </w:tr>
    </w:tbl>
    <w:p w14:paraId="01B11FE1">
      <w:pPr>
        <w:pStyle w:val="2"/>
        <w:rPr>
          <w:rFonts w:hint="eastAsia"/>
          <w:color w:val="000000" w:themeColor="text1"/>
        </w:rPr>
        <w:sectPr>
          <w:pgSz w:w="11906" w:h="16838"/>
          <w:pgMar w:top="1440" w:right="1701" w:bottom="1440" w:left="1701" w:header="851" w:footer="992" w:gutter="0"/>
          <w:pgBorders>
            <w:top w:val="none" w:sz="0" w:space="0"/>
            <w:left w:val="none" w:sz="0" w:space="0"/>
            <w:bottom w:val="none" w:sz="0" w:space="0"/>
            <w:right w:val="none" w:sz="0" w:space="0"/>
          </w:pgBorders>
          <w:cols w:space="720" w:num="1"/>
          <w:docGrid w:type="lines" w:linePitch="312" w:charSpace="0"/>
        </w:sectPr>
      </w:pPr>
    </w:p>
    <w:p w14:paraId="47999C21">
      <w:pPr>
        <w:pStyle w:val="2"/>
        <w:rPr>
          <w:rFonts w:hint="eastAsia"/>
          <w:color w:val="000000" w:themeColor="text1"/>
        </w:rPr>
      </w:pPr>
      <w:bookmarkStart w:id="23" w:name="_Toc14275"/>
      <w:bookmarkStart w:id="24" w:name="_Toc25920"/>
      <w:r>
        <w:rPr>
          <w:rFonts w:hint="eastAsia"/>
          <w:color w:val="000000" w:themeColor="text1"/>
        </w:rPr>
        <w:t>五</w:t>
      </w:r>
      <w:r>
        <w:rPr>
          <w:color w:val="000000" w:themeColor="text1"/>
        </w:rPr>
        <w:t>、</w:t>
      </w:r>
      <w:r>
        <w:rPr>
          <w:rFonts w:hint="eastAsia"/>
          <w:color w:val="000000" w:themeColor="text1"/>
        </w:rPr>
        <w:t>环境保护措施监督检查清单</w:t>
      </w:r>
      <w:bookmarkEnd w:id="23"/>
      <w:bookmarkEnd w:id="24"/>
    </w:p>
    <w:tbl>
      <w:tblPr>
        <w:tblStyle w:val="43"/>
        <w:tblW w:w="89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851"/>
        <w:gridCol w:w="283"/>
        <w:gridCol w:w="567"/>
        <w:gridCol w:w="142"/>
        <w:gridCol w:w="1134"/>
        <w:gridCol w:w="2268"/>
        <w:gridCol w:w="2410"/>
      </w:tblGrid>
      <w:tr w14:paraId="11352F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4" w:type="dxa"/>
            <w:tcBorders>
              <w:tl2br w:val="single" w:color="auto" w:sz="4" w:space="0"/>
            </w:tcBorders>
            <w:noWrap w:val="0"/>
            <w:vAlign w:val="center"/>
          </w:tcPr>
          <w:p w14:paraId="46D63DC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内容</w:t>
            </w:r>
          </w:p>
          <w:p w14:paraId="69732F7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要素</w:t>
            </w:r>
          </w:p>
        </w:tc>
        <w:tc>
          <w:tcPr>
            <w:tcW w:w="1701" w:type="dxa"/>
            <w:gridSpan w:val="3"/>
            <w:noWrap w:val="0"/>
            <w:vAlign w:val="center"/>
          </w:tcPr>
          <w:p w14:paraId="3377581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排放口(编号、</w:t>
            </w:r>
          </w:p>
          <w:p w14:paraId="2977D6D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名称)/污染源</w:t>
            </w:r>
          </w:p>
        </w:tc>
        <w:tc>
          <w:tcPr>
            <w:tcW w:w="1276" w:type="dxa"/>
            <w:gridSpan w:val="2"/>
            <w:noWrap w:val="0"/>
            <w:vAlign w:val="center"/>
          </w:tcPr>
          <w:p w14:paraId="11D85D6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污染物项目</w:t>
            </w:r>
          </w:p>
        </w:tc>
        <w:tc>
          <w:tcPr>
            <w:tcW w:w="2268" w:type="dxa"/>
            <w:noWrap w:val="0"/>
            <w:vAlign w:val="center"/>
          </w:tcPr>
          <w:p w14:paraId="3A3CB5B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环境保护措施</w:t>
            </w:r>
          </w:p>
        </w:tc>
        <w:tc>
          <w:tcPr>
            <w:tcW w:w="2410" w:type="dxa"/>
            <w:noWrap w:val="0"/>
            <w:vAlign w:val="center"/>
          </w:tcPr>
          <w:p w14:paraId="7F2AFE3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执行标准</w:t>
            </w:r>
          </w:p>
        </w:tc>
      </w:tr>
      <w:tr w14:paraId="450D0B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4" w:type="dxa"/>
            <w:vMerge w:val="restart"/>
            <w:noWrap w:val="0"/>
            <w:vAlign w:val="center"/>
          </w:tcPr>
          <w:p w14:paraId="4A6CC5C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大气环境</w:t>
            </w:r>
          </w:p>
        </w:tc>
        <w:tc>
          <w:tcPr>
            <w:tcW w:w="1701" w:type="dxa"/>
            <w:gridSpan w:val="3"/>
            <w:noWrap w:val="0"/>
            <w:vAlign w:val="center"/>
          </w:tcPr>
          <w:p w14:paraId="2A5D511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DA001</w:t>
            </w:r>
          </w:p>
        </w:tc>
        <w:tc>
          <w:tcPr>
            <w:tcW w:w="1276" w:type="dxa"/>
            <w:gridSpan w:val="2"/>
            <w:noWrap w:val="0"/>
            <w:vAlign w:val="center"/>
          </w:tcPr>
          <w:p w14:paraId="1AB3F9A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rPr>
              <w:t>颗粒物</w:t>
            </w:r>
            <w:r>
              <w:rPr>
                <w:rFonts w:hint="eastAsia" w:cs="Times New Roman"/>
                <w:color w:val="000000" w:themeColor="text1"/>
                <w:sz w:val="21"/>
                <w:szCs w:val="21"/>
                <w:lang w:eastAsia="zh-CN"/>
              </w:rPr>
              <w:t>、</w:t>
            </w:r>
            <w:r>
              <w:rPr>
                <w:rFonts w:hint="eastAsia" w:cs="Times New Roman"/>
                <w:color w:val="000000" w:themeColor="text1"/>
                <w:sz w:val="21"/>
                <w:szCs w:val="21"/>
                <w:lang w:val="en-US" w:eastAsia="zh-CN"/>
              </w:rPr>
              <w:t>二氧化硫、氮氧化物</w:t>
            </w:r>
          </w:p>
        </w:tc>
        <w:tc>
          <w:tcPr>
            <w:tcW w:w="2268" w:type="dxa"/>
            <w:noWrap w:val="0"/>
            <w:vAlign w:val="center"/>
          </w:tcPr>
          <w:p w14:paraId="237BDF7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lang w:val="en-US" w:eastAsia="zh-CN"/>
              </w:rPr>
              <w:t>收集后通过</w:t>
            </w:r>
            <w:r>
              <w:rPr>
                <w:rFonts w:hint="eastAsia" w:ascii="Times New Roman" w:hAnsi="Times New Roman" w:cs="Times New Roman"/>
                <w:color w:val="00B050"/>
                <w:sz w:val="21"/>
                <w:szCs w:val="21"/>
                <w:lang w:val="en-US" w:eastAsia="zh-CN"/>
              </w:rPr>
              <w:t>“重力沉降+布袋除尘+水膜除尘设施”（TA001）</w:t>
            </w:r>
            <w:r>
              <w:rPr>
                <w:rFonts w:hint="eastAsia" w:ascii="Times New Roman" w:hAnsi="Times New Roman" w:cs="Times New Roman"/>
                <w:color w:val="000000" w:themeColor="text1"/>
                <w:sz w:val="21"/>
                <w:szCs w:val="21"/>
                <w:lang w:val="en-US" w:eastAsia="zh-CN"/>
              </w:rPr>
              <w:t>处理后通过</w:t>
            </w:r>
            <w:r>
              <w:rPr>
                <w:rFonts w:hint="eastAsia" w:cs="Times New Roman"/>
                <w:color w:val="000000" w:themeColor="text1"/>
                <w:sz w:val="21"/>
                <w:szCs w:val="21"/>
                <w:lang w:val="en-US" w:eastAsia="zh-CN"/>
              </w:rPr>
              <w:t>20</w:t>
            </w:r>
            <w:r>
              <w:rPr>
                <w:rFonts w:hint="eastAsia" w:ascii="Times New Roman" w:hAnsi="Times New Roman" w:cs="Times New Roman"/>
                <w:color w:val="000000" w:themeColor="text1"/>
                <w:sz w:val="21"/>
                <w:szCs w:val="21"/>
                <w:lang w:val="en-US" w:eastAsia="zh-CN"/>
              </w:rPr>
              <w:t>m排气筒排放</w:t>
            </w:r>
            <w:r>
              <w:rPr>
                <w:rFonts w:hint="default" w:ascii="Times New Roman" w:hAnsi="Times New Roman" w:cs="Times New Roman"/>
                <w:color w:val="000000" w:themeColor="text1"/>
                <w:sz w:val="21"/>
                <w:szCs w:val="21"/>
              </w:rPr>
              <w:t>。</w:t>
            </w:r>
          </w:p>
        </w:tc>
        <w:tc>
          <w:tcPr>
            <w:tcW w:w="2410" w:type="dxa"/>
            <w:noWrap w:val="0"/>
            <w:vAlign w:val="center"/>
          </w:tcPr>
          <w:p w14:paraId="3CD2D4D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烟尘（颗粒物）、黑度污染物执行《工业炉窑大气污染物排放标准》（GB</w:t>
            </w:r>
            <w:r>
              <w:rPr>
                <w:rFonts w:hint="eastAsia" w:ascii="Times New Roman" w:hAnsi="Times New Roman" w:cs="Times New Roman"/>
                <w:color w:val="000000" w:themeColor="text1"/>
                <w:sz w:val="21"/>
                <w:szCs w:val="21"/>
                <w:lang w:val="en-US" w:eastAsia="zh-CN"/>
              </w:rPr>
              <w:t xml:space="preserve"> </w:t>
            </w:r>
            <w:r>
              <w:rPr>
                <w:rFonts w:hint="eastAsia" w:ascii="Times New Roman" w:hAnsi="Times New Roman" w:cs="Times New Roman"/>
                <w:color w:val="000000" w:themeColor="text1"/>
                <w:sz w:val="21"/>
                <w:szCs w:val="21"/>
              </w:rPr>
              <w:t>9078-1996），NO</w:t>
            </w:r>
            <w:r>
              <w:rPr>
                <w:rFonts w:hint="eastAsia" w:ascii="Times New Roman" w:hAnsi="Times New Roman" w:cs="Times New Roman"/>
                <w:color w:val="000000" w:themeColor="text1"/>
                <w:sz w:val="21"/>
                <w:szCs w:val="21"/>
                <w:vertAlign w:val="subscript"/>
              </w:rPr>
              <w:t>X</w:t>
            </w:r>
            <w:r>
              <w:rPr>
                <w:rFonts w:hint="eastAsia" w:ascii="Times New Roman" w:hAnsi="Times New Roman" w:cs="Times New Roman"/>
                <w:color w:val="000000" w:themeColor="text1"/>
                <w:sz w:val="21"/>
                <w:szCs w:val="21"/>
              </w:rPr>
              <w:t>、SO</w:t>
            </w:r>
            <w:r>
              <w:rPr>
                <w:rFonts w:hint="eastAsia" w:ascii="Times New Roman" w:hAnsi="Times New Roman" w:cs="Times New Roman"/>
                <w:color w:val="000000" w:themeColor="text1"/>
                <w:sz w:val="21"/>
                <w:szCs w:val="21"/>
                <w:vertAlign w:val="subscript"/>
              </w:rPr>
              <w:t>2</w:t>
            </w:r>
            <w:r>
              <w:rPr>
                <w:rFonts w:hint="eastAsia" w:ascii="Times New Roman" w:hAnsi="Times New Roman" w:cs="Times New Roman"/>
                <w:color w:val="000000" w:themeColor="text1"/>
                <w:sz w:val="21"/>
                <w:szCs w:val="21"/>
              </w:rPr>
              <w:t>执行《大气污染物综合排放标准》（GB</w:t>
            </w:r>
            <w:r>
              <w:rPr>
                <w:rFonts w:hint="eastAsia" w:ascii="Times New Roman" w:hAnsi="Times New Roman" w:cs="Times New Roman"/>
                <w:color w:val="000000" w:themeColor="text1"/>
                <w:sz w:val="21"/>
                <w:szCs w:val="21"/>
                <w:lang w:val="en-US" w:eastAsia="zh-CN"/>
              </w:rPr>
              <w:t xml:space="preserve"> </w:t>
            </w:r>
            <w:r>
              <w:rPr>
                <w:rFonts w:hint="eastAsia" w:ascii="Times New Roman" w:hAnsi="Times New Roman" w:cs="Times New Roman"/>
                <w:color w:val="000000" w:themeColor="text1"/>
                <w:sz w:val="21"/>
                <w:szCs w:val="21"/>
              </w:rPr>
              <w:t>16297-1996）中表2二级标准排放限值。</w:t>
            </w:r>
          </w:p>
        </w:tc>
      </w:tr>
      <w:tr w14:paraId="3919BA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4" w:type="dxa"/>
            <w:vMerge w:val="continue"/>
            <w:noWrap w:val="0"/>
            <w:vAlign w:val="center"/>
          </w:tcPr>
          <w:p w14:paraId="7D5DA0A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p>
        </w:tc>
        <w:tc>
          <w:tcPr>
            <w:tcW w:w="1701" w:type="dxa"/>
            <w:gridSpan w:val="3"/>
            <w:noWrap w:val="0"/>
            <w:vAlign w:val="center"/>
          </w:tcPr>
          <w:p w14:paraId="1E5B305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无组织废气</w:t>
            </w:r>
          </w:p>
        </w:tc>
        <w:tc>
          <w:tcPr>
            <w:tcW w:w="1276" w:type="dxa"/>
            <w:gridSpan w:val="2"/>
            <w:noWrap w:val="0"/>
            <w:vAlign w:val="center"/>
          </w:tcPr>
          <w:p w14:paraId="505D5E4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颗粒物</w:t>
            </w:r>
          </w:p>
        </w:tc>
        <w:tc>
          <w:tcPr>
            <w:tcW w:w="2268" w:type="dxa"/>
            <w:noWrap w:val="0"/>
            <w:vAlign w:val="center"/>
          </w:tcPr>
          <w:p w14:paraId="3C88623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定期清扫厂房、厂房封闭</w:t>
            </w:r>
          </w:p>
        </w:tc>
        <w:tc>
          <w:tcPr>
            <w:tcW w:w="2410" w:type="dxa"/>
            <w:noWrap w:val="0"/>
            <w:vAlign w:val="center"/>
          </w:tcPr>
          <w:p w14:paraId="406A759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《大气污染物综合排放标准》（GB</w:t>
            </w:r>
            <w:r>
              <w:rPr>
                <w:rFonts w:hint="eastAsia" w:ascii="Times New Roman" w:hAnsi="Times New Roman" w:cs="Times New Roman"/>
                <w:color w:val="000000" w:themeColor="text1"/>
                <w:sz w:val="21"/>
                <w:szCs w:val="21"/>
                <w:lang w:val="en-US" w:eastAsia="zh-CN"/>
              </w:rPr>
              <w:t xml:space="preserve"> </w:t>
            </w:r>
            <w:r>
              <w:rPr>
                <w:rFonts w:hint="default" w:ascii="Times New Roman" w:hAnsi="Times New Roman" w:cs="Times New Roman"/>
                <w:color w:val="000000" w:themeColor="text1"/>
                <w:sz w:val="21"/>
                <w:szCs w:val="21"/>
              </w:rPr>
              <w:t>16297-1996）表2无组织排放限值。</w:t>
            </w:r>
          </w:p>
        </w:tc>
      </w:tr>
      <w:tr w14:paraId="738D4C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4" w:type="dxa"/>
            <w:vMerge w:val="restart"/>
            <w:noWrap w:val="0"/>
            <w:vAlign w:val="center"/>
          </w:tcPr>
          <w:p w14:paraId="67A6B93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地表水环境</w:t>
            </w:r>
          </w:p>
        </w:tc>
        <w:tc>
          <w:tcPr>
            <w:tcW w:w="1701" w:type="dxa"/>
            <w:gridSpan w:val="3"/>
            <w:noWrap w:val="0"/>
            <w:vAlign w:val="center"/>
          </w:tcPr>
          <w:p w14:paraId="295E345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生活污水</w:t>
            </w:r>
          </w:p>
        </w:tc>
        <w:tc>
          <w:tcPr>
            <w:tcW w:w="1276" w:type="dxa"/>
            <w:gridSpan w:val="2"/>
            <w:noWrap w:val="0"/>
            <w:vAlign w:val="center"/>
          </w:tcPr>
          <w:p w14:paraId="7D22751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COD、BOD</w:t>
            </w:r>
            <w:r>
              <w:rPr>
                <w:rFonts w:hint="default" w:ascii="Times New Roman" w:hAnsi="Times New Roman" w:cs="Times New Roman"/>
                <w:color w:val="000000" w:themeColor="text1"/>
                <w:sz w:val="21"/>
                <w:szCs w:val="21"/>
                <w:vertAlign w:val="subscript"/>
              </w:rPr>
              <w:t>5</w:t>
            </w:r>
            <w:r>
              <w:rPr>
                <w:rFonts w:hint="eastAsia" w:cs="Times New Roman"/>
                <w:color w:val="000000" w:themeColor="text1"/>
                <w:sz w:val="21"/>
                <w:szCs w:val="21"/>
                <w:lang w:eastAsia="zh-CN"/>
              </w:rPr>
              <w:t>、</w:t>
            </w:r>
            <w:r>
              <w:rPr>
                <w:rFonts w:hint="default" w:ascii="Times New Roman" w:hAnsi="Times New Roman" w:cs="Times New Roman"/>
                <w:color w:val="000000" w:themeColor="text1"/>
                <w:sz w:val="21"/>
                <w:szCs w:val="21"/>
              </w:rPr>
              <w:t>SS、NH</w:t>
            </w:r>
            <w:r>
              <w:rPr>
                <w:rFonts w:hint="default" w:ascii="Times New Roman" w:hAnsi="Times New Roman" w:cs="Times New Roman"/>
                <w:color w:val="000000" w:themeColor="text1"/>
                <w:sz w:val="21"/>
                <w:szCs w:val="21"/>
                <w:vertAlign w:val="subscript"/>
              </w:rPr>
              <w:t>3</w:t>
            </w:r>
            <w:r>
              <w:rPr>
                <w:rFonts w:hint="default" w:ascii="Times New Roman" w:hAnsi="Times New Roman" w:cs="Times New Roman"/>
                <w:color w:val="000000" w:themeColor="text1"/>
                <w:sz w:val="21"/>
                <w:szCs w:val="21"/>
              </w:rPr>
              <w:t>-N</w:t>
            </w:r>
            <w:r>
              <w:rPr>
                <w:rFonts w:hint="eastAsia" w:cs="Times New Roman"/>
                <w:color w:val="000000" w:themeColor="text1"/>
                <w:sz w:val="21"/>
                <w:szCs w:val="21"/>
                <w:lang w:eastAsia="zh-CN"/>
              </w:rPr>
              <w:t>、</w:t>
            </w:r>
            <w:r>
              <w:rPr>
                <w:rFonts w:hint="default" w:ascii="Times New Roman" w:hAnsi="Times New Roman" w:cs="Times New Roman"/>
                <w:color w:val="000000" w:themeColor="text1"/>
                <w:sz w:val="21"/>
                <w:szCs w:val="21"/>
              </w:rPr>
              <w:t>总磷、动植物油、pH</w:t>
            </w:r>
          </w:p>
        </w:tc>
        <w:tc>
          <w:tcPr>
            <w:tcW w:w="2268" w:type="dxa"/>
            <w:noWrap w:val="0"/>
            <w:vAlign w:val="center"/>
          </w:tcPr>
          <w:p w14:paraId="18D262F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生活污水经隔油池</w:t>
            </w:r>
            <w:r>
              <w:rPr>
                <w:rFonts w:hint="default" w:ascii="Times New Roman" w:hAnsi="Times New Roman" w:cs="Times New Roman"/>
                <w:color w:val="000000" w:themeColor="text1"/>
                <w:sz w:val="21"/>
                <w:szCs w:val="21"/>
                <w:lang w:val="en-US" w:eastAsia="zh-CN"/>
              </w:rPr>
              <w:t>（TW001）</w:t>
            </w:r>
            <w:r>
              <w:rPr>
                <w:rFonts w:hint="default" w:ascii="Times New Roman" w:hAnsi="Times New Roman" w:cs="Times New Roman"/>
                <w:color w:val="000000" w:themeColor="text1"/>
                <w:sz w:val="21"/>
                <w:szCs w:val="21"/>
              </w:rPr>
              <w:t>和化粪池</w:t>
            </w:r>
            <w:r>
              <w:rPr>
                <w:rFonts w:hint="default" w:ascii="Times New Roman" w:hAnsi="Times New Roman" w:cs="Times New Roman"/>
                <w:color w:val="000000" w:themeColor="text1"/>
                <w:sz w:val="21"/>
                <w:szCs w:val="21"/>
                <w:lang w:val="en-US" w:eastAsia="zh-CN"/>
              </w:rPr>
              <w:t>（TW00</w:t>
            </w:r>
            <w:r>
              <w:rPr>
                <w:rFonts w:hint="eastAsia" w:cs="Times New Roman"/>
                <w:color w:val="000000" w:themeColor="text1"/>
                <w:sz w:val="21"/>
                <w:szCs w:val="21"/>
                <w:lang w:val="en-US" w:eastAsia="zh-CN"/>
              </w:rPr>
              <w:t>2</w:t>
            </w:r>
            <w:r>
              <w:rPr>
                <w:rFonts w:hint="default" w:ascii="Times New Roman" w:hAnsi="Times New Roman" w:cs="Times New Roman"/>
                <w:color w:val="000000" w:themeColor="text1"/>
                <w:sz w:val="21"/>
                <w:szCs w:val="21"/>
                <w:lang w:val="en-US" w:eastAsia="zh-CN"/>
              </w:rPr>
              <w:t>）</w:t>
            </w:r>
            <w:r>
              <w:rPr>
                <w:rFonts w:hint="default" w:ascii="Times New Roman" w:hAnsi="Times New Roman" w:cs="Times New Roman"/>
                <w:color w:val="000000" w:themeColor="text1"/>
                <w:sz w:val="21"/>
                <w:szCs w:val="21"/>
              </w:rPr>
              <w:t>预处理</w:t>
            </w:r>
            <w:r>
              <w:rPr>
                <w:rFonts w:hint="eastAsia" w:ascii="Times New Roman" w:hAnsi="Times New Roman" w:cs="Times New Roman"/>
                <w:color w:val="000000" w:themeColor="text1"/>
                <w:sz w:val="21"/>
                <w:szCs w:val="21"/>
                <w:lang w:val="en-US" w:eastAsia="zh-CN"/>
              </w:rPr>
              <w:t>后接管园区污水处理厂处理</w:t>
            </w:r>
            <w:r>
              <w:rPr>
                <w:rFonts w:hint="default" w:ascii="Times New Roman" w:hAnsi="Times New Roman" w:cs="Times New Roman"/>
                <w:color w:val="000000" w:themeColor="text1"/>
                <w:sz w:val="21"/>
                <w:szCs w:val="21"/>
              </w:rPr>
              <w:t>。</w:t>
            </w:r>
          </w:p>
        </w:tc>
        <w:tc>
          <w:tcPr>
            <w:tcW w:w="2410" w:type="dxa"/>
            <w:noWrap w:val="0"/>
            <w:vAlign w:val="center"/>
          </w:tcPr>
          <w:p w14:paraId="5AB86EB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预处理达《污水排入城市下水道水质标准》（GB/T</w:t>
            </w:r>
            <w:r>
              <w:rPr>
                <w:rFonts w:hint="eastAsia" w:ascii="Times New Roman" w:hAnsi="Times New Roman" w:cs="Times New Roman"/>
                <w:color w:val="000000" w:themeColor="text1"/>
                <w:sz w:val="21"/>
                <w:szCs w:val="21"/>
                <w:lang w:val="en-US" w:eastAsia="zh-CN"/>
              </w:rPr>
              <w:t xml:space="preserve"> </w:t>
            </w:r>
            <w:r>
              <w:rPr>
                <w:rFonts w:hint="eastAsia" w:ascii="Times New Roman" w:hAnsi="Times New Roman" w:cs="Times New Roman"/>
                <w:color w:val="000000" w:themeColor="text1"/>
                <w:sz w:val="21"/>
                <w:szCs w:val="21"/>
              </w:rPr>
              <w:t>31962-2015）和《污水综合排放标准》（GB 8978-1996）三级标准接管园区污水处理厂处理。</w:t>
            </w:r>
          </w:p>
        </w:tc>
      </w:tr>
      <w:tr w14:paraId="0D491B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4" w:type="dxa"/>
            <w:vMerge w:val="continue"/>
            <w:noWrap w:val="0"/>
            <w:vAlign w:val="center"/>
          </w:tcPr>
          <w:p w14:paraId="633253C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p>
        </w:tc>
        <w:tc>
          <w:tcPr>
            <w:tcW w:w="1701" w:type="dxa"/>
            <w:gridSpan w:val="3"/>
            <w:noWrap w:val="0"/>
            <w:vAlign w:val="center"/>
          </w:tcPr>
          <w:p w14:paraId="0B6A313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生产废水</w:t>
            </w:r>
          </w:p>
        </w:tc>
        <w:tc>
          <w:tcPr>
            <w:tcW w:w="1276" w:type="dxa"/>
            <w:gridSpan w:val="2"/>
            <w:noWrap w:val="0"/>
            <w:vAlign w:val="center"/>
          </w:tcPr>
          <w:p w14:paraId="37E1C44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SS</w:t>
            </w:r>
          </w:p>
        </w:tc>
        <w:tc>
          <w:tcPr>
            <w:tcW w:w="2268" w:type="dxa"/>
            <w:noWrap w:val="0"/>
            <w:vAlign w:val="center"/>
          </w:tcPr>
          <w:p w14:paraId="2BB1875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收集</w:t>
            </w:r>
            <w:r>
              <w:rPr>
                <w:rFonts w:hint="eastAsia" w:ascii="Times New Roman" w:hAnsi="Times New Roman" w:cs="Times New Roman"/>
                <w:color w:val="000000" w:themeColor="text1"/>
                <w:sz w:val="21"/>
                <w:szCs w:val="21"/>
                <w:lang w:val="en-US" w:eastAsia="zh-CN"/>
              </w:rPr>
              <w:t>后通过回流管道回用于制料工序</w:t>
            </w:r>
            <w:r>
              <w:rPr>
                <w:rFonts w:hint="eastAsia" w:ascii="Times New Roman" w:hAnsi="Times New Roman" w:cs="Times New Roman"/>
                <w:color w:val="000000" w:themeColor="text1"/>
                <w:sz w:val="21"/>
                <w:szCs w:val="21"/>
              </w:rPr>
              <w:t>。</w:t>
            </w:r>
          </w:p>
        </w:tc>
        <w:tc>
          <w:tcPr>
            <w:tcW w:w="2410" w:type="dxa"/>
            <w:noWrap w:val="0"/>
            <w:vAlign w:val="center"/>
          </w:tcPr>
          <w:p w14:paraId="3200ABB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不外排</w:t>
            </w:r>
          </w:p>
        </w:tc>
      </w:tr>
      <w:tr w14:paraId="5D5ADE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4" w:type="dxa"/>
            <w:tcBorders>
              <w:right w:val="single" w:color="auto" w:sz="4" w:space="0"/>
            </w:tcBorders>
            <w:noWrap w:val="0"/>
            <w:vAlign w:val="center"/>
          </w:tcPr>
          <w:p w14:paraId="29A39AC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声环境</w:t>
            </w:r>
          </w:p>
        </w:tc>
        <w:tc>
          <w:tcPr>
            <w:tcW w:w="1701" w:type="dxa"/>
            <w:gridSpan w:val="3"/>
            <w:tcBorders>
              <w:top w:val="single" w:color="auto" w:sz="4" w:space="0"/>
              <w:left w:val="single" w:color="auto" w:sz="4" w:space="0"/>
              <w:right w:val="single" w:color="auto" w:sz="4" w:space="0"/>
            </w:tcBorders>
            <w:noWrap w:val="0"/>
            <w:vAlign w:val="center"/>
          </w:tcPr>
          <w:p w14:paraId="331D3A78">
            <w:pPr>
              <w:pStyle w:val="91"/>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rPr>
                <w:rFonts w:hint="default" w:cs="Times New Roman"/>
                <w:b w:val="0"/>
                <w:bCs w:val="0"/>
                <w:color w:val="000000" w:themeColor="text1"/>
              </w:rPr>
            </w:pPr>
            <w:r>
              <w:rPr>
                <w:rFonts w:hint="default" w:cs="Times New Roman"/>
                <w:b w:val="0"/>
                <w:bCs w:val="0"/>
                <w:color w:val="000000" w:themeColor="text1"/>
              </w:rPr>
              <w:t>生产设备</w:t>
            </w:r>
          </w:p>
        </w:tc>
        <w:tc>
          <w:tcPr>
            <w:tcW w:w="1276" w:type="dxa"/>
            <w:gridSpan w:val="2"/>
            <w:noWrap w:val="0"/>
            <w:vAlign w:val="center"/>
          </w:tcPr>
          <w:p w14:paraId="55FA36D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噪声</w:t>
            </w:r>
          </w:p>
        </w:tc>
        <w:tc>
          <w:tcPr>
            <w:tcW w:w="2268" w:type="dxa"/>
            <w:noWrap w:val="0"/>
            <w:vAlign w:val="center"/>
          </w:tcPr>
          <w:p w14:paraId="6A54A9F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rPr>
                <w:rFonts w:hint="default" w:ascii="Times New Roman" w:hAnsi="Times New Roman" w:cs="Times New Roman"/>
                <w:color w:val="000000" w:themeColor="text1"/>
                <w:sz w:val="21"/>
                <w:szCs w:val="21"/>
                <w:lang w:val="de-DE"/>
              </w:rPr>
            </w:pPr>
            <w:r>
              <w:rPr>
                <w:rFonts w:hint="default" w:ascii="Times New Roman" w:hAnsi="Times New Roman" w:cs="Times New Roman"/>
                <w:color w:val="000000" w:themeColor="text1"/>
                <w:sz w:val="21"/>
                <w:szCs w:val="21"/>
              </w:rPr>
              <w:t>选用低噪声设备，采取隔声、设备基础减震、定期检修设备等综合措施。</w:t>
            </w:r>
          </w:p>
        </w:tc>
        <w:tc>
          <w:tcPr>
            <w:tcW w:w="2410" w:type="dxa"/>
            <w:noWrap w:val="0"/>
            <w:vAlign w:val="center"/>
          </w:tcPr>
          <w:p w14:paraId="653FF86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《工业企业厂界环境噪声排放标准》（GB</w:t>
            </w:r>
            <w:r>
              <w:rPr>
                <w:rFonts w:hint="eastAsia" w:ascii="Times New Roman" w:hAnsi="Times New Roman" w:cs="Times New Roman"/>
                <w:color w:val="000000" w:themeColor="text1"/>
                <w:sz w:val="21"/>
                <w:szCs w:val="21"/>
                <w:lang w:val="en-US" w:eastAsia="zh-CN"/>
              </w:rPr>
              <w:t xml:space="preserve"> </w:t>
            </w:r>
            <w:r>
              <w:rPr>
                <w:rFonts w:hint="default" w:ascii="Times New Roman" w:hAnsi="Times New Roman" w:cs="Times New Roman"/>
                <w:color w:val="000000" w:themeColor="text1"/>
                <w:sz w:val="21"/>
                <w:szCs w:val="21"/>
              </w:rPr>
              <w:t>12348-2008）中</w:t>
            </w:r>
          </w:p>
          <w:p w14:paraId="266A937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lang w:val="de-DE"/>
              </w:rPr>
            </w:pPr>
            <w:r>
              <w:rPr>
                <w:rFonts w:hint="eastAsia" w:ascii="Times New Roman" w:hAnsi="Times New Roman" w:cs="Times New Roman"/>
                <w:color w:val="000000" w:themeColor="text1"/>
                <w:sz w:val="21"/>
                <w:szCs w:val="21"/>
                <w:lang w:val="en-US" w:eastAsia="zh-CN"/>
              </w:rPr>
              <w:t>3</w:t>
            </w:r>
            <w:r>
              <w:rPr>
                <w:rFonts w:hint="default" w:ascii="Times New Roman" w:hAnsi="Times New Roman" w:cs="Times New Roman"/>
                <w:color w:val="000000" w:themeColor="text1"/>
                <w:sz w:val="21"/>
                <w:szCs w:val="21"/>
              </w:rPr>
              <w:t>类标准。</w:t>
            </w:r>
          </w:p>
        </w:tc>
      </w:tr>
      <w:tr w14:paraId="34F0E6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4" w:type="dxa"/>
            <w:noWrap w:val="0"/>
            <w:vAlign w:val="center"/>
          </w:tcPr>
          <w:p w14:paraId="2371CF8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电磁辐射</w:t>
            </w:r>
          </w:p>
        </w:tc>
        <w:tc>
          <w:tcPr>
            <w:tcW w:w="7655" w:type="dxa"/>
            <w:gridSpan w:val="7"/>
            <w:noWrap w:val="0"/>
            <w:vAlign w:val="center"/>
          </w:tcPr>
          <w:p w14:paraId="3B09289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w:t>
            </w:r>
          </w:p>
        </w:tc>
      </w:tr>
      <w:tr w14:paraId="5061F3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4" w:type="dxa"/>
            <w:vMerge w:val="restart"/>
            <w:noWrap w:val="0"/>
            <w:vAlign w:val="center"/>
          </w:tcPr>
          <w:p w14:paraId="0E84623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固体废物</w:t>
            </w:r>
          </w:p>
        </w:tc>
        <w:tc>
          <w:tcPr>
            <w:tcW w:w="851" w:type="dxa"/>
            <w:noWrap w:val="0"/>
            <w:vAlign w:val="center"/>
          </w:tcPr>
          <w:p w14:paraId="6EB5EBA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一般</w:t>
            </w:r>
          </w:p>
          <w:p w14:paraId="2007E6F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固废</w:t>
            </w:r>
          </w:p>
        </w:tc>
        <w:tc>
          <w:tcPr>
            <w:tcW w:w="992" w:type="dxa"/>
            <w:gridSpan w:val="3"/>
            <w:noWrap w:val="0"/>
            <w:vAlign w:val="center"/>
          </w:tcPr>
          <w:p w14:paraId="3CBF82C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职工</w:t>
            </w:r>
          </w:p>
          <w:p w14:paraId="6781432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生活</w:t>
            </w:r>
          </w:p>
        </w:tc>
        <w:tc>
          <w:tcPr>
            <w:tcW w:w="1134" w:type="dxa"/>
            <w:noWrap w:val="0"/>
            <w:vAlign w:val="center"/>
          </w:tcPr>
          <w:p w14:paraId="4EC56F7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生活</w:t>
            </w:r>
          </w:p>
          <w:p w14:paraId="0A6BB74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垃圾</w:t>
            </w:r>
          </w:p>
        </w:tc>
        <w:tc>
          <w:tcPr>
            <w:tcW w:w="2268" w:type="dxa"/>
            <w:noWrap w:val="0"/>
            <w:vAlign w:val="center"/>
          </w:tcPr>
          <w:p w14:paraId="6D56A21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分类收集后交由环卫部门处理。</w:t>
            </w:r>
          </w:p>
        </w:tc>
        <w:tc>
          <w:tcPr>
            <w:tcW w:w="2410" w:type="dxa"/>
            <w:noWrap w:val="0"/>
            <w:vAlign w:val="center"/>
          </w:tcPr>
          <w:p w14:paraId="7B9C449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100％安全妥善处置。</w:t>
            </w:r>
          </w:p>
        </w:tc>
      </w:tr>
      <w:tr w14:paraId="34817D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254" w:type="dxa"/>
            <w:vMerge w:val="continue"/>
            <w:noWrap w:val="0"/>
            <w:vAlign w:val="center"/>
          </w:tcPr>
          <w:p w14:paraId="7494EB3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p>
        </w:tc>
        <w:tc>
          <w:tcPr>
            <w:tcW w:w="851" w:type="dxa"/>
            <w:vMerge w:val="restart"/>
            <w:noWrap w:val="0"/>
            <w:vAlign w:val="center"/>
          </w:tcPr>
          <w:p w14:paraId="61ACFC7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一般工业固体废物</w:t>
            </w:r>
          </w:p>
        </w:tc>
        <w:tc>
          <w:tcPr>
            <w:tcW w:w="2126" w:type="dxa"/>
            <w:gridSpan w:val="4"/>
            <w:noWrap w:val="0"/>
            <w:vAlign w:val="center"/>
          </w:tcPr>
          <w:p w14:paraId="0094A95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废包装袋</w:t>
            </w:r>
            <w:r>
              <w:rPr>
                <w:rFonts w:hint="eastAsia" w:cs="Times New Roman"/>
                <w:color w:val="000000" w:themeColor="text1"/>
                <w:sz w:val="21"/>
                <w:szCs w:val="21"/>
                <w:lang w:eastAsia="zh-CN"/>
              </w:rPr>
              <w:t>、</w:t>
            </w:r>
            <w:r>
              <w:rPr>
                <w:rFonts w:hint="eastAsia" w:ascii="Times New Roman" w:hAnsi="Times New Roman" w:cs="Times New Roman"/>
                <w:color w:val="000000" w:themeColor="text1"/>
                <w:sz w:val="21"/>
                <w:szCs w:val="21"/>
                <w:lang w:val="en-US" w:eastAsia="zh-CN"/>
              </w:rPr>
              <w:t>过滤废渣</w:t>
            </w:r>
          </w:p>
        </w:tc>
        <w:tc>
          <w:tcPr>
            <w:tcW w:w="2268" w:type="dxa"/>
            <w:noWrap w:val="0"/>
            <w:vAlign w:val="center"/>
          </w:tcPr>
          <w:p w14:paraId="5D44A90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外售相关回收单位处理</w:t>
            </w:r>
          </w:p>
        </w:tc>
        <w:tc>
          <w:tcPr>
            <w:tcW w:w="2410" w:type="dxa"/>
            <w:vMerge w:val="restart"/>
            <w:noWrap w:val="0"/>
            <w:vAlign w:val="center"/>
          </w:tcPr>
          <w:p w14:paraId="6E655FD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贮存场所管理和建设符合《一般工业固体废物储存和填埋污染控制标准》（GB</w:t>
            </w:r>
            <w:r>
              <w:rPr>
                <w:rFonts w:hint="eastAsia" w:ascii="Times New Roman" w:hAnsi="Times New Roman" w:cs="Times New Roman"/>
                <w:color w:val="000000" w:themeColor="text1"/>
                <w:sz w:val="21"/>
                <w:szCs w:val="21"/>
                <w:lang w:val="en-US" w:eastAsia="zh-CN"/>
              </w:rPr>
              <w:t xml:space="preserve"> </w:t>
            </w:r>
            <w:r>
              <w:rPr>
                <w:rFonts w:hint="default" w:ascii="Times New Roman" w:hAnsi="Times New Roman" w:cs="Times New Roman"/>
                <w:color w:val="000000" w:themeColor="text1"/>
                <w:sz w:val="21"/>
                <w:szCs w:val="21"/>
              </w:rPr>
              <w:t>18599-2020）；固废100％安全妥善处置。</w:t>
            </w:r>
          </w:p>
        </w:tc>
      </w:tr>
      <w:tr w14:paraId="132162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4" w:type="dxa"/>
            <w:vMerge w:val="continue"/>
            <w:noWrap w:val="0"/>
            <w:vAlign w:val="center"/>
          </w:tcPr>
          <w:p w14:paraId="2A43714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p>
        </w:tc>
        <w:tc>
          <w:tcPr>
            <w:tcW w:w="851" w:type="dxa"/>
            <w:vMerge w:val="continue"/>
            <w:noWrap w:val="0"/>
            <w:vAlign w:val="center"/>
          </w:tcPr>
          <w:p w14:paraId="71401C9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p>
        </w:tc>
        <w:tc>
          <w:tcPr>
            <w:tcW w:w="2126" w:type="dxa"/>
            <w:gridSpan w:val="4"/>
            <w:noWrap w:val="0"/>
            <w:vAlign w:val="center"/>
          </w:tcPr>
          <w:p w14:paraId="4F12C3F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不合格品</w:t>
            </w:r>
          </w:p>
        </w:tc>
        <w:tc>
          <w:tcPr>
            <w:tcW w:w="2268" w:type="dxa"/>
            <w:noWrap w:val="0"/>
            <w:vAlign w:val="center"/>
          </w:tcPr>
          <w:p w14:paraId="1EFCA16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作为原料进行二次利用</w:t>
            </w:r>
          </w:p>
        </w:tc>
        <w:tc>
          <w:tcPr>
            <w:tcW w:w="2410" w:type="dxa"/>
            <w:vMerge w:val="continue"/>
            <w:noWrap w:val="0"/>
            <w:vAlign w:val="center"/>
          </w:tcPr>
          <w:p w14:paraId="5D9FE41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p>
        </w:tc>
      </w:tr>
      <w:tr w14:paraId="0A49D8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4" w:type="dxa"/>
            <w:vMerge w:val="continue"/>
            <w:noWrap w:val="0"/>
            <w:vAlign w:val="center"/>
          </w:tcPr>
          <w:p w14:paraId="35B8BDC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p>
        </w:tc>
        <w:tc>
          <w:tcPr>
            <w:tcW w:w="851" w:type="dxa"/>
            <w:vMerge w:val="continue"/>
            <w:noWrap w:val="0"/>
            <w:vAlign w:val="center"/>
          </w:tcPr>
          <w:p w14:paraId="16926D9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p>
        </w:tc>
        <w:tc>
          <w:tcPr>
            <w:tcW w:w="2126" w:type="dxa"/>
            <w:gridSpan w:val="4"/>
            <w:noWrap w:val="0"/>
            <w:vAlign w:val="center"/>
          </w:tcPr>
          <w:p w14:paraId="239AD8A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除尘渣</w:t>
            </w:r>
          </w:p>
        </w:tc>
        <w:tc>
          <w:tcPr>
            <w:tcW w:w="2268" w:type="dxa"/>
            <w:vMerge w:val="restart"/>
            <w:noWrap w:val="0"/>
            <w:vAlign w:val="center"/>
          </w:tcPr>
          <w:p w14:paraId="3F0CA14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统一收集后，定期委托</w:t>
            </w:r>
            <w:r>
              <w:rPr>
                <w:rFonts w:hint="eastAsia" w:ascii="Times New Roman" w:hAnsi="Times New Roman" w:cs="Times New Roman"/>
                <w:color w:val="000000" w:themeColor="text1"/>
                <w:sz w:val="21"/>
                <w:szCs w:val="21"/>
                <w:lang w:val="en-US" w:eastAsia="zh-CN"/>
              </w:rPr>
              <w:t>周边农户清运用作农肥</w:t>
            </w:r>
            <w:r>
              <w:rPr>
                <w:rFonts w:hint="eastAsia" w:ascii="Times New Roman" w:hAnsi="Times New Roman" w:cs="Times New Roman"/>
                <w:color w:val="000000" w:themeColor="text1"/>
                <w:sz w:val="21"/>
                <w:szCs w:val="21"/>
              </w:rPr>
              <w:t>，不外排；</w:t>
            </w:r>
          </w:p>
        </w:tc>
        <w:tc>
          <w:tcPr>
            <w:tcW w:w="2410" w:type="dxa"/>
            <w:vMerge w:val="continue"/>
            <w:noWrap w:val="0"/>
            <w:vAlign w:val="center"/>
          </w:tcPr>
          <w:p w14:paraId="36601AD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p>
        </w:tc>
      </w:tr>
      <w:tr w14:paraId="53AB93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4" w:type="dxa"/>
            <w:vMerge w:val="continue"/>
            <w:noWrap w:val="0"/>
            <w:vAlign w:val="center"/>
          </w:tcPr>
          <w:p w14:paraId="559F943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p>
        </w:tc>
        <w:tc>
          <w:tcPr>
            <w:tcW w:w="851" w:type="dxa"/>
            <w:vMerge w:val="continue"/>
            <w:noWrap w:val="0"/>
            <w:vAlign w:val="center"/>
          </w:tcPr>
          <w:p w14:paraId="742DCEA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p>
        </w:tc>
        <w:tc>
          <w:tcPr>
            <w:tcW w:w="2126" w:type="dxa"/>
            <w:gridSpan w:val="4"/>
            <w:noWrap w:val="0"/>
            <w:vAlign w:val="center"/>
          </w:tcPr>
          <w:p w14:paraId="4E65034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炉渣</w:t>
            </w:r>
          </w:p>
        </w:tc>
        <w:tc>
          <w:tcPr>
            <w:tcW w:w="2268" w:type="dxa"/>
            <w:vMerge w:val="continue"/>
            <w:noWrap w:val="0"/>
            <w:vAlign w:val="center"/>
          </w:tcPr>
          <w:p w14:paraId="09EAD9D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rPr>
                <w:rFonts w:hint="default" w:ascii="Times New Roman" w:hAnsi="Times New Roman" w:cs="Times New Roman"/>
                <w:color w:val="000000" w:themeColor="text1"/>
                <w:sz w:val="21"/>
                <w:szCs w:val="21"/>
              </w:rPr>
            </w:pPr>
          </w:p>
        </w:tc>
        <w:tc>
          <w:tcPr>
            <w:tcW w:w="2410" w:type="dxa"/>
            <w:vMerge w:val="continue"/>
            <w:noWrap w:val="0"/>
            <w:vAlign w:val="center"/>
          </w:tcPr>
          <w:p w14:paraId="32CB7D3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p>
        </w:tc>
      </w:tr>
      <w:tr w14:paraId="383E02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4" w:type="dxa"/>
            <w:vMerge w:val="continue"/>
            <w:noWrap w:val="0"/>
            <w:vAlign w:val="center"/>
          </w:tcPr>
          <w:p w14:paraId="5DCCA11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p>
        </w:tc>
        <w:tc>
          <w:tcPr>
            <w:tcW w:w="851" w:type="dxa"/>
            <w:vMerge w:val="continue"/>
            <w:noWrap w:val="0"/>
            <w:vAlign w:val="center"/>
          </w:tcPr>
          <w:p w14:paraId="44E90D6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p>
        </w:tc>
        <w:tc>
          <w:tcPr>
            <w:tcW w:w="2126" w:type="dxa"/>
            <w:gridSpan w:val="4"/>
            <w:noWrap w:val="0"/>
            <w:vAlign w:val="center"/>
          </w:tcPr>
          <w:p w14:paraId="7B91D67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化粪池污泥</w:t>
            </w:r>
          </w:p>
        </w:tc>
        <w:tc>
          <w:tcPr>
            <w:tcW w:w="2268" w:type="dxa"/>
            <w:noWrap w:val="0"/>
            <w:vAlign w:val="center"/>
          </w:tcPr>
          <w:p w14:paraId="73E8564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kern w:val="0"/>
                <w:sz w:val="21"/>
                <w:szCs w:val="21"/>
              </w:rPr>
              <w:t>由周边农户定期清掏作为农肥使用</w:t>
            </w:r>
            <w:r>
              <w:rPr>
                <w:rFonts w:hint="eastAsia" w:ascii="Times New Roman" w:hAnsi="Times New Roman" w:cs="Times New Roman"/>
                <w:color w:val="000000" w:themeColor="text1"/>
                <w:sz w:val="21"/>
                <w:szCs w:val="21"/>
              </w:rPr>
              <w:t>。</w:t>
            </w:r>
          </w:p>
        </w:tc>
        <w:tc>
          <w:tcPr>
            <w:tcW w:w="2410" w:type="dxa"/>
            <w:vMerge w:val="continue"/>
            <w:noWrap w:val="0"/>
            <w:vAlign w:val="center"/>
          </w:tcPr>
          <w:p w14:paraId="686559A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p>
        </w:tc>
      </w:tr>
      <w:tr w14:paraId="3F7CB2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4" w:type="dxa"/>
            <w:vMerge w:val="continue"/>
            <w:noWrap w:val="0"/>
            <w:vAlign w:val="center"/>
          </w:tcPr>
          <w:p w14:paraId="7EBA09F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p>
        </w:tc>
        <w:tc>
          <w:tcPr>
            <w:tcW w:w="851" w:type="dxa"/>
            <w:noWrap w:val="0"/>
            <w:vAlign w:val="center"/>
          </w:tcPr>
          <w:p w14:paraId="4683F02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危险</w:t>
            </w:r>
          </w:p>
          <w:p w14:paraId="0143A4E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废物</w:t>
            </w:r>
          </w:p>
        </w:tc>
        <w:tc>
          <w:tcPr>
            <w:tcW w:w="2126" w:type="dxa"/>
            <w:gridSpan w:val="4"/>
            <w:tcBorders>
              <w:top w:val="single" w:color="000000" w:sz="4" w:space="0"/>
              <w:left w:val="single" w:color="000000" w:sz="4" w:space="0"/>
              <w:bottom w:val="single" w:color="000000" w:sz="4" w:space="0"/>
              <w:right w:val="single" w:color="000000" w:sz="4" w:space="0"/>
            </w:tcBorders>
            <w:noWrap w:val="0"/>
            <w:vAlign w:val="center"/>
          </w:tcPr>
          <w:p w14:paraId="3935D0B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废机油</w:t>
            </w:r>
          </w:p>
        </w:tc>
        <w:tc>
          <w:tcPr>
            <w:tcW w:w="2268" w:type="dxa"/>
            <w:noWrap w:val="0"/>
            <w:vAlign w:val="center"/>
          </w:tcPr>
          <w:p w14:paraId="00E9E3A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暂存于5m</w:t>
            </w:r>
            <w:r>
              <w:rPr>
                <w:rFonts w:hint="default" w:ascii="Times New Roman" w:hAnsi="Times New Roman" w:cs="Times New Roman"/>
                <w:color w:val="000000" w:themeColor="text1"/>
                <w:sz w:val="21"/>
                <w:szCs w:val="21"/>
                <w:vertAlign w:val="superscript"/>
              </w:rPr>
              <w:t>3</w:t>
            </w:r>
            <w:r>
              <w:rPr>
                <w:rFonts w:hint="default" w:ascii="Times New Roman" w:hAnsi="Times New Roman" w:cs="Times New Roman"/>
                <w:color w:val="000000" w:themeColor="text1"/>
                <w:sz w:val="21"/>
                <w:szCs w:val="21"/>
              </w:rPr>
              <w:t>危废暂存间</w:t>
            </w:r>
            <w:r>
              <w:rPr>
                <w:rFonts w:hint="default" w:ascii="Times New Roman" w:hAnsi="Times New Roman" w:cs="Times New Roman"/>
                <w:color w:val="000000" w:themeColor="text1"/>
                <w:sz w:val="21"/>
                <w:szCs w:val="21"/>
                <w:lang w:val="en-US" w:eastAsia="zh-CN"/>
              </w:rPr>
              <w:t>（TS00</w:t>
            </w:r>
            <w:r>
              <w:rPr>
                <w:rFonts w:hint="eastAsia" w:cs="Times New Roman"/>
                <w:color w:val="000000" w:themeColor="text1"/>
                <w:sz w:val="21"/>
                <w:szCs w:val="21"/>
                <w:lang w:val="en-US" w:eastAsia="zh-CN"/>
              </w:rPr>
              <w:t>2</w:t>
            </w:r>
            <w:r>
              <w:rPr>
                <w:rFonts w:hint="default" w:ascii="Times New Roman" w:hAnsi="Times New Roman" w:cs="Times New Roman"/>
                <w:color w:val="000000" w:themeColor="text1"/>
                <w:sz w:val="21"/>
                <w:szCs w:val="21"/>
                <w:lang w:val="en-US" w:eastAsia="zh-CN"/>
              </w:rPr>
              <w:t>）</w:t>
            </w:r>
            <w:r>
              <w:rPr>
                <w:rFonts w:hint="default" w:ascii="Times New Roman" w:hAnsi="Times New Roman" w:cs="Times New Roman"/>
                <w:color w:val="000000" w:themeColor="text1"/>
                <w:sz w:val="21"/>
                <w:szCs w:val="21"/>
              </w:rPr>
              <w:t>内，最终委托有危险废物处置资质单位收集处置，防渗按危险废物贮存污染控制标准》（GB18597-2023）标准执行。</w:t>
            </w:r>
          </w:p>
        </w:tc>
        <w:tc>
          <w:tcPr>
            <w:tcW w:w="2410" w:type="dxa"/>
            <w:noWrap w:val="0"/>
            <w:vAlign w:val="center"/>
          </w:tcPr>
          <w:p w14:paraId="7705F5A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rPr>
                <w:rFonts w:hint="default" w:ascii="Times New Roman" w:hAnsi="Times New Roman" w:cs="Times New Roman"/>
                <w:color w:val="000000" w:themeColor="text1"/>
                <w:sz w:val="21"/>
                <w:szCs w:val="21"/>
              </w:rPr>
            </w:pPr>
            <w:r>
              <w:rPr>
                <w:rFonts w:hint="default" w:ascii="Times New Roman" w:hAnsi="Times New Roman" w:cs="Times New Roman"/>
                <w:snapToGrid w:val="0"/>
                <w:color w:val="000000" w:themeColor="text1"/>
                <w:sz w:val="21"/>
                <w:szCs w:val="21"/>
              </w:rPr>
              <w:t>贮存场所建设和管理符合</w:t>
            </w:r>
            <w:r>
              <w:rPr>
                <w:rFonts w:hint="default" w:ascii="Times New Roman" w:hAnsi="Times New Roman" w:cs="Times New Roman"/>
                <w:color w:val="000000" w:themeColor="text1"/>
                <w:sz w:val="21"/>
                <w:szCs w:val="21"/>
              </w:rPr>
              <w:t>《危险废物贮存污染控制标准》（GB</w:t>
            </w:r>
            <w:r>
              <w:rPr>
                <w:rFonts w:hint="eastAsia" w:ascii="Times New Roman" w:hAnsi="Times New Roman" w:cs="Times New Roman"/>
                <w:color w:val="000000" w:themeColor="text1"/>
                <w:sz w:val="21"/>
                <w:szCs w:val="21"/>
                <w:lang w:val="en-US" w:eastAsia="zh-CN"/>
              </w:rPr>
              <w:t xml:space="preserve"> </w:t>
            </w:r>
            <w:r>
              <w:rPr>
                <w:rFonts w:hint="default" w:ascii="Times New Roman" w:hAnsi="Times New Roman" w:cs="Times New Roman"/>
                <w:color w:val="000000" w:themeColor="text1"/>
                <w:sz w:val="21"/>
                <w:szCs w:val="21"/>
              </w:rPr>
              <w:t>18597-2023）；固废100％安全妥善处置。</w:t>
            </w:r>
          </w:p>
        </w:tc>
      </w:tr>
      <w:tr w14:paraId="61CBAB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1254" w:type="dxa"/>
            <w:noWrap w:val="0"/>
            <w:vAlign w:val="center"/>
          </w:tcPr>
          <w:p w14:paraId="182C263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土壤及地下水污染防治措施</w:t>
            </w:r>
          </w:p>
        </w:tc>
        <w:tc>
          <w:tcPr>
            <w:tcW w:w="7655" w:type="dxa"/>
            <w:gridSpan w:val="7"/>
            <w:noWrap w:val="0"/>
            <w:vAlign w:val="center"/>
          </w:tcPr>
          <w:p w14:paraId="0D3F06E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left"/>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危险废物暂存间按照《危险废物贮存污染控制标准》（GB</w:t>
            </w:r>
            <w:r>
              <w:rPr>
                <w:rFonts w:hint="eastAsia" w:ascii="Times New Roman" w:hAnsi="Times New Roman" w:cs="Times New Roman"/>
                <w:color w:val="000000" w:themeColor="text1"/>
                <w:sz w:val="21"/>
                <w:szCs w:val="21"/>
                <w:lang w:val="en-US" w:eastAsia="zh-CN"/>
              </w:rPr>
              <w:t xml:space="preserve"> </w:t>
            </w:r>
            <w:r>
              <w:rPr>
                <w:rFonts w:hint="default" w:ascii="Times New Roman" w:hAnsi="Times New Roman" w:cs="Times New Roman"/>
                <w:color w:val="000000" w:themeColor="text1"/>
                <w:sz w:val="21"/>
                <w:szCs w:val="21"/>
              </w:rPr>
              <w:t>18597-2023）的相关要求，进行重点防渗，并按照要求设置规范的标识标牌；</w:t>
            </w:r>
            <w:r>
              <w:rPr>
                <w:rFonts w:hint="eastAsia" w:cs="Times New Roman"/>
                <w:color w:val="000000" w:themeColor="text1"/>
                <w:sz w:val="21"/>
                <w:szCs w:val="21"/>
                <w:lang w:val="en-US" w:eastAsia="zh-CN"/>
              </w:rPr>
              <w:t>生产区</w:t>
            </w:r>
            <w:r>
              <w:rPr>
                <w:rFonts w:hint="default" w:ascii="Times New Roman" w:hAnsi="Times New Roman" w:cs="Times New Roman"/>
                <w:color w:val="000000" w:themeColor="text1"/>
                <w:sz w:val="21"/>
                <w:szCs w:val="21"/>
              </w:rPr>
              <w:t>、事故池、</w:t>
            </w:r>
            <w:r>
              <w:rPr>
                <w:rFonts w:hint="eastAsia" w:cs="Times New Roman"/>
                <w:color w:val="000000" w:themeColor="text1"/>
                <w:sz w:val="21"/>
                <w:szCs w:val="21"/>
                <w:lang w:val="en-US" w:eastAsia="zh-CN"/>
              </w:rPr>
              <w:t>贮料</w:t>
            </w:r>
            <w:r>
              <w:rPr>
                <w:rFonts w:hint="default" w:ascii="Times New Roman" w:hAnsi="Times New Roman" w:cs="Times New Roman"/>
                <w:color w:val="000000" w:themeColor="text1"/>
                <w:sz w:val="21"/>
                <w:szCs w:val="21"/>
              </w:rPr>
              <w:t>池、隔油池和化粪池等池体一般防渗。</w:t>
            </w:r>
          </w:p>
        </w:tc>
      </w:tr>
      <w:tr w14:paraId="1D28DC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4" w:type="dxa"/>
            <w:noWrap w:val="0"/>
            <w:vAlign w:val="center"/>
          </w:tcPr>
          <w:p w14:paraId="6C57C42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生态保护措施</w:t>
            </w:r>
          </w:p>
        </w:tc>
        <w:tc>
          <w:tcPr>
            <w:tcW w:w="7655" w:type="dxa"/>
            <w:gridSpan w:val="7"/>
            <w:noWrap w:val="0"/>
            <w:vAlign w:val="center"/>
          </w:tcPr>
          <w:p w14:paraId="599ABD9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w:t>
            </w:r>
          </w:p>
        </w:tc>
      </w:tr>
      <w:tr w14:paraId="18F187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4" w:type="dxa"/>
            <w:noWrap w:val="0"/>
            <w:vAlign w:val="center"/>
          </w:tcPr>
          <w:p w14:paraId="3A9F9AD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pacing w:val="-8"/>
                <w:sz w:val="21"/>
                <w:szCs w:val="21"/>
              </w:rPr>
            </w:pPr>
            <w:r>
              <w:rPr>
                <w:rFonts w:hint="default" w:ascii="Times New Roman" w:hAnsi="Times New Roman" w:cs="Times New Roman"/>
                <w:color w:val="000000" w:themeColor="text1"/>
                <w:spacing w:val="-8"/>
                <w:sz w:val="21"/>
                <w:szCs w:val="21"/>
              </w:rPr>
              <w:t>环境风险</w:t>
            </w:r>
          </w:p>
          <w:p w14:paraId="25A2D92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pacing w:val="-8"/>
                <w:sz w:val="21"/>
                <w:szCs w:val="21"/>
              </w:rPr>
            </w:pPr>
            <w:r>
              <w:rPr>
                <w:rFonts w:hint="default" w:ascii="Times New Roman" w:hAnsi="Times New Roman" w:cs="Times New Roman"/>
                <w:color w:val="000000" w:themeColor="text1"/>
                <w:spacing w:val="-8"/>
                <w:sz w:val="21"/>
                <w:szCs w:val="21"/>
              </w:rPr>
              <w:t>防范措施</w:t>
            </w:r>
          </w:p>
        </w:tc>
        <w:tc>
          <w:tcPr>
            <w:tcW w:w="7655" w:type="dxa"/>
            <w:gridSpan w:val="7"/>
            <w:noWrap w:val="0"/>
            <w:vAlign w:val="center"/>
          </w:tcPr>
          <w:p w14:paraId="66D464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2"/>
              <w:textAlignment w:val="auto"/>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1）环保设施和生产设施防范措施</w:t>
            </w:r>
          </w:p>
          <w:p w14:paraId="73C85D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textAlignment w:val="auto"/>
              <w:rPr>
                <w:rFonts w:hint="default" w:ascii="Times New Roman" w:hAnsi="Times New Roman" w:cs="Times New Roman"/>
                <w:color w:val="000000" w:themeColor="text1"/>
                <w:sz w:val="21"/>
                <w:szCs w:val="21"/>
              </w:rPr>
            </w:pPr>
            <w:r>
              <w:rPr>
                <w:rFonts w:hint="eastAsia" w:ascii="宋体" w:hAnsi="宋体" w:cs="宋体"/>
                <w:color w:val="000000" w:themeColor="text1"/>
                <w:sz w:val="21"/>
                <w:szCs w:val="21"/>
              </w:rPr>
              <w:t>①</w:t>
            </w:r>
            <w:r>
              <w:rPr>
                <w:rFonts w:hint="default" w:ascii="Times New Roman" w:hAnsi="Times New Roman" w:cs="Times New Roman"/>
                <w:color w:val="000000" w:themeColor="text1"/>
                <w:sz w:val="21"/>
                <w:szCs w:val="21"/>
              </w:rPr>
              <w:t>定期检查项目各污水、废水管</w:t>
            </w:r>
            <w:r>
              <w:rPr>
                <w:rFonts w:hint="default" w:ascii="Times New Roman" w:hAnsi="Times New Roman" w:cs="Times New Roman"/>
                <w:color w:val="000000" w:themeColor="text1"/>
                <w:sz w:val="21"/>
                <w:szCs w:val="21"/>
                <w:u w:val="none"/>
              </w:rPr>
              <w:t>道、池体的完好性，</w:t>
            </w:r>
            <w:r>
              <w:rPr>
                <w:rFonts w:hint="eastAsia" w:ascii="Times New Roman" w:hAnsi="Times New Roman" w:eastAsia="宋体" w:cs="Times New Roman"/>
                <w:color w:val="000000" w:themeColor="text1"/>
                <w:kern w:val="2"/>
                <w:sz w:val="21"/>
                <w:szCs w:val="24"/>
                <w:u w:val="none"/>
                <w:lang w:val="en-US" w:eastAsia="zh-CN" w:bidi="ar"/>
              </w:rPr>
              <w:t>严格做好主生产装置区、配料池、制料池等池体的防渗以及收集、储存、处理设施防渗措施，确保主生产装置区、配料池、制料池等池体防渗设施完好，</w:t>
            </w:r>
            <w:r>
              <w:rPr>
                <w:rFonts w:hint="eastAsia" w:ascii="Times New Roman" w:hAnsi="Times New Roman" w:eastAsia="宋体" w:cs="Times New Roman"/>
                <w:color w:val="000000" w:themeColor="text1"/>
                <w:kern w:val="2"/>
                <w:sz w:val="21"/>
                <w:szCs w:val="21"/>
                <w:u w:val="none"/>
                <w:lang w:val="en-US" w:eastAsia="zh-CN" w:bidi="ar"/>
              </w:rPr>
              <w:t>一旦出现破损，应立即采取有效补漏措施，避免渗漏污染地下水、土壤环境。</w:t>
            </w:r>
          </w:p>
          <w:p w14:paraId="06358B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textAlignment w:val="auto"/>
              <w:rPr>
                <w:rFonts w:hint="default" w:ascii="Times New Roman" w:hAnsi="Times New Roman" w:cs="Times New Roman"/>
                <w:color w:val="000000" w:themeColor="text1"/>
                <w:sz w:val="21"/>
                <w:szCs w:val="21"/>
              </w:rPr>
            </w:pPr>
            <w:r>
              <w:rPr>
                <w:rFonts w:hint="eastAsia" w:ascii="宋体" w:hAnsi="宋体" w:cs="宋体"/>
                <w:color w:val="000000" w:themeColor="text1"/>
                <w:sz w:val="21"/>
                <w:szCs w:val="21"/>
              </w:rPr>
              <w:t>②</w:t>
            </w:r>
            <w:r>
              <w:rPr>
                <w:rFonts w:hint="default" w:ascii="Times New Roman" w:hAnsi="Times New Roman" w:cs="Times New Roman"/>
                <w:color w:val="000000" w:themeColor="text1"/>
                <w:sz w:val="21"/>
                <w:szCs w:val="21"/>
              </w:rPr>
              <w:t>定期对废气收集排放系统进行检修维护，以降低因设备故障造成的事故排放；</w:t>
            </w:r>
          </w:p>
          <w:p w14:paraId="1EF276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textAlignment w:val="auto"/>
              <w:rPr>
                <w:rFonts w:hint="default" w:ascii="Times New Roman" w:hAnsi="Times New Roman" w:cs="Times New Roman"/>
                <w:color w:val="000000" w:themeColor="text1"/>
                <w:sz w:val="21"/>
                <w:szCs w:val="21"/>
              </w:rPr>
            </w:pPr>
            <w:r>
              <w:rPr>
                <w:rFonts w:hint="eastAsia" w:ascii="宋体" w:hAnsi="宋体" w:cs="宋体"/>
                <w:color w:val="000000" w:themeColor="text1"/>
                <w:sz w:val="21"/>
                <w:szCs w:val="21"/>
              </w:rPr>
              <w:t>③</w:t>
            </w:r>
            <w:r>
              <w:rPr>
                <w:rFonts w:hint="default" w:ascii="Times New Roman" w:hAnsi="Times New Roman" w:cs="Times New Roman"/>
                <w:color w:val="000000" w:themeColor="text1"/>
                <w:sz w:val="21"/>
                <w:szCs w:val="21"/>
              </w:rPr>
              <w:t>加强员工的岗前培训，强化安全意识，制定操作规程；</w:t>
            </w:r>
          </w:p>
          <w:p w14:paraId="0EE35F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2"/>
              <w:textAlignment w:val="auto"/>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2）</w:t>
            </w:r>
            <w:r>
              <w:rPr>
                <w:rFonts w:hint="default" w:ascii="宋体" w:hAnsi="宋体" w:eastAsia="宋体" w:cs="宋体"/>
                <w:b/>
                <w:bCs/>
                <w:color w:val="000000" w:themeColor="text1"/>
                <w:sz w:val="21"/>
                <w:szCs w:val="21"/>
              </w:rPr>
              <w:t>物料存储、使用过程</w:t>
            </w:r>
            <w:r>
              <w:rPr>
                <w:rFonts w:hint="default" w:ascii="Times New Roman" w:hAnsi="Times New Roman" w:cs="Times New Roman"/>
                <w:b/>
                <w:bCs/>
                <w:color w:val="000000" w:themeColor="text1"/>
                <w:sz w:val="21"/>
                <w:szCs w:val="21"/>
              </w:rPr>
              <w:t>防范措施</w:t>
            </w:r>
          </w:p>
          <w:p w14:paraId="47F2F96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rPr>
                <w:rFonts w:hint="default" w:ascii="宋体" w:hAnsi="宋体" w:eastAsia="宋体" w:cs="宋体"/>
                <w:color w:val="000000" w:themeColor="text1"/>
                <w:sz w:val="21"/>
                <w:szCs w:val="21"/>
              </w:rPr>
            </w:pPr>
            <w:r>
              <w:rPr>
                <w:rFonts w:hint="eastAsia" w:ascii="宋体" w:hAnsi="宋体" w:cs="宋体"/>
                <w:color w:val="000000" w:themeColor="text1"/>
                <w:sz w:val="21"/>
                <w:szCs w:val="21"/>
              </w:rPr>
              <w:t>①</w:t>
            </w:r>
            <w:r>
              <w:rPr>
                <w:rFonts w:hint="eastAsia" w:ascii="宋体" w:hAnsi="宋体" w:cs="宋体"/>
                <w:color w:val="000000" w:themeColor="text1"/>
                <w:sz w:val="21"/>
                <w:szCs w:val="21"/>
                <w:lang w:val="en-US" w:eastAsia="zh-CN"/>
              </w:rPr>
              <w:t>废机油/机油</w:t>
            </w:r>
            <w:r>
              <w:rPr>
                <w:rFonts w:hint="default" w:ascii="宋体" w:hAnsi="宋体" w:eastAsia="宋体" w:cs="宋体"/>
                <w:color w:val="000000" w:themeColor="text1"/>
                <w:sz w:val="21"/>
                <w:szCs w:val="21"/>
              </w:rPr>
              <w:t>在厂区使用专用容器，并将收集容器贴上标签，存储于</w:t>
            </w:r>
            <w:r>
              <w:rPr>
                <w:rFonts w:hint="eastAsia" w:ascii="宋体" w:hAnsi="宋体" w:eastAsia="宋体" w:cs="宋体"/>
                <w:color w:val="000000" w:themeColor="text1"/>
                <w:sz w:val="21"/>
                <w:szCs w:val="21"/>
                <w:lang w:val="en-US" w:eastAsia="zh-CN"/>
              </w:rPr>
              <w:t>专门的仓库或</w:t>
            </w:r>
            <w:r>
              <w:rPr>
                <w:rFonts w:hint="default" w:ascii="宋体" w:hAnsi="宋体" w:eastAsia="宋体" w:cs="宋体"/>
                <w:color w:val="000000" w:themeColor="text1"/>
                <w:sz w:val="21"/>
                <w:szCs w:val="21"/>
              </w:rPr>
              <w:t>危废暂存间内。危废暂存间设置“三防”措施。按照重点防渗区要求进行防渗处理。危废暂存间必须派专人进行管理，并严格执行危废暂存间的管理制度，降低管理产生的风险。</w:t>
            </w:r>
          </w:p>
          <w:p w14:paraId="18D15992">
            <w:pPr>
              <w:pStyle w:val="2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rPr>
                <w:rFonts w:hint="eastAsia" w:hAnsi="宋体" w:cs="宋体"/>
                <w:color w:val="000000" w:themeColor="text1"/>
                <w:sz w:val="21"/>
                <w:szCs w:val="21"/>
                <w:lang w:eastAsia="zh-CN"/>
              </w:rPr>
            </w:pPr>
            <w:r>
              <w:rPr>
                <w:rFonts w:hint="eastAsia" w:ascii="宋体" w:hAnsi="宋体" w:cs="宋体"/>
                <w:color w:val="000000" w:themeColor="text1"/>
                <w:sz w:val="21"/>
                <w:szCs w:val="21"/>
              </w:rPr>
              <w:t>②对各类废纸按计划采购、分期分批入库，严格控制贮存量</w:t>
            </w:r>
            <w:r>
              <w:rPr>
                <w:rFonts w:hint="eastAsia" w:hAnsi="宋体" w:cs="宋体"/>
                <w:color w:val="000000" w:themeColor="text1"/>
                <w:sz w:val="21"/>
                <w:szCs w:val="21"/>
                <w:lang w:eastAsia="zh-CN"/>
              </w:rPr>
              <w:t>；</w:t>
            </w:r>
          </w:p>
          <w:p w14:paraId="097A8554">
            <w:pPr>
              <w:pStyle w:val="2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rPr>
                <w:rFonts w:hint="eastAsia" w:hAnsi="宋体" w:cs="宋体"/>
                <w:color w:val="000000" w:themeColor="text1"/>
                <w:sz w:val="21"/>
                <w:szCs w:val="21"/>
                <w:lang w:eastAsia="zh-CN"/>
              </w:rPr>
            </w:pPr>
            <w:r>
              <w:rPr>
                <w:rFonts w:hint="eastAsia" w:ascii="宋体" w:hAnsi="宋体" w:cs="宋体"/>
                <w:color w:val="000000" w:themeColor="text1"/>
                <w:sz w:val="21"/>
                <w:szCs w:val="21"/>
              </w:rPr>
              <w:t>③</w:t>
            </w:r>
            <w:r>
              <w:rPr>
                <w:rFonts w:hint="eastAsia" w:hAnsi="宋体" w:cs="宋体"/>
                <w:color w:val="000000" w:themeColor="text1"/>
                <w:sz w:val="21"/>
                <w:szCs w:val="21"/>
                <w:lang w:eastAsia="zh-CN"/>
              </w:rPr>
              <w:t>对各类火种、货源和有散发火花危险的机械设备、作业活动，以及可燃、易燃物品的控制和管理。</w:t>
            </w:r>
          </w:p>
          <w:p w14:paraId="485109DB">
            <w:pPr>
              <w:pStyle w:val="2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rPr>
                <w:rFonts w:hint="eastAsia" w:ascii="宋体" w:hAnsi="宋体" w:eastAsia="宋体" w:cs="宋体"/>
                <w:color w:val="000000" w:themeColor="text1"/>
                <w:sz w:val="21"/>
                <w:szCs w:val="21"/>
                <w:lang w:eastAsia="zh-CN"/>
              </w:rPr>
            </w:pPr>
            <w:r>
              <w:rPr>
                <w:rFonts w:hint="eastAsia" w:ascii="宋体" w:hAnsi="宋体" w:eastAsia="宋体" w:cs="宋体"/>
                <w:color w:val="000000" w:themeColor="text1"/>
                <w:sz w:val="21"/>
                <w:szCs w:val="21"/>
                <w:lang w:val="en-US" w:eastAsia="zh-CN"/>
              </w:rPr>
              <w:t>④为避免贮料池和配料池事故泄漏对周边地表水造成污染，本次要求在项目制料区设置环形明沟，并设置排水管道与事故水池相连，配料区建设1个不小于160m³的事故应急池，对贮料池、配料池、事故水池及生产线区域进行一般防渗。</w:t>
            </w:r>
          </w:p>
          <w:p w14:paraId="36FFAB6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3）其他风险防范措施</w:t>
            </w:r>
          </w:p>
          <w:p w14:paraId="5838B95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rPr>
                <w:rFonts w:hint="default" w:ascii="Times New Roman" w:hAnsi="Times New Roman" w:cs="Times New Roman"/>
                <w:color w:val="000000" w:themeColor="text1"/>
                <w:sz w:val="21"/>
                <w:szCs w:val="21"/>
              </w:rPr>
            </w:pPr>
            <w:r>
              <w:rPr>
                <w:rFonts w:hint="eastAsia" w:ascii="宋体" w:hAnsi="宋体" w:cs="宋体"/>
                <w:color w:val="000000" w:themeColor="text1"/>
                <w:sz w:val="21"/>
                <w:szCs w:val="21"/>
              </w:rPr>
              <w:t>①</w:t>
            </w:r>
            <w:r>
              <w:rPr>
                <w:rFonts w:hint="default" w:ascii="Times New Roman" w:hAnsi="Times New Roman" w:cs="Times New Roman"/>
                <w:color w:val="000000" w:themeColor="text1"/>
                <w:sz w:val="21"/>
                <w:szCs w:val="21"/>
              </w:rPr>
              <w:t>远离火种、热源。</w:t>
            </w:r>
          </w:p>
          <w:p w14:paraId="2BB0594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rPr>
                <w:rFonts w:hint="default" w:ascii="Times New Roman" w:hAnsi="Times New Roman" w:cs="Times New Roman"/>
                <w:color w:val="000000" w:themeColor="text1"/>
                <w:sz w:val="21"/>
                <w:szCs w:val="21"/>
              </w:rPr>
            </w:pPr>
            <w:r>
              <w:rPr>
                <w:rFonts w:hint="eastAsia" w:ascii="宋体" w:hAnsi="宋体" w:cs="宋体"/>
                <w:color w:val="000000" w:themeColor="text1"/>
                <w:sz w:val="21"/>
                <w:szCs w:val="21"/>
              </w:rPr>
              <w:t>②</w:t>
            </w:r>
            <w:r>
              <w:rPr>
                <w:rFonts w:hint="default" w:ascii="Times New Roman" w:hAnsi="Times New Roman" w:cs="Times New Roman"/>
                <w:color w:val="000000" w:themeColor="text1"/>
                <w:sz w:val="21"/>
                <w:szCs w:val="21"/>
              </w:rPr>
              <w:t>储存区应备有泄漏应急处理设备和合适的收容材料。</w:t>
            </w:r>
          </w:p>
          <w:p w14:paraId="1733C10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rPr>
                <w:rFonts w:hint="default" w:ascii="Times New Roman" w:hAnsi="Times New Roman" w:cs="Times New Roman"/>
                <w:color w:val="000000" w:themeColor="text1"/>
                <w:sz w:val="21"/>
                <w:szCs w:val="21"/>
              </w:rPr>
            </w:pPr>
            <w:r>
              <w:rPr>
                <w:rFonts w:hint="eastAsia" w:ascii="宋体" w:hAnsi="宋体" w:cs="宋体"/>
                <w:color w:val="000000" w:themeColor="text1"/>
                <w:sz w:val="21"/>
                <w:szCs w:val="21"/>
              </w:rPr>
              <w:t>③</w:t>
            </w:r>
            <w:r>
              <w:rPr>
                <w:rFonts w:hint="default" w:ascii="Times New Roman" w:hAnsi="Times New Roman" w:cs="Times New Roman"/>
                <w:color w:val="000000" w:themeColor="text1"/>
                <w:sz w:val="21"/>
                <w:szCs w:val="21"/>
              </w:rPr>
              <w:t>贴有安全事故告知标识、区域安全提示牌、“禁止烟火”、“职业病危害告知”等制度及标识。</w:t>
            </w:r>
          </w:p>
          <w:p w14:paraId="008F7F3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rPr>
                <w:rFonts w:hint="default" w:ascii="Times New Roman" w:hAnsi="Times New Roman" w:cs="Times New Roman"/>
                <w:color w:val="000000" w:themeColor="text1"/>
                <w:sz w:val="21"/>
                <w:szCs w:val="21"/>
              </w:rPr>
            </w:pPr>
            <w:r>
              <w:rPr>
                <w:rFonts w:hint="eastAsia" w:ascii="宋体" w:hAnsi="宋体" w:cs="宋体"/>
                <w:color w:val="000000" w:themeColor="text1"/>
                <w:sz w:val="21"/>
                <w:szCs w:val="21"/>
              </w:rPr>
              <w:t>④</w:t>
            </w:r>
            <w:r>
              <w:rPr>
                <w:rFonts w:hint="default" w:ascii="Times New Roman" w:hAnsi="Times New Roman" w:cs="Times New Roman"/>
                <w:color w:val="000000" w:themeColor="text1"/>
                <w:sz w:val="21"/>
                <w:szCs w:val="21"/>
              </w:rPr>
              <w:t>加强生产设备、环保设备运行管理，厂区各设施及生产、危废存储区均按照相关标准及规范设置。从物品存储、运输等全过程控制产品泄漏，采取行之有效的防渗措施，定期检查，及时消除污染隐患，杜绝跑冒滴漏现象：发现有污染物泄漏或渗漏，及时清理污染物和修补漏洞等补救措施。废气处理设备和生产设备同步投入运行，废气处理设备发生故障时，企业采取停止生产的措施。</w:t>
            </w:r>
          </w:p>
          <w:p w14:paraId="3193B0D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rPr>
                <w:rFonts w:hint="default" w:ascii="Times New Roman" w:hAnsi="Times New Roman" w:cs="Times New Roman"/>
                <w:color w:val="000000" w:themeColor="text1"/>
                <w:sz w:val="21"/>
                <w:szCs w:val="21"/>
              </w:rPr>
            </w:pPr>
            <w:r>
              <w:rPr>
                <w:rFonts w:hint="eastAsia" w:ascii="宋体" w:hAnsi="宋体" w:cs="宋体"/>
                <w:color w:val="000000" w:themeColor="text1"/>
                <w:sz w:val="21"/>
                <w:szCs w:val="21"/>
              </w:rPr>
              <w:t>⑤</w:t>
            </w:r>
            <w:r>
              <w:rPr>
                <w:rFonts w:hint="default" w:ascii="Times New Roman" w:hAnsi="Times New Roman" w:cs="Times New Roman"/>
                <w:color w:val="000000" w:themeColor="text1"/>
                <w:sz w:val="21"/>
                <w:szCs w:val="21"/>
              </w:rPr>
              <w:t>采取三级防控措施</w:t>
            </w:r>
          </w:p>
          <w:p w14:paraId="4D84E50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为了防范和控制事故时或事故处理过程中产生的物料和污水对周边水体环境的污染 和危害、降低环境风险、确保环境安全，本项目建立“三级防控”体系，确保事故状况下废水不对周边环境产生影响。</w:t>
            </w:r>
          </w:p>
          <w:p w14:paraId="6EC68733">
            <w:pPr>
              <w:pStyle w:val="2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rPr>
                <w:rFonts w:hint="eastAsia" w:ascii="Times New Roman" w:hAnsi="Times New Roman" w:cs="Times New Roman"/>
                <w:color w:val="000000" w:themeColor="text1"/>
                <w:sz w:val="21"/>
              </w:rPr>
            </w:pPr>
            <w:r>
              <w:rPr>
                <w:rFonts w:hint="eastAsia" w:ascii="Times New Roman" w:hAnsi="Times New Roman" w:cs="Times New Roman"/>
                <w:color w:val="000000" w:themeColor="text1"/>
                <w:sz w:val="21"/>
              </w:rPr>
              <w:t>①一级防控</w:t>
            </w:r>
          </w:p>
          <w:p w14:paraId="17F8CEBB">
            <w:pPr>
              <w:pStyle w:val="2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rPr>
                <w:rFonts w:hint="eastAsia" w:ascii="Times New Roman" w:hAnsi="Times New Roman" w:cs="Times New Roman"/>
                <w:color w:val="000000" w:themeColor="text1"/>
                <w:sz w:val="21"/>
              </w:rPr>
            </w:pPr>
            <w:r>
              <w:rPr>
                <w:rFonts w:hint="eastAsia" w:ascii="Times New Roman" w:hAnsi="Times New Roman" w:cs="Times New Roman"/>
                <w:color w:val="000000" w:themeColor="text1"/>
                <w:sz w:val="21"/>
              </w:rPr>
              <w:t>项目制</w:t>
            </w:r>
            <w:r>
              <w:rPr>
                <w:rFonts w:hint="eastAsia" w:ascii="Times New Roman" w:hAnsi="Times New Roman" w:cs="Times New Roman"/>
                <w:color w:val="000000" w:themeColor="text1"/>
                <w:sz w:val="21"/>
                <w:lang w:val="en-US" w:eastAsia="zh-CN"/>
              </w:rPr>
              <w:t>料</w:t>
            </w:r>
            <w:r>
              <w:rPr>
                <w:rFonts w:hint="eastAsia" w:ascii="Times New Roman" w:hAnsi="Times New Roman" w:cs="Times New Roman"/>
                <w:color w:val="000000" w:themeColor="text1"/>
                <w:sz w:val="21"/>
              </w:rPr>
              <w:t>区设置环形明沟，并设置排水管道与事故水池相连。</w:t>
            </w:r>
          </w:p>
          <w:p w14:paraId="7D485583">
            <w:pPr>
              <w:pStyle w:val="2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rPr>
                <w:rFonts w:hint="eastAsia" w:ascii="Times New Roman" w:hAnsi="Times New Roman" w:cs="Times New Roman"/>
                <w:color w:val="000000" w:themeColor="text1"/>
                <w:sz w:val="21"/>
              </w:rPr>
            </w:pPr>
            <w:r>
              <w:rPr>
                <w:rFonts w:hint="eastAsia" w:ascii="Times New Roman" w:hAnsi="Times New Roman" w:cs="Times New Roman"/>
                <w:color w:val="000000" w:themeColor="text1"/>
                <w:sz w:val="21"/>
              </w:rPr>
              <w:t>②二级防控</w:t>
            </w:r>
          </w:p>
          <w:p w14:paraId="62B0B83F">
            <w:pPr>
              <w:pStyle w:val="2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rPr>
                <w:rFonts w:hint="eastAsia" w:ascii="Times New Roman" w:hAnsi="Times New Roman" w:cs="Times New Roman"/>
                <w:color w:val="000000" w:themeColor="text1"/>
                <w:sz w:val="21"/>
              </w:rPr>
            </w:pPr>
            <w:r>
              <w:rPr>
                <w:rFonts w:hint="eastAsia" w:ascii="Times New Roman" w:hAnsi="Times New Roman" w:cs="Times New Roman"/>
                <w:color w:val="000000" w:themeColor="text1"/>
                <w:sz w:val="21"/>
              </w:rPr>
              <w:t>为避免储存罐泄漏对周边地表水造成污染，本次要求在制</w:t>
            </w:r>
            <w:r>
              <w:rPr>
                <w:rFonts w:hint="eastAsia" w:ascii="Times New Roman" w:hAnsi="Times New Roman" w:cs="Times New Roman"/>
                <w:color w:val="000000" w:themeColor="text1"/>
                <w:sz w:val="21"/>
                <w:lang w:val="en-US" w:eastAsia="zh-CN"/>
              </w:rPr>
              <w:t>料</w:t>
            </w:r>
            <w:r>
              <w:rPr>
                <w:rFonts w:hint="eastAsia" w:ascii="Times New Roman" w:hAnsi="Times New Roman" w:cs="Times New Roman"/>
                <w:color w:val="000000" w:themeColor="text1"/>
                <w:sz w:val="21"/>
              </w:rPr>
              <w:t>区建设1个不小于160m</w:t>
            </w:r>
            <w:r>
              <w:rPr>
                <w:rFonts w:hint="eastAsia" w:ascii="Times New Roman" w:hAnsi="Times New Roman" w:cs="Times New Roman"/>
                <w:color w:val="000000" w:themeColor="text1"/>
                <w:sz w:val="21"/>
                <w:vertAlign w:val="superscript"/>
              </w:rPr>
              <w:t>3</w:t>
            </w:r>
            <w:r>
              <w:rPr>
                <w:rFonts w:hint="eastAsia" w:ascii="Times New Roman" w:hAnsi="Times New Roman" w:cs="Times New Roman"/>
                <w:color w:val="000000" w:themeColor="text1"/>
                <w:sz w:val="21"/>
              </w:rPr>
              <w:t>（考虑1.2的安全序数）的事故应急池。</w:t>
            </w:r>
          </w:p>
          <w:p w14:paraId="15E3A70B">
            <w:pPr>
              <w:pStyle w:val="2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rPr>
                <w:rFonts w:hint="eastAsia" w:ascii="Times New Roman" w:hAnsi="Times New Roman" w:cs="Times New Roman"/>
                <w:color w:val="000000" w:themeColor="text1"/>
                <w:sz w:val="21"/>
              </w:rPr>
            </w:pPr>
            <w:r>
              <w:rPr>
                <w:rFonts w:hint="eastAsia" w:ascii="Times New Roman" w:hAnsi="Times New Roman" w:cs="Times New Roman"/>
                <w:color w:val="000000" w:themeColor="text1"/>
                <w:sz w:val="21"/>
              </w:rPr>
              <w:t>③三级防控</w:t>
            </w:r>
          </w:p>
          <w:p w14:paraId="74DE11C3">
            <w:pPr>
              <w:pStyle w:val="2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rPr>
                <w:rFonts w:hint="default" w:cs="Times New Roman"/>
                <w:color w:val="000000" w:themeColor="text1"/>
                <w:sz w:val="21"/>
                <w:szCs w:val="21"/>
              </w:rPr>
            </w:pPr>
            <w:r>
              <w:rPr>
                <w:rFonts w:hint="eastAsia" w:ascii="Times New Roman" w:hAnsi="Times New Roman" w:cs="Times New Roman"/>
                <w:color w:val="000000" w:themeColor="text1"/>
                <w:sz w:val="21"/>
              </w:rPr>
              <w:t>项目在厂区雨水排放口设置总阀门，当厂区发生事故时，第一时间关闭阀门，截断废水外排途径。</w:t>
            </w:r>
          </w:p>
        </w:tc>
      </w:tr>
      <w:tr w14:paraId="021768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4" w:type="dxa"/>
            <w:vMerge w:val="restart"/>
            <w:noWrap w:val="0"/>
            <w:vAlign w:val="center"/>
          </w:tcPr>
          <w:p w14:paraId="3FB95EF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pacing w:val="-8"/>
                <w:sz w:val="21"/>
                <w:szCs w:val="21"/>
              </w:rPr>
            </w:pPr>
            <w:r>
              <w:rPr>
                <w:rFonts w:hint="default" w:ascii="Times New Roman" w:hAnsi="Times New Roman" w:cs="Times New Roman"/>
                <w:color w:val="000000" w:themeColor="text1"/>
                <w:spacing w:val="-8"/>
                <w:sz w:val="21"/>
                <w:szCs w:val="21"/>
              </w:rPr>
              <w:t>其他环境</w:t>
            </w:r>
          </w:p>
          <w:p w14:paraId="0212F4A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pacing w:val="-8"/>
                <w:sz w:val="21"/>
                <w:szCs w:val="21"/>
              </w:rPr>
            </w:pPr>
            <w:r>
              <w:rPr>
                <w:rFonts w:hint="default" w:ascii="Times New Roman" w:hAnsi="Times New Roman" w:cs="Times New Roman"/>
                <w:color w:val="000000" w:themeColor="text1"/>
                <w:spacing w:val="-8"/>
                <w:sz w:val="21"/>
                <w:szCs w:val="21"/>
              </w:rPr>
              <w:t>管理要求</w:t>
            </w:r>
          </w:p>
        </w:tc>
        <w:tc>
          <w:tcPr>
            <w:tcW w:w="7655" w:type="dxa"/>
            <w:gridSpan w:val="7"/>
            <w:noWrap w:val="0"/>
            <w:vAlign w:val="center"/>
          </w:tcPr>
          <w:p w14:paraId="339C0EE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根据国家和云南省环境保护厅的有关规定，建设单位应成立专门的环境管理机构，负责项目运营期间的安全生产和环境管理工作。环境管理工作由经理主抓，并配备兼职安全、环保管理人员1人，负责企业环境管理的日常工作。</w:t>
            </w:r>
          </w:p>
        </w:tc>
      </w:tr>
      <w:tr w14:paraId="493C02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4" w:type="dxa"/>
            <w:vMerge w:val="continue"/>
            <w:noWrap w:val="0"/>
            <w:vAlign w:val="center"/>
          </w:tcPr>
          <w:p w14:paraId="0E1D677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pacing w:val="-8"/>
                <w:sz w:val="21"/>
                <w:szCs w:val="21"/>
              </w:rPr>
            </w:pPr>
          </w:p>
        </w:tc>
        <w:tc>
          <w:tcPr>
            <w:tcW w:w="1134" w:type="dxa"/>
            <w:gridSpan w:val="2"/>
            <w:noWrap w:val="0"/>
            <w:vAlign w:val="center"/>
          </w:tcPr>
          <w:p w14:paraId="5A04A59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施工期</w:t>
            </w:r>
          </w:p>
        </w:tc>
        <w:tc>
          <w:tcPr>
            <w:tcW w:w="6521" w:type="dxa"/>
            <w:gridSpan w:val="5"/>
            <w:noWrap w:val="0"/>
            <w:vAlign w:val="center"/>
          </w:tcPr>
          <w:p w14:paraId="433D1D0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w:t>
            </w:r>
          </w:p>
        </w:tc>
      </w:tr>
      <w:tr w14:paraId="06FB5F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4" w:type="dxa"/>
            <w:vMerge w:val="continue"/>
            <w:noWrap w:val="0"/>
            <w:vAlign w:val="center"/>
          </w:tcPr>
          <w:p w14:paraId="69C57C9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pacing w:val="-8"/>
                <w:sz w:val="21"/>
                <w:szCs w:val="21"/>
              </w:rPr>
            </w:pPr>
          </w:p>
        </w:tc>
        <w:tc>
          <w:tcPr>
            <w:tcW w:w="1134" w:type="dxa"/>
            <w:gridSpan w:val="2"/>
            <w:noWrap w:val="0"/>
            <w:vAlign w:val="center"/>
          </w:tcPr>
          <w:p w14:paraId="11E0D76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运营期</w:t>
            </w:r>
          </w:p>
        </w:tc>
        <w:tc>
          <w:tcPr>
            <w:tcW w:w="6521" w:type="dxa"/>
            <w:gridSpan w:val="5"/>
            <w:noWrap w:val="0"/>
            <w:vAlign w:val="center"/>
          </w:tcPr>
          <w:p w14:paraId="648051F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rPr>
                <w:rFonts w:hint="default" w:ascii="Times New Roman" w:hAnsi="Times New Roman" w:cs="Times New Roman"/>
                <w:color w:val="000000" w:themeColor="text1"/>
                <w:sz w:val="21"/>
                <w:szCs w:val="21"/>
              </w:rPr>
            </w:pPr>
            <w:r>
              <w:rPr>
                <w:rFonts w:hint="eastAsia" w:ascii="宋体" w:hAnsi="宋体" w:cs="宋体"/>
                <w:color w:val="000000" w:themeColor="text1"/>
                <w:sz w:val="21"/>
                <w:szCs w:val="21"/>
              </w:rPr>
              <w:t>①</w:t>
            </w:r>
            <w:r>
              <w:rPr>
                <w:rFonts w:hint="default" w:ascii="Times New Roman" w:hAnsi="Times New Roman" w:cs="Times New Roman"/>
                <w:color w:val="000000" w:themeColor="text1"/>
                <w:sz w:val="21"/>
                <w:szCs w:val="21"/>
              </w:rPr>
              <w:t>项目建成投产前，应由环保部门、建设单位共同参与对建设项目验收，检查环保设施是否达到“三同时”要求。</w:t>
            </w:r>
          </w:p>
          <w:p w14:paraId="4F61157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rPr>
                <w:rFonts w:hint="default" w:ascii="Times New Roman" w:hAnsi="Times New Roman" w:cs="Times New Roman"/>
                <w:color w:val="000000" w:themeColor="text1"/>
                <w:sz w:val="21"/>
                <w:szCs w:val="21"/>
              </w:rPr>
            </w:pPr>
            <w:r>
              <w:rPr>
                <w:rFonts w:hint="eastAsia" w:ascii="宋体" w:hAnsi="宋体" w:cs="宋体"/>
                <w:color w:val="000000" w:themeColor="text1"/>
                <w:sz w:val="21"/>
                <w:szCs w:val="21"/>
              </w:rPr>
              <w:t>②</w:t>
            </w:r>
            <w:r>
              <w:rPr>
                <w:rFonts w:hint="default" w:ascii="Times New Roman" w:hAnsi="Times New Roman" w:cs="Times New Roman"/>
                <w:color w:val="000000" w:themeColor="text1"/>
                <w:sz w:val="21"/>
                <w:szCs w:val="21"/>
              </w:rPr>
              <w:t>加强环保设施的管理，定期检查项目内环保设施运行情况，若发现故障，要及时排除，保证环保设施正常运转。</w:t>
            </w:r>
          </w:p>
          <w:p w14:paraId="766D60B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rPr>
                <w:rFonts w:hint="default" w:ascii="Times New Roman" w:hAnsi="Times New Roman" w:cs="Times New Roman"/>
                <w:color w:val="000000" w:themeColor="text1"/>
                <w:sz w:val="21"/>
                <w:szCs w:val="21"/>
              </w:rPr>
            </w:pPr>
            <w:r>
              <w:rPr>
                <w:rFonts w:hint="eastAsia" w:ascii="宋体" w:hAnsi="宋体" w:cs="宋体"/>
                <w:color w:val="000000" w:themeColor="text1"/>
                <w:sz w:val="21"/>
                <w:szCs w:val="21"/>
              </w:rPr>
              <w:t>③</w:t>
            </w:r>
            <w:r>
              <w:rPr>
                <w:rFonts w:hint="default" w:ascii="Times New Roman" w:hAnsi="Times New Roman" w:cs="Times New Roman"/>
                <w:color w:val="000000" w:themeColor="text1"/>
                <w:sz w:val="21"/>
                <w:szCs w:val="21"/>
              </w:rPr>
              <w:t>检查区域内环境，不允许在项目内开展有污染环境的活动，发现问题及时督促解决。</w:t>
            </w:r>
          </w:p>
          <w:p w14:paraId="626A8AF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rPr>
                <w:rFonts w:hint="default" w:ascii="Times New Roman" w:hAnsi="Times New Roman" w:cs="Times New Roman"/>
                <w:color w:val="000000" w:themeColor="text1"/>
                <w:sz w:val="21"/>
                <w:szCs w:val="21"/>
              </w:rPr>
            </w:pPr>
            <w:r>
              <w:rPr>
                <w:rFonts w:hint="eastAsia" w:ascii="宋体" w:hAnsi="宋体" w:cs="宋体"/>
                <w:color w:val="000000" w:themeColor="text1"/>
                <w:sz w:val="21"/>
                <w:szCs w:val="21"/>
              </w:rPr>
              <w:t>④</w:t>
            </w:r>
            <w:r>
              <w:rPr>
                <w:rFonts w:hint="default" w:ascii="Times New Roman" w:hAnsi="Times New Roman" w:cs="Times New Roman"/>
                <w:color w:val="000000" w:themeColor="text1"/>
                <w:sz w:val="21"/>
                <w:szCs w:val="21"/>
              </w:rPr>
              <w:t>运用经济、教育、行政、法律及其它手段，加强项目内人员的环保意识，加强环境保护的自觉性，不断提高环境管理水平。</w:t>
            </w:r>
          </w:p>
          <w:p w14:paraId="5299D89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rPr>
                <w:rFonts w:hint="default" w:ascii="Times New Roman" w:hAnsi="Times New Roman" w:cs="Times New Roman"/>
                <w:color w:val="000000" w:themeColor="text1"/>
                <w:sz w:val="21"/>
                <w:szCs w:val="21"/>
              </w:rPr>
            </w:pPr>
            <w:r>
              <w:rPr>
                <w:rFonts w:hint="eastAsia" w:ascii="宋体" w:hAnsi="宋体" w:cs="宋体"/>
                <w:color w:val="000000" w:themeColor="text1"/>
                <w:sz w:val="21"/>
                <w:szCs w:val="21"/>
              </w:rPr>
              <w:t>⑤</w:t>
            </w:r>
            <w:r>
              <w:rPr>
                <w:rFonts w:hint="default" w:ascii="Times New Roman" w:hAnsi="Times New Roman" w:cs="Times New Roman"/>
                <w:color w:val="000000" w:themeColor="text1"/>
                <w:sz w:val="21"/>
                <w:szCs w:val="21"/>
              </w:rPr>
              <w:t>配合当地环保监测机构，实施环境监测计划。</w:t>
            </w:r>
          </w:p>
        </w:tc>
      </w:tr>
    </w:tbl>
    <w:p w14:paraId="18B917AB">
      <w:pPr>
        <w:pStyle w:val="2"/>
        <w:rPr>
          <w:rFonts w:hint="eastAsia"/>
          <w:color w:val="000000" w:themeColor="text1"/>
        </w:rPr>
        <w:sectPr>
          <w:pgSz w:w="11906" w:h="16838"/>
          <w:pgMar w:top="1440" w:right="1701" w:bottom="1440" w:left="1701" w:header="851" w:footer="992" w:gutter="0"/>
          <w:pgBorders>
            <w:top w:val="none" w:sz="0" w:space="0"/>
            <w:left w:val="none" w:sz="0" w:space="0"/>
            <w:bottom w:val="none" w:sz="0" w:space="0"/>
            <w:right w:val="none" w:sz="0" w:space="0"/>
          </w:pgBorders>
          <w:cols w:space="720" w:num="1"/>
          <w:docGrid w:type="lines" w:linePitch="312" w:charSpace="0"/>
        </w:sectPr>
      </w:pPr>
    </w:p>
    <w:p w14:paraId="744EF4E5">
      <w:pPr>
        <w:pStyle w:val="2"/>
        <w:rPr>
          <w:rFonts w:hint="eastAsia"/>
          <w:color w:val="000000" w:themeColor="text1"/>
        </w:rPr>
      </w:pPr>
      <w:bookmarkStart w:id="25" w:name="_Toc26558"/>
      <w:r>
        <w:rPr>
          <w:rFonts w:hint="eastAsia"/>
          <w:color w:val="000000" w:themeColor="text1"/>
        </w:rPr>
        <w:t>六</w:t>
      </w:r>
      <w:r>
        <w:rPr>
          <w:color w:val="000000" w:themeColor="text1"/>
        </w:rPr>
        <w:t>、</w:t>
      </w:r>
      <w:r>
        <w:rPr>
          <w:rFonts w:hint="eastAsia"/>
          <w:color w:val="000000" w:themeColor="text1"/>
        </w:rPr>
        <w:t>结论</w:t>
      </w:r>
      <w:bookmarkEnd w:id="25"/>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14:paraId="4F8AB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720" w:type="dxa"/>
            <w:noWrap w:val="0"/>
            <w:vAlign w:val="center"/>
          </w:tcPr>
          <w:p w14:paraId="02937F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snapToGrid w:val="0"/>
                <w:color w:val="000000" w:themeColor="text1"/>
                <w:kern w:val="0"/>
                <w:sz w:val="21"/>
                <w:szCs w:val="21"/>
              </w:rPr>
            </w:pPr>
            <w:r>
              <w:rPr>
                <w:rFonts w:hint="eastAsia" w:ascii="Times New Roman" w:hAnsi="Times New Roman" w:cs="Times New Roman"/>
                <w:snapToGrid w:val="0"/>
                <w:color w:val="000000" w:themeColor="text1"/>
                <w:kern w:val="0"/>
                <w:sz w:val="21"/>
                <w:szCs w:val="21"/>
              </w:rPr>
              <w:t>“新建(搬迁)年产3亿片纸浆模塑包装制品项目”符合国家和地方相关产业政策；选址符合当地规划，不涉及自然保护区、饮用水源保护区、生态红线、基本农田等环境敏感区域，平面布局较合理，符合生态保护红线、环境质量底线、资源利用上线的控制要求。</w:t>
            </w:r>
          </w:p>
          <w:p w14:paraId="00B363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eastAsia" w:ascii="Times New Roman" w:hAnsi="Times New Roman" w:cs="Times New Roman"/>
                <w:snapToGrid w:val="0"/>
                <w:color w:val="000000" w:themeColor="text1"/>
                <w:kern w:val="0"/>
                <w:sz w:val="21"/>
                <w:szCs w:val="21"/>
              </w:rPr>
            </w:pPr>
            <w:r>
              <w:rPr>
                <w:rFonts w:hint="eastAsia" w:ascii="Times New Roman" w:hAnsi="Times New Roman" w:cs="Times New Roman"/>
                <w:snapToGrid w:val="0"/>
                <w:color w:val="000000" w:themeColor="text1"/>
                <w:kern w:val="0"/>
                <w:sz w:val="21"/>
                <w:szCs w:val="21"/>
              </w:rPr>
              <w:t>建设单位在严格按照环评提出的要求，切实落实相应的污染防治对策及生态保护措施，严格执行建设项目竣工环境保护验收，并加强环保设施管理和维护，确保环保设施的正常高效运行的基础上，可做到噪声和废气达标排放；废水和固体废弃物100%合理处置，项目运营过程中对所在区域的环境质量影响较小，不改变所在区域的环境功能，对环境保护目标不会产生显著影响，项目的建设与周围环境是相容的。</w:t>
            </w:r>
          </w:p>
          <w:p w14:paraId="51B717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textAlignment w:val="auto"/>
              <w:rPr>
                <w:rFonts w:hint="default" w:ascii="Times New Roman" w:hAnsi="Times New Roman" w:cs="Times New Roman"/>
                <w:snapToGrid w:val="0"/>
                <w:color w:val="000000" w:themeColor="text1"/>
                <w:kern w:val="0"/>
                <w:sz w:val="21"/>
                <w:szCs w:val="21"/>
              </w:rPr>
            </w:pPr>
            <w:r>
              <w:rPr>
                <w:rFonts w:hint="eastAsia" w:ascii="Times New Roman" w:hAnsi="Times New Roman" w:cs="Times New Roman"/>
                <w:snapToGrid w:val="0"/>
                <w:color w:val="000000" w:themeColor="text1"/>
                <w:kern w:val="0"/>
                <w:sz w:val="21"/>
                <w:szCs w:val="21"/>
              </w:rPr>
              <w:t>评价认为，经营单位在今后的运营过程中严格按环评提出的对策措施进行管理，严格执行“三同时”制度，加强企业的环境管理，确保污染物的达标排放的前提下，可减缓项目建设对环境带来的不利影响，使工程建设与环境保护协调发展，从环境保护角度，项目建设是可行的。</w:t>
            </w:r>
          </w:p>
          <w:p w14:paraId="39D895E8">
            <w:pPr>
              <w:keepNext w:val="0"/>
              <w:keepLines w:val="0"/>
              <w:suppressLineNumbers w:val="0"/>
              <w:adjustRightInd w:val="0"/>
              <w:snapToGrid w:val="0"/>
              <w:spacing w:before="0" w:beforeAutospacing="0" w:after="0" w:afterAutospacing="0"/>
              <w:ind w:left="0" w:right="0" w:firstLine="420"/>
              <w:rPr>
                <w:rFonts w:hint="default" w:ascii="Times New Roman" w:hAnsi="Times New Roman" w:cs="Times New Roman"/>
                <w:color w:val="000000" w:themeColor="text1"/>
                <w:sz w:val="21"/>
                <w:szCs w:val="21"/>
              </w:rPr>
            </w:pPr>
          </w:p>
          <w:p w14:paraId="4FF1703F">
            <w:pPr>
              <w:pStyle w:val="23"/>
              <w:keepNext w:val="0"/>
              <w:keepLines w:val="0"/>
              <w:suppressLineNumbers w:val="0"/>
              <w:spacing w:before="0" w:beforeAutospacing="0" w:after="0" w:afterAutospacing="0"/>
              <w:ind w:left="0" w:right="0" w:firstLine="560"/>
              <w:rPr>
                <w:rFonts w:hint="default" w:cs="Times New Roman"/>
                <w:color w:val="000000" w:themeColor="text1"/>
              </w:rPr>
            </w:pPr>
          </w:p>
          <w:p w14:paraId="23D15A20">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rPr>
            </w:pPr>
          </w:p>
          <w:p w14:paraId="5C4F5440">
            <w:pPr>
              <w:pStyle w:val="23"/>
              <w:keepNext w:val="0"/>
              <w:keepLines w:val="0"/>
              <w:suppressLineNumbers w:val="0"/>
              <w:spacing w:before="0" w:beforeAutospacing="0" w:after="0" w:afterAutospacing="0"/>
              <w:ind w:left="0" w:right="0" w:firstLine="560"/>
              <w:rPr>
                <w:rFonts w:hint="default" w:cs="Times New Roman"/>
                <w:color w:val="000000" w:themeColor="text1"/>
              </w:rPr>
            </w:pPr>
          </w:p>
          <w:p w14:paraId="7D0D6F3F">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rPr>
            </w:pPr>
          </w:p>
          <w:p w14:paraId="57B3F422">
            <w:pPr>
              <w:pStyle w:val="23"/>
              <w:keepNext w:val="0"/>
              <w:keepLines w:val="0"/>
              <w:suppressLineNumbers w:val="0"/>
              <w:spacing w:before="0" w:beforeAutospacing="0" w:after="0" w:afterAutospacing="0"/>
              <w:ind w:left="0" w:right="0" w:firstLine="560"/>
              <w:rPr>
                <w:rFonts w:hint="default" w:cs="Times New Roman"/>
                <w:color w:val="000000" w:themeColor="text1"/>
              </w:rPr>
            </w:pPr>
          </w:p>
          <w:p w14:paraId="57865FBC">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rPr>
            </w:pPr>
          </w:p>
          <w:p w14:paraId="48349DEE">
            <w:pPr>
              <w:pStyle w:val="23"/>
              <w:keepNext w:val="0"/>
              <w:keepLines w:val="0"/>
              <w:suppressLineNumbers w:val="0"/>
              <w:spacing w:before="0" w:beforeAutospacing="0" w:after="0" w:afterAutospacing="0"/>
              <w:ind w:left="0" w:right="0" w:firstLine="560"/>
              <w:rPr>
                <w:rFonts w:hint="default" w:cs="Times New Roman"/>
                <w:color w:val="000000" w:themeColor="text1"/>
              </w:rPr>
            </w:pPr>
          </w:p>
          <w:p w14:paraId="7A92BAC9">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rPr>
            </w:pPr>
          </w:p>
          <w:p w14:paraId="1CA86718">
            <w:pPr>
              <w:pStyle w:val="23"/>
              <w:keepNext w:val="0"/>
              <w:keepLines w:val="0"/>
              <w:suppressLineNumbers w:val="0"/>
              <w:spacing w:before="0" w:beforeAutospacing="0" w:after="0" w:afterAutospacing="0"/>
              <w:ind w:left="0" w:right="0" w:firstLine="560"/>
              <w:rPr>
                <w:rFonts w:hint="default" w:cs="Times New Roman"/>
                <w:color w:val="000000" w:themeColor="text1"/>
              </w:rPr>
            </w:pPr>
          </w:p>
          <w:p w14:paraId="4CF76635">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rPr>
            </w:pPr>
          </w:p>
          <w:p w14:paraId="1232AA62">
            <w:pPr>
              <w:keepNext w:val="0"/>
              <w:keepLines w:val="0"/>
              <w:suppressLineNumbers w:val="0"/>
              <w:spacing w:before="0" w:beforeAutospacing="0" w:after="0" w:afterAutospacing="0"/>
              <w:ind w:left="0" w:right="0" w:firstLine="0" w:firstLineChars="0"/>
              <w:rPr>
                <w:rFonts w:hint="eastAsia" w:ascii="Times New Roman" w:hAnsi="Times New Roman" w:cs="Times New Roman"/>
                <w:color w:val="000000" w:themeColor="text1"/>
              </w:rPr>
            </w:pPr>
          </w:p>
          <w:p w14:paraId="4BACE13D">
            <w:pPr>
              <w:pStyle w:val="23"/>
              <w:keepNext w:val="0"/>
              <w:keepLines w:val="0"/>
              <w:suppressLineNumbers w:val="0"/>
              <w:spacing w:before="0" w:beforeAutospacing="0" w:after="0" w:afterAutospacing="0"/>
              <w:ind w:left="0" w:right="0" w:firstLine="560"/>
              <w:rPr>
                <w:rFonts w:hint="default" w:cs="Times New Roman"/>
                <w:color w:val="000000" w:themeColor="text1"/>
              </w:rPr>
            </w:pPr>
          </w:p>
          <w:p w14:paraId="41C8D9B9">
            <w:pPr>
              <w:keepNext w:val="0"/>
              <w:keepLines w:val="0"/>
              <w:suppressLineNumbers w:val="0"/>
              <w:spacing w:before="0" w:beforeAutospacing="0" w:after="0" w:afterAutospacing="0"/>
              <w:ind w:left="0" w:right="0" w:firstLine="0" w:firstLineChars="0"/>
              <w:rPr>
                <w:rFonts w:hint="eastAsia" w:ascii="Times New Roman" w:hAnsi="Times New Roman" w:cs="Times New Roman"/>
                <w:color w:val="000000" w:themeColor="text1"/>
              </w:rPr>
            </w:pPr>
          </w:p>
          <w:p w14:paraId="18C1ADE7">
            <w:pPr>
              <w:keepNext w:val="0"/>
              <w:keepLines w:val="0"/>
              <w:suppressLineNumbers w:val="0"/>
              <w:spacing w:before="0" w:beforeAutospacing="0" w:after="0" w:afterAutospacing="0"/>
              <w:ind w:left="0" w:right="0" w:firstLine="0" w:firstLineChars="0"/>
              <w:rPr>
                <w:rFonts w:hint="eastAsia" w:ascii="Times New Roman" w:hAnsi="Times New Roman" w:cs="Times New Roman"/>
                <w:color w:val="000000" w:themeColor="text1"/>
              </w:rPr>
            </w:pPr>
          </w:p>
        </w:tc>
      </w:tr>
    </w:tbl>
    <w:p w14:paraId="0766BDE3">
      <w:pPr>
        <w:ind w:firstLine="0" w:firstLineChars="0"/>
        <w:rPr>
          <w:color w:val="000000" w:themeColor="text1"/>
        </w:rPr>
        <w:sectPr>
          <w:pgSz w:w="11906" w:h="16838"/>
          <w:pgMar w:top="1440" w:right="1701" w:bottom="1440" w:left="1701" w:header="851" w:footer="992" w:gutter="0"/>
          <w:pgBorders>
            <w:top w:val="none" w:sz="0" w:space="0"/>
            <w:left w:val="none" w:sz="0" w:space="0"/>
            <w:bottom w:val="none" w:sz="0" w:space="0"/>
            <w:right w:val="none" w:sz="0" w:space="0"/>
          </w:pgBorders>
          <w:cols w:space="720" w:num="1"/>
          <w:docGrid w:type="lines" w:linePitch="312" w:charSpace="0"/>
        </w:sectPr>
      </w:pPr>
    </w:p>
    <w:p w14:paraId="7533F073">
      <w:pPr>
        <w:pStyle w:val="38"/>
        <w:adjustRightInd w:val="0"/>
        <w:snapToGrid w:val="0"/>
        <w:spacing w:before="0" w:beforeAutospacing="0" w:after="0" w:afterAutospacing="0"/>
        <w:ind w:firstLine="640"/>
        <w:rPr>
          <w:rFonts w:ascii="Times New Roman" w:hAnsi="Times New Roman" w:eastAsia="黑体"/>
          <w:snapToGrid w:val="0"/>
          <w:color w:val="000000" w:themeColor="text1"/>
          <w:sz w:val="32"/>
          <w:szCs w:val="32"/>
        </w:rPr>
      </w:pPr>
      <w:r>
        <w:rPr>
          <w:rFonts w:ascii="Times New Roman" w:hAnsi="Times New Roman" w:eastAsia="黑体"/>
          <w:snapToGrid w:val="0"/>
          <w:color w:val="000000" w:themeColor="text1"/>
          <w:sz w:val="32"/>
          <w:szCs w:val="32"/>
        </w:rPr>
        <w:t>附表</w:t>
      </w:r>
    </w:p>
    <w:p w14:paraId="30321954">
      <w:pPr>
        <w:pStyle w:val="38"/>
        <w:adjustRightInd w:val="0"/>
        <w:spacing w:before="468" w:beforeLines="150" w:beforeAutospacing="0" w:after="312" w:afterLines="100" w:afterAutospacing="0" w:line="360" w:lineRule="auto"/>
        <w:ind w:firstLine="760"/>
        <w:contextualSpacing/>
        <w:jc w:val="center"/>
        <w:rPr>
          <w:snapToGrid w:val="0"/>
          <w:color w:val="000000" w:themeColor="text1"/>
          <w:sz w:val="38"/>
          <w:szCs w:val="38"/>
        </w:rPr>
      </w:pPr>
      <w:r>
        <w:rPr>
          <w:snapToGrid w:val="0"/>
          <w:color w:val="000000" w:themeColor="text1"/>
          <w:sz w:val="38"/>
          <w:szCs w:val="38"/>
        </w:rPr>
        <w:t>建设项目污染物排放量汇总表</w:t>
      </w:r>
    </w:p>
    <w:tbl>
      <w:tblPr>
        <w:tblStyle w:val="43"/>
        <w:tblW w:w="140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2195"/>
        <w:gridCol w:w="1486"/>
        <w:gridCol w:w="1118"/>
        <w:gridCol w:w="1438"/>
        <w:gridCol w:w="1559"/>
        <w:gridCol w:w="1592"/>
        <w:gridCol w:w="1708"/>
        <w:gridCol w:w="1480"/>
      </w:tblGrid>
      <w:tr w14:paraId="389BE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6" w:type="dxa"/>
            <w:tcBorders>
              <w:tl2br w:val="single" w:color="auto" w:sz="4" w:space="0"/>
            </w:tcBorders>
            <w:noWrap w:val="0"/>
            <w:tcMar>
              <w:left w:w="28" w:type="dxa"/>
              <w:right w:w="28" w:type="dxa"/>
            </w:tcMar>
            <w:vAlign w:val="center"/>
          </w:tcPr>
          <w:p w14:paraId="5A7DF3C9">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right"/>
              <w:rPr>
                <w:rFonts w:hint="default" w:cs="Times New Roman"/>
                <w:snapToGrid w:val="0"/>
                <w:color w:val="000000" w:themeColor="text1"/>
                <w:spacing w:val="-6"/>
                <w:kern w:val="21"/>
              </w:rPr>
            </w:pPr>
            <w:r>
              <w:rPr>
                <w:rFonts w:hint="default" w:cs="Times New Roman"/>
                <w:snapToGrid w:val="0"/>
                <w:color w:val="000000" w:themeColor="text1"/>
                <w:spacing w:val="-6"/>
                <w:kern w:val="21"/>
              </w:rPr>
              <w:t>项目</w:t>
            </w:r>
          </w:p>
          <w:p w14:paraId="4F6DFCE5">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left"/>
              <w:rPr>
                <w:rFonts w:hint="default" w:cs="Times New Roman"/>
                <w:snapToGrid w:val="0"/>
                <w:color w:val="000000" w:themeColor="text1"/>
                <w:spacing w:val="-6"/>
                <w:kern w:val="21"/>
              </w:rPr>
            </w:pPr>
            <w:r>
              <w:rPr>
                <w:rFonts w:hint="default" w:cs="Times New Roman"/>
                <w:snapToGrid w:val="0"/>
                <w:color w:val="000000" w:themeColor="text1"/>
                <w:spacing w:val="-6"/>
                <w:kern w:val="21"/>
              </w:rPr>
              <w:t>分类</w:t>
            </w:r>
          </w:p>
        </w:tc>
        <w:tc>
          <w:tcPr>
            <w:tcW w:w="2195" w:type="dxa"/>
            <w:noWrap w:val="0"/>
            <w:tcMar>
              <w:left w:w="28" w:type="dxa"/>
              <w:right w:w="28" w:type="dxa"/>
            </w:tcMar>
            <w:vAlign w:val="center"/>
          </w:tcPr>
          <w:p w14:paraId="61CF8C6A">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spacing w:val="-6"/>
                <w:kern w:val="21"/>
              </w:rPr>
            </w:pPr>
            <w:r>
              <w:rPr>
                <w:rFonts w:hint="default" w:cs="Times New Roman"/>
                <w:snapToGrid w:val="0"/>
                <w:color w:val="000000" w:themeColor="text1"/>
                <w:spacing w:val="-6"/>
                <w:kern w:val="21"/>
              </w:rPr>
              <w:t>污染物名称</w:t>
            </w:r>
          </w:p>
        </w:tc>
        <w:tc>
          <w:tcPr>
            <w:tcW w:w="1486" w:type="dxa"/>
            <w:noWrap w:val="0"/>
            <w:tcMar>
              <w:left w:w="28" w:type="dxa"/>
              <w:right w:w="28" w:type="dxa"/>
            </w:tcMar>
            <w:vAlign w:val="center"/>
          </w:tcPr>
          <w:p w14:paraId="11131D2A">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spacing w:val="-6"/>
                <w:kern w:val="21"/>
              </w:rPr>
            </w:pPr>
            <w:r>
              <w:rPr>
                <w:rFonts w:hint="default" w:cs="Times New Roman"/>
                <w:snapToGrid w:val="0"/>
                <w:color w:val="000000" w:themeColor="text1"/>
                <w:spacing w:val="-6"/>
                <w:kern w:val="21"/>
              </w:rPr>
              <w:t>现有工程</w:t>
            </w:r>
          </w:p>
          <w:p w14:paraId="2BB6785A">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spacing w:val="-6"/>
                <w:kern w:val="21"/>
              </w:rPr>
            </w:pPr>
            <w:r>
              <w:rPr>
                <w:rFonts w:hint="default" w:cs="Times New Roman"/>
                <w:snapToGrid w:val="0"/>
                <w:color w:val="000000" w:themeColor="text1"/>
                <w:spacing w:val="-6"/>
                <w:kern w:val="21"/>
              </w:rPr>
              <w:t>排放量（固体废物产生量）</w:t>
            </w:r>
            <w:r>
              <w:rPr>
                <w:rFonts w:hint="default" w:cs="Times New Roman"/>
                <w:snapToGrid w:val="0"/>
                <w:color w:val="000000" w:themeColor="text1"/>
                <w:spacing w:val="-6"/>
                <w:kern w:val="21"/>
              </w:rPr>
              <w:fldChar w:fldCharType="begin"/>
            </w:r>
            <w:r>
              <w:rPr>
                <w:rFonts w:hint="default" w:cs="Times New Roman"/>
                <w:snapToGrid w:val="0"/>
                <w:color w:val="000000" w:themeColor="text1"/>
                <w:spacing w:val="-6"/>
                <w:kern w:val="21"/>
              </w:rPr>
              <w:instrText xml:space="preserve"> = 1 \* GB3 \* MERGEFORMAT </w:instrText>
            </w:r>
            <w:r>
              <w:rPr>
                <w:rFonts w:hint="default" w:cs="Times New Roman"/>
                <w:snapToGrid w:val="0"/>
                <w:color w:val="000000" w:themeColor="text1"/>
                <w:spacing w:val="-6"/>
                <w:kern w:val="21"/>
              </w:rPr>
              <w:fldChar w:fldCharType="separate"/>
            </w:r>
            <w:r>
              <w:rPr>
                <w:rFonts w:hint="default" w:cs="Times New Roman"/>
                <w:color w:val="000000" w:themeColor="text1"/>
              </w:rPr>
              <w:t>①</w:t>
            </w:r>
            <w:r>
              <w:rPr>
                <w:rFonts w:hint="default" w:cs="Times New Roman"/>
                <w:snapToGrid w:val="0"/>
                <w:color w:val="000000" w:themeColor="text1"/>
                <w:spacing w:val="-6"/>
                <w:kern w:val="21"/>
              </w:rPr>
              <w:fldChar w:fldCharType="end"/>
            </w:r>
          </w:p>
        </w:tc>
        <w:tc>
          <w:tcPr>
            <w:tcW w:w="1118" w:type="dxa"/>
            <w:noWrap w:val="0"/>
            <w:tcMar>
              <w:left w:w="28" w:type="dxa"/>
              <w:right w:w="28" w:type="dxa"/>
            </w:tcMar>
            <w:vAlign w:val="center"/>
          </w:tcPr>
          <w:p w14:paraId="02722D98">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spacing w:val="-6"/>
                <w:kern w:val="21"/>
              </w:rPr>
            </w:pPr>
            <w:r>
              <w:rPr>
                <w:rFonts w:hint="default" w:cs="Times New Roman"/>
                <w:snapToGrid w:val="0"/>
                <w:color w:val="000000" w:themeColor="text1"/>
                <w:spacing w:val="-6"/>
                <w:kern w:val="21"/>
              </w:rPr>
              <w:t>现有工程</w:t>
            </w:r>
          </w:p>
          <w:p w14:paraId="3752DA37">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spacing w:val="-6"/>
                <w:kern w:val="21"/>
              </w:rPr>
            </w:pPr>
            <w:r>
              <w:rPr>
                <w:rFonts w:hint="default" w:cs="Times New Roman"/>
                <w:snapToGrid w:val="0"/>
                <w:color w:val="000000" w:themeColor="text1"/>
                <w:spacing w:val="-6"/>
                <w:kern w:val="21"/>
              </w:rPr>
              <w:t>许可排放量</w:t>
            </w:r>
          </w:p>
          <w:p w14:paraId="3E96D8DF">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spacing w:val="-6"/>
                <w:kern w:val="21"/>
              </w:rPr>
            </w:pPr>
            <w:r>
              <w:rPr>
                <w:rFonts w:hint="default" w:cs="Times New Roman"/>
                <w:snapToGrid w:val="0"/>
                <w:color w:val="000000" w:themeColor="text1"/>
                <w:spacing w:val="-6"/>
                <w:kern w:val="21"/>
              </w:rPr>
              <w:fldChar w:fldCharType="begin"/>
            </w:r>
            <w:r>
              <w:rPr>
                <w:rFonts w:hint="default" w:cs="Times New Roman"/>
                <w:snapToGrid w:val="0"/>
                <w:color w:val="000000" w:themeColor="text1"/>
                <w:spacing w:val="-6"/>
                <w:kern w:val="21"/>
              </w:rPr>
              <w:instrText xml:space="preserve"> = 2 \* GB3 \* MERGEFORMAT </w:instrText>
            </w:r>
            <w:r>
              <w:rPr>
                <w:rFonts w:hint="default" w:cs="Times New Roman"/>
                <w:snapToGrid w:val="0"/>
                <w:color w:val="000000" w:themeColor="text1"/>
                <w:spacing w:val="-6"/>
                <w:kern w:val="21"/>
              </w:rPr>
              <w:fldChar w:fldCharType="separate"/>
            </w:r>
            <w:r>
              <w:rPr>
                <w:rFonts w:hint="default" w:cs="Times New Roman"/>
                <w:snapToGrid w:val="0"/>
                <w:color w:val="000000" w:themeColor="text1"/>
                <w:spacing w:val="-6"/>
                <w:kern w:val="21"/>
              </w:rPr>
              <w:t>②</w:t>
            </w:r>
            <w:r>
              <w:rPr>
                <w:rFonts w:hint="default" w:cs="Times New Roman"/>
                <w:snapToGrid w:val="0"/>
                <w:color w:val="000000" w:themeColor="text1"/>
                <w:spacing w:val="-6"/>
                <w:kern w:val="21"/>
              </w:rPr>
              <w:fldChar w:fldCharType="end"/>
            </w:r>
          </w:p>
        </w:tc>
        <w:tc>
          <w:tcPr>
            <w:tcW w:w="1438" w:type="dxa"/>
            <w:noWrap w:val="0"/>
            <w:tcMar>
              <w:left w:w="28" w:type="dxa"/>
              <w:right w:w="28" w:type="dxa"/>
            </w:tcMar>
            <w:vAlign w:val="center"/>
          </w:tcPr>
          <w:p w14:paraId="6FD8E275">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spacing w:val="-6"/>
                <w:kern w:val="21"/>
              </w:rPr>
            </w:pPr>
            <w:r>
              <w:rPr>
                <w:rFonts w:hint="default" w:cs="Times New Roman"/>
                <w:snapToGrid w:val="0"/>
                <w:color w:val="000000" w:themeColor="text1"/>
                <w:spacing w:val="-6"/>
                <w:kern w:val="21"/>
              </w:rPr>
              <w:t>在建工程</w:t>
            </w:r>
          </w:p>
          <w:p w14:paraId="04BE8A28">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spacing w:val="-6"/>
                <w:kern w:val="21"/>
              </w:rPr>
            </w:pPr>
            <w:r>
              <w:rPr>
                <w:rFonts w:hint="default" w:cs="Times New Roman"/>
                <w:snapToGrid w:val="0"/>
                <w:color w:val="000000" w:themeColor="text1"/>
                <w:spacing w:val="-6"/>
                <w:kern w:val="21"/>
              </w:rPr>
              <w:t>排放量（固体废物产生量）</w:t>
            </w:r>
            <w:r>
              <w:rPr>
                <w:rFonts w:hint="default" w:cs="Times New Roman"/>
                <w:snapToGrid w:val="0"/>
                <w:color w:val="000000" w:themeColor="text1"/>
                <w:spacing w:val="-6"/>
                <w:kern w:val="21"/>
              </w:rPr>
              <w:fldChar w:fldCharType="begin"/>
            </w:r>
            <w:r>
              <w:rPr>
                <w:rFonts w:hint="default" w:cs="Times New Roman"/>
                <w:snapToGrid w:val="0"/>
                <w:color w:val="000000" w:themeColor="text1"/>
                <w:spacing w:val="-6"/>
                <w:kern w:val="21"/>
              </w:rPr>
              <w:instrText xml:space="preserve"> = 3 \* GB3 \* MERGEFORMAT </w:instrText>
            </w:r>
            <w:r>
              <w:rPr>
                <w:rFonts w:hint="default" w:cs="Times New Roman"/>
                <w:snapToGrid w:val="0"/>
                <w:color w:val="000000" w:themeColor="text1"/>
                <w:spacing w:val="-6"/>
                <w:kern w:val="21"/>
              </w:rPr>
              <w:fldChar w:fldCharType="separate"/>
            </w:r>
            <w:r>
              <w:rPr>
                <w:rFonts w:hint="default" w:cs="Times New Roman"/>
                <w:color w:val="000000" w:themeColor="text1"/>
              </w:rPr>
              <w:t>③</w:t>
            </w:r>
            <w:r>
              <w:rPr>
                <w:rFonts w:hint="default" w:cs="Times New Roman"/>
                <w:snapToGrid w:val="0"/>
                <w:color w:val="000000" w:themeColor="text1"/>
                <w:spacing w:val="-6"/>
                <w:kern w:val="21"/>
              </w:rPr>
              <w:fldChar w:fldCharType="end"/>
            </w:r>
          </w:p>
        </w:tc>
        <w:tc>
          <w:tcPr>
            <w:tcW w:w="1559" w:type="dxa"/>
            <w:noWrap w:val="0"/>
            <w:tcMar>
              <w:left w:w="28" w:type="dxa"/>
              <w:right w:w="28" w:type="dxa"/>
            </w:tcMar>
            <w:vAlign w:val="center"/>
          </w:tcPr>
          <w:p w14:paraId="294EED89">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spacing w:val="-6"/>
                <w:kern w:val="21"/>
              </w:rPr>
            </w:pPr>
            <w:r>
              <w:rPr>
                <w:rFonts w:hint="default" w:cs="Times New Roman"/>
                <w:snapToGrid w:val="0"/>
                <w:color w:val="000000" w:themeColor="text1"/>
                <w:spacing w:val="-6"/>
                <w:kern w:val="21"/>
              </w:rPr>
              <w:t>本项目</w:t>
            </w:r>
          </w:p>
          <w:p w14:paraId="5898FD3D">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spacing w:val="-6"/>
                <w:kern w:val="21"/>
              </w:rPr>
            </w:pPr>
            <w:r>
              <w:rPr>
                <w:rFonts w:hint="default" w:cs="Times New Roman"/>
                <w:snapToGrid w:val="0"/>
                <w:color w:val="000000" w:themeColor="text1"/>
                <w:spacing w:val="-6"/>
                <w:kern w:val="21"/>
              </w:rPr>
              <w:t>排放量（固体废物产生量）</w:t>
            </w:r>
            <w:r>
              <w:rPr>
                <w:rFonts w:hint="default" w:cs="Times New Roman"/>
                <w:snapToGrid w:val="0"/>
                <w:color w:val="000000" w:themeColor="text1"/>
                <w:spacing w:val="-6"/>
                <w:kern w:val="21"/>
              </w:rPr>
              <w:fldChar w:fldCharType="begin"/>
            </w:r>
            <w:r>
              <w:rPr>
                <w:rFonts w:hint="default" w:cs="Times New Roman"/>
                <w:snapToGrid w:val="0"/>
                <w:color w:val="000000" w:themeColor="text1"/>
                <w:spacing w:val="-6"/>
                <w:kern w:val="21"/>
              </w:rPr>
              <w:instrText xml:space="preserve"> = 4 \* GB3 \* MERGEFORMAT </w:instrText>
            </w:r>
            <w:r>
              <w:rPr>
                <w:rFonts w:hint="default" w:cs="Times New Roman"/>
                <w:snapToGrid w:val="0"/>
                <w:color w:val="000000" w:themeColor="text1"/>
                <w:spacing w:val="-6"/>
                <w:kern w:val="21"/>
              </w:rPr>
              <w:fldChar w:fldCharType="separate"/>
            </w:r>
            <w:r>
              <w:rPr>
                <w:rFonts w:hint="default" w:cs="Times New Roman"/>
                <w:color w:val="000000" w:themeColor="text1"/>
              </w:rPr>
              <w:t>④</w:t>
            </w:r>
            <w:r>
              <w:rPr>
                <w:rFonts w:hint="default" w:cs="Times New Roman"/>
                <w:snapToGrid w:val="0"/>
                <w:color w:val="000000" w:themeColor="text1"/>
                <w:spacing w:val="-6"/>
                <w:kern w:val="21"/>
              </w:rPr>
              <w:fldChar w:fldCharType="end"/>
            </w:r>
          </w:p>
        </w:tc>
        <w:tc>
          <w:tcPr>
            <w:tcW w:w="1592" w:type="dxa"/>
            <w:noWrap w:val="0"/>
            <w:tcMar>
              <w:left w:w="28" w:type="dxa"/>
              <w:right w:w="28" w:type="dxa"/>
            </w:tcMar>
            <w:vAlign w:val="center"/>
          </w:tcPr>
          <w:p w14:paraId="2C6B15CC">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spacing w:val="-16"/>
                <w:kern w:val="21"/>
              </w:rPr>
            </w:pPr>
            <w:r>
              <w:rPr>
                <w:rFonts w:hint="default" w:cs="Times New Roman"/>
                <w:snapToGrid w:val="0"/>
                <w:color w:val="000000" w:themeColor="text1"/>
                <w:spacing w:val="-16"/>
                <w:kern w:val="21"/>
              </w:rPr>
              <w:t>以新带老削减量</w:t>
            </w:r>
          </w:p>
          <w:p w14:paraId="1C349840">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spacing w:val="-16"/>
                <w:kern w:val="21"/>
              </w:rPr>
            </w:pPr>
            <w:r>
              <w:rPr>
                <w:rFonts w:hint="default" w:cs="Times New Roman"/>
                <w:snapToGrid w:val="0"/>
                <w:color w:val="000000" w:themeColor="text1"/>
                <w:spacing w:val="-16"/>
                <w:kern w:val="21"/>
              </w:rPr>
              <w:t>（新建项目不填）</w:t>
            </w:r>
            <w:r>
              <w:rPr>
                <w:rFonts w:hint="default" w:cs="Times New Roman"/>
                <w:snapToGrid w:val="0"/>
                <w:color w:val="000000" w:themeColor="text1"/>
                <w:spacing w:val="-16"/>
                <w:kern w:val="21"/>
              </w:rPr>
              <w:fldChar w:fldCharType="begin"/>
            </w:r>
            <w:r>
              <w:rPr>
                <w:rFonts w:hint="default" w:cs="Times New Roman"/>
                <w:snapToGrid w:val="0"/>
                <w:color w:val="000000" w:themeColor="text1"/>
                <w:spacing w:val="-16"/>
                <w:kern w:val="21"/>
              </w:rPr>
              <w:instrText xml:space="preserve"> = 5 \* GB3 \* MERGEFORMAT </w:instrText>
            </w:r>
            <w:r>
              <w:rPr>
                <w:rFonts w:hint="default" w:cs="Times New Roman"/>
                <w:snapToGrid w:val="0"/>
                <w:color w:val="000000" w:themeColor="text1"/>
                <w:spacing w:val="-16"/>
                <w:kern w:val="21"/>
              </w:rPr>
              <w:fldChar w:fldCharType="separate"/>
            </w:r>
            <w:r>
              <w:rPr>
                <w:rFonts w:hint="default" w:cs="Times New Roman"/>
                <w:color w:val="000000" w:themeColor="text1"/>
              </w:rPr>
              <w:t>⑤</w:t>
            </w:r>
            <w:r>
              <w:rPr>
                <w:rFonts w:hint="default" w:cs="Times New Roman"/>
                <w:snapToGrid w:val="0"/>
                <w:color w:val="000000" w:themeColor="text1"/>
                <w:spacing w:val="-16"/>
                <w:kern w:val="21"/>
              </w:rPr>
              <w:fldChar w:fldCharType="end"/>
            </w:r>
          </w:p>
        </w:tc>
        <w:tc>
          <w:tcPr>
            <w:tcW w:w="1708" w:type="dxa"/>
            <w:noWrap w:val="0"/>
            <w:tcMar>
              <w:left w:w="28" w:type="dxa"/>
              <w:right w:w="28" w:type="dxa"/>
            </w:tcMar>
            <w:vAlign w:val="center"/>
          </w:tcPr>
          <w:p w14:paraId="4D8E8B82">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spacing w:val="-16"/>
                <w:kern w:val="21"/>
              </w:rPr>
            </w:pPr>
            <w:r>
              <w:rPr>
                <w:rFonts w:hint="default" w:cs="Times New Roman"/>
                <w:snapToGrid w:val="0"/>
                <w:color w:val="000000" w:themeColor="text1"/>
                <w:spacing w:val="-16"/>
                <w:kern w:val="21"/>
              </w:rPr>
              <w:t>本项目建成后</w:t>
            </w:r>
          </w:p>
          <w:p w14:paraId="5D02A751">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spacing w:val="-16"/>
                <w:kern w:val="21"/>
              </w:rPr>
            </w:pPr>
            <w:r>
              <w:rPr>
                <w:rFonts w:hint="default" w:cs="Times New Roman"/>
                <w:snapToGrid w:val="0"/>
                <w:color w:val="000000" w:themeColor="text1"/>
                <w:spacing w:val="-16"/>
                <w:kern w:val="21"/>
              </w:rPr>
              <w:t>全厂排放量（固体废物产生量）</w:t>
            </w:r>
            <w:r>
              <w:rPr>
                <w:rFonts w:hint="default" w:cs="Times New Roman"/>
                <w:snapToGrid w:val="0"/>
                <w:color w:val="000000" w:themeColor="text1"/>
                <w:spacing w:val="-16"/>
                <w:kern w:val="21"/>
              </w:rPr>
              <w:fldChar w:fldCharType="begin"/>
            </w:r>
            <w:r>
              <w:rPr>
                <w:rFonts w:hint="default" w:cs="Times New Roman"/>
                <w:snapToGrid w:val="0"/>
                <w:color w:val="000000" w:themeColor="text1"/>
                <w:spacing w:val="-16"/>
                <w:kern w:val="21"/>
              </w:rPr>
              <w:instrText xml:space="preserve"> = 6 \* GB3 \* MERGEFORMAT </w:instrText>
            </w:r>
            <w:r>
              <w:rPr>
                <w:rFonts w:hint="default" w:cs="Times New Roman"/>
                <w:snapToGrid w:val="0"/>
                <w:color w:val="000000" w:themeColor="text1"/>
                <w:spacing w:val="-16"/>
                <w:kern w:val="21"/>
              </w:rPr>
              <w:fldChar w:fldCharType="separate"/>
            </w:r>
            <w:r>
              <w:rPr>
                <w:rFonts w:hint="default" w:cs="Times New Roman"/>
                <w:color w:val="000000" w:themeColor="text1"/>
              </w:rPr>
              <w:t>⑥</w:t>
            </w:r>
            <w:r>
              <w:rPr>
                <w:rFonts w:hint="default" w:cs="Times New Roman"/>
                <w:snapToGrid w:val="0"/>
                <w:color w:val="000000" w:themeColor="text1"/>
                <w:spacing w:val="-16"/>
                <w:kern w:val="21"/>
              </w:rPr>
              <w:fldChar w:fldCharType="end"/>
            </w:r>
          </w:p>
        </w:tc>
        <w:tc>
          <w:tcPr>
            <w:tcW w:w="1480" w:type="dxa"/>
            <w:noWrap w:val="0"/>
            <w:tcMar>
              <w:left w:w="28" w:type="dxa"/>
              <w:right w:w="28" w:type="dxa"/>
            </w:tcMar>
            <w:vAlign w:val="center"/>
          </w:tcPr>
          <w:p w14:paraId="141FA735">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spacing w:val="-6"/>
                <w:kern w:val="21"/>
              </w:rPr>
            </w:pPr>
            <w:r>
              <w:rPr>
                <w:rFonts w:hint="default" w:cs="Times New Roman"/>
                <w:snapToGrid w:val="0"/>
                <w:color w:val="000000" w:themeColor="text1"/>
                <w:spacing w:val="-6"/>
                <w:kern w:val="21"/>
              </w:rPr>
              <w:t>变化量</w:t>
            </w:r>
          </w:p>
          <w:p w14:paraId="47A1CC46">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spacing w:val="-6"/>
                <w:kern w:val="21"/>
              </w:rPr>
            </w:pPr>
            <w:r>
              <w:rPr>
                <w:rFonts w:hint="default" w:cs="Times New Roman"/>
                <w:snapToGrid w:val="0"/>
                <w:color w:val="000000" w:themeColor="text1"/>
                <w:spacing w:val="-6"/>
                <w:kern w:val="21"/>
              </w:rPr>
              <w:fldChar w:fldCharType="begin"/>
            </w:r>
            <w:r>
              <w:rPr>
                <w:rFonts w:hint="default" w:cs="Times New Roman"/>
                <w:snapToGrid w:val="0"/>
                <w:color w:val="000000" w:themeColor="text1"/>
                <w:spacing w:val="-6"/>
                <w:kern w:val="21"/>
              </w:rPr>
              <w:instrText xml:space="preserve"> = 7 \* GB3 \* MERGEFORMAT </w:instrText>
            </w:r>
            <w:r>
              <w:rPr>
                <w:rFonts w:hint="default" w:cs="Times New Roman"/>
                <w:snapToGrid w:val="0"/>
                <w:color w:val="000000" w:themeColor="text1"/>
                <w:spacing w:val="-6"/>
                <w:kern w:val="21"/>
              </w:rPr>
              <w:fldChar w:fldCharType="separate"/>
            </w:r>
            <w:r>
              <w:rPr>
                <w:rFonts w:hint="default" w:cs="Times New Roman"/>
                <w:color w:val="000000" w:themeColor="text1"/>
              </w:rPr>
              <w:t>⑦</w:t>
            </w:r>
            <w:r>
              <w:rPr>
                <w:rFonts w:hint="default" w:cs="Times New Roman"/>
                <w:snapToGrid w:val="0"/>
                <w:color w:val="000000" w:themeColor="text1"/>
                <w:spacing w:val="-6"/>
                <w:kern w:val="21"/>
              </w:rPr>
              <w:fldChar w:fldCharType="end"/>
            </w:r>
          </w:p>
        </w:tc>
      </w:tr>
      <w:tr w14:paraId="23129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6" w:type="dxa"/>
            <w:vMerge w:val="restart"/>
            <w:noWrap w:val="0"/>
            <w:vAlign w:val="center"/>
          </w:tcPr>
          <w:p w14:paraId="2D703D2D">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default" w:cs="Times New Roman"/>
                <w:snapToGrid w:val="0"/>
                <w:color w:val="000000" w:themeColor="text1"/>
                <w:kern w:val="21"/>
              </w:rPr>
              <w:t>废气</w:t>
            </w:r>
          </w:p>
        </w:tc>
        <w:tc>
          <w:tcPr>
            <w:tcW w:w="2195" w:type="dxa"/>
            <w:noWrap w:val="0"/>
            <w:vAlign w:val="center"/>
          </w:tcPr>
          <w:p w14:paraId="1A93A550">
            <w:pPr>
              <w:pStyle w:val="91"/>
              <w:keepNext/>
              <w:keepLines/>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eastAsia" w:cs="Times New Roman"/>
                <w:b w:val="0"/>
                <w:bCs w:val="0"/>
                <w:snapToGrid w:val="0"/>
                <w:color w:val="000000" w:themeColor="text1"/>
                <w:kern w:val="21"/>
              </w:rPr>
            </w:pPr>
            <w:r>
              <w:rPr>
                <w:rFonts w:hint="eastAsia" w:cs="Times New Roman"/>
                <w:b w:val="0"/>
                <w:bCs w:val="0"/>
                <w:color w:val="000000" w:themeColor="text1"/>
              </w:rPr>
              <w:t>颗粒物</w:t>
            </w:r>
          </w:p>
        </w:tc>
        <w:tc>
          <w:tcPr>
            <w:tcW w:w="1486" w:type="dxa"/>
            <w:noWrap w:val="0"/>
            <w:vAlign w:val="center"/>
          </w:tcPr>
          <w:p w14:paraId="5524245E">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eastAsia" w:cs="Times New Roman"/>
                <w:snapToGrid w:val="0"/>
                <w:color w:val="000000" w:themeColor="text1"/>
                <w:kern w:val="21"/>
              </w:rPr>
              <w:t>/</w:t>
            </w:r>
          </w:p>
        </w:tc>
        <w:tc>
          <w:tcPr>
            <w:tcW w:w="1118" w:type="dxa"/>
            <w:noWrap w:val="0"/>
            <w:vAlign w:val="center"/>
          </w:tcPr>
          <w:p w14:paraId="299EE848">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eastAsia" w:cs="Times New Roman"/>
                <w:snapToGrid w:val="0"/>
                <w:color w:val="000000" w:themeColor="text1"/>
                <w:kern w:val="21"/>
              </w:rPr>
              <w:t>/</w:t>
            </w:r>
          </w:p>
        </w:tc>
        <w:tc>
          <w:tcPr>
            <w:tcW w:w="1438" w:type="dxa"/>
            <w:noWrap w:val="0"/>
            <w:vAlign w:val="center"/>
          </w:tcPr>
          <w:p w14:paraId="31B52A58">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eastAsia" w:cs="Times New Roman"/>
                <w:snapToGrid w:val="0"/>
                <w:color w:val="000000" w:themeColor="text1"/>
                <w:kern w:val="21"/>
              </w:rPr>
              <w:t>/</w:t>
            </w:r>
          </w:p>
        </w:tc>
        <w:tc>
          <w:tcPr>
            <w:tcW w:w="1559" w:type="dxa"/>
            <w:noWrap w:val="0"/>
            <w:vAlign w:val="center"/>
          </w:tcPr>
          <w:p w14:paraId="3F34C293">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eastAsia" w:cs="Times New Roman"/>
                <w:snapToGrid w:val="0"/>
                <w:color w:val="000000" w:themeColor="text1"/>
                <w:kern w:val="21"/>
              </w:rPr>
            </w:pPr>
            <w:r>
              <w:rPr>
                <w:rFonts w:hint="eastAsia" w:cs="Times New Roman"/>
                <w:snapToGrid w:val="0"/>
                <w:color w:val="000000" w:themeColor="text1"/>
                <w:kern w:val="21"/>
                <w:lang w:val="en-US" w:eastAsia="zh-CN"/>
              </w:rPr>
              <w:t>0.15</w:t>
            </w:r>
            <w:r>
              <w:rPr>
                <w:rFonts w:hint="eastAsia" w:cs="Times New Roman"/>
                <w:snapToGrid w:val="0"/>
                <w:color w:val="000000" w:themeColor="text1"/>
                <w:kern w:val="21"/>
              </w:rPr>
              <w:t>t/a</w:t>
            </w:r>
          </w:p>
        </w:tc>
        <w:tc>
          <w:tcPr>
            <w:tcW w:w="1592" w:type="dxa"/>
            <w:noWrap w:val="0"/>
            <w:vAlign w:val="center"/>
          </w:tcPr>
          <w:p w14:paraId="48D6D6AF">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eastAsia" w:eastAsia="宋体" w:cs="Times New Roman"/>
                <w:snapToGrid w:val="0"/>
                <w:color w:val="000000" w:themeColor="text1"/>
                <w:kern w:val="21"/>
                <w:lang w:val="en-US" w:eastAsia="zh-CN"/>
              </w:rPr>
            </w:pPr>
            <w:r>
              <w:rPr>
                <w:rFonts w:hint="eastAsia" w:cs="Times New Roman"/>
                <w:snapToGrid w:val="0"/>
                <w:color w:val="000000" w:themeColor="text1"/>
                <w:kern w:val="21"/>
                <w:lang w:val="en-US" w:eastAsia="zh-CN"/>
              </w:rPr>
              <w:t>/</w:t>
            </w:r>
          </w:p>
        </w:tc>
        <w:tc>
          <w:tcPr>
            <w:tcW w:w="1708" w:type="dxa"/>
            <w:noWrap w:val="0"/>
            <w:vAlign w:val="center"/>
          </w:tcPr>
          <w:p w14:paraId="1E6CFDA7">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eastAsia" w:cs="Times New Roman"/>
                <w:snapToGrid w:val="0"/>
                <w:color w:val="000000" w:themeColor="text1"/>
                <w:kern w:val="21"/>
              </w:rPr>
            </w:pPr>
            <w:r>
              <w:rPr>
                <w:rFonts w:hint="eastAsia" w:cs="Times New Roman"/>
                <w:snapToGrid w:val="0"/>
                <w:color w:val="000000" w:themeColor="text1"/>
                <w:kern w:val="21"/>
                <w:lang w:val="en-US" w:eastAsia="zh-CN"/>
              </w:rPr>
              <w:t>0.15</w:t>
            </w:r>
            <w:r>
              <w:rPr>
                <w:rFonts w:hint="eastAsia" w:cs="Times New Roman"/>
                <w:snapToGrid w:val="0"/>
                <w:color w:val="000000" w:themeColor="text1"/>
                <w:kern w:val="21"/>
              </w:rPr>
              <w:t>t/a</w:t>
            </w:r>
          </w:p>
        </w:tc>
        <w:tc>
          <w:tcPr>
            <w:tcW w:w="1480" w:type="dxa"/>
            <w:noWrap w:val="0"/>
            <w:vAlign w:val="center"/>
          </w:tcPr>
          <w:p w14:paraId="4311E423">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eastAsia="宋体" w:cs="Times New Roman"/>
                <w:snapToGrid w:val="0"/>
                <w:color w:val="000000" w:themeColor="text1"/>
                <w:kern w:val="21"/>
                <w:lang w:val="en-US" w:eastAsia="zh-CN"/>
              </w:rPr>
            </w:pPr>
            <w:r>
              <w:rPr>
                <w:rFonts w:hint="eastAsia" w:cs="Times New Roman"/>
                <w:snapToGrid w:val="0"/>
                <w:color w:val="000000" w:themeColor="text1"/>
                <w:kern w:val="21"/>
              </w:rPr>
              <w:t>+</w:t>
            </w:r>
            <w:r>
              <w:rPr>
                <w:rFonts w:hint="eastAsia" w:cs="Times New Roman"/>
                <w:snapToGrid w:val="0"/>
                <w:color w:val="000000" w:themeColor="text1"/>
                <w:kern w:val="21"/>
                <w:lang w:eastAsia="zh-CN"/>
              </w:rPr>
              <w:t>0.15</w:t>
            </w:r>
            <w:r>
              <w:rPr>
                <w:rFonts w:hint="eastAsia" w:cs="Times New Roman"/>
                <w:snapToGrid w:val="0"/>
                <w:color w:val="000000" w:themeColor="text1"/>
                <w:kern w:val="21"/>
                <w:lang w:val="en-US" w:eastAsia="zh-CN"/>
              </w:rPr>
              <w:t>t/a</w:t>
            </w:r>
          </w:p>
        </w:tc>
      </w:tr>
      <w:tr w14:paraId="09BA9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6" w:type="dxa"/>
            <w:vMerge w:val="continue"/>
            <w:noWrap w:val="0"/>
            <w:vAlign w:val="center"/>
          </w:tcPr>
          <w:p w14:paraId="1B70EAE5">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p>
        </w:tc>
        <w:tc>
          <w:tcPr>
            <w:tcW w:w="2195" w:type="dxa"/>
            <w:noWrap w:val="0"/>
            <w:vAlign w:val="center"/>
          </w:tcPr>
          <w:p w14:paraId="353103E3">
            <w:pPr>
              <w:pStyle w:val="91"/>
              <w:keepNext/>
              <w:keepLines/>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eastAsia" w:eastAsia="宋体" w:cs="Times New Roman"/>
                <w:b w:val="0"/>
                <w:bCs w:val="0"/>
                <w:color w:val="000000" w:themeColor="text1"/>
                <w:lang w:val="en-US" w:eastAsia="zh-CN"/>
              </w:rPr>
            </w:pPr>
            <w:r>
              <w:rPr>
                <w:rFonts w:hint="eastAsia" w:cs="Times New Roman"/>
                <w:b w:val="0"/>
                <w:bCs w:val="0"/>
                <w:color w:val="000000" w:themeColor="text1"/>
                <w:lang w:val="en-US" w:eastAsia="zh-CN"/>
              </w:rPr>
              <w:t>二氧化硫</w:t>
            </w:r>
          </w:p>
        </w:tc>
        <w:tc>
          <w:tcPr>
            <w:tcW w:w="1486" w:type="dxa"/>
            <w:noWrap w:val="0"/>
            <w:vAlign w:val="center"/>
          </w:tcPr>
          <w:p w14:paraId="7D3797D4">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default" w:cs="Times New Roman"/>
                <w:snapToGrid w:val="0"/>
                <w:color w:val="000000" w:themeColor="text1"/>
                <w:kern w:val="21"/>
              </w:rPr>
              <w:t>/</w:t>
            </w:r>
          </w:p>
        </w:tc>
        <w:tc>
          <w:tcPr>
            <w:tcW w:w="1118" w:type="dxa"/>
            <w:noWrap w:val="0"/>
            <w:vAlign w:val="center"/>
          </w:tcPr>
          <w:p w14:paraId="7D922078">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default" w:cs="Times New Roman"/>
                <w:snapToGrid w:val="0"/>
                <w:color w:val="000000" w:themeColor="text1"/>
                <w:kern w:val="21"/>
              </w:rPr>
              <w:t>/</w:t>
            </w:r>
          </w:p>
        </w:tc>
        <w:tc>
          <w:tcPr>
            <w:tcW w:w="1438" w:type="dxa"/>
            <w:noWrap w:val="0"/>
            <w:vAlign w:val="center"/>
          </w:tcPr>
          <w:p w14:paraId="6A4DD8E7">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default" w:cs="Times New Roman"/>
                <w:snapToGrid w:val="0"/>
                <w:color w:val="000000" w:themeColor="text1"/>
                <w:kern w:val="21"/>
              </w:rPr>
              <w:t>/</w:t>
            </w:r>
          </w:p>
        </w:tc>
        <w:tc>
          <w:tcPr>
            <w:tcW w:w="1559" w:type="dxa"/>
            <w:noWrap w:val="0"/>
            <w:vAlign w:val="center"/>
          </w:tcPr>
          <w:p w14:paraId="6083F66F">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eastAsia="宋体" w:cs="Times New Roman"/>
                <w:snapToGrid w:val="0"/>
                <w:color w:val="000000" w:themeColor="text1"/>
                <w:kern w:val="21"/>
                <w:lang w:val="en-US" w:eastAsia="zh-CN"/>
              </w:rPr>
            </w:pPr>
            <w:r>
              <w:rPr>
                <w:rFonts w:hint="eastAsia" w:cs="Times New Roman"/>
                <w:snapToGrid w:val="0"/>
                <w:color w:val="000000" w:themeColor="text1"/>
                <w:kern w:val="21"/>
                <w:lang w:val="en-US" w:eastAsia="zh-CN"/>
              </w:rPr>
              <w:t>0.61</w:t>
            </w:r>
            <w:r>
              <w:rPr>
                <w:rFonts w:hint="eastAsia" w:cs="Times New Roman"/>
                <w:snapToGrid w:val="0"/>
                <w:color w:val="000000" w:themeColor="text1"/>
                <w:kern w:val="21"/>
              </w:rPr>
              <w:t>t/a</w:t>
            </w:r>
          </w:p>
        </w:tc>
        <w:tc>
          <w:tcPr>
            <w:tcW w:w="1592" w:type="dxa"/>
            <w:noWrap w:val="0"/>
            <w:vAlign w:val="center"/>
          </w:tcPr>
          <w:p w14:paraId="0B66CE05">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eastAsia" w:eastAsia="宋体" w:cs="Times New Roman"/>
                <w:snapToGrid w:val="0"/>
                <w:color w:val="000000" w:themeColor="text1"/>
                <w:kern w:val="21"/>
                <w:lang w:val="en-US" w:eastAsia="zh-CN"/>
              </w:rPr>
            </w:pPr>
            <w:r>
              <w:rPr>
                <w:rFonts w:hint="eastAsia" w:cs="Times New Roman"/>
                <w:snapToGrid w:val="0"/>
                <w:color w:val="000000" w:themeColor="text1"/>
                <w:kern w:val="21"/>
                <w:lang w:val="en-US" w:eastAsia="zh-CN"/>
              </w:rPr>
              <w:t>/</w:t>
            </w:r>
          </w:p>
        </w:tc>
        <w:tc>
          <w:tcPr>
            <w:tcW w:w="1708" w:type="dxa"/>
            <w:noWrap w:val="0"/>
            <w:vAlign w:val="center"/>
          </w:tcPr>
          <w:p w14:paraId="2DEC9A8B">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eastAsia" w:cs="Times New Roman"/>
                <w:snapToGrid w:val="0"/>
                <w:color w:val="000000" w:themeColor="text1"/>
                <w:kern w:val="21"/>
              </w:rPr>
            </w:pPr>
            <w:r>
              <w:rPr>
                <w:rFonts w:hint="eastAsia" w:cs="Times New Roman"/>
                <w:snapToGrid w:val="0"/>
                <w:color w:val="000000" w:themeColor="text1"/>
                <w:kern w:val="21"/>
                <w:lang w:val="en-US" w:eastAsia="zh-CN"/>
              </w:rPr>
              <w:t>0.61</w:t>
            </w:r>
            <w:r>
              <w:rPr>
                <w:rFonts w:hint="eastAsia" w:cs="Times New Roman"/>
                <w:snapToGrid w:val="0"/>
                <w:color w:val="000000" w:themeColor="text1"/>
                <w:kern w:val="21"/>
              </w:rPr>
              <w:t>t/a</w:t>
            </w:r>
          </w:p>
        </w:tc>
        <w:tc>
          <w:tcPr>
            <w:tcW w:w="1480" w:type="dxa"/>
            <w:noWrap w:val="0"/>
            <w:vAlign w:val="center"/>
          </w:tcPr>
          <w:p w14:paraId="4DB0FCDB">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eastAsia="宋体" w:cs="Times New Roman"/>
                <w:snapToGrid w:val="0"/>
                <w:color w:val="000000" w:themeColor="text1"/>
                <w:kern w:val="21"/>
                <w:lang w:val="en-US" w:eastAsia="zh-CN"/>
              </w:rPr>
            </w:pPr>
            <w:r>
              <w:rPr>
                <w:rFonts w:hint="eastAsia" w:cs="Times New Roman"/>
                <w:snapToGrid w:val="0"/>
                <w:color w:val="000000" w:themeColor="text1"/>
                <w:kern w:val="21"/>
                <w:lang w:val="en-US" w:eastAsia="zh-CN"/>
              </w:rPr>
              <w:t>+0.61t/a</w:t>
            </w:r>
          </w:p>
        </w:tc>
      </w:tr>
      <w:tr w14:paraId="5FEFA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6" w:type="dxa"/>
            <w:vMerge w:val="continue"/>
            <w:noWrap w:val="0"/>
            <w:vAlign w:val="center"/>
          </w:tcPr>
          <w:p w14:paraId="4EFE8847">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p>
        </w:tc>
        <w:tc>
          <w:tcPr>
            <w:tcW w:w="2195" w:type="dxa"/>
            <w:noWrap w:val="0"/>
            <w:vAlign w:val="center"/>
          </w:tcPr>
          <w:p w14:paraId="34340B83">
            <w:pPr>
              <w:pStyle w:val="91"/>
              <w:keepNext/>
              <w:keepLines/>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eastAsia="宋体" w:cs="Times New Roman"/>
                <w:b w:val="0"/>
                <w:bCs w:val="0"/>
                <w:color w:val="000000" w:themeColor="text1"/>
                <w:lang w:val="en-US" w:eastAsia="zh-CN"/>
              </w:rPr>
            </w:pPr>
            <w:r>
              <w:rPr>
                <w:rFonts w:hint="eastAsia" w:cs="Times New Roman"/>
                <w:b w:val="0"/>
                <w:bCs w:val="0"/>
                <w:color w:val="000000" w:themeColor="text1"/>
                <w:lang w:val="en-US" w:eastAsia="zh-CN"/>
              </w:rPr>
              <w:t>氮氧化物</w:t>
            </w:r>
          </w:p>
        </w:tc>
        <w:tc>
          <w:tcPr>
            <w:tcW w:w="1486" w:type="dxa"/>
            <w:noWrap w:val="0"/>
            <w:vAlign w:val="center"/>
          </w:tcPr>
          <w:p w14:paraId="3EA2B257">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eastAsia" w:cs="Times New Roman"/>
                <w:snapToGrid w:val="0"/>
                <w:color w:val="000000" w:themeColor="text1"/>
                <w:kern w:val="21"/>
              </w:rPr>
              <w:t>/</w:t>
            </w:r>
          </w:p>
        </w:tc>
        <w:tc>
          <w:tcPr>
            <w:tcW w:w="1118" w:type="dxa"/>
            <w:noWrap w:val="0"/>
            <w:vAlign w:val="center"/>
          </w:tcPr>
          <w:p w14:paraId="083389C2">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eastAsia" w:cs="Times New Roman"/>
                <w:snapToGrid w:val="0"/>
                <w:color w:val="000000" w:themeColor="text1"/>
                <w:kern w:val="21"/>
              </w:rPr>
              <w:t>/</w:t>
            </w:r>
          </w:p>
        </w:tc>
        <w:tc>
          <w:tcPr>
            <w:tcW w:w="1438" w:type="dxa"/>
            <w:noWrap w:val="0"/>
            <w:vAlign w:val="center"/>
          </w:tcPr>
          <w:p w14:paraId="504AB39F">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eastAsia" w:cs="Times New Roman"/>
                <w:snapToGrid w:val="0"/>
                <w:color w:val="000000" w:themeColor="text1"/>
                <w:kern w:val="21"/>
              </w:rPr>
              <w:t>/</w:t>
            </w:r>
          </w:p>
        </w:tc>
        <w:tc>
          <w:tcPr>
            <w:tcW w:w="1559" w:type="dxa"/>
            <w:noWrap w:val="0"/>
            <w:vAlign w:val="center"/>
          </w:tcPr>
          <w:p w14:paraId="3C40E9D7">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eastAsia="宋体" w:cs="Times New Roman"/>
                <w:snapToGrid w:val="0"/>
                <w:color w:val="000000" w:themeColor="text1"/>
                <w:kern w:val="21"/>
                <w:lang w:val="en-US" w:eastAsia="zh-CN"/>
              </w:rPr>
            </w:pPr>
            <w:r>
              <w:rPr>
                <w:rFonts w:hint="eastAsia" w:cs="Times New Roman"/>
                <w:snapToGrid w:val="0"/>
                <w:color w:val="000000" w:themeColor="text1"/>
                <w:kern w:val="21"/>
                <w:lang w:val="en-US" w:eastAsia="zh-CN"/>
              </w:rPr>
              <w:t>1.84</w:t>
            </w:r>
            <w:r>
              <w:rPr>
                <w:rFonts w:hint="eastAsia" w:cs="Times New Roman"/>
                <w:snapToGrid w:val="0"/>
                <w:color w:val="000000" w:themeColor="text1"/>
                <w:kern w:val="21"/>
              </w:rPr>
              <w:t>t/a</w:t>
            </w:r>
          </w:p>
        </w:tc>
        <w:tc>
          <w:tcPr>
            <w:tcW w:w="1592" w:type="dxa"/>
            <w:noWrap w:val="0"/>
            <w:vAlign w:val="center"/>
          </w:tcPr>
          <w:p w14:paraId="2EFDA826">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eastAsia" w:eastAsia="宋体" w:cs="Times New Roman"/>
                <w:snapToGrid w:val="0"/>
                <w:color w:val="000000" w:themeColor="text1"/>
                <w:kern w:val="21"/>
                <w:lang w:val="en-US" w:eastAsia="zh-CN"/>
              </w:rPr>
            </w:pPr>
            <w:r>
              <w:rPr>
                <w:rFonts w:hint="eastAsia" w:cs="Times New Roman"/>
                <w:snapToGrid w:val="0"/>
                <w:color w:val="000000" w:themeColor="text1"/>
                <w:kern w:val="21"/>
                <w:lang w:val="en-US" w:eastAsia="zh-CN"/>
              </w:rPr>
              <w:t>/</w:t>
            </w:r>
          </w:p>
        </w:tc>
        <w:tc>
          <w:tcPr>
            <w:tcW w:w="1708" w:type="dxa"/>
            <w:noWrap w:val="0"/>
            <w:vAlign w:val="center"/>
          </w:tcPr>
          <w:p w14:paraId="1B5CCB88">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eastAsia" w:cs="Times New Roman"/>
                <w:snapToGrid w:val="0"/>
                <w:color w:val="000000" w:themeColor="text1"/>
                <w:kern w:val="21"/>
              </w:rPr>
            </w:pPr>
            <w:r>
              <w:rPr>
                <w:rFonts w:hint="eastAsia" w:cs="Times New Roman"/>
                <w:snapToGrid w:val="0"/>
                <w:color w:val="000000" w:themeColor="text1"/>
                <w:kern w:val="21"/>
                <w:lang w:val="en-US" w:eastAsia="zh-CN"/>
              </w:rPr>
              <w:t>1.84</w:t>
            </w:r>
            <w:r>
              <w:rPr>
                <w:rFonts w:hint="eastAsia" w:cs="Times New Roman"/>
                <w:snapToGrid w:val="0"/>
                <w:color w:val="000000" w:themeColor="text1"/>
                <w:kern w:val="21"/>
              </w:rPr>
              <w:t>t/a</w:t>
            </w:r>
          </w:p>
        </w:tc>
        <w:tc>
          <w:tcPr>
            <w:tcW w:w="1480" w:type="dxa"/>
            <w:noWrap w:val="0"/>
            <w:vAlign w:val="center"/>
          </w:tcPr>
          <w:p w14:paraId="5FC4272F">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eastAsia="宋体" w:cs="Times New Roman"/>
                <w:snapToGrid w:val="0"/>
                <w:color w:val="000000" w:themeColor="text1"/>
                <w:kern w:val="21"/>
                <w:lang w:val="en-US" w:eastAsia="zh-CN"/>
              </w:rPr>
            </w:pPr>
            <w:r>
              <w:rPr>
                <w:rFonts w:hint="eastAsia" w:cs="Times New Roman"/>
                <w:snapToGrid w:val="0"/>
                <w:color w:val="000000" w:themeColor="text1"/>
                <w:kern w:val="21"/>
                <w:lang w:val="en-US" w:eastAsia="zh-CN"/>
              </w:rPr>
              <w:t>+1.84t/a</w:t>
            </w:r>
          </w:p>
        </w:tc>
      </w:tr>
      <w:tr w14:paraId="1200B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6" w:type="dxa"/>
            <w:vMerge w:val="restart"/>
            <w:noWrap w:val="0"/>
            <w:vAlign w:val="center"/>
          </w:tcPr>
          <w:p w14:paraId="43C9CDFD">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default" w:cs="Times New Roman"/>
                <w:snapToGrid w:val="0"/>
                <w:color w:val="000000" w:themeColor="text1"/>
                <w:kern w:val="21"/>
              </w:rPr>
              <w:t>废水</w:t>
            </w:r>
          </w:p>
        </w:tc>
        <w:tc>
          <w:tcPr>
            <w:tcW w:w="2195" w:type="dxa"/>
            <w:noWrap w:val="0"/>
            <w:vAlign w:val="center"/>
          </w:tcPr>
          <w:p w14:paraId="49811A9D">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eastAsia="宋体" w:cs="Times New Roman"/>
                <w:snapToGrid w:val="0"/>
                <w:color w:val="000000" w:themeColor="text1"/>
                <w:kern w:val="21"/>
                <w:lang w:val="en-US" w:eastAsia="zh-CN"/>
              </w:rPr>
            </w:pPr>
            <w:r>
              <w:rPr>
                <w:rFonts w:hint="eastAsia" w:cs="Times New Roman"/>
                <w:snapToGrid w:val="0"/>
                <w:color w:val="000000" w:themeColor="text1"/>
                <w:kern w:val="21"/>
                <w:lang w:val="en-US" w:eastAsia="zh-CN"/>
              </w:rPr>
              <w:t>CODcr</w:t>
            </w:r>
          </w:p>
        </w:tc>
        <w:tc>
          <w:tcPr>
            <w:tcW w:w="1486" w:type="dxa"/>
            <w:noWrap w:val="0"/>
            <w:vAlign w:val="center"/>
          </w:tcPr>
          <w:p w14:paraId="44967B0C">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eastAsia" w:cs="Times New Roman"/>
                <w:snapToGrid w:val="0"/>
                <w:color w:val="000000" w:themeColor="text1"/>
                <w:kern w:val="21"/>
              </w:rPr>
              <w:t>/</w:t>
            </w:r>
          </w:p>
        </w:tc>
        <w:tc>
          <w:tcPr>
            <w:tcW w:w="1118" w:type="dxa"/>
            <w:noWrap w:val="0"/>
            <w:vAlign w:val="center"/>
          </w:tcPr>
          <w:p w14:paraId="3C41E6F8">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eastAsia" w:cs="Times New Roman"/>
                <w:snapToGrid w:val="0"/>
                <w:color w:val="000000" w:themeColor="text1"/>
                <w:kern w:val="21"/>
              </w:rPr>
              <w:t>/</w:t>
            </w:r>
          </w:p>
        </w:tc>
        <w:tc>
          <w:tcPr>
            <w:tcW w:w="1438" w:type="dxa"/>
            <w:noWrap w:val="0"/>
            <w:vAlign w:val="center"/>
          </w:tcPr>
          <w:p w14:paraId="14104D91">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eastAsia" w:cs="Times New Roman"/>
                <w:snapToGrid w:val="0"/>
                <w:color w:val="000000" w:themeColor="text1"/>
                <w:kern w:val="21"/>
              </w:rPr>
              <w:t>/</w:t>
            </w:r>
          </w:p>
        </w:tc>
        <w:tc>
          <w:tcPr>
            <w:tcW w:w="1559" w:type="dxa"/>
            <w:noWrap w:val="0"/>
            <w:vAlign w:val="center"/>
          </w:tcPr>
          <w:p w14:paraId="5102DB14">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eastAsia="宋体" w:cs="Times New Roman"/>
                <w:snapToGrid w:val="0"/>
                <w:color w:val="000000" w:themeColor="text1"/>
                <w:kern w:val="21"/>
                <w:lang w:val="en-US" w:eastAsia="zh-CN"/>
              </w:rPr>
            </w:pPr>
            <w:r>
              <w:rPr>
                <w:rFonts w:hint="eastAsia" w:cs="Times New Roman"/>
                <w:snapToGrid w:val="0"/>
                <w:color w:val="000000" w:themeColor="text1"/>
                <w:kern w:val="21"/>
                <w:lang w:val="en-US" w:eastAsia="zh-CN"/>
              </w:rPr>
              <w:t>0.110</w:t>
            </w:r>
            <w:r>
              <w:rPr>
                <w:rFonts w:hint="default" w:cs="Times New Roman"/>
                <w:snapToGrid w:val="0"/>
                <w:color w:val="000000" w:themeColor="text1"/>
                <w:kern w:val="21"/>
              </w:rPr>
              <w:t>t/a</w:t>
            </w:r>
          </w:p>
        </w:tc>
        <w:tc>
          <w:tcPr>
            <w:tcW w:w="1592" w:type="dxa"/>
            <w:noWrap w:val="0"/>
            <w:vAlign w:val="center"/>
          </w:tcPr>
          <w:p w14:paraId="080C58EE">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default" w:cs="Times New Roman"/>
                <w:snapToGrid w:val="0"/>
                <w:color w:val="000000" w:themeColor="text1"/>
                <w:kern w:val="21"/>
              </w:rPr>
              <w:t>/</w:t>
            </w:r>
          </w:p>
        </w:tc>
        <w:tc>
          <w:tcPr>
            <w:tcW w:w="1708" w:type="dxa"/>
            <w:noWrap w:val="0"/>
            <w:vAlign w:val="center"/>
          </w:tcPr>
          <w:p w14:paraId="04F77023">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eastAsia" w:cs="Times New Roman"/>
                <w:snapToGrid w:val="0"/>
                <w:color w:val="000000" w:themeColor="text1"/>
                <w:kern w:val="21"/>
                <w:lang w:val="en-US" w:eastAsia="zh-CN"/>
              </w:rPr>
              <w:t>0.110</w:t>
            </w:r>
            <w:r>
              <w:rPr>
                <w:rFonts w:hint="default" w:cs="Times New Roman"/>
                <w:snapToGrid w:val="0"/>
                <w:color w:val="000000" w:themeColor="text1"/>
                <w:kern w:val="21"/>
              </w:rPr>
              <w:t>t/a</w:t>
            </w:r>
          </w:p>
        </w:tc>
        <w:tc>
          <w:tcPr>
            <w:tcW w:w="1480" w:type="dxa"/>
            <w:noWrap w:val="0"/>
            <w:vAlign w:val="center"/>
          </w:tcPr>
          <w:p w14:paraId="7DB33504">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eastAsia="宋体" w:cs="Times New Roman"/>
                <w:snapToGrid w:val="0"/>
                <w:color w:val="000000" w:themeColor="text1"/>
                <w:kern w:val="21"/>
                <w:lang w:val="en-US" w:eastAsia="zh-CN"/>
              </w:rPr>
            </w:pPr>
            <w:r>
              <w:rPr>
                <w:rFonts w:hint="eastAsia" w:cs="Times New Roman"/>
                <w:snapToGrid w:val="0"/>
                <w:color w:val="000000" w:themeColor="text1"/>
                <w:kern w:val="21"/>
                <w:lang w:val="en-US" w:eastAsia="zh-CN"/>
              </w:rPr>
              <w:t>+0.110t/a</w:t>
            </w:r>
          </w:p>
        </w:tc>
      </w:tr>
      <w:tr w14:paraId="68064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6" w:type="dxa"/>
            <w:vMerge w:val="continue"/>
            <w:noWrap w:val="0"/>
            <w:vAlign w:val="center"/>
          </w:tcPr>
          <w:p w14:paraId="023B7960">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p>
        </w:tc>
        <w:tc>
          <w:tcPr>
            <w:tcW w:w="2195" w:type="dxa"/>
            <w:noWrap w:val="0"/>
            <w:vAlign w:val="center"/>
          </w:tcPr>
          <w:p w14:paraId="4C7BC9D8">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eastAsia="宋体" w:cs="Times New Roman"/>
                <w:snapToGrid w:val="0"/>
                <w:color w:val="000000" w:themeColor="text1"/>
                <w:kern w:val="21"/>
                <w:lang w:val="en-US" w:eastAsia="zh-CN"/>
              </w:rPr>
            </w:pPr>
            <w:r>
              <w:rPr>
                <w:rFonts w:hint="eastAsia" w:cs="Times New Roman"/>
                <w:snapToGrid w:val="0"/>
                <w:color w:val="000000" w:themeColor="text1"/>
                <w:kern w:val="21"/>
                <w:lang w:val="en-US" w:eastAsia="zh-CN"/>
              </w:rPr>
              <w:t>氨氮</w:t>
            </w:r>
          </w:p>
        </w:tc>
        <w:tc>
          <w:tcPr>
            <w:tcW w:w="1486" w:type="dxa"/>
            <w:noWrap w:val="0"/>
            <w:vAlign w:val="center"/>
          </w:tcPr>
          <w:p w14:paraId="5D939F74">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default" w:cs="Times New Roman"/>
                <w:snapToGrid w:val="0"/>
                <w:color w:val="000000" w:themeColor="text1"/>
                <w:kern w:val="21"/>
              </w:rPr>
              <w:t>/</w:t>
            </w:r>
          </w:p>
        </w:tc>
        <w:tc>
          <w:tcPr>
            <w:tcW w:w="1118" w:type="dxa"/>
            <w:noWrap w:val="0"/>
            <w:vAlign w:val="center"/>
          </w:tcPr>
          <w:p w14:paraId="49E9C456">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default" w:cs="Times New Roman"/>
                <w:snapToGrid w:val="0"/>
                <w:color w:val="000000" w:themeColor="text1"/>
                <w:kern w:val="21"/>
              </w:rPr>
              <w:t>/</w:t>
            </w:r>
          </w:p>
        </w:tc>
        <w:tc>
          <w:tcPr>
            <w:tcW w:w="1438" w:type="dxa"/>
            <w:noWrap w:val="0"/>
            <w:vAlign w:val="center"/>
          </w:tcPr>
          <w:p w14:paraId="056E500F">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default" w:cs="Times New Roman"/>
                <w:snapToGrid w:val="0"/>
                <w:color w:val="000000" w:themeColor="text1"/>
                <w:kern w:val="21"/>
              </w:rPr>
              <w:t>/</w:t>
            </w:r>
          </w:p>
        </w:tc>
        <w:tc>
          <w:tcPr>
            <w:tcW w:w="1559" w:type="dxa"/>
            <w:noWrap w:val="0"/>
            <w:vAlign w:val="center"/>
          </w:tcPr>
          <w:p w14:paraId="45A0FB72">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eastAsia="宋体" w:cs="Times New Roman"/>
                <w:snapToGrid w:val="0"/>
                <w:color w:val="000000" w:themeColor="text1"/>
                <w:kern w:val="21"/>
                <w:lang w:val="en-US" w:eastAsia="zh-CN"/>
              </w:rPr>
            </w:pPr>
            <w:r>
              <w:rPr>
                <w:rFonts w:hint="eastAsia" w:cs="Times New Roman"/>
                <w:snapToGrid w:val="0"/>
                <w:color w:val="000000" w:themeColor="text1"/>
                <w:kern w:val="21"/>
                <w:lang w:val="en-US" w:eastAsia="zh-CN"/>
              </w:rPr>
              <w:t>0.009</w:t>
            </w:r>
            <w:r>
              <w:rPr>
                <w:rFonts w:hint="default" w:cs="Times New Roman"/>
                <w:snapToGrid w:val="0"/>
                <w:color w:val="000000" w:themeColor="text1"/>
                <w:kern w:val="21"/>
              </w:rPr>
              <w:t>t/a</w:t>
            </w:r>
          </w:p>
        </w:tc>
        <w:tc>
          <w:tcPr>
            <w:tcW w:w="1592" w:type="dxa"/>
            <w:noWrap w:val="0"/>
            <w:vAlign w:val="center"/>
          </w:tcPr>
          <w:p w14:paraId="014F54F1">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default" w:cs="Times New Roman"/>
                <w:snapToGrid w:val="0"/>
                <w:color w:val="000000" w:themeColor="text1"/>
                <w:kern w:val="21"/>
              </w:rPr>
              <w:t>/</w:t>
            </w:r>
          </w:p>
        </w:tc>
        <w:tc>
          <w:tcPr>
            <w:tcW w:w="1708" w:type="dxa"/>
            <w:noWrap w:val="0"/>
            <w:vAlign w:val="center"/>
          </w:tcPr>
          <w:p w14:paraId="2AAAFE71">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eastAsia" w:cs="Times New Roman"/>
                <w:snapToGrid w:val="0"/>
                <w:color w:val="000000" w:themeColor="text1"/>
                <w:kern w:val="21"/>
                <w:lang w:val="en-US" w:eastAsia="zh-CN"/>
              </w:rPr>
              <w:t>0.009</w:t>
            </w:r>
            <w:r>
              <w:rPr>
                <w:rFonts w:hint="default" w:cs="Times New Roman"/>
                <w:snapToGrid w:val="0"/>
                <w:color w:val="000000" w:themeColor="text1"/>
                <w:kern w:val="21"/>
              </w:rPr>
              <w:t>t/a</w:t>
            </w:r>
          </w:p>
        </w:tc>
        <w:tc>
          <w:tcPr>
            <w:tcW w:w="1480" w:type="dxa"/>
            <w:noWrap w:val="0"/>
            <w:vAlign w:val="center"/>
          </w:tcPr>
          <w:p w14:paraId="1053F106">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eastAsia="宋体" w:cs="Times New Roman"/>
                <w:snapToGrid w:val="0"/>
                <w:color w:val="000000" w:themeColor="text1"/>
                <w:kern w:val="21"/>
                <w:lang w:val="en-US" w:eastAsia="zh-CN"/>
              </w:rPr>
            </w:pPr>
            <w:r>
              <w:rPr>
                <w:rFonts w:hint="eastAsia" w:cs="Times New Roman"/>
                <w:snapToGrid w:val="0"/>
                <w:color w:val="000000" w:themeColor="text1"/>
                <w:kern w:val="21"/>
                <w:lang w:val="en-US" w:eastAsia="zh-CN"/>
              </w:rPr>
              <w:t>+0.009t/a</w:t>
            </w:r>
          </w:p>
        </w:tc>
      </w:tr>
      <w:tr w14:paraId="1AEA4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1" w:type="dxa"/>
            <w:gridSpan w:val="2"/>
            <w:noWrap w:val="0"/>
            <w:vAlign w:val="center"/>
          </w:tcPr>
          <w:p w14:paraId="780B351A">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rPr>
                <w:rFonts w:hint="eastAsia" w:cs="Times New Roman"/>
                <w:color w:val="000000" w:themeColor="text1"/>
              </w:rPr>
            </w:pPr>
            <w:r>
              <w:rPr>
                <w:rFonts w:hint="eastAsia" w:cs="Times New Roman"/>
                <w:color w:val="000000" w:themeColor="text1"/>
              </w:rPr>
              <w:t>生活垃圾</w:t>
            </w:r>
          </w:p>
        </w:tc>
        <w:tc>
          <w:tcPr>
            <w:tcW w:w="1486" w:type="dxa"/>
            <w:noWrap w:val="0"/>
            <w:vAlign w:val="center"/>
          </w:tcPr>
          <w:p w14:paraId="60C12842">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eastAsia" w:cs="Times New Roman"/>
                <w:snapToGrid w:val="0"/>
                <w:color w:val="000000" w:themeColor="text1"/>
                <w:kern w:val="21"/>
              </w:rPr>
              <w:t>/</w:t>
            </w:r>
          </w:p>
        </w:tc>
        <w:tc>
          <w:tcPr>
            <w:tcW w:w="1118" w:type="dxa"/>
            <w:noWrap w:val="0"/>
            <w:vAlign w:val="center"/>
          </w:tcPr>
          <w:p w14:paraId="6581D73A">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eastAsia" w:cs="Times New Roman"/>
                <w:snapToGrid w:val="0"/>
                <w:color w:val="000000" w:themeColor="text1"/>
                <w:kern w:val="21"/>
              </w:rPr>
              <w:t>/</w:t>
            </w:r>
          </w:p>
        </w:tc>
        <w:tc>
          <w:tcPr>
            <w:tcW w:w="1438" w:type="dxa"/>
            <w:noWrap w:val="0"/>
            <w:vAlign w:val="center"/>
          </w:tcPr>
          <w:p w14:paraId="6EC4FA80">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eastAsia" w:cs="Times New Roman"/>
                <w:snapToGrid w:val="0"/>
                <w:color w:val="000000" w:themeColor="text1"/>
                <w:kern w:val="21"/>
              </w:rPr>
              <w:t>/</w:t>
            </w:r>
          </w:p>
        </w:tc>
        <w:tc>
          <w:tcPr>
            <w:tcW w:w="1559" w:type="dxa"/>
            <w:noWrap w:val="0"/>
            <w:vAlign w:val="center"/>
          </w:tcPr>
          <w:p w14:paraId="397F5392">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rPr>
                <w:rFonts w:hint="default" w:cs="Times New Roman"/>
                <w:color w:val="000000" w:themeColor="text1"/>
              </w:rPr>
            </w:pPr>
            <w:r>
              <w:rPr>
                <w:rFonts w:hint="eastAsia" w:cs="Times New Roman"/>
                <w:snapToGrid w:val="0"/>
                <w:color w:val="000000" w:themeColor="text1"/>
                <w:kern w:val="21"/>
                <w:lang w:val="en-US" w:eastAsia="zh-CN"/>
              </w:rPr>
              <w:t>12</w:t>
            </w:r>
            <w:r>
              <w:rPr>
                <w:rFonts w:hint="default" w:cs="Times New Roman"/>
                <w:snapToGrid w:val="0"/>
                <w:color w:val="000000" w:themeColor="text1"/>
                <w:kern w:val="21"/>
              </w:rPr>
              <w:t>t/a</w:t>
            </w:r>
          </w:p>
        </w:tc>
        <w:tc>
          <w:tcPr>
            <w:tcW w:w="1592" w:type="dxa"/>
            <w:noWrap w:val="0"/>
            <w:vAlign w:val="center"/>
          </w:tcPr>
          <w:p w14:paraId="5D2ECB6D">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rPr>
                <w:rFonts w:hint="default" w:cs="Times New Roman"/>
                <w:snapToGrid w:val="0"/>
                <w:color w:val="000000" w:themeColor="text1"/>
                <w:kern w:val="21"/>
              </w:rPr>
            </w:pPr>
            <w:r>
              <w:rPr>
                <w:rFonts w:hint="default" w:cs="Times New Roman"/>
                <w:snapToGrid w:val="0"/>
                <w:color w:val="000000" w:themeColor="text1"/>
                <w:kern w:val="21"/>
              </w:rPr>
              <w:t>/</w:t>
            </w:r>
          </w:p>
        </w:tc>
        <w:tc>
          <w:tcPr>
            <w:tcW w:w="1708" w:type="dxa"/>
            <w:noWrap w:val="0"/>
            <w:vAlign w:val="center"/>
          </w:tcPr>
          <w:p w14:paraId="2059DA3A">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rPr>
                <w:rFonts w:hint="default" w:cs="Times New Roman"/>
                <w:snapToGrid w:val="0"/>
                <w:color w:val="000000" w:themeColor="text1"/>
                <w:kern w:val="21"/>
              </w:rPr>
            </w:pPr>
            <w:r>
              <w:rPr>
                <w:rFonts w:hint="eastAsia" w:cs="Times New Roman"/>
                <w:snapToGrid w:val="0"/>
                <w:color w:val="000000" w:themeColor="text1"/>
                <w:kern w:val="21"/>
                <w:lang w:val="en-US" w:eastAsia="zh-CN"/>
              </w:rPr>
              <w:t>12</w:t>
            </w:r>
            <w:r>
              <w:rPr>
                <w:rFonts w:hint="default" w:cs="Times New Roman"/>
                <w:snapToGrid w:val="0"/>
                <w:color w:val="000000" w:themeColor="text1"/>
                <w:kern w:val="21"/>
              </w:rPr>
              <w:t>t/a</w:t>
            </w:r>
          </w:p>
        </w:tc>
        <w:tc>
          <w:tcPr>
            <w:tcW w:w="1480" w:type="dxa"/>
            <w:noWrap w:val="0"/>
            <w:vAlign w:val="center"/>
          </w:tcPr>
          <w:p w14:paraId="26078B80">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rPr>
                <w:rFonts w:hint="default" w:eastAsia="宋体" w:cs="Times New Roman"/>
                <w:snapToGrid w:val="0"/>
                <w:color w:val="000000" w:themeColor="text1"/>
                <w:kern w:val="21"/>
                <w:lang w:val="en-US" w:eastAsia="zh-CN"/>
              </w:rPr>
            </w:pPr>
            <w:r>
              <w:rPr>
                <w:rFonts w:hint="eastAsia" w:cs="Times New Roman"/>
                <w:snapToGrid w:val="0"/>
                <w:color w:val="000000" w:themeColor="text1"/>
                <w:kern w:val="21"/>
              </w:rPr>
              <w:t>+</w:t>
            </w:r>
            <w:r>
              <w:rPr>
                <w:rFonts w:hint="eastAsia" w:cs="Times New Roman"/>
                <w:snapToGrid w:val="0"/>
                <w:color w:val="000000" w:themeColor="text1"/>
                <w:kern w:val="21"/>
                <w:lang w:val="en-US" w:eastAsia="zh-CN"/>
              </w:rPr>
              <w:t>12t/a</w:t>
            </w:r>
          </w:p>
        </w:tc>
      </w:tr>
      <w:tr w14:paraId="6175A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6" w:type="dxa"/>
            <w:vMerge w:val="restart"/>
            <w:noWrap w:val="0"/>
            <w:vAlign w:val="center"/>
          </w:tcPr>
          <w:p w14:paraId="7856DFD6">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default" w:cs="Times New Roman"/>
                <w:snapToGrid w:val="0"/>
                <w:color w:val="000000" w:themeColor="text1"/>
                <w:kern w:val="21"/>
              </w:rPr>
              <w:t>一般工业</w:t>
            </w:r>
          </w:p>
          <w:p w14:paraId="0F7B044F">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default" w:cs="Times New Roman"/>
                <w:snapToGrid w:val="0"/>
                <w:color w:val="000000" w:themeColor="text1"/>
                <w:kern w:val="21"/>
              </w:rPr>
              <w:t>固体废物</w:t>
            </w:r>
          </w:p>
        </w:tc>
        <w:tc>
          <w:tcPr>
            <w:tcW w:w="2195" w:type="dxa"/>
            <w:noWrap w:val="0"/>
            <w:vAlign w:val="center"/>
          </w:tcPr>
          <w:p w14:paraId="56A3B1F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000000" w:themeColor="text1"/>
              </w:rPr>
            </w:pPr>
            <w:r>
              <w:rPr>
                <w:rFonts w:hint="eastAsia" w:ascii="Times New Roman" w:hAnsi="Times New Roman" w:eastAsia="宋体" w:cs="宋体"/>
                <w:color w:val="000000" w:themeColor="text1"/>
                <w:kern w:val="2"/>
                <w:sz w:val="21"/>
                <w:szCs w:val="24"/>
                <w:lang w:val="en-US" w:eastAsia="zh-CN" w:bidi="ar"/>
              </w:rPr>
              <w:t>废包装袋</w:t>
            </w:r>
          </w:p>
        </w:tc>
        <w:tc>
          <w:tcPr>
            <w:tcW w:w="1486" w:type="dxa"/>
            <w:noWrap w:val="0"/>
            <w:vAlign w:val="center"/>
          </w:tcPr>
          <w:p w14:paraId="0A6B2418">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default" w:cs="Times New Roman"/>
                <w:snapToGrid w:val="0"/>
                <w:color w:val="000000" w:themeColor="text1"/>
                <w:kern w:val="21"/>
              </w:rPr>
              <w:t>/</w:t>
            </w:r>
          </w:p>
        </w:tc>
        <w:tc>
          <w:tcPr>
            <w:tcW w:w="1118" w:type="dxa"/>
            <w:noWrap w:val="0"/>
            <w:vAlign w:val="center"/>
          </w:tcPr>
          <w:p w14:paraId="7F6D5EF5">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default" w:cs="Times New Roman"/>
                <w:snapToGrid w:val="0"/>
                <w:color w:val="000000" w:themeColor="text1"/>
                <w:kern w:val="21"/>
              </w:rPr>
              <w:t>/</w:t>
            </w:r>
          </w:p>
        </w:tc>
        <w:tc>
          <w:tcPr>
            <w:tcW w:w="1438" w:type="dxa"/>
            <w:noWrap w:val="0"/>
            <w:vAlign w:val="center"/>
          </w:tcPr>
          <w:p w14:paraId="139BD1FB">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default" w:cs="Times New Roman"/>
                <w:snapToGrid w:val="0"/>
                <w:color w:val="000000" w:themeColor="text1"/>
                <w:kern w:val="21"/>
              </w:rPr>
              <w:t>/</w:t>
            </w:r>
          </w:p>
        </w:tc>
        <w:tc>
          <w:tcPr>
            <w:tcW w:w="1559" w:type="dxa"/>
            <w:noWrap w:val="0"/>
            <w:vAlign w:val="center"/>
          </w:tcPr>
          <w:p w14:paraId="15736AB0">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rPr>
                <w:rFonts w:hint="default" w:eastAsia="宋体" w:cs="Times New Roman"/>
                <w:color w:val="000000" w:themeColor="text1"/>
                <w:lang w:val="en-US" w:eastAsia="zh-CN"/>
              </w:rPr>
            </w:pPr>
            <w:r>
              <w:rPr>
                <w:rFonts w:hint="eastAsia" w:cs="Times New Roman"/>
                <w:color w:val="000000" w:themeColor="text1"/>
                <w:lang w:val="en-US" w:eastAsia="zh-CN"/>
              </w:rPr>
              <w:t>1.5</w:t>
            </w:r>
            <w:r>
              <w:rPr>
                <w:rFonts w:hint="default" w:cs="Times New Roman"/>
                <w:snapToGrid w:val="0"/>
                <w:color w:val="000000" w:themeColor="text1"/>
                <w:kern w:val="21"/>
              </w:rPr>
              <w:t>t/a</w:t>
            </w:r>
          </w:p>
        </w:tc>
        <w:tc>
          <w:tcPr>
            <w:tcW w:w="1592" w:type="dxa"/>
            <w:noWrap w:val="0"/>
            <w:vAlign w:val="center"/>
          </w:tcPr>
          <w:p w14:paraId="4D17F074">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rPr>
                <w:rFonts w:hint="default" w:cs="Times New Roman"/>
                <w:snapToGrid w:val="0"/>
                <w:color w:val="000000" w:themeColor="text1"/>
                <w:kern w:val="21"/>
              </w:rPr>
            </w:pPr>
            <w:r>
              <w:rPr>
                <w:rFonts w:hint="default" w:cs="Times New Roman"/>
                <w:snapToGrid w:val="0"/>
                <w:color w:val="000000" w:themeColor="text1"/>
                <w:kern w:val="21"/>
              </w:rPr>
              <w:t>/</w:t>
            </w:r>
          </w:p>
        </w:tc>
        <w:tc>
          <w:tcPr>
            <w:tcW w:w="1708" w:type="dxa"/>
            <w:noWrap w:val="0"/>
            <w:vAlign w:val="center"/>
          </w:tcPr>
          <w:p w14:paraId="4DCE8735">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rPr>
                <w:rFonts w:hint="default" w:cs="Times New Roman"/>
                <w:snapToGrid w:val="0"/>
                <w:color w:val="000000" w:themeColor="text1"/>
                <w:kern w:val="21"/>
              </w:rPr>
            </w:pPr>
            <w:r>
              <w:rPr>
                <w:rFonts w:hint="eastAsia" w:cs="Times New Roman"/>
                <w:color w:val="000000" w:themeColor="text1"/>
                <w:lang w:val="en-US" w:eastAsia="zh-CN"/>
              </w:rPr>
              <w:t>1.5</w:t>
            </w:r>
            <w:r>
              <w:rPr>
                <w:rFonts w:hint="default" w:cs="Times New Roman"/>
                <w:snapToGrid w:val="0"/>
                <w:color w:val="000000" w:themeColor="text1"/>
                <w:kern w:val="21"/>
              </w:rPr>
              <w:t>t/a</w:t>
            </w:r>
          </w:p>
        </w:tc>
        <w:tc>
          <w:tcPr>
            <w:tcW w:w="1480" w:type="dxa"/>
            <w:noWrap w:val="0"/>
            <w:vAlign w:val="center"/>
          </w:tcPr>
          <w:p w14:paraId="517CE7FD">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rPr>
                <w:rFonts w:hint="default" w:eastAsia="宋体" w:cs="Times New Roman"/>
                <w:snapToGrid w:val="0"/>
                <w:color w:val="000000" w:themeColor="text1"/>
                <w:kern w:val="21"/>
                <w:lang w:val="en-US" w:eastAsia="zh-CN"/>
              </w:rPr>
            </w:pPr>
            <w:r>
              <w:rPr>
                <w:rFonts w:hint="eastAsia" w:cs="Times New Roman"/>
                <w:snapToGrid w:val="0"/>
                <w:color w:val="000000" w:themeColor="text1"/>
                <w:kern w:val="21"/>
              </w:rPr>
              <w:t>+</w:t>
            </w:r>
            <w:r>
              <w:rPr>
                <w:rFonts w:hint="eastAsia" w:cs="Times New Roman"/>
                <w:snapToGrid w:val="0"/>
                <w:color w:val="000000" w:themeColor="text1"/>
                <w:kern w:val="21"/>
                <w:lang w:val="en-US" w:eastAsia="zh-CN"/>
              </w:rPr>
              <w:t>1.5t/a</w:t>
            </w:r>
          </w:p>
        </w:tc>
      </w:tr>
      <w:tr w14:paraId="135C3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6" w:type="dxa"/>
            <w:vMerge w:val="continue"/>
            <w:noWrap w:val="0"/>
            <w:vAlign w:val="center"/>
          </w:tcPr>
          <w:p w14:paraId="3CF021DB">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p>
        </w:tc>
        <w:tc>
          <w:tcPr>
            <w:tcW w:w="2195" w:type="dxa"/>
            <w:noWrap w:val="0"/>
            <w:vAlign w:val="center"/>
          </w:tcPr>
          <w:p w14:paraId="186A74F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rightChars="0" w:firstLine="0" w:firstLineChars="0"/>
              <w:jc w:val="center"/>
              <w:rPr>
                <w:rFonts w:hint="eastAsia" w:ascii="Times New Roman" w:hAnsi="Times New Roman" w:eastAsia="宋体" w:cs="宋体"/>
                <w:color w:val="000000" w:themeColor="text1"/>
                <w:kern w:val="2"/>
                <w:sz w:val="21"/>
                <w:szCs w:val="24"/>
                <w:lang w:val="en-US" w:eastAsia="zh-CN" w:bidi="ar"/>
              </w:rPr>
            </w:pPr>
            <w:r>
              <w:rPr>
                <w:rFonts w:hint="eastAsia" w:ascii="Times New Roman" w:hAnsi="Times New Roman" w:eastAsia="宋体" w:cs="宋体"/>
                <w:color w:val="000000" w:themeColor="text1"/>
                <w:kern w:val="2"/>
                <w:sz w:val="21"/>
                <w:szCs w:val="24"/>
                <w:lang w:val="en-US" w:eastAsia="zh-CN" w:bidi="ar"/>
              </w:rPr>
              <w:t>过滤废渣</w:t>
            </w:r>
          </w:p>
        </w:tc>
        <w:tc>
          <w:tcPr>
            <w:tcW w:w="1486" w:type="dxa"/>
            <w:noWrap w:val="0"/>
            <w:vAlign w:val="center"/>
          </w:tcPr>
          <w:p w14:paraId="7C7814E8">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rightChars="0" w:firstLine="0" w:firstLineChars="0"/>
              <w:rPr>
                <w:rFonts w:hint="default" w:cs="Times New Roman"/>
                <w:snapToGrid w:val="0"/>
                <w:color w:val="000000" w:themeColor="text1"/>
                <w:kern w:val="21"/>
              </w:rPr>
            </w:pPr>
            <w:r>
              <w:rPr>
                <w:rFonts w:hint="default" w:cs="Times New Roman"/>
                <w:snapToGrid w:val="0"/>
                <w:color w:val="000000" w:themeColor="text1"/>
                <w:kern w:val="21"/>
              </w:rPr>
              <w:t>/</w:t>
            </w:r>
          </w:p>
        </w:tc>
        <w:tc>
          <w:tcPr>
            <w:tcW w:w="1118" w:type="dxa"/>
            <w:noWrap w:val="0"/>
            <w:vAlign w:val="center"/>
          </w:tcPr>
          <w:p w14:paraId="2B767DFD">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rightChars="0" w:firstLine="0" w:firstLineChars="0"/>
              <w:rPr>
                <w:rFonts w:hint="default" w:cs="Times New Roman"/>
                <w:snapToGrid w:val="0"/>
                <w:color w:val="000000" w:themeColor="text1"/>
                <w:kern w:val="21"/>
              </w:rPr>
            </w:pPr>
            <w:r>
              <w:rPr>
                <w:rFonts w:hint="default" w:cs="Times New Roman"/>
                <w:snapToGrid w:val="0"/>
                <w:color w:val="000000" w:themeColor="text1"/>
                <w:kern w:val="21"/>
              </w:rPr>
              <w:t>/</w:t>
            </w:r>
          </w:p>
        </w:tc>
        <w:tc>
          <w:tcPr>
            <w:tcW w:w="1438" w:type="dxa"/>
            <w:noWrap w:val="0"/>
            <w:vAlign w:val="center"/>
          </w:tcPr>
          <w:p w14:paraId="176B9E52">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rightChars="0" w:firstLine="0" w:firstLineChars="0"/>
              <w:rPr>
                <w:rFonts w:hint="default" w:cs="Times New Roman"/>
                <w:snapToGrid w:val="0"/>
                <w:color w:val="000000" w:themeColor="text1"/>
                <w:kern w:val="21"/>
              </w:rPr>
            </w:pPr>
            <w:r>
              <w:rPr>
                <w:rFonts w:hint="default" w:cs="Times New Roman"/>
                <w:snapToGrid w:val="0"/>
                <w:color w:val="000000" w:themeColor="text1"/>
                <w:kern w:val="21"/>
              </w:rPr>
              <w:t>/</w:t>
            </w:r>
          </w:p>
        </w:tc>
        <w:tc>
          <w:tcPr>
            <w:tcW w:w="1559" w:type="dxa"/>
            <w:noWrap w:val="0"/>
            <w:vAlign w:val="center"/>
          </w:tcPr>
          <w:p w14:paraId="08C3E701">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rPr>
                <w:rFonts w:hint="default" w:cs="Times New Roman"/>
                <w:color w:val="000000" w:themeColor="text1"/>
                <w:lang w:val="en-US" w:eastAsia="zh-CN"/>
              </w:rPr>
            </w:pPr>
            <w:r>
              <w:rPr>
                <w:rFonts w:hint="eastAsia" w:cs="Times New Roman"/>
                <w:color w:val="000000" w:themeColor="text1"/>
                <w:lang w:val="en-US" w:eastAsia="zh-CN"/>
              </w:rPr>
              <w:t>2.4t/a</w:t>
            </w:r>
          </w:p>
        </w:tc>
        <w:tc>
          <w:tcPr>
            <w:tcW w:w="1592" w:type="dxa"/>
            <w:noWrap w:val="0"/>
            <w:vAlign w:val="center"/>
          </w:tcPr>
          <w:p w14:paraId="0EE0FB58">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rightChars="0" w:firstLine="0" w:firstLineChars="0"/>
              <w:rPr>
                <w:rFonts w:hint="default" w:cs="Times New Roman"/>
                <w:snapToGrid w:val="0"/>
                <w:color w:val="000000" w:themeColor="text1"/>
                <w:kern w:val="21"/>
              </w:rPr>
            </w:pPr>
            <w:r>
              <w:rPr>
                <w:rFonts w:hint="default" w:cs="Times New Roman"/>
                <w:snapToGrid w:val="0"/>
                <w:color w:val="000000" w:themeColor="text1"/>
                <w:kern w:val="21"/>
              </w:rPr>
              <w:t>/</w:t>
            </w:r>
          </w:p>
        </w:tc>
        <w:tc>
          <w:tcPr>
            <w:tcW w:w="1708" w:type="dxa"/>
            <w:noWrap w:val="0"/>
            <w:vAlign w:val="center"/>
          </w:tcPr>
          <w:p w14:paraId="6582D1DF">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rPr>
                <w:rFonts w:hint="eastAsia" w:cs="Times New Roman"/>
                <w:color w:val="000000" w:themeColor="text1"/>
                <w:lang w:val="en-US" w:eastAsia="zh-CN"/>
              </w:rPr>
            </w:pPr>
            <w:r>
              <w:rPr>
                <w:rFonts w:hint="eastAsia" w:cs="Times New Roman"/>
                <w:color w:val="000000" w:themeColor="text1"/>
                <w:lang w:val="en-US" w:eastAsia="zh-CN"/>
              </w:rPr>
              <w:t>2.4t/a</w:t>
            </w:r>
          </w:p>
        </w:tc>
        <w:tc>
          <w:tcPr>
            <w:tcW w:w="1480" w:type="dxa"/>
            <w:noWrap w:val="0"/>
            <w:vAlign w:val="center"/>
          </w:tcPr>
          <w:p w14:paraId="555BBCA9">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rPr>
                <w:rFonts w:hint="eastAsia" w:cs="Times New Roman"/>
                <w:snapToGrid w:val="0"/>
                <w:color w:val="000000" w:themeColor="text1"/>
                <w:kern w:val="21"/>
              </w:rPr>
            </w:pPr>
            <w:r>
              <w:rPr>
                <w:rFonts w:hint="eastAsia" w:cs="Times New Roman"/>
                <w:snapToGrid w:val="0"/>
                <w:color w:val="000000" w:themeColor="text1"/>
                <w:kern w:val="21"/>
                <w:lang w:val="en-US" w:eastAsia="zh-CN"/>
              </w:rPr>
              <w:t>+2.4t/a</w:t>
            </w:r>
          </w:p>
        </w:tc>
      </w:tr>
      <w:tr w14:paraId="39E44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6" w:type="dxa"/>
            <w:vMerge w:val="continue"/>
            <w:noWrap w:val="0"/>
            <w:vAlign w:val="center"/>
          </w:tcPr>
          <w:p w14:paraId="6C2716E7">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p>
        </w:tc>
        <w:tc>
          <w:tcPr>
            <w:tcW w:w="2195" w:type="dxa"/>
            <w:noWrap w:val="0"/>
            <w:vAlign w:val="center"/>
          </w:tcPr>
          <w:p w14:paraId="1DAA60B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themeColor="text1"/>
              </w:rPr>
            </w:pPr>
            <w:r>
              <w:rPr>
                <w:rFonts w:hint="eastAsia" w:ascii="Times New Roman" w:hAnsi="Times New Roman" w:eastAsia="宋体" w:cs="宋体"/>
                <w:color w:val="000000" w:themeColor="text1"/>
                <w:kern w:val="2"/>
                <w:sz w:val="21"/>
                <w:szCs w:val="24"/>
                <w:lang w:val="en-US" w:eastAsia="zh-CN" w:bidi="ar"/>
              </w:rPr>
              <w:t>不合格品</w:t>
            </w:r>
          </w:p>
        </w:tc>
        <w:tc>
          <w:tcPr>
            <w:tcW w:w="1486" w:type="dxa"/>
            <w:noWrap w:val="0"/>
            <w:vAlign w:val="center"/>
          </w:tcPr>
          <w:p w14:paraId="1EDF83FB">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eastAsia" w:cs="Times New Roman"/>
                <w:snapToGrid w:val="0"/>
                <w:color w:val="000000" w:themeColor="text1"/>
                <w:kern w:val="21"/>
              </w:rPr>
              <w:t>/</w:t>
            </w:r>
          </w:p>
        </w:tc>
        <w:tc>
          <w:tcPr>
            <w:tcW w:w="1118" w:type="dxa"/>
            <w:noWrap w:val="0"/>
            <w:vAlign w:val="center"/>
          </w:tcPr>
          <w:p w14:paraId="5904DCA0">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eastAsia" w:cs="Times New Roman"/>
                <w:snapToGrid w:val="0"/>
                <w:color w:val="000000" w:themeColor="text1"/>
                <w:kern w:val="21"/>
              </w:rPr>
              <w:t>/</w:t>
            </w:r>
          </w:p>
        </w:tc>
        <w:tc>
          <w:tcPr>
            <w:tcW w:w="1438" w:type="dxa"/>
            <w:noWrap w:val="0"/>
            <w:vAlign w:val="center"/>
          </w:tcPr>
          <w:p w14:paraId="16A651FE">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eastAsia" w:cs="Times New Roman"/>
                <w:snapToGrid w:val="0"/>
                <w:color w:val="000000" w:themeColor="text1"/>
                <w:kern w:val="21"/>
              </w:rPr>
              <w:t>/</w:t>
            </w:r>
          </w:p>
        </w:tc>
        <w:tc>
          <w:tcPr>
            <w:tcW w:w="1559" w:type="dxa"/>
            <w:noWrap w:val="0"/>
            <w:vAlign w:val="center"/>
          </w:tcPr>
          <w:p w14:paraId="19444880">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rPr>
                <w:rFonts w:hint="default" w:eastAsia="宋体" w:cs="Times New Roman"/>
                <w:snapToGrid w:val="0"/>
                <w:color w:val="000000" w:themeColor="text1"/>
                <w:kern w:val="21"/>
                <w:lang w:val="en-US" w:eastAsia="zh-CN"/>
              </w:rPr>
            </w:pPr>
            <w:r>
              <w:rPr>
                <w:rFonts w:hint="eastAsia" w:cs="Times New Roman"/>
                <w:snapToGrid w:val="0"/>
                <w:color w:val="000000" w:themeColor="text1"/>
                <w:kern w:val="21"/>
                <w:lang w:val="en-US" w:eastAsia="zh-CN"/>
              </w:rPr>
              <w:t>240</w:t>
            </w:r>
            <w:r>
              <w:rPr>
                <w:rFonts w:hint="default" w:cs="Times New Roman"/>
                <w:snapToGrid w:val="0"/>
                <w:color w:val="000000" w:themeColor="text1"/>
                <w:kern w:val="21"/>
              </w:rPr>
              <w:t>t/a</w:t>
            </w:r>
          </w:p>
        </w:tc>
        <w:tc>
          <w:tcPr>
            <w:tcW w:w="1592" w:type="dxa"/>
            <w:noWrap w:val="0"/>
            <w:vAlign w:val="center"/>
          </w:tcPr>
          <w:p w14:paraId="5743A2D5">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rightChars="0" w:firstLine="0" w:firstLineChars="0"/>
              <w:rPr>
                <w:rFonts w:hint="default" w:cs="Times New Roman"/>
                <w:snapToGrid w:val="0"/>
                <w:color w:val="000000" w:themeColor="text1"/>
                <w:kern w:val="21"/>
              </w:rPr>
            </w:pPr>
            <w:r>
              <w:rPr>
                <w:rFonts w:hint="default" w:cs="Times New Roman"/>
                <w:snapToGrid w:val="0"/>
                <w:color w:val="000000" w:themeColor="text1"/>
                <w:kern w:val="21"/>
              </w:rPr>
              <w:t>/</w:t>
            </w:r>
          </w:p>
        </w:tc>
        <w:tc>
          <w:tcPr>
            <w:tcW w:w="1708" w:type="dxa"/>
            <w:noWrap w:val="0"/>
            <w:vAlign w:val="center"/>
          </w:tcPr>
          <w:p w14:paraId="0692744C">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rPr>
                <w:rFonts w:hint="eastAsia" w:cs="Times New Roman"/>
                <w:snapToGrid w:val="0"/>
                <w:color w:val="000000" w:themeColor="text1"/>
                <w:kern w:val="21"/>
              </w:rPr>
            </w:pPr>
            <w:r>
              <w:rPr>
                <w:rFonts w:hint="eastAsia" w:cs="Times New Roman"/>
                <w:snapToGrid w:val="0"/>
                <w:color w:val="000000" w:themeColor="text1"/>
                <w:kern w:val="21"/>
                <w:lang w:val="en-US" w:eastAsia="zh-CN"/>
              </w:rPr>
              <w:t>240</w:t>
            </w:r>
            <w:r>
              <w:rPr>
                <w:rFonts w:hint="default" w:cs="Times New Roman"/>
                <w:snapToGrid w:val="0"/>
                <w:color w:val="000000" w:themeColor="text1"/>
                <w:kern w:val="21"/>
              </w:rPr>
              <w:t>t/a</w:t>
            </w:r>
          </w:p>
        </w:tc>
        <w:tc>
          <w:tcPr>
            <w:tcW w:w="1480" w:type="dxa"/>
            <w:noWrap w:val="0"/>
            <w:vAlign w:val="center"/>
          </w:tcPr>
          <w:p w14:paraId="62E1A619">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rPr>
                <w:rFonts w:hint="default" w:eastAsia="宋体" w:cs="Times New Roman"/>
                <w:snapToGrid w:val="0"/>
                <w:color w:val="000000" w:themeColor="text1"/>
                <w:kern w:val="21"/>
                <w:lang w:val="en-US" w:eastAsia="zh-CN"/>
              </w:rPr>
            </w:pPr>
            <w:r>
              <w:rPr>
                <w:rFonts w:hint="eastAsia" w:cs="Times New Roman"/>
                <w:snapToGrid w:val="0"/>
                <w:color w:val="000000" w:themeColor="text1"/>
                <w:kern w:val="21"/>
                <w:lang w:val="en-US" w:eastAsia="zh-CN"/>
              </w:rPr>
              <w:t>+240t/a</w:t>
            </w:r>
          </w:p>
        </w:tc>
      </w:tr>
      <w:tr w14:paraId="48ABD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6" w:type="dxa"/>
            <w:vMerge w:val="continue"/>
            <w:noWrap w:val="0"/>
            <w:vAlign w:val="center"/>
          </w:tcPr>
          <w:p w14:paraId="0A414820">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p>
        </w:tc>
        <w:tc>
          <w:tcPr>
            <w:tcW w:w="2195" w:type="dxa"/>
            <w:noWrap w:val="0"/>
            <w:vAlign w:val="center"/>
          </w:tcPr>
          <w:p w14:paraId="44B6C13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themeColor="text1"/>
              </w:rPr>
            </w:pPr>
            <w:r>
              <w:rPr>
                <w:rFonts w:hint="eastAsia" w:ascii="Times New Roman" w:hAnsi="Times New Roman" w:eastAsia="宋体" w:cs="宋体"/>
                <w:color w:val="000000" w:themeColor="text1"/>
                <w:kern w:val="2"/>
                <w:sz w:val="21"/>
                <w:szCs w:val="24"/>
                <w:lang w:val="en-US" w:eastAsia="zh-CN" w:bidi="ar"/>
              </w:rPr>
              <w:t>除尘渣</w:t>
            </w:r>
          </w:p>
        </w:tc>
        <w:tc>
          <w:tcPr>
            <w:tcW w:w="1486" w:type="dxa"/>
            <w:noWrap w:val="0"/>
            <w:vAlign w:val="center"/>
          </w:tcPr>
          <w:p w14:paraId="5DD345CD">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default" w:cs="Times New Roman"/>
                <w:snapToGrid w:val="0"/>
                <w:color w:val="000000" w:themeColor="text1"/>
                <w:kern w:val="21"/>
              </w:rPr>
              <w:t>/</w:t>
            </w:r>
          </w:p>
        </w:tc>
        <w:tc>
          <w:tcPr>
            <w:tcW w:w="1118" w:type="dxa"/>
            <w:noWrap w:val="0"/>
            <w:vAlign w:val="center"/>
          </w:tcPr>
          <w:p w14:paraId="08CD6AFB">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default" w:cs="Times New Roman"/>
                <w:snapToGrid w:val="0"/>
                <w:color w:val="000000" w:themeColor="text1"/>
                <w:kern w:val="21"/>
              </w:rPr>
              <w:t>/</w:t>
            </w:r>
          </w:p>
        </w:tc>
        <w:tc>
          <w:tcPr>
            <w:tcW w:w="1438" w:type="dxa"/>
            <w:noWrap w:val="0"/>
            <w:vAlign w:val="center"/>
          </w:tcPr>
          <w:p w14:paraId="6EBD8D76">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default" w:cs="Times New Roman"/>
                <w:snapToGrid w:val="0"/>
                <w:color w:val="000000" w:themeColor="text1"/>
                <w:kern w:val="21"/>
              </w:rPr>
              <w:t>/</w:t>
            </w:r>
          </w:p>
        </w:tc>
        <w:tc>
          <w:tcPr>
            <w:tcW w:w="1559" w:type="dxa"/>
            <w:noWrap w:val="0"/>
            <w:vAlign w:val="center"/>
          </w:tcPr>
          <w:p w14:paraId="60280B54">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rPr>
                <w:rFonts w:hint="default" w:eastAsia="宋体" w:cs="Times New Roman"/>
                <w:snapToGrid w:val="0"/>
                <w:color w:val="000000" w:themeColor="text1"/>
                <w:kern w:val="21"/>
                <w:lang w:val="en-US" w:eastAsia="zh-CN"/>
              </w:rPr>
            </w:pPr>
            <w:r>
              <w:rPr>
                <w:rFonts w:hint="eastAsia" w:cs="Times New Roman"/>
                <w:snapToGrid w:val="0"/>
                <w:color w:val="000000" w:themeColor="text1"/>
                <w:kern w:val="21"/>
                <w:lang w:val="en-US" w:eastAsia="zh-CN"/>
              </w:rPr>
              <w:t>270.56</w:t>
            </w:r>
            <w:r>
              <w:rPr>
                <w:rFonts w:hint="default" w:cs="Times New Roman"/>
                <w:snapToGrid w:val="0"/>
                <w:color w:val="000000" w:themeColor="text1"/>
                <w:kern w:val="21"/>
              </w:rPr>
              <w:t>t/a</w:t>
            </w:r>
          </w:p>
        </w:tc>
        <w:tc>
          <w:tcPr>
            <w:tcW w:w="1592" w:type="dxa"/>
            <w:noWrap w:val="0"/>
            <w:vAlign w:val="center"/>
          </w:tcPr>
          <w:p w14:paraId="64792C0F">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rightChars="0" w:firstLine="0" w:firstLineChars="0"/>
              <w:rPr>
                <w:rFonts w:hint="default" w:cs="Times New Roman"/>
                <w:snapToGrid w:val="0"/>
                <w:color w:val="000000" w:themeColor="text1"/>
                <w:kern w:val="21"/>
              </w:rPr>
            </w:pPr>
            <w:r>
              <w:rPr>
                <w:rFonts w:hint="default" w:cs="Times New Roman"/>
                <w:snapToGrid w:val="0"/>
                <w:color w:val="000000" w:themeColor="text1"/>
                <w:kern w:val="21"/>
              </w:rPr>
              <w:t>/</w:t>
            </w:r>
          </w:p>
        </w:tc>
        <w:tc>
          <w:tcPr>
            <w:tcW w:w="1708" w:type="dxa"/>
            <w:noWrap w:val="0"/>
            <w:vAlign w:val="center"/>
          </w:tcPr>
          <w:p w14:paraId="00E40B7E">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rPr>
                <w:rFonts w:hint="eastAsia" w:cs="Times New Roman"/>
                <w:snapToGrid w:val="0"/>
                <w:color w:val="000000" w:themeColor="text1"/>
                <w:kern w:val="21"/>
              </w:rPr>
            </w:pPr>
            <w:r>
              <w:rPr>
                <w:rFonts w:hint="eastAsia" w:cs="Times New Roman"/>
                <w:snapToGrid w:val="0"/>
                <w:color w:val="000000" w:themeColor="text1"/>
                <w:kern w:val="21"/>
                <w:lang w:val="en-US" w:eastAsia="zh-CN"/>
              </w:rPr>
              <w:t>270.56</w:t>
            </w:r>
            <w:r>
              <w:rPr>
                <w:rFonts w:hint="default" w:cs="Times New Roman"/>
                <w:snapToGrid w:val="0"/>
                <w:color w:val="000000" w:themeColor="text1"/>
                <w:kern w:val="21"/>
              </w:rPr>
              <w:t>t/a</w:t>
            </w:r>
          </w:p>
        </w:tc>
        <w:tc>
          <w:tcPr>
            <w:tcW w:w="1480" w:type="dxa"/>
            <w:noWrap w:val="0"/>
            <w:vAlign w:val="center"/>
          </w:tcPr>
          <w:p w14:paraId="4806E256">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rPr>
                <w:rFonts w:hint="default" w:eastAsia="宋体" w:cs="Times New Roman"/>
                <w:snapToGrid w:val="0"/>
                <w:color w:val="000000" w:themeColor="text1"/>
                <w:kern w:val="21"/>
                <w:lang w:val="en-US" w:eastAsia="zh-CN"/>
              </w:rPr>
            </w:pPr>
            <w:r>
              <w:rPr>
                <w:rFonts w:hint="eastAsia" w:cs="Times New Roman"/>
                <w:snapToGrid w:val="0"/>
                <w:color w:val="000000" w:themeColor="text1"/>
                <w:kern w:val="21"/>
                <w:lang w:val="en-US" w:eastAsia="zh-CN"/>
              </w:rPr>
              <w:t>+270.56t/a</w:t>
            </w:r>
          </w:p>
        </w:tc>
      </w:tr>
      <w:tr w14:paraId="5EB8D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6" w:type="dxa"/>
            <w:vMerge w:val="continue"/>
            <w:noWrap w:val="0"/>
            <w:vAlign w:val="center"/>
          </w:tcPr>
          <w:p w14:paraId="11BE732B">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p>
        </w:tc>
        <w:tc>
          <w:tcPr>
            <w:tcW w:w="2195" w:type="dxa"/>
            <w:noWrap w:val="0"/>
            <w:vAlign w:val="center"/>
          </w:tcPr>
          <w:p w14:paraId="7660EF1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themeColor="text1"/>
              </w:rPr>
            </w:pPr>
            <w:r>
              <w:rPr>
                <w:rFonts w:hint="eastAsia" w:ascii="Times New Roman" w:hAnsi="Times New Roman" w:eastAsia="宋体" w:cs="宋体"/>
                <w:color w:val="000000" w:themeColor="text1"/>
                <w:kern w:val="2"/>
                <w:sz w:val="21"/>
                <w:szCs w:val="24"/>
                <w:lang w:val="en-US" w:eastAsia="zh-CN" w:bidi="ar"/>
              </w:rPr>
              <w:t>炉渣</w:t>
            </w:r>
          </w:p>
        </w:tc>
        <w:tc>
          <w:tcPr>
            <w:tcW w:w="1486" w:type="dxa"/>
            <w:noWrap w:val="0"/>
            <w:vAlign w:val="center"/>
          </w:tcPr>
          <w:p w14:paraId="5C93D96A">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eastAsia" w:cs="Times New Roman"/>
                <w:snapToGrid w:val="0"/>
                <w:color w:val="000000" w:themeColor="text1"/>
                <w:kern w:val="21"/>
              </w:rPr>
              <w:t>/</w:t>
            </w:r>
          </w:p>
        </w:tc>
        <w:tc>
          <w:tcPr>
            <w:tcW w:w="1118" w:type="dxa"/>
            <w:noWrap w:val="0"/>
            <w:vAlign w:val="center"/>
          </w:tcPr>
          <w:p w14:paraId="36B6978D">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eastAsia" w:cs="Times New Roman"/>
                <w:snapToGrid w:val="0"/>
                <w:color w:val="000000" w:themeColor="text1"/>
                <w:kern w:val="21"/>
              </w:rPr>
              <w:t>/</w:t>
            </w:r>
          </w:p>
        </w:tc>
        <w:tc>
          <w:tcPr>
            <w:tcW w:w="1438" w:type="dxa"/>
            <w:noWrap w:val="0"/>
            <w:vAlign w:val="center"/>
          </w:tcPr>
          <w:p w14:paraId="6806B9B3">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eastAsia" w:cs="Times New Roman"/>
                <w:snapToGrid w:val="0"/>
                <w:color w:val="000000" w:themeColor="text1"/>
                <w:kern w:val="21"/>
              </w:rPr>
              <w:t>/</w:t>
            </w:r>
          </w:p>
        </w:tc>
        <w:tc>
          <w:tcPr>
            <w:tcW w:w="1559" w:type="dxa"/>
            <w:noWrap w:val="0"/>
            <w:vAlign w:val="center"/>
          </w:tcPr>
          <w:p w14:paraId="4730B4C7">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rPr>
                <w:rFonts w:hint="default" w:eastAsia="宋体" w:cs="Times New Roman"/>
                <w:snapToGrid w:val="0"/>
                <w:color w:val="000000" w:themeColor="text1"/>
                <w:kern w:val="21"/>
                <w:lang w:val="en-US" w:eastAsia="zh-CN"/>
              </w:rPr>
            </w:pPr>
            <w:r>
              <w:rPr>
                <w:rFonts w:hint="eastAsia" w:cs="Times New Roman"/>
                <w:snapToGrid w:val="0"/>
                <w:color w:val="000000" w:themeColor="text1"/>
                <w:kern w:val="21"/>
                <w:lang w:val="en-US" w:eastAsia="zh-CN"/>
              </w:rPr>
              <w:t>110.88</w:t>
            </w:r>
            <w:r>
              <w:rPr>
                <w:rFonts w:hint="default" w:cs="Times New Roman"/>
                <w:snapToGrid w:val="0"/>
                <w:color w:val="000000" w:themeColor="text1"/>
                <w:kern w:val="21"/>
              </w:rPr>
              <w:t>t/a</w:t>
            </w:r>
          </w:p>
        </w:tc>
        <w:tc>
          <w:tcPr>
            <w:tcW w:w="1592" w:type="dxa"/>
            <w:noWrap w:val="0"/>
            <w:vAlign w:val="center"/>
          </w:tcPr>
          <w:p w14:paraId="46AB16A9">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rightChars="0" w:firstLine="0" w:firstLineChars="0"/>
              <w:rPr>
                <w:rFonts w:hint="default" w:cs="Times New Roman"/>
                <w:snapToGrid w:val="0"/>
                <w:color w:val="000000" w:themeColor="text1"/>
                <w:kern w:val="21"/>
              </w:rPr>
            </w:pPr>
            <w:r>
              <w:rPr>
                <w:rFonts w:hint="default" w:cs="Times New Roman"/>
                <w:snapToGrid w:val="0"/>
                <w:color w:val="000000" w:themeColor="text1"/>
                <w:kern w:val="21"/>
              </w:rPr>
              <w:t>/</w:t>
            </w:r>
          </w:p>
        </w:tc>
        <w:tc>
          <w:tcPr>
            <w:tcW w:w="1708" w:type="dxa"/>
            <w:noWrap w:val="0"/>
            <w:vAlign w:val="center"/>
          </w:tcPr>
          <w:p w14:paraId="493D7EA9">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rPr>
                <w:rFonts w:hint="eastAsia" w:cs="Times New Roman"/>
                <w:snapToGrid w:val="0"/>
                <w:color w:val="000000" w:themeColor="text1"/>
                <w:kern w:val="21"/>
              </w:rPr>
            </w:pPr>
            <w:r>
              <w:rPr>
                <w:rFonts w:hint="eastAsia" w:cs="Times New Roman"/>
                <w:snapToGrid w:val="0"/>
                <w:color w:val="000000" w:themeColor="text1"/>
                <w:kern w:val="21"/>
                <w:lang w:val="en-US" w:eastAsia="zh-CN"/>
              </w:rPr>
              <w:t>110.88</w:t>
            </w:r>
            <w:r>
              <w:rPr>
                <w:rFonts w:hint="default" w:cs="Times New Roman"/>
                <w:snapToGrid w:val="0"/>
                <w:color w:val="000000" w:themeColor="text1"/>
                <w:kern w:val="21"/>
              </w:rPr>
              <w:t>t/a</w:t>
            </w:r>
          </w:p>
        </w:tc>
        <w:tc>
          <w:tcPr>
            <w:tcW w:w="1480" w:type="dxa"/>
            <w:noWrap w:val="0"/>
            <w:vAlign w:val="center"/>
          </w:tcPr>
          <w:p w14:paraId="0CCD4F58">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rPr>
                <w:rFonts w:hint="default" w:eastAsia="宋体" w:cs="Times New Roman"/>
                <w:snapToGrid w:val="0"/>
                <w:color w:val="000000" w:themeColor="text1"/>
                <w:kern w:val="21"/>
                <w:lang w:val="en-US" w:eastAsia="zh-CN"/>
              </w:rPr>
            </w:pPr>
            <w:r>
              <w:rPr>
                <w:rFonts w:hint="eastAsia" w:cs="Times New Roman"/>
                <w:snapToGrid w:val="0"/>
                <w:color w:val="000000" w:themeColor="text1"/>
                <w:kern w:val="21"/>
                <w:lang w:val="en-US" w:eastAsia="zh-CN"/>
              </w:rPr>
              <w:t>+110.88t/a</w:t>
            </w:r>
          </w:p>
        </w:tc>
      </w:tr>
      <w:tr w14:paraId="7213F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6" w:type="dxa"/>
            <w:vMerge w:val="continue"/>
            <w:noWrap w:val="0"/>
            <w:vAlign w:val="center"/>
          </w:tcPr>
          <w:p w14:paraId="36EA8282">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p>
        </w:tc>
        <w:tc>
          <w:tcPr>
            <w:tcW w:w="2195" w:type="dxa"/>
            <w:noWrap w:val="0"/>
            <w:vAlign w:val="center"/>
          </w:tcPr>
          <w:p w14:paraId="6B0B3FD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color w:val="000000" w:themeColor="text1"/>
              </w:rPr>
            </w:pPr>
            <w:r>
              <w:rPr>
                <w:rFonts w:hint="eastAsia" w:ascii="Times New Roman" w:hAnsi="Times New Roman" w:eastAsia="宋体" w:cs="宋体"/>
                <w:color w:val="000000" w:themeColor="text1"/>
                <w:kern w:val="2"/>
                <w:sz w:val="21"/>
                <w:szCs w:val="24"/>
                <w:lang w:val="en-US" w:eastAsia="zh-CN" w:bidi="ar"/>
              </w:rPr>
              <w:t>化粪池污泥</w:t>
            </w:r>
          </w:p>
        </w:tc>
        <w:tc>
          <w:tcPr>
            <w:tcW w:w="1486" w:type="dxa"/>
            <w:noWrap w:val="0"/>
            <w:vAlign w:val="center"/>
          </w:tcPr>
          <w:p w14:paraId="6873FAA3">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default" w:cs="Times New Roman"/>
                <w:snapToGrid w:val="0"/>
                <w:color w:val="000000" w:themeColor="text1"/>
                <w:kern w:val="21"/>
              </w:rPr>
              <w:t>/</w:t>
            </w:r>
          </w:p>
        </w:tc>
        <w:tc>
          <w:tcPr>
            <w:tcW w:w="1118" w:type="dxa"/>
            <w:noWrap w:val="0"/>
            <w:vAlign w:val="center"/>
          </w:tcPr>
          <w:p w14:paraId="64D7B6E6">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default" w:cs="Times New Roman"/>
                <w:snapToGrid w:val="0"/>
                <w:color w:val="000000" w:themeColor="text1"/>
                <w:kern w:val="21"/>
              </w:rPr>
              <w:t>/</w:t>
            </w:r>
          </w:p>
        </w:tc>
        <w:tc>
          <w:tcPr>
            <w:tcW w:w="1438" w:type="dxa"/>
            <w:noWrap w:val="0"/>
            <w:vAlign w:val="center"/>
          </w:tcPr>
          <w:p w14:paraId="5ED1C63B">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default" w:cs="Times New Roman"/>
                <w:snapToGrid w:val="0"/>
                <w:color w:val="000000" w:themeColor="text1"/>
                <w:kern w:val="21"/>
              </w:rPr>
              <w:t>/</w:t>
            </w:r>
          </w:p>
        </w:tc>
        <w:tc>
          <w:tcPr>
            <w:tcW w:w="1559" w:type="dxa"/>
            <w:noWrap w:val="0"/>
            <w:vAlign w:val="center"/>
          </w:tcPr>
          <w:p w14:paraId="6124D361">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rPr>
                <w:rFonts w:hint="eastAsia" w:cs="Times New Roman"/>
                <w:color w:val="000000" w:themeColor="text1"/>
              </w:rPr>
            </w:pPr>
            <w:r>
              <w:rPr>
                <w:rFonts w:hint="eastAsia" w:cs="Times New Roman"/>
                <w:snapToGrid w:val="0"/>
                <w:color w:val="000000" w:themeColor="text1"/>
                <w:kern w:val="21"/>
                <w:lang w:val="en-US" w:eastAsia="zh-CN"/>
              </w:rPr>
              <w:t>0.21</w:t>
            </w:r>
            <w:r>
              <w:rPr>
                <w:rFonts w:hint="default" w:cs="Times New Roman"/>
                <w:snapToGrid w:val="0"/>
                <w:color w:val="000000" w:themeColor="text1"/>
                <w:kern w:val="21"/>
              </w:rPr>
              <w:t>t/a</w:t>
            </w:r>
          </w:p>
        </w:tc>
        <w:tc>
          <w:tcPr>
            <w:tcW w:w="1592" w:type="dxa"/>
            <w:noWrap w:val="0"/>
            <w:vAlign w:val="center"/>
          </w:tcPr>
          <w:p w14:paraId="714AE5C8">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rPr>
                <w:rFonts w:hint="default" w:cs="Times New Roman"/>
                <w:snapToGrid w:val="0"/>
                <w:color w:val="000000" w:themeColor="text1"/>
                <w:kern w:val="21"/>
              </w:rPr>
            </w:pPr>
            <w:r>
              <w:rPr>
                <w:rFonts w:hint="default" w:cs="Times New Roman"/>
                <w:snapToGrid w:val="0"/>
                <w:color w:val="000000" w:themeColor="text1"/>
                <w:kern w:val="21"/>
              </w:rPr>
              <w:t>/</w:t>
            </w:r>
          </w:p>
        </w:tc>
        <w:tc>
          <w:tcPr>
            <w:tcW w:w="1708" w:type="dxa"/>
            <w:noWrap w:val="0"/>
            <w:vAlign w:val="center"/>
          </w:tcPr>
          <w:p w14:paraId="3939A169">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rPr>
                <w:rFonts w:hint="default" w:cs="Times New Roman"/>
                <w:snapToGrid w:val="0"/>
                <w:color w:val="000000" w:themeColor="text1"/>
                <w:kern w:val="21"/>
              </w:rPr>
            </w:pPr>
            <w:r>
              <w:rPr>
                <w:rFonts w:hint="eastAsia" w:cs="Times New Roman"/>
                <w:snapToGrid w:val="0"/>
                <w:color w:val="000000" w:themeColor="text1"/>
                <w:kern w:val="21"/>
                <w:lang w:val="en-US" w:eastAsia="zh-CN"/>
              </w:rPr>
              <w:t>0.21</w:t>
            </w:r>
            <w:r>
              <w:rPr>
                <w:rFonts w:hint="default" w:cs="Times New Roman"/>
                <w:snapToGrid w:val="0"/>
                <w:color w:val="000000" w:themeColor="text1"/>
                <w:kern w:val="21"/>
              </w:rPr>
              <w:t>t/a</w:t>
            </w:r>
          </w:p>
        </w:tc>
        <w:tc>
          <w:tcPr>
            <w:tcW w:w="1480" w:type="dxa"/>
            <w:noWrap w:val="0"/>
            <w:vAlign w:val="center"/>
          </w:tcPr>
          <w:p w14:paraId="226D50E9">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rPr>
                <w:rFonts w:hint="default" w:eastAsia="宋体" w:cs="Times New Roman"/>
                <w:snapToGrid w:val="0"/>
                <w:color w:val="000000" w:themeColor="text1"/>
                <w:kern w:val="21"/>
                <w:lang w:val="en-US" w:eastAsia="zh-CN"/>
              </w:rPr>
            </w:pPr>
            <w:r>
              <w:rPr>
                <w:rFonts w:hint="eastAsia" w:cs="Times New Roman"/>
                <w:snapToGrid w:val="0"/>
                <w:color w:val="000000" w:themeColor="text1"/>
                <w:kern w:val="21"/>
              </w:rPr>
              <w:t>+</w:t>
            </w:r>
            <w:r>
              <w:rPr>
                <w:rFonts w:hint="eastAsia" w:cs="Times New Roman"/>
                <w:snapToGrid w:val="0"/>
                <w:color w:val="000000" w:themeColor="text1"/>
                <w:kern w:val="21"/>
                <w:lang w:val="en-US" w:eastAsia="zh-CN"/>
              </w:rPr>
              <w:t>0.21t/a</w:t>
            </w:r>
          </w:p>
        </w:tc>
      </w:tr>
      <w:tr w14:paraId="10CF8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6" w:type="dxa"/>
            <w:noWrap w:val="0"/>
            <w:vAlign w:val="center"/>
          </w:tcPr>
          <w:p w14:paraId="62F43546">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default" w:cs="Times New Roman"/>
                <w:snapToGrid w:val="0"/>
                <w:color w:val="000000" w:themeColor="text1"/>
                <w:kern w:val="21"/>
              </w:rPr>
              <w:t>危险废物</w:t>
            </w:r>
          </w:p>
        </w:tc>
        <w:tc>
          <w:tcPr>
            <w:tcW w:w="2195" w:type="dxa"/>
            <w:noWrap w:val="0"/>
            <w:vAlign w:val="center"/>
          </w:tcPr>
          <w:p w14:paraId="26C07F5A">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rPr>
                <w:rFonts w:hint="eastAsia" w:cs="Times New Roman"/>
                <w:snapToGrid w:val="0"/>
                <w:color w:val="000000" w:themeColor="text1"/>
                <w:kern w:val="21"/>
              </w:rPr>
            </w:pPr>
            <w:r>
              <w:rPr>
                <w:rFonts w:hint="eastAsia" w:cs="Times New Roman"/>
                <w:color w:val="000000" w:themeColor="text1"/>
              </w:rPr>
              <w:t>废机油</w:t>
            </w:r>
          </w:p>
        </w:tc>
        <w:tc>
          <w:tcPr>
            <w:tcW w:w="1486" w:type="dxa"/>
            <w:noWrap w:val="0"/>
            <w:vAlign w:val="center"/>
          </w:tcPr>
          <w:p w14:paraId="5D5C534C">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eastAsia" w:cs="Times New Roman"/>
                <w:snapToGrid w:val="0"/>
                <w:color w:val="000000" w:themeColor="text1"/>
                <w:kern w:val="21"/>
              </w:rPr>
              <w:t>/</w:t>
            </w:r>
          </w:p>
        </w:tc>
        <w:tc>
          <w:tcPr>
            <w:tcW w:w="1118" w:type="dxa"/>
            <w:noWrap w:val="0"/>
            <w:vAlign w:val="center"/>
          </w:tcPr>
          <w:p w14:paraId="5B67928D">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eastAsia" w:cs="Times New Roman"/>
                <w:snapToGrid w:val="0"/>
                <w:color w:val="000000" w:themeColor="text1"/>
                <w:kern w:val="21"/>
              </w:rPr>
              <w:t>/</w:t>
            </w:r>
          </w:p>
        </w:tc>
        <w:tc>
          <w:tcPr>
            <w:tcW w:w="1438" w:type="dxa"/>
            <w:noWrap w:val="0"/>
            <w:vAlign w:val="center"/>
          </w:tcPr>
          <w:p w14:paraId="1EAB5D6C">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rPr>
                <w:rFonts w:hint="default" w:cs="Times New Roman"/>
                <w:snapToGrid w:val="0"/>
                <w:color w:val="000000" w:themeColor="text1"/>
                <w:kern w:val="21"/>
              </w:rPr>
            </w:pPr>
            <w:r>
              <w:rPr>
                <w:rFonts w:hint="eastAsia" w:cs="Times New Roman"/>
                <w:snapToGrid w:val="0"/>
                <w:color w:val="000000" w:themeColor="text1"/>
                <w:kern w:val="21"/>
              </w:rPr>
              <w:t>/</w:t>
            </w:r>
          </w:p>
        </w:tc>
        <w:tc>
          <w:tcPr>
            <w:tcW w:w="1559" w:type="dxa"/>
            <w:noWrap w:val="0"/>
            <w:vAlign w:val="center"/>
          </w:tcPr>
          <w:p w14:paraId="28783C80">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rPr>
                <w:rFonts w:hint="default" w:cs="Times New Roman"/>
                <w:color w:val="000000" w:themeColor="text1"/>
              </w:rPr>
            </w:pPr>
            <w:r>
              <w:rPr>
                <w:rFonts w:hint="eastAsia" w:cs="Times New Roman"/>
                <w:color w:val="000000" w:themeColor="text1"/>
              </w:rPr>
              <w:t>0.08</w:t>
            </w:r>
            <w:r>
              <w:rPr>
                <w:rFonts w:hint="default" w:cs="Times New Roman"/>
                <w:snapToGrid w:val="0"/>
                <w:color w:val="000000" w:themeColor="text1"/>
                <w:kern w:val="21"/>
              </w:rPr>
              <w:t>t/a</w:t>
            </w:r>
          </w:p>
        </w:tc>
        <w:tc>
          <w:tcPr>
            <w:tcW w:w="1592" w:type="dxa"/>
            <w:noWrap w:val="0"/>
            <w:vAlign w:val="center"/>
          </w:tcPr>
          <w:p w14:paraId="0BD769F0">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rPr>
                <w:rFonts w:hint="default" w:cs="Times New Roman"/>
                <w:snapToGrid w:val="0"/>
                <w:color w:val="000000" w:themeColor="text1"/>
                <w:kern w:val="21"/>
              </w:rPr>
            </w:pPr>
            <w:r>
              <w:rPr>
                <w:rFonts w:hint="default" w:cs="Times New Roman"/>
                <w:snapToGrid w:val="0"/>
                <w:color w:val="000000" w:themeColor="text1"/>
                <w:kern w:val="21"/>
              </w:rPr>
              <w:t>/</w:t>
            </w:r>
          </w:p>
        </w:tc>
        <w:tc>
          <w:tcPr>
            <w:tcW w:w="1708" w:type="dxa"/>
            <w:noWrap w:val="0"/>
            <w:vAlign w:val="center"/>
          </w:tcPr>
          <w:p w14:paraId="4D99FFC6">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rPr>
                <w:rFonts w:hint="default" w:cs="Times New Roman"/>
                <w:snapToGrid w:val="0"/>
                <w:color w:val="000000" w:themeColor="text1"/>
                <w:kern w:val="21"/>
              </w:rPr>
            </w:pPr>
            <w:r>
              <w:rPr>
                <w:rFonts w:hint="eastAsia" w:cs="Times New Roman"/>
                <w:color w:val="000000" w:themeColor="text1"/>
              </w:rPr>
              <w:t>0.08</w:t>
            </w:r>
            <w:r>
              <w:rPr>
                <w:rFonts w:hint="default" w:cs="Times New Roman"/>
                <w:snapToGrid w:val="0"/>
                <w:color w:val="000000" w:themeColor="text1"/>
                <w:kern w:val="21"/>
              </w:rPr>
              <w:t>t/a</w:t>
            </w:r>
          </w:p>
        </w:tc>
        <w:tc>
          <w:tcPr>
            <w:tcW w:w="1480" w:type="dxa"/>
            <w:noWrap w:val="0"/>
            <w:vAlign w:val="center"/>
          </w:tcPr>
          <w:p w14:paraId="16785437">
            <w:pPr>
              <w:pStyle w:val="6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rPr>
                <w:rFonts w:hint="eastAsia" w:cs="Times New Roman"/>
                <w:snapToGrid w:val="0"/>
                <w:color w:val="000000" w:themeColor="text1"/>
                <w:kern w:val="21"/>
              </w:rPr>
            </w:pPr>
            <w:r>
              <w:rPr>
                <w:rFonts w:hint="eastAsia" w:cs="Times New Roman"/>
                <w:snapToGrid w:val="0"/>
                <w:color w:val="000000" w:themeColor="text1"/>
                <w:kern w:val="21"/>
              </w:rPr>
              <w:t>+0.08t/a</w:t>
            </w:r>
          </w:p>
        </w:tc>
      </w:tr>
    </w:tbl>
    <w:p w14:paraId="6BC51CF0">
      <w:pPr>
        <w:pStyle w:val="62"/>
        <w:spacing w:before="249" w:beforeLines="80" w:after="24"/>
        <w:jc w:val="left"/>
        <w:rPr>
          <w:snapToGrid w:val="0"/>
          <w:color w:val="000000" w:themeColor="text1"/>
          <w:spacing w:val="-6"/>
          <w:kern w:val="21"/>
        </w:rPr>
      </w:pPr>
      <w:r>
        <w:rPr>
          <w:snapToGrid w:val="0"/>
          <w:color w:val="000000" w:themeColor="text1"/>
          <w:kern w:val="21"/>
        </w:rPr>
        <w:t>注：</w:t>
      </w:r>
      <w:r>
        <w:rPr>
          <w:snapToGrid w:val="0"/>
          <w:color w:val="000000" w:themeColor="text1"/>
          <w:spacing w:val="-16"/>
          <w:kern w:val="21"/>
        </w:rPr>
        <w:fldChar w:fldCharType="begin"/>
      </w:r>
      <w:r>
        <w:rPr>
          <w:snapToGrid w:val="0"/>
          <w:color w:val="000000" w:themeColor="text1"/>
          <w:spacing w:val="-16"/>
          <w:kern w:val="21"/>
        </w:rPr>
        <w:instrText xml:space="preserve"> = 6 \* GB3 \* MERGEFORMAT </w:instrText>
      </w:r>
      <w:r>
        <w:rPr>
          <w:snapToGrid w:val="0"/>
          <w:color w:val="000000" w:themeColor="text1"/>
          <w:spacing w:val="-16"/>
          <w:kern w:val="21"/>
        </w:rPr>
        <w:fldChar w:fldCharType="separate"/>
      </w:r>
      <w:r>
        <w:rPr>
          <w:color w:val="000000" w:themeColor="text1"/>
        </w:rPr>
        <w:t>⑥</w:t>
      </w:r>
      <w:r>
        <w:rPr>
          <w:snapToGrid w:val="0"/>
          <w:color w:val="000000" w:themeColor="text1"/>
          <w:spacing w:val="-16"/>
          <w:kern w:val="21"/>
        </w:rPr>
        <w:fldChar w:fldCharType="end"/>
      </w:r>
      <w:r>
        <w:rPr>
          <w:snapToGrid w:val="0"/>
          <w:color w:val="000000" w:themeColor="text1"/>
          <w:spacing w:val="-16"/>
          <w:kern w:val="21"/>
        </w:rPr>
        <w:t>=</w:t>
      </w:r>
      <w:r>
        <w:rPr>
          <w:snapToGrid w:val="0"/>
          <w:color w:val="000000" w:themeColor="text1"/>
          <w:spacing w:val="-6"/>
          <w:kern w:val="21"/>
        </w:rPr>
        <w:fldChar w:fldCharType="begin"/>
      </w:r>
      <w:r>
        <w:rPr>
          <w:snapToGrid w:val="0"/>
          <w:color w:val="000000" w:themeColor="text1"/>
          <w:spacing w:val="-6"/>
          <w:kern w:val="21"/>
        </w:rPr>
        <w:instrText xml:space="preserve"> = 1 \* GB3 \* MERGEFORMAT </w:instrText>
      </w:r>
      <w:r>
        <w:rPr>
          <w:snapToGrid w:val="0"/>
          <w:color w:val="000000" w:themeColor="text1"/>
          <w:spacing w:val="-6"/>
          <w:kern w:val="21"/>
        </w:rPr>
        <w:fldChar w:fldCharType="separate"/>
      </w:r>
      <w:r>
        <w:rPr>
          <w:color w:val="000000" w:themeColor="text1"/>
        </w:rPr>
        <w:t>①</w:t>
      </w:r>
      <w:r>
        <w:rPr>
          <w:snapToGrid w:val="0"/>
          <w:color w:val="000000" w:themeColor="text1"/>
          <w:spacing w:val="-6"/>
          <w:kern w:val="21"/>
        </w:rPr>
        <w:fldChar w:fldCharType="end"/>
      </w:r>
      <w:r>
        <w:rPr>
          <w:snapToGrid w:val="0"/>
          <w:color w:val="000000" w:themeColor="text1"/>
          <w:spacing w:val="-6"/>
          <w:kern w:val="21"/>
        </w:rPr>
        <w:t>+</w:t>
      </w:r>
      <w:r>
        <w:rPr>
          <w:snapToGrid w:val="0"/>
          <w:color w:val="000000" w:themeColor="text1"/>
          <w:spacing w:val="-6"/>
          <w:kern w:val="21"/>
        </w:rPr>
        <w:fldChar w:fldCharType="begin"/>
      </w:r>
      <w:r>
        <w:rPr>
          <w:snapToGrid w:val="0"/>
          <w:color w:val="000000" w:themeColor="text1"/>
          <w:spacing w:val="-6"/>
          <w:kern w:val="21"/>
        </w:rPr>
        <w:instrText xml:space="preserve"> = 3 \* GB3 \* MERGEFORMAT </w:instrText>
      </w:r>
      <w:r>
        <w:rPr>
          <w:snapToGrid w:val="0"/>
          <w:color w:val="000000" w:themeColor="text1"/>
          <w:spacing w:val="-6"/>
          <w:kern w:val="21"/>
        </w:rPr>
        <w:fldChar w:fldCharType="separate"/>
      </w:r>
      <w:r>
        <w:rPr>
          <w:color w:val="000000" w:themeColor="text1"/>
        </w:rPr>
        <w:t>③</w:t>
      </w:r>
      <w:r>
        <w:rPr>
          <w:snapToGrid w:val="0"/>
          <w:color w:val="000000" w:themeColor="text1"/>
          <w:spacing w:val="-6"/>
          <w:kern w:val="21"/>
        </w:rPr>
        <w:fldChar w:fldCharType="end"/>
      </w:r>
      <w:r>
        <w:rPr>
          <w:snapToGrid w:val="0"/>
          <w:color w:val="000000" w:themeColor="text1"/>
          <w:spacing w:val="-6"/>
          <w:kern w:val="21"/>
        </w:rPr>
        <w:t>+</w:t>
      </w:r>
      <w:r>
        <w:rPr>
          <w:snapToGrid w:val="0"/>
          <w:color w:val="000000" w:themeColor="text1"/>
          <w:spacing w:val="-6"/>
          <w:kern w:val="21"/>
        </w:rPr>
        <w:fldChar w:fldCharType="begin"/>
      </w:r>
      <w:r>
        <w:rPr>
          <w:snapToGrid w:val="0"/>
          <w:color w:val="000000" w:themeColor="text1"/>
          <w:spacing w:val="-6"/>
          <w:kern w:val="21"/>
        </w:rPr>
        <w:instrText xml:space="preserve"> = 4 \* GB3 \* MERGEFORMAT </w:instrText>
      </w:r>
      <w:r>
        <w:rPr>
          <w:snapToGrid w:val="0"/>
          <w:color w:val="000000" w:themeColor="text1"/>
          <w:spacing w:val="-6"/>
          <w:kern w:val="21"/>
        </w:rPr>
        <w:fldChar w:fldCharType="separate"/>
      </w:r>
      <w:r>
        <w:rPr>
          <w:color w:val="000000" w:themeColor="text1"/>
        </w:rPr>
        <w:t>④</w:t>
      </w:r>
      <w:r>
        <w:rPr>
          <w:snapToGrid w:val="0"/>
          <w:color w:val="000000" w:themeColor="text1"/>
          <w:spacing w:val="-6"/>
          <w:kern w:val="21"/>
        </w:rPr>
        <w:fldChar w:fldCharType="end"/>
      </w:r>
      <w:r>
        <w:rPr>
          <w:snapToGrid w:val="0"/>
          <w:color w:val="000000" w:themeColor="text1"/>
          <w:spacing w:val="-6"/>
          <w:kern w:val="21"/>
        </w:rPr>
        <w:t>-</w:t>
      </w:r>
      <w:r>
        <w:rPr>
          <w:snapToGrid w:val="0"/>
          <w:color w:val="000000" w:themeColor="text1"/>
          <w:spacing w:val="-16"/>
          <w:kern w:val="21"/>
        </w:rPr>
        <w:fldChar w:fldCharType="begin"/>
      </w:r>
      <w:r>
        <w:rPr>
          <w:snapToGrid w:val="0"/>
          <w:color w:val="000000" w:themeColor="text1"/>
          <w:spacing w:val="-16"/>
          <w:kern w:val="21"/>
        </w:rPr>
        <w:instrText xml:space="preserve"> = 5 \* GB3 \* MERGEFORMAT </w:instrText>
      </w:r>
      <w:r>
        <w:rPr>
          <w:snapToGrid w:val="0"/>
          <w:color w:val="000000" w:themeColor="text1"/>
          <w:spacing w:val="-16"/>
          <w:kern w:val="21"/>
        </w:rPr>
        <w:fldChar w:fldCharType="separate"/>
      </w:r>
      <w:r>
        <w:rPr>
          <w:color w:val="000000" w:themeColor="text1"/>
        </w:rPr>
        <w:t>⑤</w:t>
      </w:r>
      <w:r>
        <w:rPr>
          <w:snapToGrid w:val="0"/>
          <w:color w:val="000000" w:themeColor="text1"/>
          <w:spacing w:val="-16"/>
          <w:kern w:val="21"/>
        </w:rPr>
        <w:fldChar w:fldCharType="end"/>
      </w:r>
      <w:r>
        <w:rPr>
          <w:snapToGrid w:val="0"/>
          <w:color w:val="000000" w:themeColor="text1"/>
          <w:spacing w:val="-16"/>
          <w:kern w:val="21"/>
        </w:rPr>
        <w:t>；</w:t>
      </w:r>
      <w:r>
        <w:rPr>
          <w:snapToGrid w:val="0"/>
          <w:color w:val="000000" w:themeColor="text1"/>
          <w:spacing w:val="-6"/>
          <w:kern w:val="21"/>
        </w:rPr>
        <w:fldChar w:fldCharType="begin"/>
      </w:r>
      <w:r>
        <w:rPr>
          <w:snapToGrid w:val="0"/>
          <w:color w:val="000000" w:themeColor="text1"/>
          <w:spacing w:val="-6"/>
          <w:kern w:val="21"/>
        </w:rPr>
        <w:instrText xml:space="preserve"> = 7 \* GB3 \* MERGEFORMAT </w:instrText>
      </w:r>
      <w:r>
        <w:rPr>
          <w:snapToGrid w:val="0"/>
          <w:color w:val="000000" w:themeColor="text1"/>
          <w:spacing w:val="-6"/>
          <w:kern w:val="21"/>
        </w:rPr>
        <w:fldChar w:fldCharType="separate"/>
      </w:r>
      <w:r>
        <w:rPr>
          <w:color w:val="000000" w:themeColor="text1"/>
        </w:rPr>
        <w:t>⑦</w:t>
      </w:r>
      <w:r>
        <w:rPr>
          <w:snapToGrid w:val="0"/>
          <w:color w:val="000000" w:themeColor="text1"/>
          <w:spacing w:val="-6"/>
          <w:kern w:val="21"/>
        </w:rPr>
        <w:fldChar w:fldCharType="end"/>
      </w:r>
      <w:r>
        <w:rPr>
          <w:snapToGrid w:val="0"/>
          <w:color w:val="000000" w:themeColor="text1"/>
          <w:spacing w:val="-6"/>
          <w:kern w:val="21"/>
        </w:rPr>
        <w:t>=</w:t>
      </w:r>
      <w:r>
        <w:rPr>
          <w:snapToGrid w:val="0"/>
          <w:color w:val="000000" w:themeColor="text1"/>
          <w:spacing w:val="-16"/>
          <w:kern w:val="21"/>
        </w:rPr>
        <w:fldChar w:fldCharType="begin"/>
      </w:r>
      <w:r>
        <w:rPr>
          <w:snapToGrid w:val="0"/>
          <w:color w:val="000000" w:themeColor="text1"/>
          <w:spacing w:val="-16"/>
          <w:kern w:val="21"/>
        </w:rPr>
        <w:instrText xml:space="preserve"> = 6 \* GB3 \* MERGEFORMAT </w:instrText>
      </w:r>
      <w:r>
        <w:rPr>
          <w:snapToGrid w:val="0"/>
          <w:color w:val="000000" w:themeColor="text1"/>
          <w:spacing w:val="-16"/>
          <w:kern w:val="21"/>
        </w:rPr>
        <w:fldChar w:fldCharType="separate"/>
      </w:r>
      <w:r>
        <w:rPr>
          <w:color w:val="000000" w:themeColor="text1"/>
        </w:rPr>
        <w:t>⑥</w:t>
      </w:r>
      <w:r>
        <w:rPr>
          <w:snapToGrid w:val="0"/>
          <w:color w:val="000000" w:themeColor="text1"/>
          <w:spacing w:val="-16"/>
          <w:kern w:val="21"/>
        </w:rPr>
        <w:fldChar w:fldCharType="end"/>
      </w:r>
      <w:r>
        <w:rPr>
          <w:snapToGrid w:val="0"/>
          <w:color w:val="000000" w:themeColor="text1"/>
          <w:spacing w:val="-16"/>
          <w:kern w:val="21"/>
        </w:rPr>
        <w:t>-</w:t>
      </w:r>
      <w:r>
        <w:rPr>
          <w:snapToGrid w:val="0"/>
          <w:color w:val="000000" w:themeColor="text1"/>
          <w:spacing w:val="-6"/>
          <w:kern w:val="21"/>
        </w:rPr>
        <w:fldChar w:fldCharType="begin"/>
      </w:r>
      <w:r>
        <w:rPr>
          <w:snapToGrid w:val="0"/>
          <w:color w:val="000000" w:themeColor="text1"/>
          <w:spacing w:val="-6"/>
          <w:kern w:val="21"/>
        </w:rPr>
        <w:instrText xml:space="preserve"> = 1 \* GB3 \* MERGEFORMAT </w:instrText>
      </w:r>
      <w:r>
        <w:rPr>
          <w:snapToGrid w:val="0"/>
          <w:color w:val="000000" w:themeColor="text1"/>
          <w:spacing w:val="-6"/>
          <w:kern w:val="21"/>
        </w:rPr>
        <w:fldChar w:fldCharType="separate"/>
      </w:r>
      <w:r>
        <w:rPr>
          <w:color w:val="000000" w:themeColor="text1"/>
        </w:rPr>
        <w:t>①</w:t>
      </w:r>
      <w:r>
        <w:rPr>
          <w:snapToGrid w:val="0"/>
          <w:color w:val="000000" w:themeColor="text1"/>
          <w:spacing w:val="-6"/>
          <w:kern w:val="21"/>
        </w:rPr>
        <w:fldChar w:fldCharType="end"/>
      </w:r>
    </w:p>
    <w:sectPr>
      <w:footerReference r:id="rId15" w:type="default"/>
      <w:pgSz w:w="16838" w:h="11906" w:orient="landscape"/>
      <w:pgMar w:top="1701" w:right="1440" w:bottom="1701"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071">
      <wne:acd wne:acdName="acd0"/>
    </wne:keymap>
    <wne:keymap wne:kcmPrimary="0073">
      <wne:acd wne:acdName="acd1"/>
    </wne:keymap>
    <wne:keymap wne:kcmPrimary="0074">
      <wne:acd wne:acdName="acd2"/>
    </wne:keymap>
  </wne:keymaps>
  <wne:acds>
    <wne:acd wne:argValue="AQAAAAAA" wne:acdName="acd0" wne:fciIndexBasedOn="0065"/>
    <wne:acd wne:argValue="AgBoiDxo" wne:acdName="acd1" wne:fciIndexBasedOn="0065"/>
    <wne:acd wne:argValue="AgBoiDRZ" wne:acdName="acd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92A809C1-F7E4-4EFC-9F47-7E7B4DA4C14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25F0F895-12CE-499A-A792-9A1CBC8032AA}"/>
  </w:font>
  <w:font w:name="serif">
    <w:altName w:val="Segoe Print"/>
    <w:panose1 w:val="00000000000000000000"/>
    <w:charset w:val="00"/>
    <w:family w:val="auto"/>
    <w:pitch w:val="default"/>
    <w:sig w:usb0="00000000" w:usb1="00000000" w:usb2="00000000" w:usb3="00000000" w:csb0="00040001" w:csb1="00000000"/>
  </w:font>
  <w:font w:name="TimesNewRomanPSMT">
    <w:altName w:val="Times New Roman"/>
    <w:panose1 w:val="00000000000000000000"/>
    <w:charset w:val="00"/>
    <w:family w:val="roman"/>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embedRegular r:id="rId3" w:fontKey="{D84D22F4-C1C9-4A01-BB3F-04D4CB6842DB}"/>
  </w:font>
  <w:font w:name="仿宋">
    <w:panose1 w:val="02010609060101010101"/>
    <w:charset w:val="86"/>
    <w:family w:val="modern"/>
    <w:pitch w:val="default"/>
    <w:sig w:usb0="800002BF" w:usb1="38CF7CFA" w:usb2="00000016" w:usb3="00000000" w:csb0="00040001" w:csb1="00000000"/>
    <w:embedRegular r:id="rId4" w:fontKey="{628D4E8B-BAAE-461C-AB53-3193BE0AE8EE}"/>
  </w:font>
  <w:font w:name="金山简标宋">
    <w:altName w:val="宋体"/>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方正小标宋_GBK">
    <w:panose1 w:val="03000509000000000000"/>
    <w:charset w:val="86"/>
    <w:family w:val="script"/>
    <w:pitch w:val="default"/>
    <w:sig w:usb0="00000001" w:usb1="080E0000" w:usb2="00000000" w:usb3="00000000" w:csb0="00040000" w:csb1="00000000"/>
    <w:embedRegular r:id="rId5" w:fontKey="{8968802F-AFB2-4DC4-8C08-7092FCF4B326}"/>
  </w:font>
  <w:font w:name="楷体">
    <w:panose1 w:val="02010609060101010101"/>
    <w:charset w:val="86"/>
    <w:family w:val="modern"/>
    <w:pitch w:val="default"/>
    <w:sig w:usb0="800002BF" w:usb1="38CF7CFA" w:usb2="00000016" w:usb3="00000000" w:csb0="00040001" w:csb1="00000000"/>
    <w:embedRegular r:id="rId6" w:fontKey="{DA8D262E-0713-4F89-90EC-1598E55A4713}"/>
  </w:font>
  <w:font w:name="微软雅黑">
    <w:panose1 w:val="020B0503020204020204"/>
    <w:charset w:val="86"/>
    <w:family w:val="swiss"/>
    <w:pitch w:val="default"/>
    <w:sig w:usb0="80000287" w:usb1="2ACF3C50" w:usb2="00000016" w:usb3="00000000" w:csb0="0004001F" w:csb1="00000000"/>
    <w:embedRegular r:id="rId7" w:fontKey="{3A4C375D-0836-4448-AA17-2BA72ADB27AA}"/>
  </w:font>
  <w:font w:name="华文仿宋">
    <w:panose1 w:val="02010600040101010101"/>
    <w:charset w:val="86"/>
    <w:family w:val="auto"/>
    <w:pitch w:val="default"/>
    <w:sig w:usb0="00000287" w:usb1="080F0000" w:usb2="00000000" w:usb3="00000000" w:csb0="0004009F" w:csb1="DFD70000"/>
    <w:embedRegular r:id="rId8" w:fontKey="{C66135E1-2363-404A-886B-9F60E2575A27}"/>
  </w:font>
  <w:font w:name="Wingdings 2">
    <w:panose1 w:val="05020102010507070707"/>
    <w:charset w:val="02"/>
    <w:family w:val="roman"/>
    <w:pitch w:val="default"/>
    <w:sig w:usb0="00000000" w:usb1="00000000" w:usb2="00000000" w:usb3="00000000" w:csb0="80000000" w:csb1="00000000"/>
    <w:embedRegular r:id="rId9" w:fontKey="{9F10DAA4-FA75-4D23-8884-7938CD4C7B94}"/>
  </w:font>
  <w:font w:name="方正仿宋_GBK">
    <w:panose1 w:val="03000509000000000000"/>
    <w:charset w:val="86"/>
    <w:family w:val="auto"/>
    <w:pitch w:val="default"/>
    <w:sig w:usb0="00000001" w:usb1="080E0000" w:usb2="00000000" w:usb3="00000000" w:csb0="00040000" w:csb1="00000000"/>
    <w:embedRegular r:id="rId10" w:fontKey="{133F7FE2-68C3-4ACD-9F88-48390E3CE981}"/>
  </w:font>
  <w:font w:name="MS PGothic">
    <w:panose1 w:val="020B0600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D27A7">
    <w:pPr>
      <w:pStyle w:val="2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B31A1">
    <w:pPr>
      <w:pStyle w:val="27"/>
      <w:framePr w:wrap="around" w:vAnchor="text" w:hAnchor="margin" w:xAlign="center" w:y="1"/>
      <w:ind w:firstLine="360"/>
      <w:rPr>
        <w:rStyle w:val="49"/>
      </w:rPr>
    </w:pPr>
    <w:r>
      <w:fldChar w:fldCharType="begin"/>
    </w:r>
    <w:r>
      <w:rPr>
        <w:rStyle w:val="49"/>
      </w:rPr>
      <w:instrText xml:space="preserve">PAGE  </w:instrText>
    </w:r>
    <w:r>
      <w:fldChar w:fldCharType="end"/>
    </w:r>
  </w:p>
  <w:p w14:paraId="2DB21241">
    <w:pPr>
      <w:pStyle w:val="2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71236">
    <w:pPr>
      <w:pStyle w:val="2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12BC1">
    <w:pPr>
      <w:pStyle w:val="2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73170">
    <w:pPr>
      <w:pStyle w:val="27"/>
      <w:ind w:firstLine="360"/>
    </w:pPr>
    <w:r>
      <w:pict>
        <v:shape id="文本框 11"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0879C67A">
                <w:pPr>
                  <w:pStyle w:val="27"/>
                  <w:ind w:firstLine="360"/>
                </w:pPr>
                <w:r>
                  <w:fldChar w:fldCharType="begin"/>
                </w:r>
                <w:r>
                  <w:instrText xml:space="preserve"> PAGE  \* MERGEFORMAT </w:instrText>
                </w:r>
                <w:r>
                  <w:fldChar w:fldCharType="separate"/>
                </w:r>
                <w:r>
                  <w:t>1</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18F83">
    <w:pPr>
      <w:pStyle w:val="27"/>
      <w:ind w:firstLine="360"/>
    </w:pPr>
    <w:r>
      <w:pict>
        <v:shape id="文本框 12" o:spid="_x0000_s3074" o:spt="202" type="#_x0000_t202" style="position:absolute;left:0pt;margin-top:0pt;height:14.3pt;width:20.15pt;mso-position-horizontal:center;mso-position-horizontal-relative:margin;z-index:251660288;mso-width-relative:page;mso-height-relative:page;" filled="f" stroked="f" coordsize="21600,21600">
          <v:path/>
          <v:fill on="f" focussize="0,0"/>
          <v:stroke on="f"/>
          <v:imagedata o:title=""/>
          <o:lock v:ext="edit" aspectratio="f"/>
          <v:textbox inset="0mm,0mm,0mm,0mm">
            <w:txbxContent>
              <w:p w14:paraId="661525ED">
                <w:pPr>
                  <w:pStyle w:val="27"/>
                  <w:ind w:firstLine="0" w:firstLineChars="0"/>
                </w:pPr>
                <w:r>
                  <w:fldChar w:fldCharType="begin"/>
                </w:r>
                <w:r>
                  <w:instrText xml:space="preserve"> PAGE  \* MERGEFORMAT </w:instrText>
                </w:r>
                <w:r>
                  <w:fldChar w:fldCharType="separate"/>
                </w:r>
                <w:r>
                  <w:t>12</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D2FA5">
    <w:pPr>
      <w:pStyle w:val="27"/>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FB9E1">
    <w:pPr>
      <w:pStyle w:val="28"/>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4A490">
    <w:pPr>
      <w:pStyle w:val="2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8FED7">
    <w:pPr>
      <w:pStyle w:val="2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5E948">
    <w:pPr>
      <w:pStyle w:val="28"/>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C9EBA3"/>
    <w:multiLevelType w:val="singleLevel"/>
    <w:tmpl w:val="D0C9EBA3"/>
    <w:lvl w:ilvl="0" w:tentative="0">
      <w:start w:val="3"/>
      <w:numFmt w:val="decimal"/>
      <w:suff w:val="nothing"/>
      <w:lvlText w:val="%1、"/>
      <w:lvlJc w:val="left"/>
    </w:lvl>
  </w:abstractNum>
  <w:abstractNum w:abstractNumId="1">
    <w:nsid w:val="DBD849FA"/>
    <w:multiLevelType w:val="singleLevel"/>
    <w:tmpl w:val="DBD849FA"/>
    <w:lvl w:ilvl="0" w:tentative="0">
      <w:start w:val="19"/>
      <w:numFmt w:val="chineseCounting"/>
      <w:suff w:val="nothing"/>
      <w:lvlText w:val="%1、"/>
      <w:lvlJc w:val="left"/>
      <w:rPr>
        <w:rFonts w:hint="eastAsia"/>
      </w:rPr>
    </w:lvl>
  </w:abstractNum>
  <w:abstractNum w:abstractNumId="2">
    <w:nsid w:val="1B88C7BF"/>
    <w:multiLevelType w:val="singleLevel"/>
    <w:tmpl w:val="1B88C7BF"/>
    <w:lvl w:ilvl="0" w:tentative="0">
      <w:start w:val="1"/>
      <w:numFmt w:val="decimal"/>
      <w:suff w:val="nothing"/>
      <w:lvlText w:val="（%1）"/>
      <w:lvlJc w:val="left"/>
    </w:lvl>
  </w:abstractNum>
  <w:abstractNum w:abstractNumId="3">
    <w:nsid w:val="4496D6D5"/>
    <w:multiLevelType w:val="singleLevel"/>
    <w:tmpl w:val="4496D6D5"/>
    <w:lvl w:ilvl="0" w:tentative="0">
      <w:start w:val="1"/>
      <w:numFmt w:val="decimal"/>
      <w:suff w:val="nothing"/>
      <w:lvlText w:val="（%1）"/>
      <w:lvlJc w:val="left"/>
    </w:lvl>
  </w:abstractNum>
  <w:abstractNum w:abstractNumId="4">
    <w:nsid w:val="654E57EB"/>
    <w:multiLevelType w:val="singleLevel"/>
    <w:tmpl w:val="654E57EB"/>
    <w:lvl w:ilvl="0" w:tentative="0">
      <w:start w:val="1"/>
      <w:numFmt w:val="decimal"/>
      <w:suff w:val="nothing"/>
      <w:lvlText w:val="%1、"/>
      <w:lvlJc w:val="left"/>
    </w:lvl>
  </w:abstractNum>
  <w:abstractNum w:abstractNumId="5">
    <w:nsid w:val="6C64FA58"/>
    <w:multiLevelType w:val="singleLevel"/>
    <w:tmpl w:val="6C64FA58"/>
    <w:lvl w:ilvl="0" w:tentative="0">
      <w:start w:val="2"/>
      <w:numFmt w:val="decimal"/>
      <w:suff w:val="nothing"/>
      <w:lvlText w:val="%1）"/>
      <w:lvlJc w:val="left"/>
    </w:lvl>
  </w:abstractNum>
  <w:abstractNum w:abstractNumId="6">
    <w:nsid w:val="6F0C603E"/>
    <w:multiLevelType w:val="singleLevel"/>
    <w:tmpl w:val="6F0C603E"/>
    <w:lvl w:ilvl="0" w:tentative="0">
      <w:start w:val="3"/>
      <w:numFmt w:val="decimal"/>
      <w:suff w:val="nothing"/>
      <w:lvlText w:val="%1）"/>
      <w:lvlJc w:val="left"/>
    </w:lvl>
  </w:abstractNum>
  <w:num w:numId="1">
    <w:abstractNumId w:val="1"/>
  </w:num>
  <w:num w:numId="2">
    <w:abstractNumId w:val="0"/>
  </w:num>
  <w:num w:numId="3">
    <w:abstractNumId w:val="2"/>
  </w:num>
  <w:num w:numId="4">
    <w:abstractNumId w:val="3"/>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3"/>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GFlM2Y0NGZjMDgxMzMyYmJjMDRhNmY3MDRkOGEyMmYifQ=="/>
  </w:docVars>
  <w:rsids>
    <w:rsidRoot w:val="00172A27"/>
    <w:rsid w:val="00000159"/>
    <w:rsid w:val="0000024B"/>
    <w:rsid w:val="0000033D"/>
    <w:rsid w:val="00000425"/>
    <w:rsid w:val="000004BC"/>
    <w:rsid w:val="000009F7"/>
    <w:rsid w:val="00000D31"/>
    <w:rsid w:val="000011A9"/>
    <w:rsid w:val="00001386"/>
    <w:rsid w:val="000014BA"/>
    <w:rsid w:val="00001BC0"/>
    <w:rsid w:val="00001F4C"/>
    <w:rsid w:val="00002376"/>
    <w:rsid w:val="000027CC"/>
    <w:rsid w:val="00002907"/>
    <w:rsid w:val="00002B26"/>
    <w:rsid w:val="00002B32"/>
    <w:rsid w:val="00002E87"/>
    <w:rsid w:val="00003580"/>
    <w:rsid w:val="000039E4"/>
    <w:rsid w:val="00003B5F"/>
    <w:rsid w:val="00003BED"/>
    <w:rsid w:val="00003C3F"/>
    <w:rsid w:val="00003D4F"/>
    <w:rsid w:val="00003F72"/>
    <w:rsid w:val="000041B6"/>
    <w:rsid w:val="00004306"/>
    <w:rsid w:val="00004695"/>
    <w:rsid w:val="000048A5"/>
    <w:rsid w:val="00004E05"/>
    <w:rsid w:val="00004EFB"/>
    <w:rsid w:val="00004F96"/>
    <w:rsid w:val="00004FEB"/>
    <w:rsid w:val="000051D8"/>
    <w:rsid w:val="00005295"/>
    <w:rsid w:val="00005312"/>
    <w:rsid w:val="00005474"/>
    <w:rsid w:val="00005831"/>
    <w:rsid w:val="000058DA"/>
    <w:rsid w:val="00005B73"/>
    <w:rsid w:val="00005C98"/>
    <w:rsid w:val="00005F02"/>
    <w:rsid w:val="0000606B"/>
    <w:rsid w:val="00006445"/>
    <w:rsid w:val="00006852"/>
    <w:rsid w:val="000068BB"/>
    <w:rsid w:val="000068E0"/>
    <w:rsid w:val="000069AA"/>
    <w:rsid w:val="00006FD7"/>
    <w:rsid w:val="000070A8"/>
    <w:rsid w:val="000076BB"/>
    <w:rsid w:val="00007CCF"/>
    <w:rsid w:val="00007DAC"/>
    <w:rsid w:val="000100F7"/>
    <w:rsid w:val="00010525"/>
    <w:rsid w:val="0001062A"/>
    <w:rsid w:val="0001080C"/>
    <w:rsid w:val="00010ACB"/>
    <w:rsid w:val="00010CAB"/>
    <w:rsid w:val="00010E6A"/>
    <w:rsid w:val="00010F5F"/>
    <w:rsid w:val="0001124B"/>
    <w:rsid w:val="0001190B"/>
    <w:rsid w:val="00011CB7"/>
    <w:rsid w:val="0001215A"/>
    <w:rsid w:val="0001217E"/>
    <w:rsid w:val="00012404"/>
    <w:rsid w:val="00012815"/>
    <w:rsid w:val="00012B29"/>
    <w:rsid w:val="0001339B"/>
    <w:rsid w:val="000134A0"/>
    <w:rsid w:val="00013586"/>
    <w:rsid w:val="000138CA"/>
    <w:rsid w:val="00013CF1"/>
    <w:rsid w:val="000144BD"/>
    <w:rsid w:val="000146CD"/>
    <w:rsid w:val="0001479E"/>
    <w:rsid w:val="000148FB"/>
    <w:rsid w:val="00014D00"/>
    <w:rsid w:val="00014D93"/>
    <w:rsid w:val="00014DF7"/>
    <w:rsid w:val="00014E06"/>
    <w:rsid w:val="00014F6C"/>
    <w:rsid w:val="00015167"/>
    <w:rsid w:val="00015484"/>
    <w:rsid w:val="000159D8"/>
    <w:rsid w:val="00015F43"/>
    <w:rsid w:val="000161D4"/>
    <w:rsid w:val="00016330"/>
    <w:rsid w:val="00016414"/>
    <w:rsid w:val="00016484"/>
    <w:rsid w:val="0001668B"/>
    <w:rsid w:val="0001694F"/>
    <w:rsid w:val="00016E49"/>
    <w:rsid w:val="000172D9"/>
    <w:rsid w:val="00017719"/>
    <w:rsid w:val="00017952"/>
    <w:rsid w:val="00017A38"/>
    <w:rsid w:val="000201A9"/>
    <w:rsid w:val="0002067D"/>
    <w:rsid w:val="000206FC"/>
    <w:rsid w:val="00020718"/>
    <w:rsid w:val="00020832"/>
    <w:rsid w:val="00020CD3"/>
    <w:rsid w:val="00020D7F"/>
    <w:rsid w:val="00020FD4"/>
    <w:rsid w:val="00021059"/>
    <w:rsid w:val="00021380"/>
    <w:rsid w:val="000217F3"/>
    <w:rsid w:val="000221D0"/>
    <w:rsid w:val="000229B9"/>
    <w:rsid w:val="00022A14"/>
    <w:rsid w:val="00022B07"/>
    <w:rsid w:val="00022E67"/>
    <w:rsid w:val="0002334B"/>
    <w:rsid w:val="00023554"/>
    <w:rsid w:val="000236B4"/>
    <w:rsid w:val="00023E0F"/>
    <w:rsid w:val="00023E75"/>
    <w:rsid w:val="00023FD0"/>
    <w:rsid w:val="000241F2"/>
    <w:rsid w:val="0002432E"/>
    <w:rsid w:val="00024470"/>
    <w:rsid w:val="000244FA"/>
    <w:rsid w:val="0002494A"/>
    <w:rsid w:val="000249BA"/>
    <w:rsid w:val="00024B14"/>
    <w:rsid w:val="00024B83"/>
    <w:rsid w:val="00024E7F"/>
    <w:rsid w:val="000253F2"/>
    <w:rsid w:val="00025587"/>
    <w:rsid w:val="00025623"/>
    <w:rsid w:val="00025F8B"/>
    <w:rsid w:val="00026200"/>
    <w:rsid w:val="0002624B"/>
    <w:rsid w:val="0002649D"/>
    <w:rsid w:val="000265CD"/>
    <w:rsid w:val="00026774"/>
    <w:rsid w:val="0002692A"/>
    <w:rsid w:val="00026C2E"/>
    <w:rsid w:val="00026EB8"/>
    <w:rsid w:val="0002734B"/>
    <w:rsid w:val="00027B92"/>
    <w:rsid w:val="00027BDA"/>
    <w:rsid w:val="00027E78"/>
    <w:rsid w:val="00027E82"/>
    <w:rsid w:val="00027FAD"/>
    <w:rsid w:val="00030214"/>
    <w:rsid w:val="0003083D"/>
    <w:rsid w:val="00030A03"/>
    <w:rsid w:val="00030B19"/>
    <w:rsid w:val="00030BDE"/>
    <w:rsid w:val="00030DF1"/>
    <w:rsid w:val="00030E19"/>
    <w:rsid w:val="00031139"/>
    <w:rsid w:val="00031268"/>
    <w:rsid w:val="00031379"/>
    <w:rsid w:val="0003156F"/>
    <w:rsid w:val="000318F0"/>
    <w:rsid w:val="00031CB7"/>
    <w:rsid w:val="00031EFB"/>
    <w:rsid w:val="000321B5"/>
    <w:rsid w:val="0003248D"/>
    <w:rsid w:val="0003250B"/>
    <w:rsid w:val="00032637"/>
    <w:rsid w:val="00033525"/>
    <w:rsid w:val="0003361B"/>
    <w:rsid w:val="000336AD"/>
    <w:rsid w:val="000338A0"/>
    <w:rsid w:val="00034522"/>
    <w:rsid w:val="00034D43"/>
    <w:rsid w:val="000351C6"/>
    <w:rsid w:val="0003589E"/>
    <w:rsid w:val="00035AAF"/>
    <w:rsid w:val="00035B68"/>
    <w:rsid w:val="00035EB1"/>
    <w:rsid w:val="00036004"/>
    <w:rsid w:val="00036134"/>
    <w:rsid w:val="00036172"/>
    <w:rsid w:val="0003624E"/>
    <w:rsid w:val="0003659D"/>
    <w:rsid w:val="000365C2"/>
    <w:rsid w:val="00036A0B"/>
    <w:rsid w:val="00036BBF"/>
    <w:rsid w:val="00036E2A"/>
    <w:rsid w:val="00036EAE"/>
    <w:rsid w:val="00037748"/>
    <w:rsid w:val="00037BAA"/>
    <w:rsid w:val="00037C88"/>
    <w:rsid w:val="000406DA"/>
    <w:rsid w:val="000408DE"/>
    <w:rsid w:val="00040AD8"/>
    <w:rsid w:val="00040CA0"/>
    <w:rsid w:val="00040F74"/>
    <w:rsid w:val="00040F7B"/>
    <w:rsid w:val="00040FEE"/>
    <w:rsid w:val="000413B3"/>
    <w:rsid w:val="0004177B"/>
    <w:rsid w:val="00041EB2"/>
    <w:rsid w:val="0004220E"/>
    <w:rsid w:val="0004242B"/>
    <w:rsid w:val="000424A2"/>
    <w:rsid w:val="0004259F"/>
    <w:rsid w:val="000427E6"/>
    <w:rsid w:val="000429A6"/>
    <w:rsid w:val="000429AF"/>
    <w:rsid w:val="00042CCC"/>
    <w:rsid w:val="00042D3F"/>
    <w:rsid w:val="00043985"/>
    <w:rsid w:val="00043A1E"/>
    <w:rsid w:val="00043D77"/>
    <w:rsid w:val="000441A8"/>
    <w:rsid w:val="00044B25"/>
    <w:rsid w:val="00044BC4"/>
    <w:rsid w:val="000459E4"/>
    <w:rsid w:val="00045A43"/>
    <w:rsid w:val="00045E6C"/>
    <w:rsid w:val="00045F7B"/>
    <w:rsid w:val="00046083"/>
    <w:rsid w:val="0004657E"/>
    <w:rsid w:val="00046750"/>
    <w:rsid w:val="00046AA1"/>
    <w:rsid w:val="00047179"/>
    <w:rsid w:val="0004717E"/>
    <w:rsid w:val="000477C2"/>
    <w:rsid w:val="000479D9"/>
    <w:rsid w:val="00047B7A"/>
    <w:rsid w:val="00047CA0"/>
    <w:rsid w:val="00050153"/>
    <w:rsid w:val="00050174"/>
    <w:rsid w:val="00050428"/>
    <w:rsid w:val="00050529"/>
    <w:rsid w:val="00050679"/>
    <w:rsid w:val="00050748"/>
    <w:rsid w:val="000509D4"/>
    <w:rsid w:val="00050E5B"/>
    <w:rsid w:val="0005108D"/>
    <w:rsid w:val="000512E7"/>
    <w:rsid w:val="000516D1"/>
    <w:rsid w:val="00051E0E"/>
    <w:rsid w:val="00052255"/>
    <w:rsid w:val="000527C6"/>
    <w:rsid w:val="00052849"/>
    <w:rsid w:val="00052939"/>
    <w:rsid w:val="000529EA"/>
    <w:rsid w:val="0005338A"/>
    <w:rsid w:val="000534DD"/>
    <w:rsid w:val="000537AA"/>
    <w:rsid w:val="000537AE"/>
    <w:rsid w:val="00053CD0"/>
    <w:rsid w:val="00053DB8"/>
    <w:rsid w:val="00053F25"/>
    <w:rsid w:val="00054341"/>
    <w:rsid w:val="0005452F"/>
    <w:rsid w:val="00054B24"/>
    <w:rsid w:val="00054BD5"/>
    <w:rsid w:val="00054ED7"/>
    <w:rsid w:val="000550F4"/>
    <w:rsid w:val="000551C5"/>
    <w:rsid w:val="000553D1"/>
    <w:rsid w:val="00055731"/>
    <w:rsid w:val="000557F9"/>
    <w:rsid w:val="000559E4"/>
    <w:rsid w:val="00055A92"/>
    <w:rsid w:val="00056105"/>
    <w:rsid w:val="000561FF"/>
    <w:rsid w:val="000564C4"/>
    <w:rsid w:val="00056A3E"/>
    <w:rsid w:val="00057632"/>
    <w:rsid w:val="000579BF"/>
    <w:rsid w:val="00057AC7"/>
    <w:rsid w:val="00057B34"/>
    <w:rsid w:val="00057EB2"/>
    <w:rsid w:val="0006000A"/>
    <w:rsid w:val="00060113"/>
    <w:rsid w:val="00060446"/>
    <w:rsid w:val="0006049F"/>
    <w:rsid w:val="000604BB"/>
    <w:rsid w:val="0006058D"/>
    <w:rsid w:val="00060B94"/>
    <w:rsid w:val="00060C6A"/>
    <w:rsid w:val="00060F1A"/>
    <w:rsid w:val="000611C5"/>
    <w:rsid w:val="000611DD"/>
    <w:rsid w:val="000611F4"/>
    <w:rsid w:val="00061912"/>
    <w:rsid w:val="00061A22"/>
    <w:rsid w:val="00061AB2"/>
    <w:rsid w:val="00061C31"/>
    <w:rsid w:val="00061C89"/>
    <w:rsid w:val="00061C90"/>
    <w:rsid w:val="00061D20"/>
    <w:rsid w:val="00062075"/>
    <w:rsid w:val="0006259F"/>
    <w:rsid w:val="0006264D"/>
    <w:rsid w:val="000626CC"/>
    <w:rsid w:val="00062A75"/>
    <w:rsid w:val="000637CD"/>
    <w:rsid w:val="000638C6"/>
    <w:rsid w:val="00063917"/>
    <w:rsid w:val="00063FB0"/>
    <w:rsid w:val="00064013"/>
    <w:rsid w:val="000643C6"/>
    <w:rsid w:val="00064BF9"/>
    <w:rsid w:val="00064D7C"/>
    <w:rsid w:val="00064DA9"/>
    <w:rsid w:val="00064E5D"/>
    <w:rsid w:val="0006509A"/>
    <w:rsid w:val="00065C65"/>
    <w:rsid w:val="0006633E"/>
    <w:rsid w:val="000663E4"/>
    <w:rsid w:val="00066F12"/>
    <w:rsid w:val="0006750C"/>
    <w:rsid w:val="00067B34"/>
    <w:rsid w:val="00067B36"/>
    <w:rsid w:val="00067F06"/>
    <w:rsid w:val="00070054"/>
    <w:rsid w:val="0007010F"/>
    <w:rsid w:val="0007015C"/>
    <w:rsid w:val="000701C4"/>
    <w:rsid w:val="00070414"/>
    <w:rsid w:val="0007049B"/>
    <w:rsid w:val="000705F4"/>
    <w:rsid w:val="0007071E"/>
    <w:rsid w:val="000709A5"/>
    <w:rsid w:val="00070DEC"/>
    <w:rsid w:val="00070F73"/>
    <w:rsid w:val="00070F7C"/>
    <w:rsid w:val="000711F3"/>
    <w:rsid w:val="0007144D"/>
    <w:rsid w:val="00071C85"/>
    <w:rsid w:val="00071F2E"/>
    <w:rsid w:val="00072014"/>
    <w:rsid w:val="000721FA"/>
    <w:rsid w:val="0007221E"/>
    <w:rsid w:val="000722D1"/>
    <w:rsid w:val="0007233C"/>
    <w:rsid w:val="000726EA"/>
    <w:rsid w:val="0007294B"/>
    <w:rsid w:val="000729A1"/>
    <w:rsid w:val="00072AC1"/>
    <w:rsid w:val="00072AE4"/>
    <w:rsid w:val="00072B87"/>
    <w:rsid w:val="00072DA6"/>
    <w:rsid w:val="00072E64"/>
    <w:rsid w:val="00073168"/>
    <w:rsid w:val="0007363F"/>
    <w:rsid w:val="00073A32"/>
    <w:rsid w:val="00073AAB"/>
    <w:rsid w:val="00073B8F"/>
    <w:rsid w:val="00073BC0"/>
    <w:rsid w:val="00073E2F"/>
    <w:rsid w:val="000741B0"/>
    <w:rsid w:val="000745A8"/>
    <w:rsid w:val="000745E0"/>
    <w:rsid w:val="00074B37"/>
    <w:rsid w:val="0007508C"/>
    <w:rsid w:val="000757F5"/>
    <w:rsid w:val="00075B30"/>
    <w:rsid w:val="00075B98"/>
    <w:rsid w:val="00075EBE"/>
    <w:rsid w:val="0007650D"/>
    <w:rsid w:val="00076914"/>
    <w:rsid w:val="00076A66"/>
    <w:rsid w:val="00076AD8"/>
    <w:rsid w:val="00076DAD"/>
    <w:rsid w:val="000770CF"/>
    <w:rsid w:val="00077322"/>
    <w:rsid w:val="0007733E"/>
    <w:rsid w:val="00077754"/>
    <w:rsid w:val="00077C8A"/>
    <w:rsid w:val="00077D6A"/>
    <w:rsid w:val="00077E18"/>
    <w:rsid w:val="00077EF6"/>
    <w:rsid w:val="000800FD"/>
    <w:rsid w:val="000809CA"/>
    <w:rsid w:val="00080D83"/>
    <w:rsid w:val="00080E4A"/>
    <w:rsid w:val="0008105A"/>
    <w:rsid w:val="0008131F"/>
    <w:rsid w:val="0008153A"/>
    <w:rsid w:val="000815CC"/>
    <w:rsid w:val="00081E61"/>
    <w:rsid w:val="00082545"/>
    <w:rsid w:val="000826B9"/>
    <w:rsid w:val="000826C4"/>
    <w:rsid w:val="00082D7F"/>
    <w:rsid w:val="00082DBE"/>
    <w:rsid w:val="00082E1E"/>
    <w:rsid w:val="00082E40"/>
    <w:rsid w:val="000834F1"/>
    <w:rsid w:val="000835BC"/>
    <w:rsid w:val="000836BD"/>
    <w:rsid w:val="00083792"/>
    <w:rsid w:val="000839D8"/>
    <w:rsid w:val="00083E38"/>
    <w:rsid w:val="0008449E"/>
    <w:rsid w:val="00085114"/>
    <w:rsid w:val="000853D4"/>
    <w:rsid w:val="0008558B"/>
    <w:rsid w:val="000858A1"/>
    <w:rsid w:val="00085A9E"/>
    <w:rsid w:val="00085DB7"/>
    <w:rsid w:val="00085F31"/>
    <w:rsid w:val="00086068"/>
    <w:rsid w:val="0008624B"/>
    <w:rsid w:val="000864F1"/>
    <w:rsid w:val="0008657E"/>
    <w:rsid w:val="00086886"/>
    <w:rsid w:val="00086AA2"/>
    <w:rsid w:val="00086F19"/>
    <w:rsid w:val="0008785A"/>
    <w:rsid w:val="000878B6"/>
    <w:rsid w:val="00087B9D"/>
    <w:rsid w:val="00087DA0"/>
    <w:rsid w:val="00087FD1"/>
    <w:rsid w:val="0009040A"/>
    <w:rsid w:val="000906BB"/>
    <w:rsid w:val="000906ED"/>
    <w:rsid w:val="000909D0"/>
    <w:rsid w:val="00090C90"/>
    <w:rsid w:val="00090D25"/>
    <w:rsid w:val="0009105B"/>
    <w:rsid w:val="00091663"/>
    <w:rsid w:val="00092116"/>
    <w:rsid w:val="000921FA"/>
    <w:rsid w:val="000923E2"/>
    <w:rsid w:val="000925C3"/>
    <w:rsid w:val="000928A7"/>
    <w:rsid w:val="0009297E"/>
    <w:rsid w:val="00092C86"/>
    <w:rsid w:val="00092F53"/>
    <w:rsid w:val="0009362A"/>
    <w:rsid w:val="00093656"/>
    <w:rsid w:val="000937E5"/>
    <w:rsid w:val="00093B95"/>
    <w:rsid w:val="00093B98"/>
    <w:rsid w:val="00093C6B"/>
    <w:rsid w:val="00093D0D"/>
    <w:rsid w:val="00094005"/>
    <w:rsid w:val="00094405"/>
    <w:rsid w:val="00094543"/>
    <w:rsid w:val="00094DE0"/>
    <w:rsid w:val="00094E49"/>
    <w:rsid w:val="00094EC3"/>
    <w:rsid w:val="000956CF"/>
    <w:rsid w:val="00095A99"/>
    <w:rsid w:val="00095AC2"/>
    <w:rsid w:val="00095AFE"/>
    <w:rsid w:val="00095B28"/>
    <w:rsid w:val="00095ECC"/>
    <w:rsid w:val="00095F6B"/>
    <w:rsid w:val="00096565"/>
    <w:rsid w:val="00096596"/>
    <w:rsid w:val="0009668C"/>
    <w:rsid w:val="00096CA5"/>
    <w:rsid w:val="00096DDA"/>
    <w:rsid w:val="00096E84"/>
    <w:rsid w:val="00096F49"/>
    <w:rsid w:val="000977B1"/>
    <w:rsid w:val="000979B1"/>
    <w:rsid w:val="00097DA9"/>
    <w:rsid w:val="000A002F"/>
    <w:rsid w:val="000A0110"/>
    <w:rsid w:val="000A0686"/>
    <w:rsid w:val="000A0C5A"/>
    <w:rsid w:val="000A0EA5"/>
    <w:rsid w:val="000A13A8"/>
    <w:rsid w:val="000A154B"/>
    <w:rsid w:val="000A1697"/>
    <w:rsid w:val="000A1E14"/>
    <w:rsid w:val="000A26F1"/>
    <w:rsid w:val="000A2AD1"/>
    <w:rsid w:val="000A2C61"/>
    <w:rsid w:val="000A2E44"/>
    <w:rsid w:val="000A2F7F"/>
    <w:rsid w:val="000A2FC7"/>
    <w:rsid w:val="000A31F3"/>
    <w:rsid w:val="000A3253"/>
    <w:rsid w:val="000A3662"/>
    <w:rsid w:val="000A36DC"/>
    <w:rsid w:val="000A37F2"/>
    <w:rsid w:val="000A3856"/>
    <w:rsid w:val="000A38E9"/>
    <w:rsid w:val="000A408C"/>
    <w:rsid w:val="000A41CA"/>
    <w:rsid w:val="000A4366"/>
    <w:rsid w:val="000A478D"/>
    <w:rsid w:val="000A482F"/>
    <w:rsid w:val="000A4B1D"/>
    <w:rsid w:val="000A5010"/>
    <w:rsid w:val="000A582C"/>
    <w:rsid w:val="000A5882"/>
    <w:rsid w:val="000A5C4C"/>
    <w:rsid w:val="000A5DC8"/>
    <w:rsid w:val="000A606A"/>
    <w:rsid w:val="000A6D9B"/>
    <w:rsid w:val="000A7435"/>
    <w:rsid w:val="000A7715"/>
    <w:rsid w:val="000A792C"/>
    <w:rsid w:val="000A7A51"/>
    <w:rsid w:val="000A7B37"/>
    <w:rsid w:val="000A7D69"/>
    <w:rsid w:val="000A7FFB"/>
    <w:rsid w:val="000B0288"/>
    <w:rsid w:val="000B02A3"/>
    <w:rsid w:val="000B0321"/>
    <w:rsid w:val="000B05DC"/>
    <w:rsid w:val="000B076B"/>
    <w:rsid w:val="000B0A33"/>
    <w:rsid w:val="000B1294"/>
    <w:rsid w:val="000B14E5"/>
    <w:rsid w:val="000B15C4"/>
    <w:rsid w:val="000B1731"/>
    <w:rsid w:val="000B18BA"/>
    <w:rsid w:val="000B1A09"/>
    <w:rsid w:val="000B1C15"/>
    <w:rsid w:val="000B1DC2"/>
    <w:rsid w:val="000B207B"/>
    <w:rsid w:val="000B24C2"/>
    <w:rsid w:val="000B26DF"/>
    <w:rsid w:val="000B2D45"/>
    <w:rsid w:val="000B2EFB"/>
    <w:rsid w:val="000B2F72"/>
    <w:rsid w:val="000B301D"/>
    <w:rsid w:val="000B324E"/>
    <w:rsid w:val="000B336C"/>
    <w:rsid w:val="000B3667"/>
    <w:rsid w:val="000B3676"/>
    <w:rsid w:val="000B39DD"/>
    <w:rsid w:val="000B3BB8"/>
    <w:rsid w:val="000B4264"/>
    <w:rsid w:val="000B4668"/>
    <w:rsid w:val="000B4685"/>
    <w:rsid w:val="000B49D0"/>
    <w:rsid w:val="000B4C29"/>
    <w:rsid w:val="000B5260"/>
    <w:rsid w:val="000B5440"/>
    <w:rsid w:val="000B5448"/>
    <w:rsid w:val="000B5736"/>
    <w:rsid w:val="000B5841"/>
    <w:rsid w:val="000B5E34"/>
    <w:rsid w:val="000B5E85"/>
    <w:rsid w:val="000B5FA7"/>
    <w:rsid w:val="000B618B"/>
    <w:rsid w:val="000B6278"/>
    <w:rsid w:val="000B63BD"/>
    <w:rsid w:val="000B704C"/>
    <w:rsid w:val="000B70FF"/>
    <w:rsid w:val="000B732C"/>
    <w:rsid w:val="000B76BD"/>
    <w:rsid w:val="000B7A26"/>
    <w:rsid w:val="000C00C1"/>
    <w:rsid w:val="000C00C8"/>
    <w:rsid w:val="000C071F"/>
    <w:rsid w:val="000C09F6"/>
    <w:rsid w:val="000C10AB"/>
    <w:rsid w:val="000C1187"/>
    <w:rsid w:val="000C1770"/>
    <w:rsid w:val="000C1E2C"/>
    <w:rsid w:val="000C1F72"/>
    <w:rsid w:val="000C1FC2"/>
    <w:rsid w:val="000C2172"/>
    <w:rsid w:val="000C2397"/>
    <w:rsid w:val="000C23E5"/>
    <w:rsid w:val="000C2873"/>
    <w:rsid w:val="000C2DED"/>
    <w:rsid w:val="000C2E6F"/>
    <w:rsid w:val="000C2EC4"/>
    <w:rsid w:val="000C3234"/>
    <w:rsid w:val="000C32C7"/>
    <w:rsid w:val="000C338F"/>
    <w:rsid w:val="000C339B"/>
    <w:rsid w:val="000C3B2B"/>
    <w:rsid w:val="000C3BEF"/>
    <w:rsid w:val="000C3D82"/>
    <w:rsid w:val="000C3DAE"/>
    <w:rsid w:val="000C4295"/>
    <w:rsid w:val="000C4545"/>
    <w:rsid w:val="000C479C"/>
    <w:rsid w:val="000C486F"/>
    <w:rsid w:val="000C48E7"/>
    <w:rsid w:val="000C4C9C"/>
    <w:rsid w:val="000C4D86"/>
    <w:rsid w:val="000C4E9B"/>
    <w:rsid w:val="000C5017"/>
    <w:rsid w:val="000C5198"/>
    <w:rsid w:val="000C53AF"/>
    <w:rsid w:val="000C55D1"/>
    <w:rsid w:val="000C56A8"/>
    <w:rsid w:val="000C57DB"/>
    <w:rsid w:val="000C5B34"/>
    <w:rsid w:val="000C5BC1"/>
    <w:rsid w:val="000C5EC3"/>
    <w:rsid w:val="000C64BC"/>
    <w:rsid w:val="000C6F35"/>
    <w:rsid w:val="000C75C7"/>
    <w:rsid w:val="000C7654"/>
    <w:rsid w:val="000C7B42"/>
    <w:rsid w:val="000C7CD7"/>
    <w:rsid w:val="000C7D09"/>
    <w:rsid w:val="000C7D2B"/>
    <w:rsid w:val="000C7F47"/>
    <w:rsid w:val="000D033A"/>
    <w:rsid w:val="000D050C"/>
    <w:rsid w:val="000D0568"/>
    <w:rsid w:val="000D06CF"/>
    <w:rsid w:val="000D07DD"/>
    <w:rsid w:val="000D0D46"/>
    <w:rsid w:val="000D0D70"/>
    <w:rsid w:val="000D0FD5"/>
    <w:rsid w:val="000D17DA"/>
    <w:rsid w:val="000D1873"/>
    <w:rsid w:val="000D1B09"/>
    <w:rsid w:val="000D1D85"/>
    <w:rsid w:val="000D1E3A"/>
    <w:rsid w:val="000D2269"/>
    <w:rsid w:val="000D2869"/>
    <w:rsid w:val="000D2AB8"/>
    <w:rsid w:val="000D2E19"/>
    <w:rsid w:val="000D32D5"/>
    <w:rsid w:val="000D37C9"/>
    <w:rsid w:val="000D38B5"/>
    <w:rsid w:val="000D3ED1"/>
    <w:rsid w:val="000D3FAE"/>
    <w:rsid w:val="000D4507"/>
    <w:rsid w:val="000D45BB"/>
    <w:rsid w:val="000D45BF"/>
    <w:rsid w:val="000D460F"/>
    <w:rsid w:val="000D4883"/>
    <w:rsid w:val="000D4935"/>
    <w:rsid w:val="000D4A61"/>
    <w:rsid w:val="000D4CED"/>
    <w:rsid w:val="000D4D8C"/>
    <w:rsid w:val="000D5191"/>
    <w:rsid w:val="000D5406"/>
    <w:rsid w:val="000D5735"/>
    <w:rsid w:val="000D5C4E"/>
    <w:rsid w:val="000D61AC"/>
    <w:rsid w:val="000D61F7"/>
    <w:rsid w:val="000D620E"/>
    <w:rsid w:val="000D6293"/>
    <w:rsid w:val="000D6477"/>
    <w:rsid w:val="000D6480"/>
    <w:rsid w:val="000D660E"/>
    <w:rsid w:val="000D66B4"/>
    <w:rsid w:val="000D6A83"/>
    <w:rsid w:val="000D6A92"/>
    <w:rsid w:val="000D724C"/>
    <w:rsid w:val="000D7263"/>
    <w:rsid w:val="000D7AFE"/>
    <w:rsid w:val="000D7B76"/>
    <w:rsid w:val="000D7CE2"/>
    <w:rsid w:val="000D7F8C"/>
    <w:rsid w:val="000E004D"/>
    <w:rsid w:val="000E0127"/>
    <w:rsid w:val="000E0401"/>
    <w:rsid w:val="000E0785"/>
    <w:rsid w:val="000E09D3"/>
    <w:rsid w:val="000E09FB"/>
    <w:rsid w:val="000E0B63"/>
    <w:rsid w:val="000E0CEF"/>
    <w:rsid w:val="000E0E44"/>
    <w:rsid w:val="000E0E72"/>
    <w:rsid w:val="000E1340"/>
    <w:rsid w:val="000E138F"/>
    <w:rsid w:val="000E185E"/>
    <w:rsid w:val="000E19F9"/>
    <w:rsid w:val="000E1AE2"/>
    <w:rsid w:val="000E1F7E"/>
    <w:rsid w:val="000E25D0"/>
    <w:rsid w:val="000E26D0"/>
    <w:rsid w:val="000E2C63"/>
    <w:rsid w:val="000E2D77"/>
    <w:rsid w:val="000E3673"/>
    <w:rsid w:val="000E3A5B"/>
    <w:rsid w:val="000E3C6C"/>
    <w:rsid w:val="000E4091"/>
    <w:rsid w:val="000E4259"/>
    <w:rsid w:val="000E441E"/>
    <w:rsid w:val="000E445D"/>
    <w:rsid w:val="000E4476"/>
    <w:rsid w:val="000E48DE"/>
    <w:rsid w:val="000E525A"/>
    <w:rsid w:val="000E5279"/>
    <w:rsid w:val="000E5348"/>
    <w:rsid w:val="000E542A"/>
    <w:rsid w:val="000E5511"/>
    <w:rsid w:val="000E570C"/>
    <w:rsid w:val="000E57AD"/>
    <w:rsid w:val="000E5C05"/>
    <w:rsid w:val="000E5CA7"/>
    <w:rsid w:val="000E5D71"/>
    <w:rsid w:val="000E5DA7"/>
    <w:rsid w:val="000E5DEB"/>
    <w:rsid w:val="000E5E58"/>
    <w:rsid w:val="000E5E7B"/>
    <w:rsid w:val="000E620A"/>
    <w:rsid w:val="000E634E"/>
    <w:rsid w:val="000E6508"/>
    <w:rsid w:val="000E651B"/>
    <w:rsid w:val="000E6814"/>
    <w:rsid w:val="000E6BC8"/>
    <w:rsid w:val="000E6BDA"/>
    <w:rsid w:val="000E7057"/>
    <w:rsid w:val="000E7526"/>
    <w:rsid w:val="000E7598"/>
    <w:rsid w:val="000E7A50"/>
    <w:rsid w:val="000E7FDD"/>
    <w:rsid w:val="000F0244"/>
    <w:rsid w:val="000F042B"/>
    <w:rsid w:val="000F0704"/>
    <w:rsid w:val="000F07BF"/>
    <w:rsid w:val="000F0853"/>
    <w:rsid w:val="000F0B0C"/>
    <w:rsid w:val="000F0D02"/>
    <w:rsid w:val="000F0D4C"/>
    <w:rsid w:val="000F1010"/>
    <w:rsid w:val="000F118B"/>
    <w:rsid w:val="000F1778"/>
    <w:rsid w:val="000F1EE4"/>
    <w:rsid w:val="000F2864"/>
    <w:rsid w:val="000F297A"/>
    <w:rsid w:val="000F2FF9"/>
    <w:rsid w:val="000F3B5A"/>
    <w:rsid w:val="000F3F8C"/>
    <w:rsid w:val="000F468A"/>
    <w:rsid w:val="000F4850"/>
    <w:rsid w:val="000F48EF"/>
    <w:rsid w:val="000F4912"/>
    <w:rsid w:val="000F4A2E"/>
    <w:rsid w:val="000F4D98"/>
    <w:rsid w:val="000F4DE1"/>
    <w:rsid w:val="000F5012"/>
    <w:rsid w:val="000F5552"/>
    <w:rsid w:val="000F5713"/>
    <w:rsid w:val="000F5E70"/>
    <w:rsid w:val="000F5EA2"/>
    <w:rsid w:val="000F5EBD"/>
    <w:rsid w:val="000F61C1"/>
    <w:rsid w:val="000F6218"/>
    <w:rsid w:val="000F6304"/>
    <w:rsid w:val="000F64A3"/>
    <w:rsid w:val="000F65B9"/>
    <w:rsid w:val="000F67B1"/>
    <w:rsid w:val="000F691C"/>
    <w:rsid w:val="000F6B5C"/>
    <w:rsid w:val="000F6BF8"/>
    <w:rsid w:val="000F6C90"/>
    <w:rsid w:val="000F6CC0"/>
    <w:rsid w:val="000F7315"/>
    <w:rsid w:val="000F7D9E"/>
    <w:rsid w:val="000F7DA1"/>
    <w:rsid w:val="000F7FA0"/>
    <w:rsid w:val="001000C9"/>
    <w:rsid w:val="00100235"/>
    <w:rsid w:val="001002FD"/>
    <w:rsid w:val="001006E2"/>
    <w:rsid w:val="00100777"/>
    <w:rsid w:val="001007CB"/>
    <w:rsid w:val="0010097F"/>
    <w:rsid w:val="001013FF"/>
    <w:rsid w:val="00101924"/>
    <w:rsid w:val="00101DE0"/>
    <w:rsid w:val="00102C0E"/>
    <w:rsid w:val="00102C6E"/>
    <w:rsid w:val="00102FF1"/>
    <w:rsid w:val="00103004"/>
    <w:rsid w:val="001037DD"/>
    <w:rsid w:val="00103C4E"/>
    <w:rsid w:val="00103C61"/>
    <w:rsid w:val="00103FB0"/>
    <w:rsid w:val="00103FF6"/>
    <w:rsid w:val="001043A9"/>
    <w:rsid w:val="001046C9"/>
    <w:rsid w:val="00104B72"/>
    <w:rsid w:val="00104E59"/>
    <w:rsid w:val="001054B8"/>
    <w:rsid w:val="001054FD"/>
    <w:rsid w:val="0010574F"/>
    <w:rsid w:val="00105A19"/>
    <w:rsid w:val="00106304"/>
    <w:rsid w:val="00106B8E"/>
    <w:rsid w:val="00106D13"/>
    <w:rsid w:val="00106E7B"/>
    <w:rsid w:val="0010717A"/>
    <w:rsid w:val="00107424"/>
    <w:rsid w:val="0010763D"/>
    <w:rsid w:val="001076B3"/>
    <w:rsid w:val="0010770F"/>
    <w:rsid w:val="00107873"/>
    <w:rsid w:val="001078AB"/>
    <w:rsid w:val="00107B16"/>
    <w:rsid w:val="00107C97"/>
    <w:rsid w:val="00107CC8"/>
    <w:rsid w:val="00110A59"/>
    <w:rsid w:val="00111338"/>
    <w:rsid w:val="0011152F"/>
    <w:rsid w:val="001116E5"/>
    <w:rsid w:val="001117E7"/>
    <w:rsid w:val="00111986"/>
    <w:rsid w:val="00111BE9"/>
    <w:rsid w:val="00111EA3"/>
    <w:rsid w:val="00112157"/>
    <w:rsid w:val="001124F1"/>
    <w:rsid w:val="0011272E"/>
    <w:rsid w:val="001128F7"/>
    <w:rsid w:val="00112AAD"/>
    <w:rsid w:val="00112B7B"/>
    <w:rsid w:val="00113391"/>
    <w:rsid w:val="001135D9"/>
    <w:rsid w:val="0011384E"/>
    <w:rsid w:val="0011394D"/>
    <w:rsid w:val="00113B7B"/>
    <w:rsid w:val="001142DA"/>
    <w:rsid w:val="00114D7C"/>
    <w:rsid w:val="00114E90"/>
    <w:rsid w:val="00115021"/>
    <w:rsid w:val="00115378"/>
    <w:rsid w:val="001164A7"/>
    <w:rsid w:val="00116864"/>
    <w:rsid w:val="00116875"/>
    <w:rsid w:val="0011785F"/>
    <w:rsid w:val="0011790E"/>
    <w:rsid w:val="00117AB3"/>
    <w:rsid w:val="00117B2D"/>
    <w:rsid w:val="00117B6D"/>
    <w:rsid w:val="00117D69"/>
    <w:rsid w:val="00117E07"/>
    <w:rsid w:val="00117F62"/>
    <w:rsid w:val="0012042B"/>
    <w:rsid w:val="001205C1"/>
    <w:rsid w:val="0012085D"/>
    <w:rsid w:val="00120D1D"/>
    <w:rsid w:val="00120EE0"/>
    <w:rsid w:val="00120F06"/>
    <w:rsid w:val="001210B2"/>
    <w:rsid w:val="001210D0"/>
    <w:rsid w:val="0012121D"/>
    <w:rsid w:val="00121262"/>
    <w:rsid w:val="00121351"/>
    <w:rsid w:val="00121459"/>
    <w:rsid w:val="001214B0"/>
    <w:rsid w:val="001216A9"/>
    <w:rsid w:val="00121904"/>
    <w:rsid w:val="00121C5F"/>
    <w:rsid w:val="00121FC3"/>
    <w:rsid w:val="00121FF4"/>
    <w:rsid w:val="001223C3"/>
    <w:rsid w:val="001224D1"/>
    <w:rsid w:val="001228EB"/>
    <w:rsid w:val="00122ED0"/>
    <w:rsid w:val="00123150"/>
    <w:rsid w:val="00123190"/>
    <w:rsid w:val="001238DB"/>
    <w:rsid w:val="00123A60"/>
    <w:rsid w:val="00123BAD"/>
    <w:rsid w:val="00123C87"/>
    <w:rsid w:val="00123D32"/>
    <w:rsid w:val="00123F8C"/>
    <w:rsid w:val="00124122"/>
    <w:rsid w:val="00124805"/>
    <w:rsid w:val="00124ADA"/>
    <w:rsid w:val="001259F1"/>
    <w:rsid w:val="00125C00"/>
    <w:rsid w:val="00125DFF"/>
    <w:rsid w:val="00125E53"/>
    <w:rsid w:val="00126041"/>
    <w:rsid w:val="001261A1"/>
    <w:rsid w:val="0012633F"/>
    <w:rsid w:val="00126A5F"/>
    <w:rsid w:val="00126D92"/>
    <w:rsid w:val="00126FCC"/>
    <w:rsid w:val="00127A2D"/>
    <w:rsid w:val="00127B7D"/>
    <w:rsid w:val="00127EAB"/>
    <w:rsid w:val="001301D8"/>
    <w:rsid w:val="0013023A"/>
    <w:rsid w:val="001302A9"/>
    <w:rsid w:val="0013058C"/>
    <w:rsid w:val="00130A4E"/>
    <w:rsid w:val="00130A61"/>
    <w:rsid w:val="00130BAE"/>
    <w:rsid w:val="00130D12"/>
    <w:rsid w:val="00130D9B"/>
    <w:rsid w:val="001313D1"/>
    <w:rsid w:val="00131640"/>
    <w:rsid w:val="00131A0F"/>
    <w:rsid w:val="00131BEA"/>
    <w:rsid w:val="0013207D"/>
    <w:rsid w:val="001320E0"/>
    <w:rsid w:val="00132319"/>
    <w:rsid w:val="00132B7B"/>
    <w:rsid w:val="0013302A"/>
    <w:rsid w:val="00133931"/>
    <w:rsid w:val="00133C25"/>
    <w:rsid w:val="00133D71"/>
    <w:rsid w:val="0013404F"/>
    <w:rsid w:val="00134139"/>
    <w:rsid w:val="00134290"/>
    <w:rsid w:val="001342DA"/>
    <w:rsid w:val="00134BE4"/>
    <w:rsid w:val="00134C36"/>
    <w:rsid w:val="00134C6D"/>
    <w:rsid w:val="00135344"/>
    <w:rsid w:val="00135C4F"/>
    <w:rsid w:val="00135C80"/>
    <w:rsid w:val="00135E4B"/>
    <w:rsid w:val="00135FB8"/>
    <w:rsid w:val="00136222"/>
    <w:rsid w:val="00136751"/>
    <w:rsid w:val="0013683A"/>
    <w:rsid w:val="0013695A"/>
    <w:rsid w:val="00136B0D"/>
    <w:rsid w:val="00136B51"/>
    <w:rsid w:val="00136C7B"/>
    <w:rsid w:val="00136CCB"/>
    <w:rsid w:val="00137215"/>
    <w:rsid w:val="0013725E"/>
    <w:rsid w:val="00137553"/>
    <w:rsid w:val="0013757A"/>
    <w:rsid w:val="001375D3"/>
    <w:rsid w:val="001379A3"/>
    <w:rsid w:val="001379AB"/>
    <w:rsid w:val="00137C36"/>
    <w:rsid w:val="00137FA2"/>
    <w:rsid w:val="00140102"/>
    <w:rsid w:val="001403F5"/>
    <w:rsid w:val="00140797"/>
    <w:rsid w:val="00140985"/>
    <w:rsid w:val="00140D07"/>
    <w:rsid w:val="00140EA5"/>
    <w:rsid w:val="00140ECE"/>
    <w:rsid w:val="00140F11"/>
    <w:rsid w:val="00141131"/>
    <w:rsid w:val="001411B6"/>
    <w:rsid w:val="00141256"/>
    <w:rsid w:val="001415EA"/>
    <w:rsid w:val="00141DC6"/>
    <w:rsid w:val="001420C2"/>
    <w:rsid w:val="001421B7"/>
    <w:rsid w:val="001429D9"/>
    <w:rsid w:val="00143221"/>
    <w:rsid w:val="0014330F"/>
    <w:rsid w:val="001434D0"/>
    <w:rsid w:val="001436E4"/>
    <w:rsid w:val="00143833"/>
    <w:rsid w:val="00143BAD"/>
    <w:rsid w:val="00143EF8"/>
    <w:rsid w:val="001440AB"/>
    <w:rsid w:val="001442CA"/>
    <w:rsid w:val="001443B6"/>
    <w:rsid w:val="00144498"/>
    <w:rsid w:val="00144650"/>
    <w:rsid w:val="00144673"/>
    <w:rsid w:val="00144CB9"/>
    <w:rsid w:val="00145101"/>
    <w:rsid w:val="00145145"/>
    <w:rsid w:val="0014522D"/>
    <w:rsid w:val="00145328"/>
    <w:rsid w:val="00145489"/>
    <w:rsid w:val="00145692"/>
    <w:rsid w:val="0014594A"/>
    <w:rsid w:val="00145AEF"/>
    <w:rsid w:val="00145B2E"/>
    <w:rsid w:val="00145C46"/>
    <w:rsid w:val="00145D7E"/>
    <w:rsid w:val="00146282"/>
    <w:rsid w:val="001469F2"/>
    <w:rsid w:val="00146BFB"/>
    <w:rsid w:val="00146DBA"/>
    <w:rsid w:val="00146DBD"/>
    <w:rsid w:val="00146DD6"/>
    <w:rsid w:val="00146E27"/>
    <w:rsid w:val="00146E3C"/>
    <w:rsid w:val="001473E9"/>
    <w:rsid w:val="001475A0"/>
    <w:rsid w:val="001476C2"/>
    <w:rsid w:val="00147AA6"/>
    <w:rsid w:val="00147C96"/>
    <w:rsid w:val="001501B5"/>
    <w:rsid w:val="00150469"/>
    <w:rsid w:val="00150720"/>
    <w:rsid w:val="00150991"/>
    <w:rsid w:val="00150B9B"/>
    <w:rsid w:val="00150C13"/>
    <w:rsid w:val="00150DE1"/>
    <w:rsid w:val="00151670"/>
    <w:rsid w:val="00151698"/>
    <w:rsid w:val="001516F0"/>
    <w:rsid w:val="001520D6"/>
    <w:rsid w:val="00152114"/>
    <w:rsid w:val="001522D4"/>
    <w:rsid w:val="00152526"/>
    <w:rsid w:val="00152727"/>
    <w:rsid w:val="00152F61"/>
    <w:rsid w:val="00153801"/>
    <w:rsid w:val="00153AE5"/>
    <w:rsid w:val="00153B29"/>
    <w:rsid w:val="00153B84"/>
    <w:rsid w:val="00153F3D"/>
    <w:rsid w:val="00154D51"/>
    <w:rsid w:val="00154E0F"/>
    <w:rsid w:val="00155299"/>
    <w:rsid w:val="00155533"/>
    <w:rsid w:val="001556DE"/>
    <w:rsid w:val="00155707"/>
    <w:rsid w:val="00155B85"/>
    <w:rsid w:val="00155C70"/>
    <w:rsid w:val="00155F9C"/>
    <w:rsid w:val="00156681"/>
    <w:rsid w:val="00156855"/>
    <w:rsid w:val="00156882"/>
    <w:rsid w:val="001568CD"/>
    <w:rsid w:val="0015693C"/>
    <w:rsid w:val="00156AE2"/>
    <w:rsid w:val="001572A0"/>
    <w:rsid w:val="001577FC"/>
    <w:rsid w:val="00157AFD"/>
    <w:rsid w:val="00157D95"/>
    <w:rsid w:val="00157DEF"/>
    <w:rsid w:val="00160291"/>
    <w:rsid w:val="001603E5"/>
    <w:rsid w:val="001604A7"/>
    <w:rsid w:val="0016066A"/>
    <w:rsid w:val="0016086E"/>
    <w:rsid w:val="00160965"/>
    <w:rsid w:val="00160ACB"/>
    <w:rsid w:val="00161215"/>
    <w:rsid w:val="00161578"/>
    <w:rsid w:val="0016168A"/>
    <w:rsid w:val="0016169B"/>
    <w:rsid w:val="00161A45"/>
    <w:rsid w:val="00161B3C"/>
    <w:rsid w:val="001622CC"/>
    <w:rsid w:val="00162345"/>
    <w:rsid w:val="00162392"/>
    <w:rsid w:val="00162795"/>
    <w:rsid w:val="00162A54"/>
    <w:rsid w:val="00162A78"/>
    <w:rsid w:val="00162CE0"/>
    <w:rsid w:val="00162E8C"/>
    <w:rsid w:val="0016368B"/>
    <w:rsid w:val="001637F4"/>
    <w:rsid w:val="0016384A"/>
    <w:rsid w:val="00163AA4"/>
    <w:rsid w:val="00163AFD"/>
    <w:rsid w:val="001641EB"/>
    <w:rsid w:val="001642B9"/>
    <w:rsid w:val="00164562"/>
    <w:rsid w:val="001648A6"/>
    <w:rsid w:val="00164963"/>
    <w:rsid w:val="001649DE"/>
    <w:rsid w:val="00164C26"/>
    <w:rsid w:val="00164F8E"/>
    <w:rsid w:val="00165239"/>
    <w:rsid w:val="00165342"/>
    <w:rsid w:val="001655E7"/>
    <w:rsid w:val="00165ABF"/>
    <w:rsid w:val="00165C89"/>
    <w:rsid w:val="00165EA5"/>
    <w:rsid w:val="00166192"/>
    <w:rsid w:val="001662B3"/>
    <w:rsid w:val="00166425"/>
    <w:rsid w:val="001664A8"/>
    <w:rsid w:val="0016658D"/>
    <w:rsid w:val="00166636"/>
    <w:rsid w:val="0016696C"/>
    <w:rsid w:val="0016699C"/>
    <w:rsid w:val="001669A4"/>
    <w:rsid w:val="001669D4"/>
    <w:rsid w:val="00166ADD"/>
    <w:rsid w:val="001675F5"/>
    <w:rsid w:val="001677C0"/>
    <w:rsid w:val="0016780E"/>
    <w:rsid w:val="00167935"/>
    <w:rsid w:val="00167B83"/>
    <w:rsid w:val="00167C45"/>
    <w:rsid w:val="00167E63"/>
    <w:rsid w:val="0017062B"/>
    <w:rsid w:val="00170647"/>
    <w:rsid w:val="00170880"/>
    <w:rsid w:val="00170920"/>
    <w:rsid w:val="001709EA"/>
    <w:rsid w:val="001710DC"/>
    <w:rsid w:val="0017112D"/>
    <w:rsid w:val="00171177"/>
    <w:rsid w:val="0017183B"/>
    <w:rsid w:val="001719BC"/>
    <w:rsid w:val="00171AD5"/>
    <w:rsid w:val="00171DDE"/>
    <w:rsid w:val="001723F1"/>
    <w:rsid w:val="00172520"/>
    <w:rsid w:val="001725EE"/>
    <w:rsid w:val="00172689"/>
    <w:rsid w:val="0017286A"/>
    <w:rsid w:val="00172AB5"/>
    <w:rsid w:val="00172ADB"/>
    <w:rsid w:val="00172DC4"/>
    <w:rsid w:val="001731B1"/>
    <w:rsid w:val="001732DB"/>
    <w:rsid w:val="0017332C"/>
    <w:rsid w:val="0017341B"/>
    <w:rsid w:val="001735FE"/>
    <w:rsid w:val="0017360B"/>
    <w:rsid w:val="00174676"/>
    <w:rsid w:val="00174744"/>
    <w:rsid w:val="001748D2"/>
    <w:rsid w:val="001749EC"/>
    <w:rsid w:val="00174CFD"/>
    <w:rsid w:val="00174E9D"/>
    <w:rsid w:val="001754A8"/>
    <w:rsid w:val="001755A7"/>
    <w:rsid w:val="0017582D"/>
    <w:rsid w:val="00175864"/>
    <w:rsid w:val="00175865"/>
    <w:rsid w:val="00175A21"/>
    <w:rsid w:val="00175C27"/>
    <w:rsid w:val="00175E58"/>
    <w:rsid w:val="00175F8F"/>
    <w:rsid w:val="00176144"/>
    <w:rsid w:val="0017615F"/>
    <w:rsid w:val="0017623A"/>
    <w:rsid w:val="0017626D"/>
    <w:rsid w:val="0017659D"/>
    <w:rsid w:val="00176955"/>
    <w:rsid w:val="00176AAF"/>
    <w:rsid w:val="00176ACD"/>
    <w:rsid w:val="00176B2A"/>
    <w:rsid w:val="00177A4E"/>
    <w:rsid w:val="00177C0D"/>
    <w:rsid w:val="00177E0D"/>
    <w:rsid w:val="00177F1F"/>
    <w:rsid w:val="00177FE4"/>
    <w:rsid w:val="00180182"/>
    <w:rsid w:val="00180248"/>
    <w:rsid w:val="00181727"/>
    <w:rsid w:val="00181883"/>
    <w:rsid w:val="001818DA"/>
    <w:rsid w:val="00181BE4"/>
    <w:rsid w:val="00181DCC"/>
    <w:rsid w:val="0018210E"/>
    <w:rsid w:val="00182540"/>
    <w:rsid w:val="001830D8"/>
    <w:rsid w:val="001833B7"/>
    <w:rsid w:val="00183E91"/>
    <w:rsid w:val="00183FD0"/>
    <w:rsid w:val="00183FDF"/>
    <w:rsid w:val="00184315"/>
    <w:rsid w:val="001844E0"/>
    <w:rsid w:val="00184588"/>
    <w:rsid w:val="0018463C"/>
    <w:rsid w:val="00184826"/>
    <w:rsid w:val="00184D9B"/>
    <w:rsid w:val="00185794"/>
    <w:rsid w:val="001857AC"/>
    <w:rsid w:val="00185B29"/>
    <w:rsid w:val="00185CCD"/>
    <w:rsid w:val="00185F78"/>
    <w:rsid w:val="0018671C"/>
    <w:rsid w:val="00186721"/>
    <w:rsid w:val="00186B8D"/>
    <w:rsid w:val="00186B99"/>
    <w:rsid w:val="00186D25"/>
    <w:rsid w:val="00186DCE"/>
    <w:rsid w:val="00187056"/>
    <w:rsid w:val="00187144"/>
    <w:rsid w:val="00187353"/>
    <w:rsid w:val="001873C3"/>
    <w:rsid w:val="001878A0"/>
    <w:rsid w:val="00187DE4"/>
    <w:rsid w:val="00190081"/>
    <w:rsid w:val="00190422"/>
    <w:rsid w:val="00190B53"/>
    <w:rsid w:val="00190CB6"/>
    <w:rsid w:val="00190E98"/>
    <w:rsid w:val="00191067"/>
    <w:rsid w:val="00191223"/>
    <w:rsid w:val="00191488"/>
    <w:rsid w:val="0019151D"/>
    <w:rsid w:val="00191610"/>
    <w:rsid w:val="0019173B"/>
    <w:rsid w:val="001917E0"/>
    <w:rsid w:val="0019183C"/>
    <w:rsid w:val="0019199C"/>
    <w:rsid w:val="00191A42"/>
    <w:rsid w:val="00191BD2"/>
    <w:rsid w:val="00191BD6"/>
    <w:rsid w:val="00192100"/>
    <w:rsid w:val="00192550"/>
    <w:rsid w:val="0019256C"/>
    <w:rsid w:val="00192740"/>
    <w:rsid w:val="00192809"/>
    <w:rsid w:val="001934A7"/>
    <w:rsid w:val="001937EF"/>
    <w:rsid w:val="00193BA0"/>
    <w:rsid w:val="00193DA5"/>
    <w:rsid w:val="00194359"/>
    <w:rsid w:val="001944B6"/>
    <w:rsid w:val="00194974"/>
    <w:rsid w:val="001949C6"/>
    <w:rsid w:val="00194E50"/>
    <w:rsid w:val="00195425"/>
    <w:rsid w:val="0019545D"/>
    <w:rsid w:val="00195468"/>
    <w:rsid w:val="0019546F"/>
    <w:rsid w:val="00195535"/>
    <w:rsid w:val="001956D0"/>
    <w:rsid w:val="001958BE"/>
    <w:rsid w:val="0019593A"/>
    <w:rsid w:val="00195B7A"/>
    <w:rsid w:val="00195BFA"/>
    <w:rsid w:val="00195D0C"/>
    <w:rsid w:val="00195EFF"/>
    <w:rsid w:val="00196085"/>
    <w:rsid w:val="001963E3"/>
    <w:rsid w:val="001967DA"/>
    <w:rsid w:val="00196868"/>
    <w:rsid w:val="0019701E"/>
    <w:rsid w:val="001971C4"/>
    <w:rsid w:val="00197706"/>
    <w:rsid w:val="00197A32"/>
    <w:rsid w:val="001A01A6"/>
    <w:rsid w:val="001A01BD"/>
    <w:rsid w:val="001A0314"/>
    <w:rsid w:val="001A035A"/>
    <w:rsid w:val="001A069C"/>
    <w:rsid w:val="001A0831"/>
    <w:rsid w:val="001A0ACE"/>
    <w:rsid w:val="001A123D"/>
    <w:rsid w:val="001A1313"/>
    <w:rsid w:val="001A1619"/>
    <w:rsid w:val="001A175D"/>
    <w:rsid w:val="001A1B16"/>
    <w:rsid w:val="001A2478"/>
    <w:rsid w:val="001A24C2"/>
    <w:rsid w:val="001A2514"/>
    <w:rsid w:val="001A27A4"/>
    <w:rsid w:val="001A29BA"/>
    <w:rsid w:val="001A2DEA"/>
    <w:rsid w:val="001A319E"/>
    <w:rsid w:val="001A3524"/>
    <w:rsid w:val="001A3A8A"/>
    <w:rsid w:val="001A3BBC"/>
    <w:rsid w:val="001A4306"/>
    <w:rsid w:val="001A4617"/>
    <w:rsid w:val="001A4716"/>
    <w:rsid w:val="001A48C3"/>
    <w:rsid w:val="001A4D89"/>
    <w:rsid w:val="001A50C6"/>
    <w:rsid w:val="001A5193"/>
    <w:rsid w:val="001A53F6"/>
    <w:rsid w:val="001A5446"/>
    <w:rsid w:val="001A5761"/>
    <w:rsid w:val="001A5762"/>
    <w:rsid w:val="001A5B6D"/>
    <w:rsid w:val="001A5E9F"/>
    <w:rsid w:val="001A625C"/>
    <w:rsid w:val="001A64D8"/>
    <w:rsid w:val="001A65F1"/>
    <w:rsid w:val="001A68E4"/>
    <w:rsid w:val="001A6BCE"/>
    <w:rsid w:val="001A6C22"/>
    <w:rsid w:val="001A6C84"/>
    <w:rsid w:val="001A6D55"/>
    <w:rsid w:val="001A6DEC"/>
    <w:rsid w:val="001A74F0"/>
    <w:rsid w:val="001A7840"/>
    <w:rsid w:val="001B002B"/>
    <w:rsid w:val="001B013F"/>
    <w:rsid w:val="001B029A"/>
    <w:rsid w:val="001B03D3"/>
    <w:rsid w:val="001B05B3"/>
    <w:rsid w:val="001B0865"/>
    <w:rsid w:val="001B109C"/>
    <w:rsid w:val="001B112A"/>
    <w:rsid w:val="001B1197"/>
    <w:rsid w:val="001B15AC"/>
    <w:rsid w:val="001B1763"/>
    <w:rsid w:val="001B1BF0"/>
    <w:rsid w:val="001B1DCE"/>
    <w:rsid w:val="001B2054"/>
    <w:rsid w:val="001B215F"/>
    <w:rsid w:val="001B2501"/>
    <w:rsid w:val="001B2519"/>
    <w:rsid w:val="001B25CD"/>
    <w:rsid w:val="001B2710"/>
    <w:rsid w:val="001B2998"/>
    <w:rsid w:val="001B29BF"/>
    <w:rsid w:val="001B2B7C"/>
    <w:rsid w:val="001B2D59"/>
    <w:rsid w:val="001B2D61"/>
    <w:rsid w:val="001B2E96"/>
    <w:rsid w:val="001B30B1"/>
    <w:rsid w:val="001B325E"/>
    <w:rsid w:val="001B3468"/>
    <w:rsid w:val="001B36E4"/>
    <w:rsid w:val="001B3808"/>
    <w:rsid w:val="001B3B31"/>
    <w:rsid w:val="001B3C69"/>
    <w:rsid w:val="001B3D3F"/>
    <w:rsid w:val="001B3D69"/>
    <w:rsid w:val="001B3E83"/>
    <w:rsid w:val="001B41A8"/>
    <w:rsid w:val="001B480E"/>
    <w:rsid w:val="001B4DDC"/>
    <w:rsid w:val="001B56AC"/>
    <w:rsid w:val="001B5CEA"/>
    <w:rsid w:val="001B5E50"/>
    <w:rsid w:val="001B6053"/>
    <w:rsid w:val="001B6583"/>
    <w:rsid w:val="001B6746"/>
    <w:rsid w:val="001B6910"/>
    <w:rsid w:val="001B698F"/>
    <w:rsid w:val="001B6F63"/>
    <w:rsid w:val="001B7133"/>
    <w:rsid w:val="001B7256"/>
    <w:rsid w:val="001B73D0"/>
    <w:rsid w:val="001B7725"/>
    <w:rsid w:val="001B796C"/>
    <w:rsid w:val="001B79B4"/>
    <w:rsid w:val="001B7E50"/>
    <w:rsid w:val="001B7F3A"/>
    <w:rsid w:val="001C0396"/>
    <w:rsid w:val="001C08CF"/>
    <w:rsid w:val="001C09E4"/>
    <w:rsid w:val="001C0B63"/>
    <w:rsid w:val="001C0C51"/>
    <w:rsid w:val="001C0E0C"/>
    <w:rsid w:val="001C1228"/>
    <w:rsid w:val="001C1626"/>
    <w:rsid w:val="001C18BB"/>
    <w:rsid w:val="001C1F6E"/>
    <w:rsid w:val="001C2203"/>
    <w:rsid w:val="001C232B"/>
    <w:rsid w:val="001C2704"/>
    <w:rsid w:val="001C2C82"/>
    <w:rsid w:val="001C39CF"/>
    <w:rsid w:val="001C3C86"/>
    <w:rsid w:val="001C3D21"/>
    <w:rsid w:val="001C445A"/>
    <w:rsid w:val="001C46E3"/>
    <w:rsid w:val="001C481F"/>
    <w:rsid w:val="001C49FE"/>
    <w:rsid w:val="001C5137"/>
    <w:rsid w:val="001C5169"/>
    <w:rsid w:val="001C590B"/>
    <w:rsid w:val="001C59BA"/>
    <w:rsid w:val="001C5A2C"/>
    <w:rsid w:val="001C5C1F"/>
    <w:rsid w:val="001C6006"/>
    <w:rsid w:val="001C6597"/>
    <w:rsid w:val="001C67A4"/>
    <w:rsid w:val="001C6C42"/>
    <w:rsid w:val="001C7052"/>
    <w:rsid w:val="001C7078"/>
    <w:rsid w:val="001C720D"/>
    <w:rsid w:val="001C77F6"/>
    <w:rsid w:val="001C7945"/>
    <w:rsid w:val="001C7F3C"/>
    <w:rsid w:val="001D0734"/>
    <w:rsid w:val="001D10D2"/>
    <w:rsid w:val="001D118D"/>
    <w:rsid w:val="001D1BEF"/>
    <w:rsid w:val="001D1C84"/>
    <w:rsid w:val="001D2247"/>
    <w:rsid w:val="001D2745"/>
    <w:rsid w:val="001D28A7"/>
    <w:rsid w:val="001D2CDC"/>
    <w:rsid w:val="001D338D"/>
    <w:rsid w:val="001D33CF"/>
    <w:rsid w:val="001D340B"/>
    <w:rsid w:val="001D3AA6"/>
    <w:rsid w:val="001D3C27"/>
    <w:rsid w:val="001D40B7"/>
    <w:rsid w:val="001D4A75"/>
    <w:rsid w:val="001D4BD1"/>
    <w:rsid w:val="001D4BFB"/>
    <w:rsid w:val="001D4C9E"/>
    <w:rsid w:val="001D4E92"/>
    <w:rsid w:val="001D4F1F"/>
    <w:rsid w:val="001D55EF"/>
    <w:rsid w:val="001D5706"/>
    <w:rsid w:val="001D6298"/>
    <w:rsid w:val="001D6314"/>
    <w:rsid w:val="001D6659"/>
    <w:rsid w:val="001D6CE8"/>
    <w:rsid w:val="001D6E35"/>
    <w:rsid w:val="001D6F08"/>
    <w:rsid w:val="001D70EE"/>
    <w:rsid w:val="001D79E0"/>
    <w:rsid w:val="001E0279"/>
    <w:rsid w:val="001E03F9"/>
    <w:rsid w:val="001E05EE"/>
    <w:rsid w:val="001E090B"/>
    <w:rsid w:val="001E097B"/>
    <w:rsid w:val="001E0988"/>
    <w:rsid w:val="001E1161"/>
    <w:rsid w:val="001E11D6"/>
    <w:rsid w:val="001E158D"/>
    <w:rsid w:val="001E15AE"/>
    <w:rsid w:val="001E1769"/>
    <w:rsid w:val="001E1AE2"/>
    <w:rsid w:val="001E1B07"/>
    <w:rsid w:val="001E2250"/>
    <w:rsid w:val="001E2635"/>
    <w:rsid w:val="001E2771"/>
    <w:rsid w:val="001E28F3"/>
    <w:rsid w:val="001E2CD0"/>
    <w:rsid w:val="001E2D32"/>
    <w:rsid w:val="001E3162"/>
    <w:rsid w:val="001E319B"/>
    <w:rsid w:val="001E31C9"/>
    <w:rsid w:val="001E346D"/>
    <w:rsid w:val="001E38E8"/>
    <w:rsid w:val="001E3AE7"/>
    <w:rsid w:val="001E3B5D"/>
    <w:rsid w:val="001E3BCC"/>
    <w:rsid w:val="001E3CF8"/>
    <w:rsid w:val="001E3D86"/>
    <w:rsid w:val="001E3F77"/>
    <w:rsid w:val="001E42F8"/>
    <w:rsid w:val="001E43B2"/>
    <w:rsid w:val="001E4587"/>
    <w:rsid w:val="001E4C19"/>
    <w:rsid w:val="001E4EC9"/>
    <w:rsid w:val="001E51DA"/>
    <w:rsid w:val="001E5523"/>
    <w:rsid w:val="001E5541"/>
    <w:rsid w:val="001E586D"/>
    <w:rsid w:val="001E5955"/>
    <w:rsid w:val="001E5E56"/>
    <w:rsid w:val="001E6011"/>
    <w:rsid w:val="001E605F"/>
    <w:rsid w:val="001E634B"/>
    <w:rsid w:val="001E6759"/>
    <w:rsid w:val="001E68CD"/>
    <w:rsid w:val="001E6900"/>
    <w:rsid w:val="001E6EB3"/>
    <w:rsid w:val="001E6F48"/>
    <w:rsid w:val="001E7630"/>
    <w:rsid w:val="001E7852"/>
    <w:rsid w:val="001E7981"/>
    <w:rsid w:val="001E7A5E"/>
    <w:rsid w:val="001E7E67"/>
    <w:rsid w:val="001E7F97"/>
    <w:rsid w:val="001F006D"/>
    <w:rsid w:val="001F080F"/>
    <w:rsid w:val="001F082D"/>
    <w:rsid w:val="001F08CB"/>
    <w:rsid w:val="001F0BBD"/>
    <w:rsid w:val="001F0C1F"/>
    <w:rsid w:val="001F0DEF"/>
    <w:rsid w:val="001F0EBC"/>
    <w:rsid w:val="001F1104"/>
    <w:rsid w:val="001F1236"/>
    <w:rsid w:val="001F14A6"/>
    <w:rsid w:val="001F1668"/>
    <w:rsid w:val="001F2138"/>
    <w:rsid w:val="001F21A9"/>
    <w:rsid w:val="001F241B"/>
    <w:rsid w:val="001F2A85"/>
    <w:rsid w:val="001F3030"/>
    <w:rsid w:val="001F3828"/>
    <w:rsid w:val="001F39DD"/>
    <w:rsid w:val="001F3B3E"/>
    <w:rsid w:val="001F3CE9"/>
    <w:rsid w:val="001F3E12"/>
    <w:rsid w:val="001F46DA"/>
    <w:rsid w:val="001F474A"/>
    <w:rsid w:val="001F4A2E"/>
    <w:rsid w:val="001F4B03"/>
    <w:rsid w:val="001F4EB0"/>
    <w:rsid w:val="001F4FE4"/>
    <w:rsid w:val="001F523B"/>
    <w:rsid w:val="001F56A9"/>
    <w:rsid w:val="001F56EE"/>
    <w:rsid w:val="001F57B0"/>
    <w:rsid w:val="001F5824"/>
    <w:rsid w:val="001F5D7B"/>
    <w:rsid w:val="001F6796"/>
    <w:rsid w:val="001F6A94"/>
    <w:rsid w:val="001F7290"/>
    <w:rsid w:val="001F7321"/>
    <w:rsid w:val="001F73C5"/>
    <w:rsid w:val="001F7412"/>
    <w:rsid w:val="001F7BAF"/>
    <w:rsid w:val="001F7BB7"/>
    <w:rsid w:val="001F7E4B"/>
    <w:rsid w:val="0020024D"/>
    <w:rsid w:val="00200283"/>
    <w:rsid w:val="002003C9"/>
    <w:rsid w:val="002005D0"/>
    <w:rsid w:val="00200604"/>
    <w:rsid w:val="00200EE7"/>
    <w:rsid w:val="002010C2"/>
    <w:rsid w:val="00201119"/>
    <w:rsid w:val="002016A7"/>
    <w:rsid w:val="00201A4D"/>
    <w:rsid w:val="00201C0C"/>
    <w:rsid w:val="00201D53"/>
    <w:rsid w:val="00201F4D"/>
    <w:rsid w:val="00201F92"/>
    <w:rsid w:val="00202444"/>
    <w:rsid w:val="0020285F"/>
    <w:rsid w:val="002030BF"/>
    <w:rsid w:val="00203135"/>
    <w:rsid w:val="00203851"/>
    <w:rsid w:val="0020387C"/>
    <w:rsid w:val="00203A6C"/>
    <w:rsid w:val="00203A7A"/>
    <w:rsid w:val="00203D4D"/>
    <w:rsid w:val="00203DD9"/>
    <w:rsid w:val="00203E44"/>
    <w:rsid w:val="0020432E"/>
    <w:rsid w:val="002043DF"/>
    <w:rsid w:val="002047C6"/>
    <w:rsid w:val="00204C39"/>
    <w:rsid w:val="00205061"/>
    <w:rsid w:val="002050C1"/>
    <w:rsid w:val="002051ED"/>
    <w:rsid w:val="002052A2"/>
    <w:rsid w:val="00205482"/>
    <w:rsid w:val="002056D9"/>
    <w:rsid w:val="002065E4"/>
    <w:rsid w:val="002067E7"/>
    <w:rsid w:val="0020688C"/>
    <w:rsid w:val="00206B15"/>
    <w:rsid w:val="00207298"/>
    <w:rsid w:val="00207322"/>
    <w:rsid w:val="00207500"/>
    <w:rsid w:val="00207685"/>
    <w:rsid w:val="002079FD"/>
    <w:rsid w:val="00207F80"/>
    <w:rsid w:val="00210233"/>
    <w:rsid w:val="002106AE"/>
    <w:rsid w:val="002106DE"/>
    <w:rsid w:val="00210752"/>
    <w:rsid w:val="002107B8"/>
    <w:rsid w:val="00210807"/>
    <w:rsid w:val="002109D7"/>
    <w:rsid w:val="00210A14"/>
    <w:rsid w:val="00210A57"/>
    <w:rsid w:val="00210DC0"/>
    <w:rsid w:val="0021107F"/>
    <w:rsid w:val="00211669"/>
    <w:rsid w:val="002117FF"/>
    <w:rsid w:val="0021183B"/>
    <w:rsid w:val="00211A33"/>
    <w:rsid w:val="00211E21"/>
    <w:rsid w:val="00211E6A"/>
    <w:rsid w:val="002120BF"/>
    <w:rsid w:val="002120C7"/>
    <w:rsid w:val="00212307"/>
    <w:rsid w:val="0021289C"/>
    <w:rsid w:val="00212C4F"/>
    <w:rsid w:val="00212D0A"/>
    <w:rsid w:val="00212D5A"/>
    <w:rsid w:val="00212E47"/>
    <w:rsid w:val="0021321D"/>
    <w:rsid w:val="00213829"/>
    <w:rsid w:val="002138CE"/>
    <w:rsid w:val="00213A45"/>
    <w:rsid w:val="00213B59"/>
    <w:rsid w:val="002140A0"/>
    <w:rsid w:val="00214951"/>
    <w:rsid w:val="00214CAE"/>
    <w:rsid w:val="00214D1F"/>
    <w:rsid w:val="00214FF1"/>
    <w:rsid w:val="00215549"/>
    <w:rsid w:val="0021583B"/>
    <w:rsid w:val="002159AA"/>
    <w:rsid w:val="00215C19"/>
    <w:rsid w:val="00215D23"/>
    <w:rsid w:val="00215D9B"/>
    <w:rsid w:val="00215E2E"/>
    <w:rsid w:val="00215FA1"/>
    <w:rsid w:val="00216191"/>
    <w:rsid w:val="0021646D"/>
    <w:rsid w:val="0021657E"/>
    <w:rsid w:val="00216835"/>
    <w:rsid w:val="00216995"/>
    <w:rsid w:val="002171F1"/>
    <w:rsid w:val="00217393"/>
    <w:rsid w:val="002175FB"/>
    <w:rsid w:val="002177D4"/>
    <w:rsid w:val="0021784B"/>
    <w:rsid w:val="00217A4E"/>
    <w:rsid w:val="00217A58"/>
    <w:rsid w:val="00217AFC"/>
    <w:rsid w:val="00217CF3"/>
    <w:rsid w:val="00217F3C"/>
    <w:rsid w:val="00217FB5"/>
    <w:rsid w:val="0022011E"/>
    <w:rsid w:val="00220B1A"/>
    <w:rsid w:val="00220B84"/>
    <w:rsid w:val="00220C62"/>
    <w:rsid w:val="00220D05"/>
    <w:rsid w:val="00220E48"/>
    <w:rsid w:val="00220F22"/>
    <w:rsid w:val="002211D1"/>
    <w:rsid w:val="002211FA"/>
    <w:rsid w:val="0022181C"/>
    <w:rsid w:val="002218AE"/>
    <w:rsid w:val="0022196D"/>
    <w:rsid w:val="00221D87"/>
    <w:rsid w:val="00221E7A"/>
    <w:rsid w:val="00221FD8"/>
    <w:rsid w:val="002221E6"/>
    <w:rsid w:val="0022235A"/>
    <w:rsid w:val="00222671"/>
    <w:rsid w:val="00222704"/>
    <w:rsid w:val="00222705"/>
    <w:rsid w:val="00222774"/>
    <w:rsid w:val="00222F8A"/>
    <w:rsid w:val="00223248"/>
    <w:rsid w:val="0022324F"/>
    <w:rsid w:val="002238BB"/>
    <w:rsid w:val="00223B3F"/>
    <w:rsid w:val="00223B55"/>
    <w:rsid w:val="00223B7B"/>
    <w:rsid w:val="00223DDD"/>
    <w:rsid w:val="0022423F"/>
    <w:rsid w:val="002243B6"/>
    <w:rsid w:val="00224628"/>
    <w:rsid w:val="00224655"/>
    <w:rsid w:val="00224793"/>
    <w:rsid w:val="00224920"/>
    <w:rsid w:val="00224977"/>
    <w:rsid w:val="00224B13"/>
    <w:rsid w:val="00225009"/>
    <w:rsid w:val="002250ED"/>
    <w:rsid w:val="0022510F"/>
    <w:rsid w:val="002253A8"/>
    <w:rsid w:val="00225433"/>
    <w:rsid w:val="002257FA"/>
    <w:rsid w:val="00225883"/>
    <w:rsid w:val="002268A7"/>
    <w:rsid w:val="002269D4"/>
    <w:rsid w:val="00226C99"/>
    <w:rsid w:val="002277DB"/>
    <w:rsid w:val="002278E0"/>
    <w:rsid w:val="00227B37"/>
    <w:rsid w:val="00227E28"/>
    <w:rsid w:val="00227F7F"/>
    <w:rsid w:val="002301BB"/>
    <w:rsid w:val="002301C0"/>
    <w:rsid w:val="002302DC"/>
    <w:rsid w:val="00230371"/>
    <w:rsid w:val="00230531"/>
    <w:rsid w:val="002305C6"/>
    <w:rsid w:val="00230FB9"/>
    <w:rsid w:val="00231155"/>
    <w:rsid w:val="00231214"/>
    <w:rsid w:val="00231261"/>
    <w:rsid w:val="00231287"/>
    <w:rsid w:val="0023150C"/>
    <w:rsid w:val="002317B7"/>
    <w:rsid w:val="00231A6B"/>
    <w:rsid w:val="00231C1B"/>
    <w:rsid w:val="00231D6E"/>
    <w:rsid w:val="002323AA"/>
    <w:rsid w:val="00232412"/>
    <w:rsid w:val="00232414"/>
    <w:rsid w:val="0023263D"/>
    <w:rsid w:val="00232673"/>
    <w:rsid w:val="00232DD4"/>
    <w:rsid w:val="00232F78"/>
    <w:rsid w:val="00233450"/>
    <w:rsid w:val="0023354F"/>
    <w:rsid w:val="0023358E"/>
    <w:rsid w:val="002335D4"/>
    <w:rsid w:val="00233A0C"/>
    <w:rsid w:val="00233B76"/>
    <w:rsid w:val="00233C71"/>
    <w:rsid w:val="00234053"/>
    <w:rsid w:val="00234934"/>
    <w:rsid w:val="00234B6C"/>
    <w:rsid w:val="00234C4D"/>
    <w:rsid w:val="00234EBE"/>
    <w:rsid w:val="00234F21"/>
    <w:rsid w:val="002351F1"/>
    <w:rsid w:val="00235526"/>
    <w:rsid w:val="0023576F"/>
    <w:rsid w:val="00235806"/>
    <w:rsid w:val="00235851"/>
    <w:rsid w:val="00235A12"/>
    <w:rsid w:val="00235BD9"/>
    <w:rsid w:val="002360A1"/>
    <w:rsid w:val="002361A8"/>
    <w:rsid w:val="0023637C"/>
    <w:rsid w:val="002363CA"/>
    <w:rsid w:val="00236639"/>
    <w:rsid w:val="00236804"/>
    <w:rsid w:val="002368AB"/>
    <w:rsid w:val="002368E5"/>
    <w:rsid w:val="00236A01"/>
    <w:rsid w:val="00236CC5"/>
    <w:rsid w:val="002371CC"/>
    <w:rsid w:val="00237372"/>
    <w:rsid w:val="00237410"/>
    <w:rsid w:val="00237631"/>
    <w:rsid w:val="00237918"/>
    <w:rsid w:val="00237934"/>
    <w:rsid w:val="00237AF1"/>
    <w:rsid w:val="00237D9C"/>
    <w:rsid w:val="00240291"/>
    <w:rsid w:val="002403DC"/>
    <w:rsid w:val="00240542"/>
    <w:rsid w:val="00240740"/>
    <w:rsid w:val="002408BF"/>
    <w:rsid w:val="00240A39"/>
    <w:rsid w:val="00240E22"/>
    <w:rsid w:val="002411A7"/>
    <w:rsid w:val="002411C8"/>
    <w:rsid w:val="00241338"/>
    <w:rsid w:val="00241360"/>
    <w:rsid w:val="00241B01"/>
    <w:rsid w:val="00241B50"/>
    <w:rsid w:val="00241E62"/>
    <w:rsid w:val="00241F18"/>
    <w:rsid w:val="00241F2E"/>
    <w:rsid w:val="00241F62"/>
    <w:rsid w:val="00242244"/>
    <w:rsid w:val="00242649"/>
    <w:rsid w:val="00242671"/>
    <w:rsid w:val="002427AD"/>
    <w:rsid w:val="00242C76"/>
    <w:rsid w:val="00242FA1"/>
    <w:rsid w:val="00243345"/>
    <w:rsid w:val="00243836"/>
    <w:rsid w:val="00243844"/>
    <w:rsid w:val="0024387E"/>
    <w:rsid w:val="00243B92"/>
    <w:rsid w:val="00243F9F"/>
    <w:rsid w:val="00244224"/>
    <w:rsid w:val="002444D8"/>
    <w:rsid w:val="00244857"/>
    <w:rsid w:val="002449C8"/>
    <w:rsid w:val="00245CAD"/>
    <w:rsid w:val="00245E4F"/>
    <w:rsid w:val="00245E6C"/>
    <w:rsid w:val="002460E0"/>
    <w:rsid w:val="0024624C"/>
    <w:rsid w:val="00246316"/>
    <w:rsid w:val="00246356"/>
    <w:rsid w:val="002463F6"/>
    <w:rsid w:val="0024658E"/>
    <w:rsid w:val="00246792"/>
    <w:rsid w:val="002468B8"/>
    <w:rsid w:val="00246D00"/>
    <w:rsid w:val="00246F60"/>
    <w:rsid w:val="00247189"/>
    <w:rsid w:val="00247343"/>
    <w:rsid w:val="002473F5"/>
    <w:rsid w:val="0024755C"/>
    <w:rsid w:val="0025054D"/>
    <w:rsid w:val="00250583"/>
    <w:rsid w:val="00250608"/>
    <w:rsid w:val="00250781"/>
    <w:rsid w:val="00250CCE"/>
    <w:rsid w:val="00250D86"/>
    <w:rsid w:val="00250DC7"/>
    <w:rsid w:val="00250E5F"/>
    <w:rsid w:val="002512D1"/>
    <w:rsid w:val="00251472"/>
    <w:rsid w:val="00251702"/>
    <w:rsid w:val="00251836"/>
    <w:rsid w:val="00251CDB"/>
    <w:rsid w:val="00251D45"/>
    <w:rsid w:val="0025230E"/>
    <w:rsid w:val="00253065"/>
    <w:rsid w:val="00253533"/>
    <w:rsid w:val="0025366E"/>
    <w:rsid w:val="002538E4"/>
    <w:rsid w:val="00253B2D"/>
    <w:rsid w:val="00253B9F"/>
    <w:rsid w:val="00253CA5"/>
    <w:rsid w:val="00253E4F"/>
    <w:rsid w:val="00253E69"/>
    <w:rsid w:val="00254350"/>
    <w:rsid w:val="002545A8"/>
    <w:rsid w:val="00254811"/>
    <w:rsid w:val="00254A02"/>
    <w:rsid w:val="00254AB8"/>
    <w:rsid w:val="00254ED8"/>
    <w:rsid w:val="0025618C"/>
    <w:rsid w:val="00256291"/>
    <w:rsid w:val="0025695E"/>
    <w:rsid w:val="00256968"/>
    <w:rsid w:val="002569E8"/>
    <w:rsid w:val="00256C43"/>
    <w:rsid w:val="00256F98"/>
    <w:rsid w:val="00257024"/>
    <w:rsid w:val="0025721A"/>
    <w:rsid w:val="002572E3"/>
    <w:rsid w:val="002577E1"/>
    <w:rsid w:val="0025781C"/>
    <w:rsid w:val="002579CA"/>
    <w:rsid w:val="00257F84"/>
    <w:rsid w:val="00260284"/>
    <w:rsid w:val="0026044F"/>
    <w:rsid w:val="00260491"/>
    <w:rsid w:val="00260558"/>
    <w:rsid w:val="0026060C"/>
    <w:rsid w:val="00260A9E"/>
    <w:rsid w:val="00260D60"/>
    <w:rsid w:val="002610F1"/>
    <w:rsid w:val="00261242"/>
    <w:rsid w:val="0026147F"/>
    <w:rsid w:val="00261963"/>
    <w:rsid w:val="00261F1F"/>
    <w:rsid w:val="0026218B"/>
    <w:rsid w:val="0026220E"/>
    <w:rsid w:val="00262235"/>
    <w:rsid w:val="002624B7"/>
    <w:rsid w:val="002625CA"/>
    <w:rsid w:val="00262A22"/>
    <w:rsid w:val="00262A44"/>
    <w:rsid w:val="00262B03"/>
    <w:rsid w:val="00262DE1"/>
    <w:rsid w:val="00262E31"/>
    <w:rsid w:val="00263437"/>
    <w:rsid w:val="00263C74"/>
    <w:rsid w:val="00263DF2"/>
    <w:rsid w:val="00263EE0"/>
    <w:rsid w:val="00264120"/>
    <w:rsid w:val="00264122"/>
    <w:rsid w:val="002642EA"/>
    <w:rsid w:val="00264313"/>
    <w:rsid w:val="00264892"/>
    <w:rsid w:val="00264A1E"/>
    <w:rsid w:val="00264DB4"/>
    <w:rsid w:val="00265066"/>
    <w:rsid w:val="002650CB"/>
    <w:rsid w:val="0026535D"/>
    <w:rsid w:val="002653D7"/>
    <w:rsid w:val="002659C4"/>
    <w:rsid w:val="002659E2"/>
    <w:rsid w:val="00265A3A"/>
    <w:rsid w:val="00265D99"/>
    <w:rsid w:val="00265DC9"/>
    <w:rsid w:val="00266325"/>
    <w:rsid w:val="00266718"/>
    <w:rsid w:val="00266AB1"/>
    <w:rsid w:val="00266F58"/>
    <w:rsid w:val="00266FE3"/>
    <w:rsid w:val="0026701F"/>
    <w:rsid w:val="00270154"/>
    <w:rsid w:val="00270217"/>
    <w:rsid w:val="00270606"/>
    <w:rsid w:val="00270948"/>
    <w:rsid w:val="00270B46"/>
    <w:rsid w:val="00270BE1"/>
    <w:rsid w:val="00270DE9"/>
    <w:rsid w:val="00271364"/>
    <w:rsid w:val="00271370"/>
    <w:rsid w:val="002717D6"/>
    <w:rsid w:val="002717D7"/>
    <w:rsid w:val="002718C4"/>
    <w:rsid w:val="00271A2D"/>
    <w:rsid w:val="00271C1F"/>
    <w:rsid w:val="00271E75"/>
    <w:rsid w:val="00271EF4"/>
    <w:rsid w:val="002722EC"/>
    <w:rsid w:val="002724C2"/>
    <w:rsid w:val="0027270D"/>
    <w:rsid w:val="00272889"/>
    <w:rsid w:val="00272E94"/>
    <w:rsid w:val="002732A7"/>
    <w:rsid w:val="002732D9"/>
    <w:rsid w:val="002733F5"/>
    <w:rsid w:val="00273992"/>
    <w:rsid w:val="00273F52"/>
    <w:rsid w:val="002740A5"/>
    <w:rsid w:val="00274255"/>
    <w:rsid w:val="002742CC"/>
    <w:rsid w:val="002742E3"/>
    <w:rsid w:val="00274307"/>
    <w:rsid w:val="00274472"/>
    <w:rsid w:val="002749B1"/>
    <w:rsid w:val="002749FF"/>
    <w:rsid w:val="00274E61"/>
    <w:rsid w:val="00274EDF"/>
    <w:rsid w:val="002755A5"/>
    <w:rsid w:val="00275931"/>
    <w:rsid w:val="00275B74"/>
    <w:rsid w:val="0027675F"/>
    <w:rsid w:val="00276789"/>
    <w:rsid w:val="00276A4D"/>
    <w:rsid w:val="00276BC0"/>
    <w:rsid w:val="00276CE6"/>
    <w:rsid w:val="0027714A"/>
    <w:rsid w:val="0027745F"/>
    <w:rsid w:val="0027765F"/>
    <w:rsid w:val="00277C93"/>
    <w:rsid w:val="00277EB7"/>
    <w:rsid w:val="00277EC1"/>
    <w:rsid w:val="00280121"/>
    <w:rsid w:val="0028078D"/>
    <w:rsid w:val="002807E4"/>
    <w:rsid w:val="002809F5"/>
    <w:rsid w:val="002815CB"/>
    <w:rsid w:val="00281807"/>
    <w:rsid w:val="0028195A"/>
    <w:rsid w:val="00281CFD"/>
    <w:rsid w:val="002822AC"/>
    <w:rsid w:val="0028244E"/>
    <w:rsid w:val="002825A0"/>
    <w:rsid w:val="00282694"/>
    <w:rsid w:val="00282715"/>
    <w:rsid w:val="0028323E"/>
    <w:rsid w:val="00283261"/>
    <w:rsid w:val="0028355F"/>
    <w:rsid w:val="00283833"/>
    <w:rsid w:val="00283881"/>
    <w:rsid w:val="002838A8"/>
    <w:rsid w:val="002839DF"/>
    <w:rsid w:val="00283AC9"/>
    <w:rsid w:val="00283AD2"/>
    <w:rsid w:val="00283B2C"/>
    <w:rsid w:val="00284009"/>
    <w:rsid w:val="0028432C"/>
    <w:rsid w:val="002844D8"/>
    <w:rsid w:val="002845CD"/>
    <w:rsid w:val="00284871"/>
    <w:rsid w:val="002849E6"/>
    <w:rsid w:val="00284C61"/>
    <w:rsid w:val="00284D92"/>
    <w:rsid w:val="002852BB"/>
    <w:rsid w:val="00285A18"/>
    <w:rsid w:val="00285C7B"/>
    <w:rsid w:val="00286367"/>
    <w:rsid w:val="002863B8"/>
    <w:rsid w:val="0028649E"/>
    <w:rsid w:val="002864B4"/>
    <w:rsid w:val="0028685B"/>
    <w:rsid w:val="00286ACC"/>
    <w:rsid w:val="00287416"/>
    <w:rsid w:val="002874A3"/>
    <w:rsid w:val="0028799F"/>
    <w:rsid w:val="00287A6B"/>
    <w:rsid w:val="00287F2A"/>
    <w:rsid w:val="00290094"/>
    <w:rsid w:val="002901D6"/>
    <w:rsid w:val="00290636"/>
    <w:rsid w:val="00290700"/>
    <w:rsid w:val="0029072F"/>
    <w:rsid w:val="002908C6"/>
    <w:rsid w:val="00290ECF"/>
    <w:rsid w:val="00291EBE"/>
    <w:rsid w:val="002920DF"/>
    <w:rsid w:val="002921D4"/>
    <w:rsid w:val="0029231B"/>
    <w:rsid w:val="00292519"/>
    <w:rsid w:val="002926A5"/>
    <w:rsid w:val="00292818"/>
    <w:rsid w:val="002929BD"/>
    <w:rsid w:val="00292C97"/>
    <w:rsid w:val="00292D06"/>
    <w:rsid w:val="00292F3E"/>
    <w:rsid w:val="00293028"/>
    <w:rsid w:val="00293489"/>
    <w:rsid w:val="00293A50"/>
    <w:rsid w:val="00293ACC"/>
    <w:rsid w:val="00293BB1"/>
    <w:rsid w:val="00293DA7"/>
    <w:rsid w:val="00294216"/>
    <w:rsid w:val="00294506"/>
    <w:rsid w:val="0029460A"/>
    <w:rsid w:val="002946E6"/>
    <w:rsid w:val="00294C93"/>
    <w:rsid w:val="00294D1E"/>
    <w:rsid w:val="00295150"/>
    <w:rsid w:val="00295600"/>
    <w:rsid w:val="002956B5"/>
    <w:rsid w:val="00295827"/>
    <w:rsid w:val="00295B1A"/>
    <w:rsid w:val="00295BE6"/>
    <w:rsid w:val="00295E51"/>
    <w:rsid w:val="00295F13"/>
    <w:rsid w:val="00295F44"/>
    <w:rsid w:val="00296208"/>
    <w:rsid w:val="0029664E"/>
    <w:rsid w:val="0029684E"/>
    <w:rsid w:val="00297072"/>
    <w:rsid w:val="002977A8"/>
    <w:rsid w:val="0029791C"/>
    <w:rsid w:val="00297B5A"/>
    <w:rsid w:val="00297C84"/>
    <w:rsid w:val="00297CCF"/>
    <w:rsid w:val="00297D23"/>
    <w:rsid w:val="00297FF0"/>
    <w:rsid w:val="002A053F"/>
    <w:rsid w:val="002A09C4"/>
    <w:rsid w:val="002A0BBA"/>
    <w:rsid w:val="002A0BD8"/>
    <w:rsid w:val="002A0F8A"/>
    <w:rsid w:val="002A161F"/>
    <w:rsid w:val="002A2106"/>
    <w:rsid w:val="002A21C9"/>
    <w:rsid w:val="002A2420"/>
    <w:rsid w:val="002A2992"/>
    <w:rsid w:val="002A2C8C"/>
    <w:rsid w:val="002A2E05"/>
    <w:rsid w:val="002A2F51"/>
    <w:rsid w:val="002A3087"/>
    <w:rsid w:val="002A33E8"/>
    <w:rsid w:val="002A3528"/>
    <w:rsid w:val="002A396B"/>
    <w:rsid w:val="002A39A3"/>
    <w:rsid w:val="002A39EE"/>
    <w:rsid w:val="002A3A79"/>
    <w:rsid w:val="002A3B87"/>
    <w:rsid w:val="002A4063"/>
    <w:rsid w:val="002A40D2"/>
    <w:rsid w:val="002A4121"/>
    <w:rsid w:val="002A451A"/>
    <w:rsid w:val="002A4601"/>
    <w:rsid w:val="002A4F45"/>
    <w:rsid w:val="002A5097"/>
    <w:rsid w:val="002A5514"/>
    <w:rsid w:val="002A5581"/>
    <w:rsid w:val="002A5601"/>
    <w:rsid w:val="002A5930"/>
    <w:rsid w:val="002A59CD"/>
    <w:rsid w:val="002A59F5"/>
    <w:rsid w:val="002A5BF4"/>
    <w:rsid w:val="002A5F28"/>
    <w:rsid w:val="002A60AD"/>
    <w:rsid w:val="002A61F6"/>
    <w:rsid w:val="002A6376"/>
    <w:rsid w:val="002A64A5"/>
    <w:rsid w:val="002A660A"/>
    <w:rsid w:val="002A665D"/>
    <w:rsid w:val="002A6DF9"/>
    <w:rsid w:val="002A7097"/>
    <w:rsid w:val="002A711A"/>
    <w:rsid w:val="002A7245"/>
    <w:rsid w:val="002A75F9"/>
    <w:rsid w:val="002A79A9"/>
    <w:rsid w:val="002A7A4B"/>
    <w:rsid w:val="002A7C85"/>
    <w:rsid w:val="002A7D16"/>
    <w:rsid w:val="002A7DFC"/>
    <w:rsid w:val="002A7DFD"/>
    <w:rsid w:val="002A7E2D"/>
    <w:rsid w:val="002A7EAA"/>
    <w:rsid w:val="002A7F3E"/>
    <w:rsid w:val="002B02CA"/>
    <w:rsid w:val="002B038E"/>
    <w:rsid w:val="002B0589"/>
    <w:rsid w:val="002B0819"/>
    <w:rsid w:val="002B0E27"/>
    <w:rsid w:val="002B0FCA"/>
    <w:rsid w:val="002B1046"/>
    <w:rsid w:val="002B10E9"/>
    <w:rsid w:val="002B15A2"/>
    <w:rsid w:val="002B18A8"/>
    <w:rsid w:val="002B18B0"/>
    <w:rsid w:val="002B1945"/>
    <w:rsid w:val="002B1EE9"/>
    <w:rsid w:val="002B2127"/>
    <w:rsid w:val="002B2455"/>
    <w:rsid w:val="002B29F9"/>
    <w:rsid w:val="002B2CA7"/>
    <w:rsid w:val="002B2F82"/>
    <w:rsid w:val="002B3434"/>
    <w:rsid w:val="002B34CF"/>
    <w:rsid w:val="002B35D4"/>
    <w:rsid w:val="002B3CD0"/>
    <w:rsid w:val="002B3E30"/>
    <w:rsid w:val="002B3FF9"/>
    <w:rsid w:val="002B400E"/>
    <w:rsid w:val="002B46E1"/>
    <w:rsid w:val="002B4C83"/>
    <w:rsid w:val="002B4CC5"/>
    <w:rsid w:val="002B579D"/>
    <w:rsid w:val="002B5869"/>
    <w:rsid w:val="002B6376"/>
    <w:rsid w:val="002B667E"/>
    <w:rsid w:val="002B6997"/>
    <w:rsid w:val="002B6A8F"/>
    <w:rsid w:val="002B731D"/>
    <w:rsid w:val="002B7AB2"/>
    <w:rsid w:val="002B7D34"/>
    <w:rsid w:val="002C03ED"/>
    <w:rsid w:val="002C07ED"/>
    <w:rsid w:val="002C0EDB"/>
    <w:rsid w:val="002C1083"/>
    <w:rsid w:val="002C11D8"/>
    <w:rsid w:val="002C151B"/>
    <w:rsid w:val="002C16D3"/>
    <w:rsid w:val="002C178B"/>
    <w:rsid w:val="002C17EF"/>
    <w:rsid w:val="002C18F9"/>
    <w:rsid w:val="002C1979"/>
    <w:rsid w:val="002C1EFD"/>
    <w:rsid w:val="002C1F08"/>
    <w:rsid w:val="002C2273"/>
    <w:rsid w:val="002C2A8C"/>
    <w:rsid w:val="002C2D41"/>
    <w:rsid w:val="002C30F8"/>
    <w:rsid w:val="002C30FA"/>
    <w:rsid w:val="002C33D5"/>
    <w:rsid w:val="002C352B"/>
    <w:rsid w:val="002C3A43"/>
    <w:rsid w:val="002C3AB5"/>
    <w:rsid w:val="002C3AF4"/>
    <w:rsid w:val="002C3BA7"/>
    <w:rsid w:val="002C3C4F"/>
    <w:rsid w:val="002C3CAD"/>
    <w:rsid w:val="002C3FAD"/>
    <w:rsid w:val="002C4196"/>
    <w:rsid w:val="002C44A1"/>
    <w:rsid w:val="002C4600"/>
    <w:rsid w:val="002C463D"/>
    <w:rsid w:val="002C4951"/>
    <w:rsid w:val="002C4EB2"/>
    <w:rsid w:val="002C50E8"/>
    <w:rsid w:val="002C5138"/>
    <w:rsid w:val="002C51C4"/>
    <w:rsid w:val="002C53CC"/>
    <w:rsid w:val="002C564A"/>
    <w:rsid w:val="002C56B0"/>
    <w:rsid w:val="002C5DA0"/>
    <w:rsid w:val="002C5DC4"/>
    <w:rsid w:val="002C6175"/>
    <w:rsid w:val="002C6319"/>
    <w:rsid w:val="002C636C"/>
    <w:rsid w:val="002C6742"/>
    <w:rsid w:val="002C6848"/>
    <w:rsid w:val="002C6E37"/>
    <w:rsid w:val="002C706E"/>
    <w:rsid w:val="002C72B0"/>
    <w:rsid w:val="002C7305"/>
    <w:rsid w:val="002C7792"/>
    <w:rsid w:val="002C78E4"/>
    <w:rsid w:val="002C7E3E"/>
    <w:rsid w:val="002D001E"/>
    <w:rsid w:val="002D09A0"/>
    <w:rsid w:val="002D0A8D"/>
    <w:rsid w:val="002D0F08"/>
    <w:rsid w:val="002D143B"/>
    <w:rsid w:val="002D1891"/>
    <w:rsid w:val="002D1AB3"/>
    <w:rsid w:val="002D1B85"/>
    <w:rsid w:val="002D1FAC"/>
    <w:rsid w:val="002D210C"/>
    <w:rsid w:val="002D27BA"/>
    <w:rsid w:val="002D287C"/>
    <w:rsid w:val="002D2C9D"/>
    <w:rsid w:val="002D368E"/>
    <w:rsid w:val="002D36DC"/>
    <w:rsid w:val="002D395F"/>
    <w:rsid w:val="002D400D"/>
    <w:rsid w:val="002D405A"/>
    <w:rsid w:val="002D42DA"/>
    <w:rsid w:val="002D49A4"/>
    <w:rsid w:val="002D4A0E"/>
    <w:rsid w:val="002D4A86"/>
    <w:rsid w:val="002D4B95"/>
    <w:rsid w:val="002D4F84"/>
    <w:rsid w:val="002D564F"/>
    <w:rsid w:val="002D5747"/>
    <w:rsid w:val="002D574C"/>
    <w:rsid w:val="002D5C4C"/>
    <w:rsid w:val="002D5C72"/>
    <w:rsid w:val="002D5CAC"/>
    <w:rsid w:val="002D5D35"/>
    <w:rsid w:val="002D5F8C"/>
    <w:rsid w:val="002D6193"/>
    <w:rsid w:val="002D61CA"/>
    <w:rsid w:val="002D62E0"/>
    <w:rsid w:val="002D63E2"/>
    <w:rsid w:val="002D6792"/>
    <w:rsid w:val="002D68E8"/>
    <w:rsid w:val="002D6B71"/>
    <w:rsid w:val="002D7824"/>
    <w:rsid w:val="002D7CFD"/>
    <w:rsid w:val="002D7D6C"/>
    <w:rsid w:val="002D7FC3"/>
    <w:rsid w:val="002E0020"/>
    <w:rsid w:val="002E04C0"/>
    <w:rsid w:val="002E05B1"/>
    <w:rsid w:val="002E0D69"/>
    <w:rsid w:val="002E0ED2"/>
    <w:rsid w:val="002E1312"/>
    <w:rsid w:val="002E1693"/>
    <w:rsid w:val="002E19C0"/>
    <w:rsid w:val="002E1D6A"/>
    <w:rsid w:val="002E1F05"/>
    <w:rsid w:val="002E1F96"/>
    <w:rsid w:val="002E21F0"/>
    <w:rsid w:val="002E2538"/>
    <w:rsid w:val="002E2962"/>
    <w:rsid w:val="002E2A45"/>
    <w:rsid w:val="002E2BFF"/>
    <w:rsid w:val="002E2DAE"/>
    <w:rsid w:val="002E2FC0"/>
    <w:rsid w:val="002E3306"/>
    <w:rsid w:val="002E3506"/>
    <w:rsid w:val="002E362A"/>
    <w:rsid w:val="002E382A"/>
    <w:rsid w:val="002E3859"/>
    <w:rsid w:val="002E41B7"/>
    <w:rsid w:val="002E4207"/>
    <w:rsid w:val="002E448C"/>
    <w:rsid w:val="002E4528"/>
    <w:rsid w:val="002E4742"/>
    <w:rsid w:val="002E4905"/>
    <w:rsid w:val="002E4CA8"/>
    <w:rsid w:val="002E52BB"/>
    <w:rsid w:val="002E5381"/>
    <w:rsid w:val="002E592C"/>
    <w:rsid w:val="002E5A48"/>
    <w:rsid w:val="002E5C16"/>
    <w:rsid w:val="002E5F48"/>
    <w:rsid w:val="002E6274"/>
    <w:rsid w:val="002E63D6"/>
    <w:rsid w:val="002E6809"/>
    <w:rsid w:val="002E6A15"/>
    <w:rsid w:val="002E6F57"/>
    <w:rsid w:val="002E70D5"/>
    <w:rsid w:val="002E7246"/>
    <w:rsid w:val="002E7910"/>
    <w:rsid w:val="002F027E"/>
    <w:rsid w:val="002F0EA0"/>
    <w:rsid w:val="002F109C"/>
    <w:rsid w:val="002F2044"/>
    <w:rsid w:val="002F207E"/>
    <w:rsid w:val="002F280F"/>
    <w:rsid w:val="002F3392"/>
    <w:rsid w:val="002F3679"/>
    <w:rsid w:val="002F3680"/>
    <w:rsid w:val="002F3892"/>
    <w:rsid w:val="002F3BF1"/>
    <w:rsid w:val="002F3E03"/>
    <w:rsid w:val="002F433D"/>
    <w:rsid w:val="002F4430"/>
    <w:rsid w:val="002F4531"/>
    <w:rsid w:val="002F4C6F"/>
    <w:rsid w:val="002F5214"/>
    <w:rsid w:val="002F523C"/>
    <w:rsid w:val="002F5757"/>
    <w:rsid w:val="002F64F2"/>
    <w:rsid w:val="002F6AB4"/>
    <w:rsid w:val="002F6AD1"/>
    <w:rsid w:val="002F7191"/>
    <w:rsid w:val="002F7300"/>
    <w:rsid w:val="002F7490"/>
    <w:rsid w:val="002F7B36"/>
    <w:rsid w:val="002F7D3A"/>
    <w:rsid w:val="002F7DE6"/>
    <w:rsid w:val="002F7E52"/>
    <w:rsid w:val="003006E1"/>
    <w:rsid w:val="00300C02"/>
    <w:rsid w:val="00300CAE"/>
    <w:rsid w:val="00300CC1"/>
    <w:rsid w:val="00300E12"/>
    <w:rsid w:val="00301061"/>
    <w:rsid w:val="0030120E"/>
    <w:rsid w:val="00301466"/>
    <w:rsid w:val="00301634"/>
    <w:rsid w:val="003019D0"/>
    <w:rsid w:val="00301F6E"/>
    <w:rsid w:val="00301FD7"/>
    <w:rsid w:val="00302121"/>
    <w:rsid w:val="003025B5"/>
    <w:rsid w:val="003025D1"/>
    <w:rsid w:val="0030292A"/>
    <w:rsid w:val="003029D3"/>
    <w:rsid w:val="00302A6C"/>
    <w:rsid w:val="00302A92"/>
    <w:rsid w:val="003030EC"/>
    <w:rsid w:val="003032D9"/>
    <w:rsid w:val="003033E0"/>
    <w:rsid w:val="003033F4"/>
    <w:rsid w:val="0030367A"/>
    <w:rsid w:val="003038EF"/>
    <w:rsid w:val="00303A87"/>
    <w:rsid w:val="00303BE8"/>
    <w:rsid w:val="00303C7F"/>
    <w:rsid w:val="003040F6"/>
    <w:rsid w:val="003046D5"/>
    <w:rsid w:val="0030474C"/>
    <w:rsid w:val="003047F6"/>
    <w:rsid w:val="00304927"/>
    <w:rsid w:val="00304957"/>
    <w:rsid w:val="00305036"/>
    <w:rsid w:val="0030523A"/>
    <w:rsid w:val="0030528F"/>
    <w:rsid w:val="00305741"/>
    <w:rsid w:val="003058A4"/>
    <w:rsid w:val="00306016"/>
    <w:rsid w:val="0030606C"/>
    <w:rsid w:val="003060A5"/>
    <w:rsid w:val="003060B5"/>
    <w:rsid w:val="00306134"/>
    <w:rsid w:val="00306473"/>
    <w:rsid w:val="003065BB"/>
    <w:rsid w:val="00306B2D"/>
    <w:rsid w:val="00306DA2"/>
    <w:rsid w:val="00307709"/>
    <w:rsid w:val="003079D0"/>
    <w:rsid w:val="00307F88"/>
    <w:rsid w:val="00310B89"/>
    <w:rsid w:val="00310BA3"/>
    <w:rsid w:val="00310BB0"/>
    <w:rsid w:val="00310BB5"/>
    <w:rsid w:val="00310C77"/>
    <w:rsid w:val="00310D1B"/>
    <w:rsid w:val="00310EF6"/>
    <w:rsid w:val="00310F42"/>
    <w:rsid w:val="00311917"/>
    <w:rsid w:val="00311D4D"/>
    <w:rsid w:val="00312064"/>
    <w:rsid w:val="0031258E"/>
    <w:rsid w:val="0031265C"/>
    <w:rsid w:val="00312861"/>
    <w:rsid w:val="00312891"/>
    <w:rsid w:val="00312941"/>
    <w:rsid w:val="00312AB0"/>
    <w:rsid w:val="00312ADB"/>
    <w:rsid w:val="00312C79"/>
    <w:rsid w:val="00312DA3"/>
    <w:rsid w:val="00312DBA"/>
    <w:rsid w:val="00313063"/>
    <w:rsid w:val="00313125"/>
    <w:rsid w:val="0031327B"/>
    <w:rsid w:val="0031328B"/>
    <w:rsid w:val="00313309"/>
    <w:rsid w:val="00313364"/>
    <w:rsid w:val="00313518"/>
    <w:rsid w:val="00313D9C"/>
    <w:rsid w:val="00313F8F"/>
    <w:rsid w:val="003141BE"/>
    <w:rsid w:val="00314412"/>
    <w:rsid w:val="003144A8"/>
    <w:rsid w:val="003144C3"/>
    <w:rsid w:val="0031454E"/>
    <w:rsid w:val="003145BB"/>
    <w:rsid w:val="003147CA"/>
    <w:rsid w:val="00314E5A"/>
    <w:rsid w:val="00314F9F"/>
    <w:rsid w:val="003158C2"/>
    <w:rsid w:val="003158F1"/>
    <w:rsid w:val="00315D58"/>
    <w:rsid w:val="00315E88"/>
    <w:rsid w:val="00316068"/>
    <w:rsid w:val="00316106"/>
    <w:rsid w:val="003162FA"/>
    <w:rsid w:val="00316551"/>
    <w:rsid w:val="0031666F"/>
    <w:rsid w:val="003166A8"/>
    <w:rsid w:val="0031693D"/>
    <w:rsid w:val="00317099"/>
    <w:rsid w:val="003172E6"/>
    <w:rsid w:val="003173EE"/>
    <w:rsid w:val="00317653"/>
    <w:rsid w:val="00317815"/>
    <w:rsid w:val="00317A86"/>
    <w:rsid w:val="00317AAC"/>
    <w:rsid w:val="00317EEE"/>
    <w:rsid w:val="00317F42"/>
    <w:rsid w:val="0032004B"/>
    <w:rsid w:val="00320164"/>
    <w:rsid w:val="00320659"/>
    <w:rsid w:val="003207DD"/>
    <w:rsid w:val="00320B14"/>
    <w:rsid w:val="00320B21"/>
    <w:rsid w:val="003214D5"/>
    <w:rsid w:val="00321622"/>
    <w:rsid w:val="00321BFB"/>
    <w:rsid w:val="00321D1B"/>
    <w:rsid w:val="00322058"/>
    <w:rsid w:val="0032237A"/>
    <w:rsid w:val="0032251E"/>
    <w:rsid w:val="003226B2"/>
    <w:rsid w:val="003228FD"/>
    <w:rsid w:val="00322982"/>
    <w:rsid w:val="00322AA0"/>
    <w:rsid w:val="00322AC7"/>
    <w:rsid w:val="00322C60"/>
    <w:rsid w:val="00322F75"/>
    <w:rsid w:val="003234CB"/>
    <w:rsid w:val="0032370E"/>
    <w:rsid w:val="003237CE"/>
    <w:rsid w:val="003239A0"/>
    <w:rsid w:val="00323C6A"/>
    <w:rsid w:val="00323DF7"/>
    <w:rsid w:val="00323EAD"/>
    <w:rsid w:val="00324125"/>
    <w:rsid w:val="003243A3"/>
    <w:rsid w:val="0032463D"/>
    <w:rsid w:val="00324648"/>
    <w:rsid w:val="0032465E"/>
    <w:rsid w:val="003248EF"/>
    <w:rsid w:val="00324A15"/>
    <w:rsid w:val="00324A94"/>
    <w:rsid w:val="00324E13"/>
    <w:rsid w:val="0032509F"/>
    <w:rsid w:val="003251E1"/>
    <w:rsid w:val="0032521A"/>
    <w:rsid w:val="00325742"/>
    <w:rsid w:val="00325902"/>
    <w:rsid w:val="003259F8"/>
    <w:rsid w:val="00325A82"/>
    <w:rsid w:val="00325B4B"/>
    <w:rsid w:val="00325D7D"/>
    <w:rsid w:val="00325E68"/>
    <w:rsid w:val="003260A2"/>
    <w:rsid w:val="003267A5"/>
    <w:rsid w:val="0032689E"/>
    <w:rsid w:val="00326B13"/>
    <w:rsid w:val="00326C08"/>
    <w:rsid w:val="00326DFB"/>
    <w:rsid w:val="0032712E"/>
    <w:rsid w:val="00327566"/>
    <w:rsid w:val="00327BA5"/>
    <w:rsid w:val="00327CE7"/>
    <w:rsid w:val="00327E83"/>
    <w:rsid w:val="00327EED"/>
    <w:rsid w:val="003300E4"/>
    <w:rsid w:val="003309F1"/>
    <w:rsid w:val="003312CD"/>
    <w:rsid w:val="00331367"/>
    <w:rsid w:val="0033137A"/>
    <w:rsid w:val="003313D5"/>
    <w:rsid w:val="003314E1"/>
    <w:rsid w:val="003315B6"/>
    <w:rsid w:val="003316D6"/>
    <w:rsid w:val="00331860"/>
    <w:rsid w:val="00331F30"/>
    <w:rsid w:val="0033207F"/>
    <w:rsid w:val="003320EC"/>
    <w:rsid w:val="0033210B"/>
    <w:rsid w:val="00332332"/>
    <w:rsid w:val="003323ED"/>
    <w:rsid w:val="003324A8"/>
    <w:rsid w:val="00332985"/>
    <w:rsid w:val="003329AF"/>
    <w:rsid w:val="00333795"/>
    <w:rsid w:val="00333C4F"/>
    <w:rsid w:val="00333F08"/>
    <w:rsid w:val="003344D6"/>
    <w:rsid w:val="003344E5"/>
    <w:rsid w:val="0033453F"/>
    <w:rsid w:val="0033470B"/>
    <w:rsid w:val="003348D5"/>
    <w:rsid w:val="003354CE"/>
    <w:rsid w:val="00335B49"/>
    <w:rsid w:val="0033600A"/>
    <w:rsid w:val="00336113"/>
    <w:rsid w:val="0033659F"/>
    <w:rsid w:val="003369BC"/>
    <w:rsid w:val="00336E92"/>
    <w:rsid w:val="00336F9B"/>
    <w:rsid w:val="00337616"/>
    <w:rsid w:val="00337680"/>
    <w:rsid w:val="00337794"/>
    <w:rsid w:val="00337ACB"/>
    <w:rsid w:val="00337B6A"/>
    <w:rsid w:val="00337D49"/>
    <w:rsid w:val="0034023C"/>
    <w:rsid w:val="0034027B"/>
    <w:rsid w:val="003403FA"/>
    <w:rsid w:val="003404CA"/>
    <w:rsid w:val="0034060E"/>
    <w:rsid w:val="00340711"/>
    <w:rsid w:val="00340A40"/>
    <w:rsid w:val="00340A69"/>
    <w:rsid w:val="00340ACF"/>
    <w:rsid w:val="00340C15"/>
    <w:rsid w:val="003411D0"/>
    <w:rsid w:val="0034120D"/>
    <w:rsid w:val="003415A3"/>
    <w:rsid w:val="003420A8"/>
    <w:rsid w:val="003422F7"/>
    <w:rsid w:val="0034239B"/>
    <w:rsid w:val="00342B24"/>
    <w:rsid w:val="00342C30"/>
    <w:rsid w:val="00342F57"/>
    <w:rsid w:val="00342F58"/>
    <w:rsid w:val="00342F93"/>
    <w:rsid w:val="00343111"/>
    <w:rsid w:val="00343214"/>
    <w:rsid w:val="003435F0"/>
    <w:rsid w:val="003439A0"/>
    <w:rsid w:val="00343BCF"/>
    <w:rsid w:val="00343D72"/>
    <w:rsid w:val="00343D76"/>
    <w:rsid w:val="00343FAE"/>
    <w:rsid w:val="00343FFC"/>
    <w:rsid w:val="00344010"/>
    <w:rsid w:val="00344377"/>
    <w:rsid w:val="00344E04"/>
    <w:rsid w:val="00344E46"/>
    <w:rsid w:val="00345155"/>
    <w:rsid w:val="00345185"/>
    <w:rsid w:val="00345301"/>
    <w:rsid w:val="00345393"/>
    <w:rsid w:val="0034556A"/>
    <w:rsid w:val="0034648A"/>
    <w:rsid w:val="003464A5"/>
    <w:rsid w:val="0034684F"/>
    <w:rsid w:val="00346A64"/>
    <w:rsid w:val="00346C08"/>
    <w:rsid w:val="00346CC7"/>
    <w:rsid w:val="00346D06"/>
    <w:rsid w:val="00346F01"/>
    <w:rsid w:val="00347151"/>
    <w:rsid w:val="003471E2"/>
    <w:rsid w:val="003474E9"/>
    <w:rsid w:val="0034757D"/>
    <w:rsid w:val="00347621"/>
    <w:rsid w:val="003476A9"/>
    <w:rsid w:val="00347800"/>
    <w:rsid w:val="00347EDC"/>
    <w:rsid w:val="003500DB"/>
    <w:rsid w:val="003502AC"/>
    <w:rsid w:val="00350610"/>
    <w:rsid w:val="00350615"/>
    <w:rsid w:val="00350694"/>
    <w:rsid w:val="00350855"/>
    <w:rsid w:val="00350915"/>
    <w:rsid w:val="0035097F"/>
    <w:rsid w:val="00350A19"/>
    <w:rsid w:val="00350E4C"/>
    <w:rsid w:val="00350F21"/>
    <w:rsid w:val="00350F73"/>
    <w:rsid w:val="00351475"/>
    <w:rsid w:val="00351509"/>
    <w:rsid w:val="003519B6"/>
    <w:rsid w:val="00351B78"/>
    <w:rsid w:val="00351CD9"/>
    <w:rsid w:val="00351E8E"/>
    <w:rsid w:val="00351FBD"/>
    <w:rsid w:val="00352603"/>
    <w:rsid w:val="003528A1"/>
    <w:rsid w:val="00352A74"/>
    <w:rsid w:val="00352D45"/>
    <w:rsid w:val="00352D4F"/>
    <w:rsid w:val="00352ECF"/>
    <w:rsid w:val="00353009"/>
    <w:rsid w:val="00353460"/>
    <w:rsid w:val="003539E7"/>
    <w:rsid w:val="00353A65"/>
    <w:rsid w:val="00353EB7"/>
    <w:rsid w:val="00353FC4"/>
    <w:rsid w:val="003541F5"/>
    <w:rsid w:val="00354297"/>
    <w:rsid w:val="00354498"/>
    <w:rsid w:val="00354AB1"/>
    <w:rsid w:val="00354BDF"/>
    <w:rsid w:val="00354E89"/>
    <w:rsid w:val="0035504E"/>
    <w:rsid w:val="003552C2"/>
    <w:rsid w:val="0035558B"/>
    <w:rsid w:val="003555E1"/>
    <w:rsid w:val="00355936"/>
    <w:rsid w:val="003559CE"/>
    <w:rsid w:val="00355C7F"/>
    <w:rsid w:val="00355CE4"/>
    <w:rsid w:val="00355CEF"/>
    <w:rsid w:val="00355E7F"/>
    <w:rsid w:val="0035630E"/>
    <w:rsid w:val="003569F9"/>
    <w:rsid w:val="00356A47"/>
    <w:rsid w:val="00356B69"/>
    <w:rsid w:val="00357270"/>
    <w:rsid w:val="003572C7"/>
    <w:rsid w:val="00357402"/>
    <w:rsid w:val="00357816"/>
    <w:rsid w:val="00357876"/>
    <w:rsid w:val="003578F5"/>
    <w:rsid w:val="00357A3A"/>
    <w:rsid w:val="003601BB"/>
    <w:rsid w:val="003604DE"/>
    <w:rsid w:val="00360838"/>
    <w:rsid w:val="00361220"/>
    <w:rsid w:val="00361280"/>
    <w:rsid w:val="003614C3"/>
    <w:rsid w:val="0036151E"/>
    <w:rsid w:val="00361A1E"/>
    <w:rsid w:val="00361BC2"/>
    <w:rsid w:val="00361BD8"/>
    <w:rsid w:val="00362169"/>
    <w:rsid w:val="00362775"/>
    <w:rsid w:val="00362CF6"/>
    <w:rsid w:val="00362D89"/>
    <w:rsid w:val="00362D9D"/>
    <w:rsid w:val="00362FC2"/>
    <w:rsid w:val="00363068"/>
    <w:rsid w:val="003630C9"/>
    <w:rsid w:val="0036337A"/>
    <w:rsid w:val="003634A7"/>
    <w:rsid w:val="003634AB"/>
    <w:rsid w:val="00363755"/>
    <w:rsid w:val="00363BAD"/>
    <w:rsid w:val="00363E0B"/>
    <w:rsid w:val="00363E75"/>
    <w:rsid w:val="003649BF"/>
    <w:rsid w:val="00364A5E"/>
    <w:rsid w:val="00364F01"/>
    <w:rsid w:val="0036502D"/>
    <w:rsid w:val="00365444"/>
    <w:rsid w:val="00365495"/>
    <w:rsid w:val="0036572A"/>
    <w:rsid w:val="00365D75"/>
    <w:rsid w:val="00366249"/>
    <w:rsid w:val="003664CF"/>
    <w:rsid w:val="003667BF"/>
    <w:rsid w:val="00366B7F"/>
    <w:rsid w:val="00366BF7"/>
    <w:rsid w:val="00366F13"/>
    <w:rsid w:val="00367081"/>
    <w:rsid w:val="0036714B"/>
    <w:rsid w:val="003671A2"/>
    <w:rsid w:val="00367D36"/>
    <w:rsid w:val="00367F08"/>
    <w:rsid w:val="00370358"/>
    <w:rsid w:val="00370393"/>
    <w:rsid w:val="00370480"/>
    <w:rsid w:val="00370B6C"/>
    <w:rsid w:val="00370BB2"/>
    <w:rsid w:val="00370E2A"/>
    <w:rsid w:val="00371306"/>
    <w:rsid w:val="003713E4"/>
    <w:rsid w:val="003713FB"/>
    <w:rsid w:val="00371415"/>
    <w:rsid w:val="003714BA"/>
    <w:rsid w:val="00371539"/>
    <w:rsid w:val="00371892"/>
    <w:rsid w:val="00371D1A"/>
    <w:rsid w:val="00371E1D"/>
    <w:rsid w:val="00372158"/>
    <w:rsid w:val="003721BE"/>
    <w:rsid w:val="003722B6"/>
    <w:rsid w:val="0037260C"/>
    <w:rsid w:val="00372D12"/>
    <w:rsid w:val="00373246"/>
    <w:rsid w:val="003733BD"/>
    <w:rsid w:val="003738E3"/>
    <w:rsid w:val="003738F8"/>
    <w:rsid w:val="00373912"/>
    <w:rsid w:val="00373E62"/>
    <w:rsid w:val="00374021"/>
    <w:rsid w:val="003741E7"/>
    <w:rsid w:val="00374415"/>
    <w:rsid w:val="0037454A"/>
    <w:rsid w:val="003745AE"/>
    <w:rsid w:val="0037489C"/>
    <w:rsid w:val="00374D3C"/>
    <w:rsid w:val="00375018"/>
    <w:rsid w:val="0037508C"/>
    <w:rsid w:val="003754DD"/>
    <w:rsid w:val="0037571A"/>
    <w:rsid w:val="003760D7"/>
    <w:rsid w:val="003764B7"/>
    <w:rsid w:val="003765B6"/>
    <w:rsid w:val="003765CF"/>
    <w:rsid w:val="0037665E"/>
    <w:rsid w:val="003768CD"/>
    <w:rsid w:val="00376D0A"/>
    <w:rsid w:val="003776B7"/>
    <w:rsid w:val="003778B5"/>
    <w:rsid w:val="00377927"/>
    <w:rsid w:val="00377AC8"/>
    <w:rsid w:val="00377BEF"/>
    <w:rsid w:val="00377F2D"/>
    <w:rsid w:val="00377F64"/>
    <w:rsid w:val="00380027"/>
    <w:rsid w:val="003800BB"/>
    <w:rsid w:val="003803AC"/>
    <w:rsid w:val="003806B1"/>
    <w:rsid w:val="00381273"/>
    <w:rsid w:val="003813EA"/>
    <w:rsid w:val="003815F3"/>
    <w:rsid w:val="003817E1"/>
    <w:rsid w:val="003819CB"/>
    <w:rsid w:val="00381AB0"/>
    <w:rsid w:val="00381BA1"/>
    <w:rsid w:val="003820CB"/>
    <w:rsid w:val="0038219B"/>
    <w:rsid w:val="003825C9"/>
    <w:rsid w:val="00382956"/>
    <w:rsid w:val="00382AEA"/>
    <w:rsid w:val="00382B39"/>
    <w:rsid w:val="00382BAE"/>
    <w:rsid w:val="00382BD1"/>
    <w:rsid w:val="00382DC9"/>
    <w:rsid w:val="003830FC"/>
    <w:rsid w:val="003831E0"/>
    <w:rsid w:val="003831E8"/>
    <w:rsid w:val="0038322C"/>
    <w:rsid w:val="003834AC"/>
    <w:rsid w:val="003834B7"/>
    <w:rsid w:val="00383673"/>
    <w:rsid w:val="00383902"/>
    <w:rsid w:val="003839A5"/>
    <w:rsid w:val="00383BEE"/>
    <w:rsid w:val="00383FDF"/>
    <w:rsid w:val="003841E0"/>
    <w:rsid w:val="00384496"/>
    <w:rsid w:val="00384969"/>
    <w:rsid w:val="00384F72"/>
    <w:rsid w:val="0038521F"/>
    <w:rsid w:val="003852E4"/>
    <w:rsid w:val="003853A2"/>
    <w:rsid w:val="003853B7"/>
    <w:rsid w:val="003857A7"/>
    <w:rsid w:val="003857E4"/>
    <w:rsid w:val="0038580F"/>
    <w:rsid w:val="0038587F"/>
    <w:rsid w:val="00385964"/>
    <w:rsid w:val="00385B0A"/>
    <w:rsid w:val="00385B62"/>
    <w:rsid w:val="00385BF8"/>
    <w:rsid w:val="00385FFA"/>
    <w:rsid w:val="00386285"/>
    <w:rsid w:val="0038643B"/>
    <w:rsid w:val="00387303"/>
    <w:rsid w:val="00387930"/>
    <w:rsid w:val="003879A4"/>
    <w:rsid w:val="00387C97"/>
    <w:rsid w:val="00387D66"/>
    <w:rsid w:val="003901DF"/>
    <w:rsid w:val="003901EE"/>
    <w:rsid w:val="0039025D"/>
    <w:rsid w:val="00390498"/>
    <w:rsid w:val="0039064B"/>
    <w:rsid w:val="0039068F"/>
    <w:rsid w:val="00391A5E"/>
    <w:rsid w:val="00391B0C"/>
    <w:rsid w:val="00391B6C"/>
    <w:rsid w:val="00391B74"/>
    <w:rsid w:val="00391C48"/>
    <w:rsid w:val="00391F74"/>
    <w:rsid w:val="0039209B"/>
    <w:rsid w:val="00392269"/>
    <w:rsid w:val="003922E9"/>
    <w:rsid w:val="00392466"/>
    <w:rsid w:val="00392607"/>
    <w:rsid w:val="00392755"/>
    <w:rsid w:val="0039277A"/>
    <w:rsid w:val="0039288B"/>
    <w:rsid w:val="00392A30"/>
    <w:rsid w:val="00392A49"/>
    <w:rsid w:val="00392D7D"/>
    <w:rsid w:val="003931DE"/>
    <w:rsid w:val="0039358A"/>
    <w:rsid w:val="00393AC3"/>
    <w:rsid w:val="00393B9F"/>
    <w:rsid w:val="00393BCB"/>
    <w:rsid w:val="0039409A"/>
    <w:rsid w:val="00394260"/>
    <w:rsid w:val="003943AC"/>
    <w:rsid w:val="003943AD"/>
    <w:rsid w:val="003946CD"/>
    <w:rsid w:val="00394848"/>
    <w:rsid w:val="003948E9"/>
    <w:rsid w:val="00394A1D"/>
    <w:rsid w:val="00394C3A"/>
    <w:rsid w:val="00394C6D"/>
    <w:rsid w:val="0039506B"/>
    <w:rsid w:val="00395165"/>
    <w:rsid w:val="00395749"/>
    <w:rsid w:val="0039579A"/>
    <w:rsid w:val="00395AE5"/>
    <w:rsid w:val="00395F5C"/>
    <w:rsid w:val="00395F9D"/>
    <w:rsid w:val="003962F7"/>
    <w:rsid w:val="0039653A"/>
    <w:rsid w:val="0039676A"/>
    <w:rsid w:val="00396C06"/>
    <w:rsid w:val="00396CC8"/>
    <w:rsid w:val="00396D4D"/>
    <w:rsid w:val="0039714D"/>
    <w:rsid w:val="003971D6"/>
    <w:rsid w:val="0039745B"/>
    <w:rsid w:val="003976AE"/>
    <w:rsid w:val="00397B6F"/>
    <w:rsid w:val="00397D14"/>
    <w:rsid w:val="00397D88"/>
    <w:rsid w:val="00397EB9"/>
    <w:rsid w:val="003A017A"/>
    <w:rsid w:val="003A0D94"/>
    <w:rsid w:val="003A1471"/>
    <w:rsid w:val="003A1949"/>
    <w:rsid w:val="003A1DEA"/>
    <w:rsid w:val="003A22FD"/>
    <w:rsid w:val="003A3A64"/>
    <w:rsid w:val="003A3B2D"/>
    <w:rsid w:val="003A3D45"/>
    <w:rsid w:val="003A3F9C"/>
    <w:rsid w:val="003A5467"/>
    <w:rsid w:val="003A56E6"/>
    <w:rsid w:val="003A572F"/>
    <w:rsid w:val="003A583F"/>
    <w:rsid w:val="003A5C07"/>
    <w:rsid w:val="003A5D7B"/>
    <w:rsid w:val="003A5EC0"/>
    <w:rsid w:val="003A66DC"/>
    <w:rsid w:val="003A67B7"/>
    <w:rsid w:val="003A69B5"/>
    <w:rsid w:val="003A6B66"/>
    <w:rsid w:val="003A6C11"/>
    <w:rsid w:val="003A6DEE"/>
    <w:rsid w:val="003A6E25"/>
    <w:rsid w:val="003A7169"/>
    <w:rsid w:val="003A74E7"/>
    <w:rsid w:val="003A74F6"/>
    <w:rsid w:val="003A7513"/>
    <w:rsid w:val="003A76F3"/>
    <w:rsid w:val="003A7B15"/>
    <w:rsid w:val="003A7BD5"/>
    <w:rsid w:val="003B0064"/>
    <w:rsid w:val="003B031F"/>
    <w:rsid w:val="003B0C57"/>
    <w:rsid w:val="003B0FD0"/>
    <w:rsid w:val="003B104D"/>
    <w:rsid w:val="003B134C"/>
    <w:rsid w:val="003B1728"/>
    <w:rsid w:val="003B189E"/>
    <w:rsid w:val="003B1A6E"/>
    <w:rsid w:val="003B1D43"/>
    <w:rsid w:val="003B1D80"/>
    <w:rsid w:val="003B25B5"/>
    <w:rsid w:val="003B2982"/>
    <w:rsid w:val="003B29F3"/>
    <w:rsid w:val="003B2DD7"/>
    <w:rsid w:val="003B2E54"/>
    <w:rsid w:val="003B3098"/>
    <w:rsid w:val="003B30D7"/>
    <w:rsid w:val="003B32CC"/>
    <w:rsid w:val="003B3330"/>
    <w:rsid w:val="003B3598"/>
    <w:rsid w:val="003B41DD"/>
    <w:rsid w:val="003B45FB"/>
    <w:rsid w:val="003B46AF"/>
    <w:rsid w:val="003B499C"/>
    <w:rsid w:val="003B4E16"/>
    <w:rsid w:val="003B5081"/>
    <w:rsid w:val="003B566E"/>
    <w:rsid w:val="003B5676"/>
    <w:rsid w:val="003B5F97"/>
    <w:rsid w:val="003B6712"/>
    <w:rsid w:val="003B6811"/>
    <w:rsid w:val="003B6855"/>
    <w:rsid w:val="003B6A63"/>
    <w:rsid w:val="003B6A8A"/>
    <w:rsid w:val="003B6DBA"/>
    <w:rsid w:val="003B701C"/>
    <w:rsid w:val="003B7590"/>
    <w:rsid w:val="003B76E8"/>
    <w:rsid w:val="003B7855"/>
    <w:rsid w:val="003B7B62"/>
    <w:rsid w:val="003B7D73"/>
    <w:rsid w:val="003B7F88"/>
    <w:rsid w:val="003C0123"/>
    <w:rsid w:val="003C025B"/>
    <w:rsid w:val="003C0484"/>
    <w:rsid w:val="003C07F2"/>
    <w:rsid w:val="003C085A"/>
    <w:rsid w:val="003C0A24"/>
    <w:rsid w:val="003C0A69"/>
    <w:rsid w:val="003C0E2F"/>
    <w:rsid w:val="003C139B"/>
    <w:rsid w:val="003C1549"/>
    <w:rsid w:val="003C19AC"/>
    <w:rsid w:val="003C1B10"/>
    <w:rsid w:val="003C1DCC"/>
    <w:rsid w:val="003C20DD"/>
    <w:rsid w:val="003C21DE"/>
    <w:rsid w:val="003C232B"/>
    <w:rsid w:val="003C24B5"/>
    <w:rsid w:val="003C26FF"/>
    <w:rsid w:val="003C2B26"/>
    <w:rsid w:val="003C2BF7"/>
    <w:rsid w:val="003C2D45"/>
    <w:rsid w:val="003C2EC8"/>
    <w:rsid w:val="003C31DC"/>
    <w:rsid w:val="003C32DD"/>
    <w:rsid w:val="003C3520"/>
    <w:rsid w:val="003C3773"/>
    <w:rsid w:val="003C388F"/>
    <w:rsid w:val="003C3CB6"/>
    <w:rsid w:val="003C3CC8"/>
    <w:rsid w:val="003C3D7B"/>
    <w:rsid w:val="003C3E95"/>
    <w:rsid w:val="003C3EA2"/>
    <w:rsid w:val="003C448B"/>
    <w:rsid w:val="003C480C"/>
    <w:rsid w:val="003C4A73"/>
    <w:rsid w:val="003C5098"/>
    <w:rsid w:val="003C50A0"/>
    <w:rsid w:val="003C5304"/>
    <w:rsid w:val="003C59B5"/>
    <w:rsid w:val="003C5D0A"/>
    <w:rsid w:val="003C5E86"/>
    <w:rsid w:val="003C5ECB"/>
    <w:rsid w:val="003C64C1"/>
    <w:rsid w:val="003C6773"/>
    <w:rsid w:val="003C6808"/>
    <w:rsid w:val="003C6939"/>
    <w:rsid w:val="003C6994"/>
    <w:rsid w:val="003C6A12"/>
    <w:rsid w:val="003C6A67"/>
    <w:rsid w:val="003C6DEB"/>
    <w:rsid w:val="003C6E06"/>
    <w:rsid w:val="003C6E9B"/>
    <w:rsid w:val="003C729D"/>
    <w:rsid w:val="003C7453"/>
    <w:rsid w:val="003C779E"/>
    <w:rsid w:val="003C78D5"/>
    <w:rsid w:val="003C7A35"/>
    <w:rsid w:val="003C7B7D"/>
    <w:rsid w:val="003C7C05"/>
    <w:rsid w:val="003C7F12"/>
    <w:rsid w:val="003D02BA"/>
    <w:rsid w:val="003D044B"/>
    <w:rsid w:val="003D0560"/>
    <w:rsid w:val="003D07E7"/>
    <w:rsid w:val="003D08BE"/>
    <w:rsid w:val="003D09EA"/>
    <w:rsid w:val="003D1522"/>
    <w:rsid w:val="003D1BF1"/>
    <w:rsid w:val="003D1F42"/>
    <w:rsid w:val="003D219F"/>
    <w:rsid w:val="003D2846"/>
    <w:rsid w:val="003D2A5E"/>
    <w:rsid w:val="003D3079"/>
    <w:rsid w:val="003D34F9"/>
    <w:rsid w:val="003D35D1"/>
    <w:rsid w:val="003D36AF"/>
    <w:rsid w:val="003D3799"/>
    <w:rsid w:val="003D3AB7"/>
    <w:rsid w:val="003D3D68"/>
    <w:rsid w:val="003D3FFC"/>
    <w:rsid w:val="003D4207"/>
    <w:rsid w:val="003D4501"/>
    <w:rsid w:val="003D4FE3"/>
    <w:rsid w:val="003D4FF5"/>
    <w:rsid w:val="003D50EB"/>
    <w:rsid w:val="003D57E2"/>
    <w:rsid w:val="003D57F1"/>
    <w:rsid w:val="003D5946"/>
    <w:rsid w:val="003D5D9B"/>
    <w:rsid w:val="003D627D"/>
    <w:rsid w:val="003D64CD"/>
    <w:rsid w:val="003D68E8"/>
    <w:rsid w:val="003D690B"/>
    <w:rsid w:val="003D6927"/>
    <w:rsid w:val="003D7101"/>
    <w:rsid w:val="003D72D8"/>
    <w:rsid w:val="003D74BA"/>
    <w:rsid w:val="003D7512"/>
    <w:rsid w:val="003D7525"/>
    <w:rsid w:val="003D7662"/>
    <w:rsid w:val="003D7686"/>
    <w:rsid w:val="003D7D49"/>
    <w:rsid w:val="003D7F57"/>
    <w:rsid w:val="003E0104"/>
    <w:rsid w:val="003E01DF"/>
    <w:rsid w:val="003E01ED"/>
    <w:rsid w:val="003E0725"/>
    <w:rsid w:val="003E090A"/>
    <w:rsid w:val="003E0B23"/>
    <w:rsid w:val="003E0BC0"/>
    <w:rsid w:val="003E0CBB"/>
    <w:rsid w:val="003E0D99"/>
    <w:rsid w:val="003E1DE3"/>
    <w:rsid w:val="003E1F6B"/>
    <w:rsid w:val="003E21B8"/>
    <w:rsid w:val="003E2383"/>
    <w:rsid w:val="003E244B"/>
    <w:rsid w:val="003E24FB"/>
    <w:rsid w:val="003E2536"/>
    <w:rsid w:val="003E2E43"/>
    <w:rsid w:val="003E3123"/>
    <w:rsid w:val="003E34E0"/>
    <w:rsid w:val="003E352D"/>
    <w:rsid w:val="003E357C"/>
    <w:rsid w:val="003E372F"/>
    <w:rsid w:val="003E3B41"/>
    <w:rsid w:val="003E3CBE"/>
    <w:rsid w:val="003E3DD9"/>
    <w:rsid w:val="003E41A8"/>
    <w:rsid w:val="003E472A"/>
    <w:rsid w:val="003E4AF2"/>
    <w:rsid w:val="003E4CB3"/>
    <w:rsid w:val="003E4DAF"/>
    <w:rsid w:val="003E5431"/>
    <w:rsid w:val="003E56DA"/>
    <w:rsid w:val="003E5716"/>
    <w:rsid w:val="003E5B1B"/>
    <w:rsid w:val="003E5BC5"/>
    <w:rsid w:val="003E5CCB"/>
    <w:rsid w:val="003E5D66"/>
    <w:rsid w:val="003E5DE2"/>
    <w:rsid w:val="003E5DFD"/>
    <w:rsid w:val="003E6066"/>
    <w:rsid w:val="003E6E40"/>
    <w:rsid w:val="003E73A6"/>
    <w:rsid w:val="003E74C3"/>
    <w:rsid w:val="003E76B1"/>
    <w:rsid w:val="003E7771"/>
    <w:rsid w:val="003E7822"/>
    <w:rsid w:val="003E78FD"/>
    <w:rsid w:val="003E7AB5"/>
    <w:rsid w:val="003E7BC4"/>
    <w:rsid w:val="003E7ED5"/>
    <w:rsid w:val="003E7EF6"/>
    <w:rsid w:val="003F028D"/>
    <w:rsid w:val="003F0745"/>
    <w:rsid w:val="003F08D7"/>
    <w:rsid w:val="003F0A71"/>
    <w:rsid w:val="003F11D2"/>
    <w:rsid w:val="003F1763"/>
    <w:rsid w:val="003F194E"/>
    <w:rsid w:val="003F229D"/>
    <w:rsid w:val="003F241B"/>
    <w:rsid w:val="003F2BD4"/>
    <w:rsid w:val="003F2E48"/>
    <w:rsid w:val="003F2F86"/>
    <w:rsid w:val="003F3014"/>
    <w:rsid w:val="003F3242"/>
    <w:rsid w:val="003F3291"/>
    <w:rsid w:val="003F3394"/>
    <w:rsid w:val="003F36F8"/>
    <w:rsid w:val="003F37D1"/>
    <w:rsid w:val="003F3811"/>
    <w:rsid w:val="003F3C36"/>
    <w:rsid w:val="003F3E3A"/>
    <w:rsid w:val="003F4091"/>
    <w:rsid w:val="003F4283"/>
    <w:rsid w:val="003F4378"/>
    <w:rsid w:val="003F4822"/>
    <w:rsid w:val="003F4915"/>
    <w:rsid w:val="003F4945"/>
    <w:rsid w:val="003F4A6B"/>
    <w:rsid w:val="003F4AB9"/>
    <w:rsid w:val="003F4B5C"/>
    <w:rsid w:val="003F4BD1"/>
    <w:rsid w:val="003F4F86"/>
    <w:rsid w:val="003F52E6"/>
    <w:rsid w:val="003F539C"/>
    <w:rsid w:val="003F552D"/>
    <w:rsid w:val="003F5600"/>
    <w:rsid w:val="003F5820"/>
    <w:rsid w:val="003F5828"/>
    <w:rsid w:val="003F5895"/>
    <w:rsid w:val="003F5B69"/>
    <w:rsid w:val="003F5BCF"/>
    <w:rsid w:val="003F61B7"/>
    <w:rsid w:val="003F64F9"/>
    <w:rsid w:val="003F6600"/>
    <w:rsid w:val="003F66EC"/>
    <w:rsid w:val="003F680E"/>
    <w:rsid w:val="003F6A8B"/>
    <w:rsid w:val="003F6C97"/>
    <w:rsid w:val="003F6F85"/>
    <w:rsid w:val="003F718F"/>
    <w:rsid w:val="003F766A"/>
    <w:rsid w:val="003F7761"/>
    <w:rsid w:val="003F7A78"/>
    <w:rsid w:val="003F7A90"/>
    <w:rsid w:val="003F7F0D"/>
    <w:rsid w:val="00400385"/>
    <w:rsid w:val="0040097B"/>
    <w:rsid w:val="00400A27"/>
    <w:rsid w:val="00400BE8"/>
    <w:rsid w:val="00400F0B"/>
    <w:rsid w:val="00400F77"/>
    <w:rsid w:val="00400FE6"/>
    <w:rsid w:val="0040112D"/>
    <w:rsid w:val="00401703"/>
    <w:rsid w:val="0040180A"/>
    <w:rsid w:val="00401893"/>
    <w:rsid w:val="00401A45"/>
    <w:rsid w:val="00401CCF"/>
    <w:rsid w:val="00401D76"/>
    <w:rsid w:val="00401DC2"/>
    <w:rsid w:val="00401DCA"/>
    <w:rsid w:val="00401E60"/>
    <w:rsid w:val="00401EBB"/>
    <w:rsid w:val="004021C4"/>
    <w:rsid w:val="004023F3"/>
    <w:rsid w:val="00402594"/>
    <w:rsid w:val="004027DC"/>
    <w:rsid w:val="0040294E"/>
    <w:rsid w:val="00402A6D"/>
    <w:rsid w:val="00402AD5"/>
    <w:rsid w:val="00402C7C"/>
    <w:rsid w:val="00402CBA"/>
    <w:rsid w:val="00402FBA"/>
    <w:rsid w:val="004030EA"/>
    <w:rsid w:val="00403172"/>
    <w:rsid w:val="004032A0"/>
    <w:rsid w:val="0040347E"/>
    <w:rsid w:val="00403A2C"/>
    <w:rsid w:val="00403B71"/>
    <w:rsid w:val="00404133"/>
    <w:rsid w:val="00404289"/>
    <w:rsid w:val="004042B8"/>
    <w:rsid w:val="00404935"/>
    <w:rsid w:val="00404A39"/>
    <w:rsid w:val="00404CBA"/>
    <w:rsid w:val="00404D97"/>
    <w:rsid w:val="00404DB9"/>
    <w:rsid w:val="004050B4"/>
    <w:rsid w:val="00405291"/>
    <w:rsid w:val="00405332"/>
    <w:rsid w:val="0040538C"/>
    <w:rsid w:val="00405591"/>
    <w:rsid w:val="004057FC"/>
    <w:rsid w:val="004058F3"/>
    <w:rsid w:val="00405B01"/>
    <w:rsid w:val="00405C31"/>
    <w:rsid w:val="00405E60"/>
    <w:rsid w:val="0040632E"/>
    <w:rsid w:val="00406438"/>
    <w:rsid w:val="00406562"/>
    <w:rsid w:val="0040658E"/>
    <w:rsid w:val="00406634"/>
    <w:rsid w:val="00406A39"/>
    <w:rsid w:val="00406CCF"/>
    <w:rsid w:val="00406D41"/>
    <w:rsid w:val="00406E80"/>
    <w:rsid w:val="00407109"/>
    <w:rsid w:val="00407269"/>
    <w:rsid w:val="004076A4"/>
    <w:rsid w:val="004076E3"/>
    <w:rsid w:val="004079D6"/>
    <w:rsid w:val="00407E6D"/>
    <w:rsid w:val="00407E9B"/>
    <w:rsid w:val="00407F7C"/>
    <w:rsid w:val="00410168"/>
    <w:rsid w:val="004104CA"/>
    <w:rsid w:val="00410518"/>
    <w:rsid w:val="0041068B"/>
    <w:rsid w:val="0041086D"/>
    <w:rsid w:val="00410939"/>
    <w:rsid w:val="004109A0"/>
    <w:rsid w:val="004109E8"/>
    <w:rsid w:val="00410EE7"/>
    <w:rsid w:val="0041115C"/>
    <w:rsid w:val="004111AB"/>
    <w:rsid w:val="0041141C"/>
    <w:rsid w:val="00411540"/>
    <w:rsid w:val="0041177E"/>
    <w:rsid w:val="004119E9"/>
    <w:rsid w:val="00411C07"/>
    <w:rsid w:val="00411EBF"/>
    <w:rsid w:val="00412D85"/>
    <w:rsid w:val="00412FDF"/>
    <w:rsid w:val="00412FEF"/>
    <w:rsid w:val="004133F0"/>
    <w:rsid w:val="004139E5"/>
    <w:rsid w:val="00413A0F"/>
    <w:rsid w:val="0041400E"/>
    <w:rsid w:val="004141E8"/>
    <w:rsid w:val="0041427A"/>
    <w:rsid w:val="004144F5"/>
    <w:rsid w:val="0041480D"/>
    <w:rsid w:val="0041483A"/>
    <w:rsid w:val="00414B8C"/>
    <w:rsid w:val="00414FE1"/>
    <w:rsid w:val="0041502A"/>
    <w:rsid w:val="004150BD"/>
    <w:rsid w:val="00415335"/>
    <w:rsid w:val="004154E1"/>
    <w:rsid w:val="00415C43"/>
    <w:rsid w:val="0041641D"/>
    <w:rsid w:val="00416A02"/>
    <w:rsid w:val="00416D91"/>
    <w:rsid w:val="00417A3B"/>
    <w:rsid w:val="00417AE9"/>
    <w:rsid w:val="00417B73"/>
    <w:rsid w:val="00417C68"/>
    <w:rsid w:val="00417FDF"/>
    <w:rsid w:val="00420052"/>
    <w:rsid w:val="004203D9"/>
    <w:rsid w:val="004204C5"/>
    <w:rsid w:val="00420B31"/>
    <w:rsid w:val="00420C6F"/>
    <w:rsid w:val="00420E8E"/>
    <w:rsid w:val="00420FD4"/>
    <w:rsid w:val="0042106A"/>
    <w:rsid w:val="00421386"/>
    <w:rsid w:val="004213E2"/>
    <w:rsid w:val="004213F0"/>
    <w:rsid w:val="00421892"/>
    <w:rsid w:val="00421EB2"/>
    <w:rsid w:val="00421F22"/>
    <w:rsid w:val="00422355"/>
    <w:rsid w:val="00422356"/>
    <w:rsid w:val="00422AD4"/>
    <w:rsid w:val="00422C05"/>
    <w:rsid w:val="00422C1B"/>
    <w:rsid w:val="004231EC"/>
    <w:rsid w:val="00423B3D"/>
    <w:rsid w:val="00423B49"/>
    <w:rsid w:val="00423BFF"/>
    <w:rsid w:val="00423D94"/>
    <w:rsid w:val="00423FC2"/>
    <w:rsid w:val="0042419C"/>
    <w:rsid w:val="0042438A"/>
    <w:rsid w:val="004245D5"/>
    <w:rsid w:val="0042462D"/>
    <w:rsid w:val="0042474E"/>
    <w:rsid w:val="00424859"/>
    <w:rsid w:val="004248A4"/>
    <w:rsid w:val="00424DA0"/>
    <w:rsid w:val="00424F59"/>
    <w:rsid w:val="00425426"/>
    <w:rsid w:val="004257B4"/>
    <w:rsid w:val="0042582D"/>
    <w:rsid w:val="00425918"/>
    <w:rsid w:val="004263D4"/>
    <w:rsid w:val="00426CD0"/>
    <w:rsid w:val="00426F63"/>
    <w:rsid w:val="004270B0"/>
    <w:rsid w:val="00427328"/>
    <w:rsid w:val="00427B5D"/>
    <w:rsid w:val="00427EDA"/>
    <w:rsid w:val="0043076F"/>
    <w:rsid w:val="0043084C"/>
    <w:rsid w:val="00430AAA"/>
    <w:rsid w:val="00430D07"/>
    <w:rsid w:val="00431020"/>
    <w:rsid w:val="0043107C"/>
    <w:rsid w:val="00431450"/>
    <w:rsid w:val="0043180D"/>
    <w:rsid w:val="0043188E"/>
    <w:rsid w:val="00431AB7"/>
    <w:rsid w:val="00431FB0"/>
    <w:rsid w:val="00432094"/>
    <w:rsid w:val="0043229F"/>
    <w:rsid w:val="004328BF"/>
    <w:rsid w:val="00432B33"/>
    <w:rsid w:val="00432D12"/>
    <w:rsid w:val="00432E0F"/>
    <w:rsid w:val="00432FDF"/>
    <w:rsid w:val="004331BC"/>
    <w:rsid w:val="00433ABD"/>
    <w:rsid w:val="00433C4B"/>
    <w:rsid w:val="00434026"/>
    <w:rsid w:val="004342EF"/>
    <w:rsid w:val="0043453D"/>
    <w:rsid w:val="00434603"/>
    <w:rsid w:val="00434DA4"/>
    <w:rsid w:val="00434FA0"/>
    <w:rsid w:val="00435152"/>
    <w:rsid w:val="00435178"/>
    <w:rsid w:val="00435379"/>
    <w:rsid w:val="00435556"/>
    <w:rsid w:val="0043557E"/>
    <w:rsid w:val="004357AE"/>
    <w:rsid w:val="00435BA1"/>
    <w:rsid w:val="00435D25"/>
    <w:rsid w:val="0043635A"/>
    <w:rsid w:val="004364FC"/>
    <w:rsid w:val="00436857"/>
    <w:rsid w:val="00436C03"/>
    <w:rsid w:val="00436D0D"/>
    <w:rsid w:val="00436DFC"/>
    <w:rsid w:val="00436FFF"/>
    <w:rsid w:val="004373C8"/>
    <w:rsid w:val="004378C0"/>
    <w:rsid w:val="00437B7D"/>
    <w:rsid w:val="00437E53"/>
    <w:rsid w:val="00437F79"/>
    <w:rsid w:val="00440027"/>
    <w:rsid w:val="0044060F"/>
    <w:rsid w:val="004408A2"/>
    <w:rsid w:val="00440994"/>
    <w:rsid w:val="00441283"/>
    <w:rsid w:val="004413F3"/>
    <w:rsid w:val="0044159F"/>
    <w:rsid w:val="0044170E"/>
    <w:rsid w:val="00441985"/>
    <w:rsid w:val="00441A27"/>
    <w:rsid w:val="00441D39"/>
    <w:rsid w:val="00442D50"/>
    <w:rsid w:val="00443384"/>
    <w:rsid w:val="004434DC"/>
    <w:rsid w:val="004434FF"/>
    <w:rsid w:val="00443EEF"/>
    <w:rsid w:val="00444493"/>
    <w:rsid w:val="004444B5"/>
    <w:rsid w:val="004449D2"/>
    <w:rsid w:val="004449D6"/>
    <w:rsid w:val="00444CB4"/>
    <w:rsid w:val="00444DDA"/>
    <w:rsid w:val="00444E57"/>
    <w:rsid w:val="00444EAD"/>
    <w:rsid w:val="0044518A"/>
    <w:rsid w:val="00445199"/>
    <w:rsid w:val="0044526E"/>
    <w:rsid w:val="00445351"/>
    <w:rsid w:val="00445437"/>
    <w:rsid w:val="00445BAA"/>
    <w:rsid w:val="00445D0E"/>
    <w:rsid w:val="00445E1C"/>
    <w:rsid w:val="0044603F"/>
    <w:rsid w:val="00446201"/>
    <w:rsid w:val="00446311"/>
    <w:rsid w:val="0044631D"/>
    <w:rsid w:val="00446355"/>
    <w:rsid w:val="0044638F"/>
    <w:rsid w:val="00446440"/>
    <w:rsid w:val="00446694"/>
    <w:rsid w:val="004466A2"/>
    <w:rsid w:val="00446721"/>
    <w:rsid w:val="00446CA2"/>
    <w:rsid w:val="0044719A"/>
    <w:rsid w:val="00447369"/>
    <w:rsid w:val="004475B0"/>
    <w:rsid w:val="00447815"/>
    <w:rsid w:val="00447859"/>
    <w:rsid w:val="004478F1"/>
    <w:rsid w:val="00447995"/>
    <w:rsid w:val="00447C5C"/>
    <w:rsid w:val="00447EBD"/>
    <w:rsid w:val="00450087"/>
    <w:rsid w:val="004502B0"/>
    <w:rsid w:val="004507C3"/>
    <w:rsid w:val="00450D49"/>
    <w:rsid w:val="004511CD"/>
    <w:rsid w:val="004515A2"/>
    <w:rsid w:val="004515FB"/>
    <w:rsid w:val="00451786"/>
    <w:rsid w:val="00451793"/>
    <w:rsid w:val="00451CFC"/>
    <w:rsid w:val="00451D4D"/>
    <w:rsid w:val="00452000"/>
    <w:rsid w:val="00452002"/>
    <w:rsid w:val="00452137"/>
    <w:rsid w:val="004524F3"/>
    <w:rsid w:val="00452511"/>
    <w:rsid w:val="00452589"/>
    <w:rsid w:val="004526CF"/>
    <w:rsid w:val="00452770"/>
    <w:rsid w:val="00452C98"/>
    <w:rsid w:val="0045315D"/>
    <w:rsid w:val="004531E2"/>
    <w:rsid w:val="00453901"/>
    <w:rsid w:val="004539D4"/>
    <w:rsid w:val="00453C16"/>
    <w:rsid w:val="00453D69"/>
    <w:rsid w:val="0045417F"/>
    <w:rsid w:val="004544C1"/>
    <w:rsid w:val="00454832"/>
    <w:rsid w:val="0045496A"/>
    <w:rsid w:val="00454BA3"/>
    <w:rsid w:val="00454DF8"/>
    <w:rsid w:val="004550F8"/>
    <w:rsid w:val="004551DC"/>
    <w:rsid w:val="00455370"/>
    <w:rsid w:val="00455AFD"/>
    <w:rsid w:val="00455B19"/>
    <w:rsid w:val="00455F06"/>
    <w:rsid w:val="004562E1"/>
    <w:rsid w:val="00456473"/>
    <w:rsid w:val="00456636"/>
    <w:rsid w:val="004568CB"/>
    <w:rsid w:val="00456B90"/>
    <w:rsid w:val="00457357"/>
    <w:rsid w:val="00457678"/>
    <w:rsid w:val="004577F2"/>
    <w:rsid w:val="00457D01"/>
    <w:rsid w:val="00457E39"/>
    <w:rsid w:val="00460300"/>
    <w:rsid w:val="004606F3"/>
    <w:rsid w:val="004607F9"/>
    <w:rsid w:val="004609E2"/>
    <w:rsid w:val="00460A43"/>
    <w:rsid w:val="00461087"/>
    <w:rsid w:val="004613AA"/>
    <w:rsid w:val="0046167A"/>
    <w:rsid w:val="004618F8"/>
    <w:rsid w:val="0046199D"/>
    <w:rsid w:val="00462060"/>
    <w:rsid w:val="004620F4"/>
    <w:rsid w:val="004624C5"/>
    <w:rsid w:val="00462C10"/>
    <w:rsid w:val="00462C31"/>
    <w:rsid w:val="0046309B"/>
    <w:rsid w:val="004630D8"/>
    <w:rsid w:val="00463322"/>
    <w:rsid w:val="004635E9"/>
    <w:rsid w:val="0046373F"/>
    <w:rsid w:val="004639F0"/>
    <w:rsid w:val="00463D25"/>
    <w:rsid w:val="00463F80"/>
    <w:rsid w:val="0046469E"/>
    <w:rsid w:val="00464881"/>
    <w:rsid w:val="004649AB"/>
    <w:rsid w:val="00464E41"/>
    <w:rsid w:val="00465575"/>
    <w:rsid w:val="004655E1"/>
    <w:rsid w:val="00465795"/>
    <w:rsid w:val="0046586B"/>
    <w:rsid w:val="00465AC7"/>
    <w:rsid w:val="00465B47"/>
    <w:rsid w:val="00465CEF"/>
    <w:rsid w:val="00466329"/>
    <w:rsid w:val="00466505"/>
    <w:rsid w:val="00466580"/>
    <w:rsid w:val="00466C5E"/>
    <w:rsid w:val="004674EC"/>
    <w:rsid w:val="00467803"/>
    <w:rsid w:val="00467979"/>
    <w:rsid w:val="00467A41"/>
    <w:rsid w:val="00467A67"/>
    <w:rsid w:val="00467BA9"/>
    <w:rsid w:val="00467C03"/>
    <w:rsid w:val="00467D81"/>
    <w:rsid w:val="00467E81"/>
    <w:rsid w:val="0047005D"/>
    <w:rsid w:val="004706EA"/>
    <w:rsid w:val="00470A0D"/>
    <w:rsid w:val="00470DB8"/>
    <w:rsid w:val="00471311"/>
    <w:rsid w:val="00471535"/>
    <w:rsid w:val="004722A0"/>
    <w:rsid w:val="00472378"/>
    <w:rsid w:val="004729FD"/>
    <w:rsid w:val="00472BF5"/>
    <w:rsid w:val="0047356B"/>
    <w:rsid w:val="004747C7"/>
    <w:rsid w:val="00474979"/>
    <w:rsid w:val="00474AC7"/>
    <w:rsid w:val="00474B89"/>
    <w:rsid w:val="00474D74"/>
    <w:rsid w:val="00474DA5"/>
    <w:rsid w:val="004750DC"/>
    <w:rsid w:val="004751F0"/>
    <w:rsid w:val="00475318"/>
    <w:rsid w:val="004754EA"/>
    <w:rsid w:val="00475E88"/>
    <w:rsid w:val="00475E96"/>
    <w:rsid w:val="004760E2"/>
    <w:rsid w:val="0047633E"/>
    <w:rsid w:val="00476B27"/>
    <w:rsid w:val="0047701D"/>
    <w:rsid w:val="004775A2"/>
    <w:rsid w:val="004777D5"/>
    <w:rsid w:val="00480064"/>
    <w:rsid w:val="004800E9"/>
    <w:rsid w:val="0048029C"/>
    <w:rsid w:val="004804B1"/>
    <w:rsid w:val="00480580"/>
    <w:rsid w:val="004805F4"/>
    <w:rsid w:val="00480621"/>
    <w:rsid w:val="004807BF"/>
    <w:rsid w:val="004809A3"/>
    <w:rsid w:val="00481080"/>
    <w:rsid w:val="00481253"/>
    <w:rsid w:val="004812C6"/>
    <w:rsid w:val="00481373"/>
    <w:rsid w:val="004816EC"/>
    <w:rsid w:val="00481740"/>
    <w:rsid w:val="00481C97"/>
    <w:rsid w:val="00482420"/>
    <w:rsid w:val="004824DD"/>
    <w:rsid w:val="00482727"/>
    <w:rsid w:val="00482A81"/>
    <w:rsid w:val="00482EDA"/>
    <w:rsid w:val="00483234"/>
    <w:rsid w:val="004832DD"/>
    <w:rsid w:val="00483AFF"/>
    <w:rsid w:val="00483CE8"/>
    <w:rsid w:val="00483F5C"/>
    <w:rsid w:val="00484097"/>
    <w:rsid w:val="00484159"/>
    <w:rsid w:val="004842A6"/>
    <w:rsid w:val="004842FF"/>
    <w:rsid w:val="00484448"/>
    <w:rsid w:val="0048472E"/>
    <w:rsid w:val="004847D6"/>
    <w:rsid w:val="004847F9"/>
    <w:rsid w:val="00484D13"/>
    <w:rsid w:val="004850D5"/>
    <w:rsid w:val="00485398"/>
    <w:rsid w:val="004857A5"/>
    <w:rsid w:val="004859D3"/>
    <w:rsid w:val="00485A5A"/>
    <w:rsid w:val="00485C9D"/>
    <w:rsid w:val="00485D96"/>
    <w:rsid w:val="00485F81"/>
    <w:rsid w:val="00485FB0"/>
    <w:rsid w:val="00486015"/>
    <w:rsid w:val="004861CD"/>
    <w:rsid w:val="004865D3"/>
    <w:rsid w:val="00486601"/>
    <w:rsid w:val="00486BA6"/>
    <w:rsid w:val="00486DF4"/>
    <w:rsid w:val="00486F20"/>
    <w:rsid w:val="00486F70"/>
    <w:rsid w:val="00486FB2"/>
    <w:rsid w:val="004872E0"/>
    <w:rsid w:val="00487C84"/>
    <w:rsid w:val="00487DD3"/>
    <w:rsid w:val="00490584"/>
    <w:rsid w:val="0049074D"/>
    <w:rsid w:val="00490885"/>
    <w:rsid w:val="00491B18"/>
    <w:rsid w:val="00491CCE"/>
    <w:rsid w:val="004922B5"/>
    <w:rsid w:val="0049248F"/>
    <w:rsid w:val="0049268C"/>
    <w:rsid w:val="004927C0"/>
    <w:rsid w:val="004929B9"/>
    <w:rsid w:val="00492A65"/>
    <w:rsid w:val="00492B85"/>
    <w:rsid w:val="00492BEE"/>
    <w:rsid w:val="00492DBB"/>
    <w:rsid w:val="00493002"/>
    <w:rsid w:val="00493466"/>
    <w:rsid w:val="00493745"/>
    <w:rsid w:val="0049397E"/>
    <w:rsid w:val="004939AE"/>
    <w:rsid w:val="00493A76"/>
    <w:rsid w:val="00493D1A"/>
    <w:rsid w:val="00493F9C"/>
    <w:rsid w:val="00493FF1"/>
    <w:rsid w:val="004940D6"/>
    <w:rsid w:val="00494712"/>
    <w:rsid w:val="00494A04"/>
    <w:rsid w:val="00494A7E"/>
    <w:rsid w:val="004950F4"/>
    <w:rsid w:val="004951C0"/>
    <w:rsid w:val="00495208"/>
    <w:rsid w:val="0049521D"/>
    <w:rsid w:val="00495A5A"/>
    <w:rsid w:val="00495FDB"/>
    <w:rsid w:val="0049623D"/>
    <w:rsid w:val="00496399"/>
    <w:rsid w:val="00496435"/>
    <w:rsid w:val="004965A3"/>
    <w:rsid w:val="004965F3"/>
    <w:rsid w:val="0049668C"/>
    <w:rsid w:val="004970CE"/>
    <w:rsid w:val="00497215"/>
    <w:rsid w:val="00497650"/>
    <w:rsid w:val="00497705"/>
    <w:rsid w:val="00497804"/>
    <w:rsid w:val="004978DF"/>
    <w:rsid w:val="00497916"/>
    <w:rsid w:val="00497957"/>
    <w:rsid w:val="004A0356"/>
    <w:rsid w:val="004A0660"/>
    <w:rsid w:val="004A0CB1"/>
    <w:rsid w:val="004A0D64"/>
    <w:rsid w:val="004A0E48"/>
    <w:rsid w:val="004A11D4"/>
    <w:rsid w:val="004A13C6"/>
    <w:rsid w:val="004A16BA"/>
    <w:rsid w:val="004A1A35"/>
    <w:rsid w:val="004A1C11"/>
    <w:rsid w:val="004A1C9B"/>
    <w:rsid w:val="004A1CB6"/>
    <w:rsid w:val="004A212F"/>
    <w:rsid w:val="004A25BB"/>
    <w:rsid w:val="004A266F"/>
    <w:rsid w:val="004A2799"/>
    <w:rsid w:val="004A287B"/>
    <w:rsid w:val="004A298F"/>
    <w:rsid w:val="004A2A0B"/>
    <w:rsid w:val="004A3BB3"/>
    <w:rsid w:val="004A3C42"/>
    <w:rsid w:val="004A3DCF"/>
    <w:rsid w:val="004A4013"/>
    <w:rsid w:val="004A4456"/>
    <w:rsid w:val="004A4616"/>
    <w:rsid w:val="004A4658"/>
    <w:rsid w:val="004A46C8"/>
    <w:rsid w:val="004A49AD"/>
    <w:rsid w:val="004A4C20"/>
    <w:rsid w:val="004A4E48"/>
    <w:rsid w:val="004A50C2"/>
    <w:rsid w:val="004A50E4"/>
    <w:rsid w:val="004A5383"/>
    <w:rsid w:val="004A555A"/>
    <w:rsid w:val="004A56C6"/>
    <w:rsid w:val="004A613C"/>
    <w:rsid w:val="004A640F"/>
    <w:rsid w:val="004A6608"/>
    <w:rsid w:val="004A6A8A"/>
    <w:rsid w:val="004A6C17"/>
    <w:rsid w:val="004A6C75"/>
    <w:rsid w:val="004A6D1F"/>
    <w:rsid w:val="004A6E45"/>
    <w:rsid w:val="004A77CF"/>
    <w:rsid w:val="004A7C5B"/>
    <w:rsid w:val="004B0292"/>
    <w:rsid w:val="004B04C0"/>
    <w:rsid w:val="004B08D2"/>
    <w:rsid w:val="004B0A23"/>
    <w:rsid w:val="004B0AE9"/>
    <w:rsid w:val="004B0DA7"/>
    <w:rsid w:val="004B1134"/>
    <w:rsid w:val="004B11D6"/>
    <w:rsid w:val="004B161B"/>
    <w:rsid w:val="004B1635"/>
    <w:rsid w:val="004B166C"/>
    <w:rsid w:val="004B16B5"/>
    <w:rsid w:val="004B1B5C"/>
    <w:rsid w:val="004B1B99"/>
    <w:rsid w:val="004B1D0B"/>
    <w:rsid w:val="004B21C6"/>
    <w:rsid w:val="004B2686"/>
    <w:rsid w:val="004B27BB"/>
    <w:rsid w:val="004B28A5"/>
    <w:rsid w:val="004B29A4"/>
    <w:rsid w:val="004B2B3A"/>
    <w:rsid w:val="004B35CD"/>
    <w:rsid w:val="004B3674"/>
    <w:rsid w:val="004B375E"/>
    <w:rsid w:val="004B37A1"/>
    <w:rsid w:val="004B38F3"/>
    <w:rsid w:val="004B39A9"/>
    <w:rsid w:val="004B3A9D"/>
    <w:rsid w:val="004B4228"/>
    <w:rsid w:val="004B44AA"/>
    <w:rsid w:val="004B47EE"/>
    <w:rsid w:val="004B4AC2"/>
    <w:rsid w:val="004B4FAA"/>
    <w:rsid w:val="004B5310"/>
    <w:rsid w:val="004B542D"/>
    <w:rsid w:val="004B54DC"/>
    <w:rsid w:val="004B576B"/>
    <w:rsid w:val="004B5882"/>
    <w:rsid w:val="004B59B6"/>
    <w:rsid w:val="004B5C8F"/>
    <w:rsid w:val="004B6949"/>
    <w:rsid w:val="004B69F5"/>
    <w:rsid w:val="004B6B54"/>
    <w:rsid w:val="004B6B70"/>
    <w:rsid w:val="004B6D44"/>
    <w:rsid w:val="004B6D9D"/>
    <w:rsid w:val="004B7516"/>
    <w:rsid w:val="004B765D"/>
    <w:rsid w:val="004B7764"/>
    <w:rsid w:val="004B784A"/>
    <w:rsid w:val="004B7AA4"/>
    <w:rsid w:val="004B7DB6"/>
    <w:rsid w:val="004B7E75"/>
    <w:rsid w:val="004B7EC6"/>
    <w:rsid w:val="004B7ED5"/>
    <w:rsid w:val="004C02BF"/>
    <w:rsid w:val="004C0702"/>
    <w:rsid w:val="004C083B"/>
    <w:rsid w:val="004C0998"/>
    <w:rsid w:val="004C099F"/>
    <w:rsid w:val="004C0A77"/>
    <w:rsid w:val="004C0BDF"/>
    <w:rsid w:val="004C1050"/>
    <w:rsid w:val="004C1176"/>
    <w:rsid w:val="004C12AA"/>
    <w:rsid w:val="004C145A"/>
    <w:rsid w:val="004C1529"/>
    <w:rsid w:val="004C164F"/>
    <w:rsid w:val="004C17C2"/>
    <w:rsid w:val="004C187E"/>
    <w:rsid w:val="004C1FE4"/>
    <w:rsid w:val="004C2249"/>
    <w:rsid w:val="004C260C"/>
    <w:rsid w:val="004C29BC"/>
    <w:rsid w:val="004C2AAE"/>
    <w:rsid w:val="004C2B1E"/>
    <w:rsid w:val="004C2BFD"/>
    <w:rsid w:val="004C3934"/>
    <w:rsid w:val="004C3A31"/>
    <w:rsid w:val="004C3C01"/>
    <w:rsid w:val="004C3D55"/>
    <w:rsid w:val="004C3F5F"/>
    <w:rsid w:val="004C40A9"/>
    <w:rsid w:val="004C40B3"/>
    <w:rsid w:val="004C4227"/>
    <w:rsid w:val="004C42AB"/>
    <w:rsid w:val="004C44FF"/>
    <w:rsid w:val="004C4522"/>
    <w:rsid w:val="004C45DF"/>
    <w:rsid w:val="004C4740"/>
    <w:rsid w:val="004C4897"/>
    <w:rsid w:val="004C4FC7"/>
    <w:rsid w:val="004C517B"/>
    <w:rsid w:val="004C51DF"/>
    <w:rsid w:val="004C532A"/>
    <w:rsid w:val="004C5A57"/>
    <w:rsid w:val="004C5B58"/>
    <w:rsid w:val="004C5BEE"/>
    <w:rsid w:val="004C5CCC"/>
    <w:rsid w:val="004C601B"/>
    <w:rsid w:val="004C6423"/>
    <w:rsid w:val="004C6604"/>
    <w:rsid w:val="004C67D0"/>
    <w:rsid w:val="004C6C5E"/>
    <w:rsid w:val="004C6DE5"/>
    <w:rsid w:val="004C7BE2"/>
    <w:rsid w:val="004D021A"/>
    <w:rsid w:val="004D047D"/>
    <w:rsid w:val="004D048E"/>
    <w:rsid w:val="004D0583"/>
    <w:rsid w:val="004D06A8"/>
    <w:rsid w:val="004D081C"/>
    <w:rsid w:val="004D082E"/>
    <w:rsid w:val="004D0911"/>
    <w:rsid w:val="004D0A58"/>
    <w:rsid w:val="004D10A9"/>
    <w:rsid w:val="004D14B2"/>
    <w:rsid w:val="004D17EB"/>
    <w:rsid w:val="004D1842"/>
    <w:rsid w:val="004D1BB5"/>
    <w:rsid w:val="004D1D7B"/>
    <w:rsid w:val="004D1ED7"/>
    <w:rsid w:val="004D2163"/>
    <w:rsid w:val="004D2203"/>
    <w:rsid w:val="004D2224"/>
    <w:rsid w:val="004D22E7"/>
    <w:rsid w:val="004D2569"/>
    <w:rsid w:val="004D28CB"/>
    <w:rsid w:val="004D28DB"/>
    <w:rsid w:val="004D2975"/>
    <w:rsid w:val="004D2D5F"/>
    <w:rsid w:val="004D2D7D"/>
    <w:rsid w:val="004D33AF"/>
    <w:rsid w:val="004D343C"/>
    <w:rsid w:val="004D3459"/>
    <w:rsid w:val="004D34FD"/>
    <w:rsid w:val="004D3688"/>
    <w:rsid w:val="004D36C9"/>
    <w:rsid w:val="004D3B5A"/>
    <w:rsid w:val="004D3CD7"/>
    <w:rsid w:val="004D3FA8"/>
    <w:rsid w:val="004D4469"/>
    <w:rsid w:val="004D4640"/>
    <w:rsid w:val="004D4A2C"/>
    <w:rsid w:val="004D4AEB"/>
    <w:rsid w:val="004D4F58"/>
    <w:rsid w:val="004D5101"/>
    <w:rsid w:val="004D55BE"/>
    <w:rsid w:val="004D56F2"/>
    <w:rsid w:val="004D5869"/>
    <w:rsid w:val="004D59D4"/>
    <w:rsid w:val="004D5A08"/>
    <w:rsid w:val="004D5A8C"/>
    <w:rsid w:val="004D5BC2"/>
    <w:rsid w:val="004D60FC"/>
    <w:rsid w:val="004D680D"/>
    <w:rsid w:val="004D6899"/>
    <w:rsid w:val="004D68D2"/>
    <w:rsid w:val="004D69BC"/>
    <w:rsid w:val="004D6B34"/>
    <w:rsid w:val="004D6BA6"/>
    <w:rsid w:val="004D6BD8"/>
    <w:rsid w:val="004D7145"/>
    <w:rsid w:val="004D729A"/>
    <w:rsid w:val="004D73D9"/>
    <w:rsid w:val="004D73FC"/>
    <w:rsid w:val="004D77BA"/>
    <w:rsid w:val="004D7C8C"/>
    <w:rsid w:val="004E0307"/>
    <w:rsid w:val="004E051C"/>
    <w:rsid w:val="004E0597"/>
    <w:rsid w:val="004E080C"/>
    <w:rsid w:val="004E09EB"/>
    <w:rsid w:val="004E12A6"/>
    <w:rsid w:val="004E1C25"/>
    <w:rsid w:val="004E1CC2"/>
    <w:rsid w:val="004E2072"/>
    <w:rsid w:val="004E2496"/>
    <w:rsid w:val="004E2797"/>
    <w:rsid w:val="004E2920"/>
    <w:rsid w:val="004E29C8"/>
    <w:rsid w:val="004E2BB0"/>
    <w:rsid w:val="004E2BEC"/>
    <w:rsid w:val="004E32E5"/>
    <w:rsid w:val="004E346B"/>
    <w:rsid w:val="004E3506"/>
    <w:rsid w:val="004E3841"/>
    <w:rsid w:val="004E3A0E"/>
    <w:rsid w:val="004E3C29"/>
    <w:rsid w:val="004E3CC7"/>
    <w:rsid w:val="004E3E79"/>
    <w:rsid w:val="004E41F9"/>
    <w:rsid w:val="004E42EF"/>
    <w:rsid w:val="004E45E7"/>
    <w:rsid w:val="004E4633"/>
    <w:rsid w:val="004E4B1D"/>
    <w:rsid w:val="004E4CF2"/>
    <w:rsid w:val="004E4F5A"/>
    <w:rsid w:val="004E501D"/>
    <w:rsid w:val="004E511F"/>
    <w:rsid w:val="004E570E"/>
    <w:rsid w:val="004E5720"/>
    <w:rsid w:val="004E5BF7"/>
    <w:rsid w:val="004E5CEA"/>
    <w:rsid w:val="004E669B"/>
    <w:rsid w:val="004E669E"/>
    <w:rsid w:val="004E680F"/>
    <w:rsid w:val="004E7294"/>
    <w:rsid w:val="004E73F7"/>
    <w:rsid w:val="004E7AD3"/>
    <w:rsid w:val="004E7F5A"/>
    <w:rsid w:val="004E7F8C"/>
    <w:rsid w:val="004F06C2"/>
    <w:rsid w:val="004F0870"/>
    <w:rsid w:val="004F08DF"/>
    <w:rsid w:val="004F0A0F"/>
    <w:rsid w:val="004F0D17"/>
    <w:rsid w:val="004F0DA9"/>
    <w:rsid w:val="004F0DFD"/>
    <w:rsid w:val="004F0E1F"/>
    <w:rsid w:val="004F1161"/>
    <w:rsid w:val="004F12A3"/>
    <w:rsid w:val="004F1821"/>
    <w:rsid w:val="004F1DE0"/>
    <w:rsid w:val="004F1E78"/>
    <w:rsid w:val="004F1F35"/>
    <w:rsid w:val="004F206F"/>
    <w:rsid w:val="004F23E8"/>
    <w:rsid w:val="004F26DE"/>
    <w:rsid w:val="004F2A30"/>
    <w:rsid w:val="004F2A9D"/>
    <w:rsid w:val="004F33B7"/>
    <w:rsid w:val="004F344C"/>
    <w:rsid w:val="004F3631"/>
    <w:rsid w:val="004F3A6F"/>
    <w:rsid w:val="004F4284"/>
    <w:rsid w:val="004F4293"/>
    <w:rsid w:val="004F4307"/>
    <w:rsid w:val="004F433D"/>
    <w:rsid w:val="004F454F"/>
    <w:rsid w:val="004F4A1B"/>
    <w:rsid w:val="004F4B45"/>
    <w:rsid w:val="004F4D7A"/>
    <w:rsid w:val="004F55DA"/>
    <w:rsid w:val="004F565B"/>
    <w:rsid w:val="004F57A5"/>
    <w:rsid w:val="004F590F"/>
    <w:rsid w:val="004F594B"/>
    <w:rsid w:val="004F5E18"/>
    <w:rsid w:val="004F5E7B"/>
    <w:rsid w:val="004F68EC"/>
    <w:rsid w:val="004F71AA"/>
    <w:rsid w:val="004F7513"/>
    <w:rsid w:val="004F79B6"/>
    <w:rsid w:val="00500138"/>
    <w:rsid w:val="0050040C"/>
    <w:rsid w:val="00500AF7"/>
    <w:rsid w:val="00500B66"/>
    <w:rsid w:val="00500C30"/>
    <w:rsid w:val="00500D77"/>
    <w:rsid w:val="00500F17"/>
    <w:rsid w:val="00500F2A"/>
    <w:rsid w:val="00500FAD"/>
    <w:rsid w:val="005014A5"/>
    <w:rsid w:val="005018DB"/>
    <w:rsid w:val="0050195F"/>
    <w:rsid w:val="00502157"/>
    <w:rsid w:val="00502277"/>
    <w:rsid w:val="00502721"/>
    <w:rsid w:val="00502974"/>
    <w:rsid w:val="00502BBA"/>
    <w:rsid w:val="00502CB0"/>
    <w:rsid w:val="005031F7"/>
    <w:rsid w:val="005034AD"/>
    <w:rsid w:val="005036D4"/>
    <w:rsid w:val="00503C75"/>
    <w:rsid w:val="00503F44"/>
    <w:rsid w:val="0050420A"/>
    <w:rsid w:val="00504743"/>
    <w:rsid w:val="00504ABC"/>
    <w:rsid w:val="00504EAC"/>
    <w:rsid w:val="00504EFF"/>
    <w:rsid w:val="00504FC6"/>
    <w:rsid w:val="00505220"/>
    <w:rsid w:val="00505436"/>
    <w:rsid w:val="00505AD8"/>
    <w:rsid w:val="00505EF7"/>
    <w:rsid w:val="00506234"/>
    <w:rsid w:val="00506276"/>
    <w:rsid w:val="005063A1"/>
    <w:rsid w:val="005063DE"/>
    <w:rsid w:val="0050691B"/>
    <w:rsid w:val="005069CC"/>
    <w:rsid w:val="00506CB8"/>
    <w:rsid w:val="00506DB3"/>
    <w:rsid w:val="00507023"/>
    <w:rsid w:val="005073BB"/>
    <w:rsid w:val="00507A5A"/>
    <w:rsid w:val="00507DF3"/>
    <w:rsid w:val="00507EF4"/>
    <w:rsid w:val="00507F35"/>
    <w:rsid w:val="005100DC"/>
    <w:rsid w:val="0051021B"/>
    <w:rsid w:val="005102AA"/>
    <w:rsid w:val="005103BE"/>
    <w:rsid w:val="005106F8"/>
    <w:rsid w:val="005108E9"/>
    <w:rsid w:val="00510A72"/>
    <w:rsid w:val="00510BBB"/>
    <w:rsid w:val="005113AD"/>
    <w:rsid w:val="00511415"/>
    <w:rsid w:val="00511B92"/>
    <w:rsid w:val="00511DCC"/>
    <w:rsid w:val="00511F86"/>
    <w:rsid w:val="005120DE"/>
    <w:rsid w:val="00512627"/>
    <w:rsid w:val="00512D29"/>
    <w:rsid w:val="00512DC3"/>
    <w:rsid w:val="00513280"/>
    <w:rsid w:val="00513756"/>
    <w:rsid w:val="00513919"/>
    <w:rsid w:val="005139F1"/>
    <w:rsid w:val="00513E1F"/>
    <w:rsid w:val="0051475B"/>
    <w:rsid w:val="00514765"/>
    <w:rsid w:val="00514AA2"/>
    <w:rsid w:val="00514DA3"/>
    <w:rsid w:val="00514E0C"/>
    <w:rsid w:val="00515022"/>
    <w:rsid w:val="0051503E"/>
    <w:rsid w:val="0051531E"/>
    <w:rsid w:val="005158EB"/>
    <w:rsid w:val="005160C0"/>
    <w:rsid w:val="0051679F"/>
    <w:rsid w:val="00516A42"/>
    <w:rsid w:val="00516A85"/>
    <w:rsid w:val="0051721E"/>
    <w:rsid w:val="00517383"/>
    <w:rsid w:val="0051765C"/>
    <w:rsid w:val="005176B1"/>
    <w:rsid w:val="005177F3"/>
    <w:rsid w:val="00517A9A"/>
    <w:rsid w:val="00517B84"/>
    <w:rsid w:val="00517BBC"/>
    <w:rsid w:val="00517C09"/>
    <w:rsid w:val="00517D01"/>
    <w:rsid w:val="00517EDC"/>
    <w:rsid w:val="0052019A"/>
    <w:rsid w:val="005202A3"/>
    <w:rsid w:val="00520782"/>
    <w:rsid w:val="005214A7"/>
    <w:rsid w:val="00521B8D"/>
    <w:rsid w:val="00521DC4"/>
    <w:rsid w:val="00521F5B"/>
    <w:rsid w:val="00522199"/>
    <w:rsid w:val="005225A8"/>
    <w:rsid w:val="00522607"/>
    <w:rsid w:val="00522A6B"/>
    <w:rsid w:val="00522DC8"/>
    <w:rsid w:val="00523134"/>
    <w:rsid w:val="00523466"/>
    <w:rsid w:val="005234BF"/>
    <w:rsid w:val="00523991"/>
    <w:rsid w:val="005239C7"/>
    <w:rsid w:val="00523B24"/>
    <w:rsid w:val="00523CF4"/>
    <w:rsid w:val="005241AE"/>
    <w:rsid w:val="005241E5"/>
    <w:rsid w:val="005246E6"/>
    <w:rsid w:val="0052529D"/>
    <w:rsid w:val="00525352"/>
    <w:rsid w:val="005255BF"/>
    <w:rsid w:val="00525640"/>
    <w:rsid w:val="00525A90"/>
    <w:rsid w:val="00525A96"/>
    <w:rsid w:val="00525BD6"/>
    <w:rsid w:val="00525C11"/>
    <w:rsid w:val="00525E24"/>
    <w:rsid w:val="00525E80"/>
    <w:rsid w:val="00526043"/>
    <w:rsid w:val="0052605E"/>
    <w:rsid w:val="0052614C"/>
    <w:rsid w:val="00526267"/>
    <w:rsid w:val="00526518"/>
    <w:rsid w:val="00526602"/>
    <w:rsid w:val="00526680"/>
    <w:rsid w:val="00526A76"/>
    <w:rsid w:val="00526E96"/>
    <w:rsid w:val="00526EBE"/>
    <w:rsid w:val="0052704C"/>
    <w:rsid w:val="00527104"/>
    <w:rsid w:val="00527128"/>
    <w:rsid w:val="0052777D"/>
    <w:rsid w:val="00527915"/>
    <w:rsid w:val="005279E3"/>
    <w:rsid w:val="00527D0D"/>
    <w:rsid w:val="00527D56"/>
    <w:rsid w:val="00530634"/>
    <w:rsid w:val="00530CAD"/>
    <w:rsid w:val="00530F9C"/>
    <w:rsid w:val="00530FBF"/>
    <w:rsid w:val="0053178F"/>
    <w:rsid w:val="005318E3"/>
    <w:rsid w:val="00531A52"/>
    <w:rsid w:val="005326BC"/>
    <w:rsid w:val="00532732"/>
    <w:rsid w:val="005328AD"/>
    <w:rsid w:val="00532BCE"/>
    <w:rsid w:val="00532F96"/>
    <w:rsid w:val="005331C4"/>
    <w:rsid w:val="005335A3"/>
    <w:rsid w:val="0053366F"/>
    <w:rsid w:val="00533906"/>
    <w:rsid w:val="00533CE3"/>
    <w:rsid w:val="00533DE5"/>
    <w:rsid w:val="00533FF4"/>
    <w:rsid w:val="0053405B"/>
    <w:rsid w:val="00534591"/>
    <w:rsid w:val="005345E6"/>
    <w:rsid w:val="00534638"/>
    <w:rsid w:val="00534809"/>
    <w:rsid w:val="00534C01"/>
    <w:rsid w:val="00534CAF"/>
    <w:rsid w:val="00534CBA"/>
    <w:rsid w:val="00534CCC"/>
    <w:rsid w:val="00534DE1"/>
    <w:rsid w:val="00534EB6"/>
    <w:rsid w:val="00535235"/>
    <w:rsid w:val="0053527A"/>
    <w:rsid w:val="005358EC"/>
    <w:rsid w:val="005358F5"/>
    <w:rsid w:val="00535B21"/>
    <w:rsid w:val="00536102"/>
    <w:rsid w:val="00536465"/>
    <w:rsid w:val="00536751"/>
    <w:rsid w:val="00536CF9"/>
    <w:rsid w:val="00537153"/>
    <w:rsid w:val="00537749"/>
    <w:rsid w:val="0053785A"/>
    <w:rsid w:val="00537C4C"/>
    <w:rsid w:val="00537F07"/>
    <w:rsid w:val="00537F3E"/>
    <w:rsid w:val="00540372"/>
    <w:rsid w:val="005406F5"/>
    <w:rsid w:val="005408C2"/>
    <w:rsid w:val="005408D3"/>
    <w:rsid w:val="005408FD"/>
    <w:rsid w:val="00540C0C"/>
    <w:rsid w:val="00540E10"/>
    <w:rsid w:val="00540E32"/>
    <w:rsid w:val="0054107B"/>
    <w:rsid w:val="005413B4"/>
    <w:rsid w:val="005413EA"/>
    <w:rsid w:val="00541447"/>
    <w:rsid w:val="005414B5"/>
    <w:rsid w:val="00541573"/>
    <w:rsid w:val="00541B2B"/>
    <w:rsid w:val="00541BCE"/>
    <w:rsid w:val="00541FF3"/>
    <w:rsid w:val="005420BC"/>
    <w:rsid w:val="005422DD"/>
    <w:rsid w:val="00542330"/>
    <w:rsid w:val="00542575"/>
    <w:rsid w:val="00542577"/>
    <w:rsid w:val="0054259D"/>
    <w:rsid w:val="005426DB"/>
    <w:rsid w:val="0054276C"/>
    <w:rsid w:val="00542836"/>
    <w:rsid w:val="00542E5C"/>
    <w:rsid w:val="00542EF4"/>
    <w:rsid w:val="00542F06"/>
    <w:rsid w:val="005431C2"/>
    <w:rsid w:val="005431E7"/>
    <w:rsid w:val="005433F4"/>
    <w:rsid w:val="00543474"/>
    <w:rsid w:val="00543691"/>
    <w:rsid w:val="00543868"/>
    <w:rsid w:val="005438D6"/>
    <w:rsid w:val="00543952"/>
    <w:rsid w:val="00544005"/>
    <w:rsid w:val="0054406C"/>
    <w:rsid w:val="0054422D"/>
    <w:rsid w:val="005442B5"/>
    <w:rsid w:val="005446DB"/>
    <w:rsid w:val="00544780"/>
    <w:rsid w:val="00544ADC"/>
    <w:rsid w:val="00544C37"/>
    <w:rsid w:val="00544CAC"/>
    <w:rsid w:val="0054507D"/>
    <w:rsid w:val="00545469"/>
    <w:rsid w:val="00545D60"/>
    <w:rsid w:val="00546580"/>
    <w:rsid w:val="005466D9"/>
    <w:rsid w:val="00546781"/>
    <w:rsid w:val="00546B0C"/>
    <w:rsid w:val="00547104"/>
    <w:rsid w:val="00547208"/>
    <w:rsid w:val="005473E5"/>
    <w:rsid w:val="005473F4"/>
    <w:rsid w:val="00547433"/>
    <w:rsid w:val="00547546"/>
    <w:rsid w:val="00547793"/>
    <w:rsid w:val="00547CDF"/>
    <w:rsid w:val="00547DA2"/>
    <w:rsid w:val="00547E65"/>
    <w:rsid w:val="00547FC3"/>
    <w:rsid w:val="00550069"/>
    <w:rsid w:val="00550307"/>
    <w:rsid w:val="0055045E"/>
    <w:rsid w:val="005507B6"/>
    <w:rsid w:val="00550DFC"/>
    <w:rsid w:val="00551023"/>
    <w:rsid w:val="00551369"/>
    <w:rsid w:val="00551393"/>
    <w:rsid w:val="005515CA"/>
    <w:rsid w:val="005517D9"/>
    <w:rsid w:val="00551B2F"/>
    <w:rsid w:val="00551B71"/>
    <w:rsid w:val="00551E4F"/>
    <w:rsid w:val="00552508"/>
    <w:rsid w:val="00552D3A"/>
    <w:rsid w:val="00552D5E"/>
    <w:rsid w:val="00553048"/>
    <w:rsid w:val="005530A5"/>
    <w:rsid w:val="005533B9"/>
    <w:rsid w:val="00553908"/>
    <w:rsid w:val="00553B57"/>
    <w:rsid w:val="00553C8B"/>
    <w:rsid w:val="005543CF"/>
    <w:rsid w:val="00554659"/>
    <w:rsid w:val="005546B0"/>
    <w:rsid w:val="005546B8"/>
    <w:rsid w:val="005547F9"/>
    <w:rsid w:val="00554BB0"/>
    <w:rsid w:val="00554FB2"/>
    <w:rsid w:val="0055503F"/>
    <w:rsid w:val="005550F5"/>
    <w:rsid w:val="00555839"/>
    <w:rsid w:val="005559E4"/>
    <w:rsid w:val="00555A02"/>
    <w:rsid w:val="00555BA8"/>
    <w:rsid w:val="00555EDB"/>
    <w:rsid w:val="00555F6C"/>
    <w:rsid w:val="00555F6D"/>
    <w:rsid w:val="00556688"/>
    <w:rsid w:val="00556759"/>
    <w:rsid w:val="005568BF"/>
    <w:rsid w:val="00556B56"/>
    <w:rsid w:val="0055705A"/>
    <w:rsid w:val="00557218"/>
    <w:rsid w:val="005573AB"/>
    <w:rsid w:val="00557596"/>
    <w:rsid w:val="00557632"/>
    <w:rsid w:val="00557928"/>
    <w:rsid w:val="00557C1C"/>
    <w:rsid w:val="00560879"/>
    <w:rsid w:val="00560958"/>
    <w:rsid w:val="00560A72"/>
    <w:rsid w:val="00560B7B"/>
    <w:rsid w:val="005611BF"/>
    <w:rsid w:val="00561250"/>
    <w:rsid w:val="0056126C"/>
    <w:rsid w:val="00561360"/>
    <w:rsid w:val="0056141D"/>
    <w:rsid w:val="00561533"/>
    <w:rsid w:val="00561569"/>
    <w:rsid w:val="00561A96"/>
    <w:rsid w:val="00561C24"/>
    <w:rsid w:val="00561C5E"/>
    <w:rsid w:val="00561C75"/>
    <w:rsid w:val="00561E21"/>
    <w:rsid w:val="00561F31"/>
    <w:rsid w:val="00561F3A"/>
    <w:rsid w:val="00562508"/>
    <w:rsid w:val="005626CB"/>
    <w:rsid w:val="005627BE"/>
    <w:rsid w:val="005629AA"/>
    <w:rsid w:val="00562ABA"/>
    <w:rsid w:val="00562D51"/>
    <w:rsid w:val="0056316D"/>
    <w:rsid w:val="00563643"/>
    <w:rsid w:val="00563764"/>
    <w:rsid w:val="00563C17"/>
    <w:rsid w:val="00564061"/>
    <w:rsid w:val="005640D3"/>
    <w:rsid w:val="0056431B"/>
    <w:rsid w:val="00564748"/>
    <w:rsid w:val="00564BB1"/>
    <w:rsid w:val="005659A3"/>
    <w:rsid w:val="00565CCC"/>
    <w:rsid w:val="005660C5"/>
    <w:rsid w:val="00566385"/>
    <w:rsid w:val="0056642F"/>
    <w:rsid w:val="00566554"/>
    <w:rsid w:val="0056657E"/>
    <w:rsid w:val="00566814"/>
    <w:rsid w:val="00566945"/>
    <w:rsid w:val="00566CA9"/>
    <w:rsid w:val="00566D9D"/>
    <w:rsid w:val="00566EC5"/>
    <w:rsid w:val="00566F64"/>
    <w:rsid w:val="00567520"/>
    <w:rsid w:val="0056765C"/>
    <w:rsid w:val="00567712"/>
    <w:rsid w:val="00567882"/>
    <w:rsid w:val="0057000C"/>
    <w:rsid w:val="00570414"/>
    <w:rsid w:val="0057043C"/>
    <w:rsid w:val="00570C1B"/>
    <w:rsid w:val="00570C5C"/>
    <w:rsid w:val="00570E8F"/>
    <w:rsid w:val="005710AB"/>
    <w:rsid w:val="005715D0"/>
    <w:rsid w:val="00571F19"/>
    <w:rsid w:val="00571F5D"/>
    <w:rsid w:val="00572064"/>
    <w:rsid w:val="0057208D"/>
    <w:rsid w:val="00572091"/>
    <w:rsid w:val="005721A9"/>
    <w:rsid w:val="00572203"/>
    <w:rsid w:val="00572482"/>
    <w:rsid w:val="005724AD"/>
    <w:rsid w:val="0057257B"/>
    <w:rsid w:val="00572E50"/>
    <w:rsid w:val="00572FCD"/>
    <w:rsid w:val="00573088"/>
    <w:rsid w:val="005730F0"/>
    <w:rsid w:val="005732F4"/>
    <w:rsid w:val="005733E2"/>
    <w:rsid w:val="0057370E"/>
    <w:rsid w:val="00574468"/>
    <w:rsid w:val="00574496"/>
    <w:rsid w:val="0057453E"/>
    <w:rsid w:val="0057458E"/>
    <w:rsid w:val="00574652"/>
    <w:rsid w:val="005746ED"/>
    <w:rsid w:val="00574A4D"/>
    <w:rsid w:val="00574A6A"/>
    <w:rsid w:val="00574D9F"/>
    <w:rsid w:val="00575389"/>
    <w:rsid w:val="00575CF4"/>
    <w:rsid w:val="00576010"/>
    <w:rsid w:val="00576530"/>
    <w:rsid w:val="0057656E"/>
    <w:rsid w:val="00576604"/>
    <w:rsid w:val="00576A8D"/>
    <w:rsid w:val="00576FFD"/>
    <w:rsid w:val="00577240"/>
    <w:rsid w:val="00577954"/>
    <w:rsid w:val="00577A79"/>
    <w:rsid w:val="00577C34"/>
    <w:rsid w:val="00577C80"/>
    <w:rsid w:val="00580230"/>
    <w:rsid w:val="005804ED"/>
    <w:rsid w:val="00580CF8"/>
    <w:rsid w:val="00580E4B"/>
    <w:rsid w:val="00580FF2"/>
    <w:rsid w:val="00581132"/>
    <w:rsid w:val="00581317"/>
    <w:rsid w:val="0058160D"/>
    <w:rsid w:val="005817E7"/>
    <w:rsid w:val="00581C67"/>
    <w:rsid w:val="00581CFD"/>
    <w:rsid w:val="00581E5D"/>
    <w:rsid w:val="00582210"/>
    <w:rsid w:val="00582275"/>
    <w:rsid w:val="00582731"/>
    <w:rsid w:val="0058274E"/>
    <w:rsid w:val="005828AB"/>
    <w:rsid w:val="00582926"/>
    <w:rsid w:val="00582C2A"/>
    <w:rsid w:val="00582C48"/>
    <w:rsid w:val="00583479"/>
    <w:rsid w:val="00583547"/>
    <w:rsid w:val="005837AB"/>
    <w:rsid w:val="005837E2"/>
    <w:rsid w:val="005837E7"/>
    <w:rsid w:val="00583B64"/>
    <w:rsid w:val="00583BA4"/>
    <w:rsid w:val="00583CC2"/>
    <w:rsid w:val="00584070"/>
    <w:rsid w:val="005840B7"/>
    <w:rsid w:val="00584201"/>
    <w:rsid w:val="005843C3"/>
    <w:rsid w:val="00584629"/>
    <w:rsid w:val="005846E2"/>
    <w:rsid w:val="00584EA4"/>
    <w:rsid w:val="005854B3"/>
    <w:rsid w:val="00585F11"/>
    <w:rsid w:val="00586230"/>
    <w:rsid w:val="00586360"/>
    <w:rsid w:val="00586773"/>
    <w:rsid w:val="00586D91"/>
    <w:rsid w:val="00586E08"/>
    <w:rsid w:val="00586F9B"/>
    <w:rsid w:val="00587039"/>
    <w:rsid w:val="005873D1"/>
    <w:rsid w:val="0058767B"/>
    <w:rsid w:val="005876D9"/>
    <w:rsid w:val="005876EC"/>
    <w:rsid w:val="0058781A"/>
    <w:rsid w:val="00587BC1"/>
    <w:rsid w:val="00587BCD"/>
    <w:rsid w:val="00587C73"/>
    <w:rsid w:val="0059048A"/>
    <w:rsid w:val="00590761"/>
    <w:rsid w:val="00590799"/>
    <w:rsid w:val="00590EC7"/>
    <w:rsid w:val="00590FA6"/>
    <w:rsid w:val="005910B4"/>
    <w:rsid w:val="00591135"/>
    <w:rsid w:val="00591189"/>
    <w:rsid w:val="0059128D"/>
    <w:rsid w:val="005914BE"/>
    <w:rsid w:val="005914F8"/>
    <w:rsid w:val="0059153A"/>
    <w:rsid w:val="00591972"/>
    <w:rsid w:val="005923D4"/>
    <w:rsid w:val="00592D06"/>
    <w:rsid w:val="00592D46"/>
    <w:rsid w:val="00593372"/>
    <w:rsid w:val="00593490"/>
    <w:rsid w:val="005937E8"/>
    <w:rsid w:val="00593C68"/>
    <w:rsid w:val="0059446E"/>
    <w:rsid w:val="005945EF"/>
    <w:rsid w:val="0059461E"/>
    <w:rsid w:val="0059463A"/>
    <w:rsid w:val="0059538A"/>
    <w:rsid w:val="005956EB"/>
    <w:rsid w:val="00596792"/>
    <w:rsid w:val="00596A8F"/>
    <w:rsid w:val="00596B49"/>
    <w:rsid w:val="00596B50"/>
    <w:rsid w:val="00596F6D"/>
    <w:rsid w:val="0059713C"/>
    <w:rsid w:val="005971C0"/>
    <w:rsid w:val="005972B9"/>
    <w:rsid w:val="00597713"/>
    <w:rsid w:val="005977F6"/>
    <w:rsid w:val="0059786C"/>
    <w:rsid w:val="00597B47"/>
    <w:rsid w:val="00597CED"/>
    <w:rsid w:val="005A048B"/>
    <w:rsid w:val="005A08F7"/>
    <w:rsid w:val="005A0ADE"/>
    <w:rsid w:val="005A0C27"/>
    <w:rsid w:val="005A0D36"/>
    <w:rsid w:val="005A0EC2"/>
    <w:rsid w:val="005A105F"/>
    <w:rsid w:val="005A154E"/>
    <w:rsid w:val="005A178B"/>
    <w:rsid w:val="005A189B"/>
    <w:rsid w:val="005A1CEB"/>
    <w:rsid w:val="005A1F1C"/>
    <w:rsid w:val="005A1F4A"/>
    <w:rsid w:val="005A2660"/>
    <w:rsid w:val="005A2A08"/>
    <w:rsid w:val="005A2A41"/>
    <w:rsid w:val="005A2A60"/>
    <w:rsid w:val="005A2B27"/>
    <w:rsid w:val="005A2C81"/>
    <w:rsid w:val="005A354A"/>
    <w:rsid w:val="005A3705"/>
    <w:rsid w:val="005A37E4"/>
    <w:rsid w:val="005A3983"/>
    <w:rsid w:val="005A3F59"/>
    <w:rsid w:val="005A4391"/>
    <w:rsid w:val="005A44FA"/>
    <w:rsid w:val="005A49E7"/>
    <w:rsid w:val="005A51F8"/>
    <w:rsid w:val="005A5730"/>
    <w:rsid w:val="005A5F85"/>
    <w:rsid w:val="005A5FA4"/>
    <w:rsid w:val="005A5FC6"/>
    <w:rsid w:val="005A6096"/>
    <w:rsid w:val="005A64BE"/>
    <w:rsid w:val="005A65FF"/>
    <w:rsid w:val="005A6736"/>
    <w:rsid w:val="005A67AE"/>
    <w:rsid w:val="005A6B9E"/>
    <w:rsid w:val="005A6C03"/>
    <w:rsid w:val="005A75BD"/>
    <w:rsid w:val="005A765B"/>
    <w:rsid w:val="005A76D5"/>
    <w:rsid w:val="005A7858"/>
    <w:rsid w:val="005A7A6F"/>
    <w:rsid w:val="005B000A"/>
    <w:rsid w:val="005B001F"/>
    <w:rsid w:val="005B00FC"/>
    <w:rsid w:val="005B02FB"/>
    <w:rsid w:val="005B0601"/>
    <w:rsid w:val="005B0671"/>
    <w:rsid w:val="005B07E1"/>
    <w:rsid w:val="005B08A6"/>
    <w:rsid w:val="005B092F"/>
    <w:rsid w:val="005B0999"/>
    <w:rsid w:val="005B09E6"/>
    <w:rsid w:val="005B11A8"/>
    <w:rsid w:val="005B130C"/>
    <w:rsid w:val="005B149B"/>
    <w:rsid w:val="005B14B4"/>
    <w:rsid w:val="005B1589"/>
    <w:rsid w:val="005B169E"/>
    <w:rsid w:val="005B1741"/>
    <w:rsid w:val="005B18CC"/>
    <w:rsid w:val="005B18FF"/>
    <w:rsid w:val="005B19A3"/>
    <w:rsid w:val="005B1B23"/>
    <w:rsid w:val="005B1BCF"/>
    <w:rsid w:val="005B273F"/>
    <w:rsid w:val="005B28F2"/>
    <w:rsid w:val="005B3094"/>
    <w:rsid w:val="005B345B"/>
    <w:rsid w:val="005B36F7"/>
    <w:rsid w:val="005B3830"/>
    <w:rsid w:val="005B3E09"/>
    <w:rsid w:val="005B42DF"/>
    <w:rsid w:val="005B46DC"/>
    <w:rsid w:val="005B4873"/>
    <w:rsid w:val="005B48D0"/>
    <w:rsid w:val="005B4A57"/>
    <w:rsid w:val="005B4B3D"/>
    <w:rsid w:val="005B4C55"/>
    <w:rsid w:val="005B4EDE"/>
    <w:rsid w:val="005B523A"/>
    <w:rsid w:val="005B527D"/>
    <w:rsid w:val="005B5363"/>
    <w:rsid w:val="005B55D7"/>
    <w:rsid w:val="005B578F"/>
    <w:rsid w:val="005B58D5"/>
    <w:rsid w:val="005B5E3B"/>
    <w:rsid w:val="005B5F51"/>
    <w:rsid w:val="005B60E1"/>
    <w:rsid w:val="005B6270"/>
    <w:rsid w:val="005B6963"/>
    <w:rsid w:val="005B696F"/>
    <w:rsid w:val="005B69A2"/>
    <w:rsid w:val="005B6D5F"/>
    <w:rsid w:val="005B6DBD"/>
    <w:rsid w:val="005B6F39"/>
    <w:rsid w:val="005B73F0"/>
    <w:rsid w:val="005B77B6"/>
    <w:rsid w:val="005B77BA"/>
    <w:rsid w:val="005B7DDB"/>
    <w:rsid w:val="005B7E1F"/>
    <w:rsid w:val="005C018E"/>
    <w:rsid w:val="005C0666"/>
    <w:rsid w:val="005C0CAE"/>
    <w:rsid w:val="005C10FA"/>
    <w:rsid w:val="005C149B"/>
    <w:rsid w:val="005C1B44"/>
    <w:rsid w:val="005C1E93"/>
    <w:rsid w:val="005C2392"/>
    <w:rsid w:val="005C2782"/>
    <w:rsid w:val="005C27AD"/>
    <w:rsid w:val="005C2925"/>
    <w:rsid w:val="005C298C"/>
    <w:rsid w:val="005C29C3"/>
    <w:rsid w:val="005C2F16"/>
    <w:rsid w:val="005C3516"/>
    <w:rsid w:val="005C3588"/>
    <w:rsid w:val="005C3800"/>
    <w:rsid w:val="005C419E"/>
    <w:rsid w:val="005C430B"/>
    <w:rsid w:val="005C4362"/>
    <w:rsid w:val="005C4529"/>
    <w:rsid w:val="005C4570"/>
    <w:rsid w:val="005C4575"/>
    <w:rsid w:val="005C46CF"/>
    <w:rsid w:val="005C47B9"/>
    <w:rsid w:val="005C4BF4"/>
    <w:rsid w:val="005C4C98"/>
    <w:rsid w:val="005C4D2E"/>
    <w:rsid w:val="005C4F20"/>
    <w:rsid w:val="005C50D6"/>
    <w:rsid w:val="005C516B"/>
    <w:rsid w:val="005C58E6"/>
    <w:rsid w:val="005C5B5F"/>
    <w:rsid w:val="005C5BBB"/>
    <w:rsid w:val="005C5D2D"/>
    <w:rsid w:val="005C5F97"/>
    <w:rsid w:val="005C61C5"/>
    <w:rsid w:val="005C63D5"/>
    <w:rsid w:val="005C668C"/>
    <w:rsid w:val="005C6C15"/>
    <w:rsid w:val="005C6E8F"/>
    <w:rsid w:val="005C6E9C"/>
    <w:rsid w:val="005C7B4D"/>
    <w:rsid w:val="005C7C36"/>
    <w:rsid w:val="005C7DE8"/>
    <w:rsid w:val="005D0110"/>
    <w:rsid w:val="005D013D"/>
    <w:rsid w:val="005D02F2"/>
    <w:rsid w:val="005D0310"/>
    <w:rsid w:val="005D0444"/>
    <w:rsid w:val="005D046E"/>
    <w:rsid w:val="005D0521"/>
    <w:rsid w:val="005D0C68"/>
    <w:rsid w:val="005D0F0B"/>
    <w:rsid w:val="005D1205"/>
    <w:rsid w:val="005D18C1"/>
    <w:rsid w:val="005D2423"/>
    <w:rsid w:val="005D2637"/>
    <w:rsid w:val="005D2B0C"/>
    <w:rsid w:val="005D32C9"/>
    <w:rsid w:val="005D3567"/>
    <w:rsid w:val="005D3B31"/>
    <w:rsid w:val="005D3E84"/>
    <w:rsid w:val="005D3E8D"/>
    <w:rsid w:val="005D41BD"/>
    <w:rsid w:val="005D4216"/>
    <w:rsid w:val="005D43A7"/>
    <w:rsid w:val="005D44BE"/>
    <w:rsid w:val="005D4636"/>
    <w:rsid w:val="005D4A96"/>
    <w:rsid w:val="005D4C2C"/>
    <w:rsid w:val="005D4DC0"/>
    <w:rsid w:val="005D4F5A"/>
    <w:rsid w:val="005D50A9"/>
    <w:rsid w:val="005D52C7"/>
    <w:rsid w:val="005D5562"/>
    <w:rsid w:val="005D55AC"/>
    <w:rsid w:val="005D5769"/>
    <w:rsid w:val="005D5E5F"/>
    <w:rsid w:val="005D63E6"/>
    <w:rsid w:val="005D6E87"/>
    <w:rsid w:val="005D70E6"/>
    <w:rsid w:val="005D710C"/>
    <w:rsid w:val="005D72D1"/>
    <w:rsid w:val="005D7407"/>
    <w:rsid w:val="005D759D"/>
    <w:rsid w:val="005D7646"/>
    <w:rsid w:val="005D7AA0"/>
    <w:rsid w:val="005D7B6B"/>
    <w:rsid w:val="005D7D0F"/>
    <w:rsid w:val="005D7E08"/>
    <w:rsid w:val="005E066A"/>
    <w:rsid w:val="005E0E0E"/>
    <w:rsid w:val="005E146B"/>
    <w:rsid w:val="005E14EF"/>
    <w:rsid w:val="005E14FB"/>
    <w:rsid w:val="005E16E6"/>
    <w:rsid w:val="005E18AA"/>
    <w:rsid w:val="005E1AFE"/>
    <w:rsid w:val="005E1E96"/>
    <w:rsid w:val="005E1F6F"/>
    <w:rsid w:val="005E22C8"/>
    <w:rsid w:val="005E248D"/>
    <w:rsid w:val="005E27BA"/>
    <w:rsid w:val="005E2949"/>
    <w:rsid w:val="005E2CD3"/>
    <w:rsid w:val="005E2F56"/>
    <w:rsid w:val="005E3035"/>
    <w:rsid w:val="005E38AD"/>
    <w:rsid w:val="005E396C"/>
    <w:rsid w:val="005E39BC"/>
    <w:rsid w:val="005E3BA6"/>
    <w:rsid w:val="005E4297"/>
    <w:rsid w:val="005E42F5"/>
    <w:rsid w:val="005E4329"/>
    <w:rsid w:val="005E433E"/>
    <w:rsid w:val="005E4424"/>
    <w:rsid w:val="005E4645"/>
    <w:rsid w:val="005E485D"/>
    <w:rsid w:val="005E49A7"/>
    <w:rsid w:val="005E4AF1"/>
    <w:rsid w:val="005E4CC6"/>
    <w:rsid w:val="005E4D0E"/>
    <w:rsid w:val="005E4ECB"/>
    <w:rsid w:val="005E5075"/>
    <w:rsid w:val="005E52B7"/>
    <w:rsid w:val="005E551C"/>
    <w:rsid w:val="005E56A3"/>
    <w:rsid w:val="005E5835"/>
    <w:rsid w:val="005E5A27"/>
    <w:rsid w:val="005E6015"/>
    <w:rsid w:val="005E648D"/>
    <w:rsid w:val="005E65C8"/>
    <w:rsid w:val="005E6614"/>
    <w:rsid w:val="005E6900"/>
    <w:rsid w:val="005E6F8D"/>
    <w:rsid w:val="005E7102"/>
    <w:rsid w:val="005E73C1"/>
    <w:rsid w:val="005E74EE"/>
    <w:rsid w:val="005E7659"/>
    <w:rsid w:val="005E7849"/>
    <w:rsid w:val="005E7EAC"/>
    <w:rsid w:val="005E7FCD"/>
    <w:rsid w:val="005F02B0"/>
    <w:rsid w:val="005F0754"/>
    <w:rsid w:val="005F0C21"/>
    <w:rsid w:val="005F0DEB"/>
    <w:rsid w:val="005F15AE"/>
    <w:rsid w:val="005F1A5A"/>
    <w:rsid w:val="005F1F97"/>
    <w:rsid w:val="005F2122"/>
    <w:rsid w:val="005F22F6"/>
    <w:rsid w:val="005F268A"/>
    <w:rsid w:val="005F2956"/>
    <w:rsid w:val="005F29F7"/>
    <w:rsid w:val="005F2F1E"/>
    <w:rsid w:val="005F2FF0"/>
    <w:rsid w:val="005F306B"/>
    <w:rsid w:val="005F345E"/>
    <w:rsid w:val="005F36EF"/>
    <w:rsid w:val="005F36F5"/>
    <w:rsid w:val="005F375F"/>
    <w:rsid w:val="005F3BC6"/>
    <w:rsid w:val="005F3E74"/>
    <w:rsid w:val="005F401F"/>
    <w:rsid w:val="005F4320"/>
    <w:rsid w:val="005F44D6"/>
    <w:rsid w:val="005F458E"/>
    <w:rsid w:val="005F4814"/>
    <w:rsid w:val="005F48ED"/>
    <w:rsid w:val="005F4DF6"/>
    <w:rsid w:val="005F4EE0"/>
    <w:rsid w:val="005F5266"/>
    <w:rsid w:val="005F5323"/>
    <w:rsid w:val="005F5443"/>
    <w:rsid w:val="005F5852"/>
    <w:rsid w:val="005F5A31"/>
    <w:rsid w:val="005F5AC1"/>
    <w:rsid w:val="005F5CA8"/>
    <w:rsid w:val="005F5D85"/>
    <w:rsid w:val="005F5ECC"/>
    <w:rsid w:val="005F6017"/>
    <w:rsid w:val="005F6464"/>
    <w:rsid w:val="005F6977"/>
    <w:rsid w:val="005F782B"/>
    <w:rsid w:val="005F78C0"/>
    <w:rsid w:val="005F78D6"/>
    <w:rsid w:val="005F7921"/>
    <w:rsid w:val="005F7945"/>
    <w:rsid w:val="005F7E07"/>
    <w:rsid w:val="006000A5"/>
    <w:rsid w:val="0060029A"/>
    <w:rsid w:val="00600437"/>
    <w:rsid w:val="00600466"/>
    <w:rsid w:val="006005C9"/>
    <w:rsid w:val="00600679"/>
    <w:rsid w:val="006006C2"/>
    <w:rsid w:val="006006CE"/>
    <w:rsid w:val="006007AE"/>
    <w:rsid w:val="00600A13"/>
    <w:rsid w:val="00600AD4"/>
    <w:rsid w:val="00600BEA"/>
    <w:rsid w:val="0060110D"/>
    <w:rsid w:val="0060112B"/>
    <w:rsid w:val="00601136"/>
    <w:rsid w:val="00601200"/>
    <w:rsid w:val="006016C7"/>
    <w:rsid w:val="006016D6"/>
    <w:rsid w:val="00601765"/>
    <w:rsid w:val="006018E6"/>
    <w:rsid w:val="00601BE2"/>
    <w:rsid w:val="00601C25"/>
    <w:rsid w:val="006025E2"/>
    <w:rsid w:val="00602DA1"/>
    <w:rsid w:val="00602DB0"/>
    <w:rsid w:val="0060316C"/>
    <w:rsid w:val="00603266"/>
    <w:rsid w:val="0060332F"/>
    <w:rsid w:val="006034E2"/>
    <w:rsid w:val="00603C29"/>
    <w:rsid w:val="00603C72"/>
    <w:rsid w:val="00603D32"/>
    <w:rsid w:val="00603FE7"/>
    <w:rsid w:val="006042C5"/>
    <w:rsid w:val="00604394"/>
    <w:rsid w:val="00604602"/>
    <w:rsid w:val="0060477B"/>
    <w:rsid w:val="00604869"/>
    <w:rsid w:val="00604BC7"/>
    <w:rsid w:val="00604FA9"/>
    <w:rsid w:val="006051AF"/>
    <w:rsid w:val="006052D9"/>
    <w:rsid w:val="006054A3"/>
    <w:rsid w:val="0060561C"/>
    <w:rsid w:val="0060595F"/>
    <w:rsid w:val="006059C5"/>
    <w:rsid w:val="00605C24"/>
    <w:rsid w:val="00605D33"/>
    <w:rsid w:val="00605E1D"/>
    <w:rsid w:val="00605EDA"/>
    <w:rsid w:val="00605F8E"/>
    <w:rsid w:val="006061BC"/>
    <w:rsid w:val="006061CE"/>
    <w:rsid w:val="006061FD"/>
    <w:rsid w:val="0060699D"/>
    <w:rsid w:val="00606EAC"/>
    <w:rsid w:val="006071D3"/>
    <w:rsid w:val="0060725A"/>
    <w:rsid w:val="0060748B"/>
    <w:rsid w:val="006078C1"/>
    <w:rsid w:val="00607940"/>
    <w:rsid w:val="00607A4B"/>
    <w:rsid w:val="00607E44"/>
    <w:rsid w:val="0061004C"/>
    <w:rsid w:val="0061013A"/>
    <w:rsid w:val="0061018B"/>
    <w:rsid w:val="00610200"/>
    <w:rsid w:val="006104A4"/>
    <w:rsid w:val="00610597"/>
    <w:rsid w:val="00610702"/>
    <w:rsid w:val="0061070E"/>
    <w:rsid w:val="0061085E"/>
    <w:rsid w:val="00610A22"/>
    <w:rsid w:val="00610D01"/>
    <w:rsid w:val="00610D86"/>
    <w:rsid w:val="00611051"/>
    <w:rsid w:val="0061136B"/>
    <w:rsid w:val="00611BBF"/>
    <w:rsid w:val="00611F0B"/>
    <w:rsid w:val="00612345"/>
    <w:rsid w:val="00612374"/>
    <w:rsid w:val="00612508"/>
    <w:rsid w:val="00612C64"/>
    <w:rsid w:val="006134E5"/>
    <w:rsid w:val="00613594"/>
    <w:rsid w:val="006135D4"/>
    <w:rsid w:val="00613716"/>
    <w:rsid w:val="006137CA"/>
    <w:rsid w:val="00613EE4"/>
    <w:rsid w:val="00614068"/>
    <w:rsid w:val="00614129"/>
    <w:rsid w:val="00614169"/>
    <w:rsid w:val="00614240"/>
    <w:rsid w:val="0061429F"/>
    <w:rsid w:val="0061431B"/>
    <w:rsid w:val="00614428"/>
    <w:rsid w:val="006145C8"/>
    <w:rsid w:val="00614854"/>
    <w:rsid w:val="00614C36"/>
    <w:rsid w:val="00614FF5"/>
    <w:rsid w:val="0061564E"/>
    <w:rsid w:val="0061572E"/>
    <w:rsid w:val="00615AFF"/>
    <w:rsid w:val="00615C16"/>
    <w:rsid w:val="00615CCA"/>
    <w:rsid w:val="00615E97"/>
    <w:rsid w:val="0061608F"/>
    <w:rsid w:val="00616260"/>
    <w:rsid w:val="00616272"/>
    <w:rsid w:val="006167D7"/>
    <w:rsid w:val="00616EC7"/>
    <w:rsid w:val="0061741C"/>
    <w:rsid w:val="00617B89"/>
    <w:rsid w:val="00617CB4"/>
    <w:rsid w:val="00617DF9"/>
    <w:rsid w:val="00617EAE"/>
    <w:rsid w:val="006206C5"/>
    <w:rsid w:val="00620B57"/>
    <w:rsid w:val="00620BF1"/>
    <w:rsid w:val="00620D19"/>
    <w:rsid w:val="00620D66"/>
    <w:rsid w:val="00620E95"/>
    <w:rsid w:val="0062107E"/>
    <w:rsid w:val="006210F3"/>
    <w:rsid w:val="00621134"/>
    <w:rsid w:val="0062127A"/>
    <w:rsid w:val="00621634"/>
    <w:rsid w:val="0062177A"/>
    <w:rsid w:val="00621FD5"/>
    <w:rsid w:val="0062210F"/>
    <w:rsid w:val="00622359"/>
    <w:rsid w:val="006226C6"/>
    <w:rsid w:val="00622AA4"/>
    <w:rsid w:val="00622EF1"/>
    <w:rsid w:val="00622F2F"/>
    <w:rsid w:val="006233D9"/>
    <w:rsid w:val="00623414"/>
    <w:rsid w:val="00623490"/>
    <w:rsid w:val="00623598"/>
    <w:rsid w:val="00623C68"/>
    <w:rsid w:val="00623C9C"/>
    <w:rsid w:val="00623DB6"/>
    <w:rsid w:val="006242C5"/>
    <w:rsid w:val="006244D4"/>
    <w:rsid w:val="006245E6"/>
    <w:rsid w:val="00625417"/>
    <w:rsid w:val="00625780"/>
    <w:rsid w:val="006257CD"/>
    <w:rsid w:val="00625C3B"/>
    <w:rsid w:val="00625D01"/>
    <w:rsid w:val="0062654B"/>
    <w:rsid w:val="00626824"/>
    <w:rsid w:val="00626E60"/>
    <w:rsid w:val="00627A5F"/>
    <w:rsid w:val="00627BE8"/>
    <w:rsid w:val="00627E1C"/>
    <w:rsid w:val="00630063"/>
    <w:rsid w:val="0063025C"/>
    <w:rsid w:val="006302F6"/>
    <w:rsid w:val="00630BC8"/>
    <w:rsid w:val="006312B2"/>
    <w:rsid w:val="006313A6"/>
    <w:rsid w:val="0063158B"/>
    <w:rsid w:val="006319DF"/>
    <w:rsid w:val="00631B6E"/>
    <w:rsid w:val="00631FB0"/>
    <w:rsid w:val="00631FF3"/>
    <w:rsid w:val="006321DB"/>
    <w:rsid w:val="0063238E"/>
    <w:rsid w:val="0063294E"/>
    <w:rsid w:val="00632AAD"/>
    <w:rsid w:val="00632BC9"/>
    <w:rsid w:val="00633323"/>
    <w:rsid w:val="0063340E"/>
    <w:rsid w:val="00633F28"/>
    <w:rsid w:val="0063437B"/>
    <w:rsid w:val="00634566"/>
    <w:rsid w:val="006349B9"/>
    <w:rsid w:val="00634A1D"/>
    <w:rsid w:val="00634A4D"/>
    <w:rsid w:val="00634B34"/>
    <w:rsid w:val="00634C1A"/>
    <w:rsid w:val="00634C32"/>
    <w:rsid w:val="00634D3B"/>
    <w:rsid w:val="00634F2D"/>
    <w:rsid w:val="00634F3C"/>
    <w:rsid w:val="006350C7"/>
    <w:rsid w:val="00635232"/>
    <w:rsid w:val="00635320"/>
    <w:rsid w:val="00635B9E"/>
    <w:rsid w:val="006360F4"/>
    <w:rsid w:val="00636197"/>
    <w:rsid w:val="0063689D"/>
    <w:rsid w:val="00636BDB"/>
    <w:rsid w:val="0063730D"/>
    <w:rsid w:val="00637515"/>
    <w:rsid w:val="006376EE"/>
    <w:rsid w:val="00637C37"/>
    <w:rsid w:val="00637D88"/>
    <w:rsid w:val="00640F51"/>
    <w:rsid w:val="006410AA"/>
    <w:rsid w:val="00641DD0"/>
    <w:rsid w:val="00641FDE"/>
    <w:rsid w:val="0064200D"/>
    <w:rsid w:val="0064205A"/>
    <w:rsid w:val="006421F6"/>
    <w:rsid w:val="00642678"/>
    <w:rsid w:val="00642735"/>
    <w:rsid w:val="0064293B"/>
    <w:rsid w:val="00642C84"/>
    <w:rsid w:val="00643183"/>
    <w:rsid w:val="0064375E"/>
    <w:rsid w:val="00643AB2"/>
    <w:rsid w:val="00643AF0"/>
    <w:rsid w:val="00643CF6"/>
    <w:rsid w:val="00643DCD"/>
    <w:rsid w:val="00644085"/>
    <w:rsid w:val="00644450"/>
    <w:rsid w:val="006444D3"/>
    <w:rsid w:val="00644529"/>
    <w:rsid w:val="00644799"/>
    <w:rsid w:val="00644C86"/>
    <w:rsid w:val="00644F40"/>
    <w:rsid w:val="00645083"/>
    <w:rsid w:val="006453AC"/>
    <w:rsid w:val="00645A3E"/>
    <w:rsid w:val="00645AC5"/>
    <w:rsid w:val="006463E5"/>
    <w:rsid w:val="00646557"/>
    <w:rsid w:val="00646625"/>
    <w:rsid w:val="006467D3"/>
    <w:rsid w:val="00646B20"/>
    <w:rsid w:val="00646B35"/>
    <w:rsid w:val="00646EBC"/>
    <w:rsid w:val="00646F21"/>
    <w:rsid w:val="00646FB0"/>
    <w:rsid w:val="006470B3"/>
    <w:rsid w:val="006477DE"/>
    <w:rsid w:val="00647D9A"/>
    <w:rsid w:val="006500E9"/>
    <w:rsid w:val="00650418"/>
    <w:rsid w:val="00650511"/>
    <w:rsid w:val="006507B3"/>
    <w:rsid w:val="00650A90"/>
    <w:rsid w:val="00650BDE"/>
    <w:rsid w:val="00650E60"/>
    <w:rsid w:val="00650E90"/>
    <w:rsid w:val="006510B5"/>
    <w:rsid w:val="006510EE"/>
    <w:rsid w:val="006515BC"/>
    <w:rsid w:val="006519AC"/>
    <w:rsid w:val="00651D21"/>
    <w:rsid w:val="00651DF5"/>
    <w:rsid w:val="00651F71"/>
    <w:rsid w:val="006521F2"/>
    <w:rsid w:val="00652351"/>
    <w:rsid w:val="00652408"/>
    <w:rsid w:val="006525A3"/>
    <w:rsid w:val="00652BDE"/>
    <w:rsid w:val="00652D12"/>
    <w:rsid w:val="00653014"/>
    <w:rsid w:val="0065303E"/>
    <w:rsid w:val="0065318B"/>
    <w:rsid w:val="00653306"/>
    <w:rsid w:val="006534AE"/>
    <w:rsid w:val="00653615"/>
    <w:rsid w:val="006537EE"/>
    <w:rsid w:val="00653857"/>
    <w:rsid w:val="006538AB"/>
    <w:rsid w:val="0065390D"/>
    <w:rsid w:val="0065394F"/>
    <w:rsid w:val="00653989"/>
    <w:rsid w:val="00653EC2"/>
    <w:rsid w:val="00653F47"/>
    <w:rsid w:val="00653F6C"/>
    <w:rsid w:val="00654038"/>
    <w:rsid w:val="00654157"/>
    <w:rsid w:val="00654564"/>
    <w:rsid w:val="00654935"/>
    <w:rsid w:val="00654B88"/>
    <w:rsid w:val="00654D3A"/>
    <w:rsid w:val="00654ED2"/>
    <w:rsid w:val="006550B9"/>
    <w:rsid w:val="006552A6"/>
    <w:rsid w:val="006555ED"/>
    <w:rsid w:val="00655652"/>
    <w:rsid w:val="006556C3"/>
    <w:rsid w:val="006558E9"/>
    <w:rsid w:val="00655CA0"/>
    <w:rsid w:val="00655DFE"/>
    <w:rsid w:val="00656203"/>
    <w:rsid w:val="0065620D"/>
    <w:rsid w:val="006562FA"/>
    <w:rsid w:val="0065643D"/>
    <w:rsid w:val="006568D9"/>
    <w:rsid w:val="00656942"/>
    <w:rsid w:val="00656A92"/>
    <w:rsid w:val="00656B5C"/>
    <w:rsid w:val="00656DDF"/>
    <w:rsid w:val="00656F70"/>
    <w:rsid w:val="00656FBD"/>
    <w:rsid w:val="0065751A"/>
    <w:rsid w:val="00657797"/>
    <w:rsid w:val="006577C9"/>
    <w:rsid w:val="00657804"/>
    <w:rsid w:val="0065786B"/>
    <w:rsid w:val="006578D4"/>
    <w:rsid w:val="006579A9"/>
    <w:rsid w:val="00657B84"/>
    <w:rsid w:val="00657C7C"/>
    <w:rsid w:val="00657C86"/>
    <w:rsid w:val="00660107"/>
    <w:rsid w:val="0066035E"/>
    <w:rsid w:val="0066079E"/>
    <w:rsid w:val="0066084A"/>
    <w:rsid w:val="00660923"/>
    <w:rsid w:val="00660A47"/>
    <w:rsid w:val="00660A58"/>
    <w:rsid w:val="00660B89"/>
    <w:rsid w:val="00660BA4"/>
    <w:rsid w:val="00660C93"/>
    <w:rsid w:val="00660CA9"/>
    <w:rsid w:val="00660E08"/>
    <w:rsid w:val="0066141E"/>
    <w:rsid w:val="00661514"/>
    <w:rsid w:val="00661B65"/>
    <w:rsid w:val="00661B69"/>
    <w:rsid w:val="00661EC2"/>
    <w:rsid w:val="006620F4"/>
    <w:rsid w:val="0066228B"/>
    <w:rsid w:val="00662440"/>
    <w:rsid w:val="0066279C"/>
    <w:rsid w:val="006627F2"/>
    <w:rsid w:val="00662869"/>
    <w:rsid w:val="006628F5"/>
    <w:rsid w:val="00662D35"/>
    <w:rsid w:val="00662E63"/>
    <w:rsid w:val="00663083"/>
    <w:rsid w:val="00663455"/>
    <w:rsid w:val="00663581"/>
    <w:rsid w:val="00663B32"/>
    <w:rsid w:val="00664249"/>
    <w:rsid w:val="00664493"/>
    <w:rsid w:val="00664600"/>
    <w:rsid w:val="0066501A"/>
    <w:rsid w:val="00665B33"/>
    <w:rsid w:val="00665B9B"/>
    <w:rsid w:val="00665DF7"/>
    <w:rsid w:val="00666232"/>
    <w:rsid w:val="0066671F"/>
    <w:rsid w:val="006668D9"/>
    <w:rsid w:val="006668DC"/>
    <w:rsid w:val="006669C2"/>
    <w:rsid w:val="00666F64"/>
    <w:rsid w:val="0066738D"/>
    <w:rsid w:val="00667A07"/>
    <w:rsid w:val="00667A6C"/>
    <w:rsid w:val="00667DC7"/>
    <w:rsid w:val="00667E42"/>
    <w:rsid w:val="006700BD"/>
    <w:rsid w:val="006700C4"/>
    <w:rsid w:val="0067025A"/>
    <w:rsid w:val="00670418"/>
    <w:rsid w:val="00670B75"/>
    <w:rsid w:val="00670BF2"/>
    <w:rsid w:val="00670C33"/>
    <w:rsid w:val="00670D5F"/>
    <w:rsid w:val="00671169"/>
    <w:rsid w:val="006713B0"/>
    <w:rsid w:val="0067170B"/>
    <w:rsid w:val="00671789"/>
    <w:rsid w:val="00671A76"/>
    <w:rsid w:val="00671CF0"/>
    <w:rsid w:val="006726B5"/>
    <w:rsid w:val="006726DF"/>
    <w:rsid w:val="006728C1"/>
    <w:rsid w:val="00672AD5"/>
    <w:rsid w:val="00672CBB"/>
    <w:rsid w:val="006735DD"/>
    <w:rsid w:val="00673771"/>
    <w:rsid w:val="0067391E"/>
    <w:rsid w:val="0067399B"/>
    <w:rsid w:val="00673A11"/>
    <w:rsid w:val="00674051"/>
    <w:rsid w:val="0067406E"/>
    <w:rsid w:val="006752A4"/>
    <w:rsid w:val="00675301"/>
    <w:rsid w:val="00675362"/>
    <w:rsid w:val="00675856"/>
    <w:rsid w:val="006758FC"/>
    <w:rsid w:val="006759AD"/>
    <w:rsid w:val="00675E6F"/>
    <w:rsid w:val="006760D2"/>
    <w:rsid w:val="00676154"/>
    <w:rsid w:val="00676295"/>
    <w:rsid w:val="00676361"/>
    <w:rsid w:val="006764E2"/>
    <w:rsid w:val="006764EB"/>
    <w:rsid w:val="00676CF0"/>
    <w:rsid w:val="00677225"/>
    <w:rsid w:val="006773C0"/>
    <w:rsid w:val="0067742F"/>
    <w:rsid w:val="00677541"/>
    <w:rsid w:val="00677605"/>
    <w:rsid w:val="006776F3"/>
    <w:rsid w:val="00677C1B"/>
    <w:rsid w:val="00677D64"/>
    <w:rsid w:val="006802A6"/>
    <w:rsid w:val="0068035C"/>
    <w:rsid w:val="006805C6"/>
    <w:rsid w:val="00680623"/>
    <w:rsid w:val="006806BD"/>
    <w:rsid w:val="00680A53"/>
    <w:rsid w:val="00680BBC"/>
    <w:rsid w:val="006812B6"/>
    <w:rsid w:val="00681890"/>
    <w:rsid w:val="0068194C"/>
    <w:rsid w:val="0068195C"/>
    <w:rsid w:val="00681D22"/>
    <w:rsid w:val="00681DA2"/>
    <w:rsid w:val="0068207A"/>
    <w:rsid w:val="00682129"/>
    <w:rsid w:val="00682345"/>
    <w:rsid w:val="00682416"/>
    <w:rsid w:val="00682560"/>
    <w:rsid w:val="006827EC"/>
    <w:rsid w:val="00682AD4"/>
    <w:rsid w:val="00683028"/>
    <w:rsid w:val="006830DB"/>
    <w:rsid w:val="006832C8"/>
    <w:rsid w:val="00683B4E"/>
    <w:rsid w:val="00683C9B"/>
    <w:rsid w:val="00683D62"/>
    <w:rsid w:val="006847E3"/>
    <w:rsid w:val="0068488D"/>
    <w:rsid w:val="006848A1"/>
    <w:rsid w:val="00684FFB"/>
    <w:rsid w:val="00685032"/>
    <w:rsid w:val="00685236"/>
    <w:rsid w:val="006853F8"/>
    <w:rsid w:val="006854B9"/>
    <w:rsid w:val="00685D99"/>
    <w:rsid w:val="0068600A"/>
    <w:rsid w:val="00686077"/>
    <w:rsid w:val="00686113"/>
    <w:rsid w:val="0068614D"/>
    <w:rsid w:val="00686190"/>
    <w:rsid w:val="006861E6"/>
    <w:rsid w:val="00686687"/>
    <w:rsid w:val="0068674F"/>
    <w:rsid w:val="0068693D"/>
    <w:rsid w:val="00686E5D"/>
    <w:rsid w:val="00687163"/>
    <w:rsid w:val="0068732E"/>
    <w:rsid w:val="006877AC"/>
    <w:rsid w:val="00687D01"/>
    <w:rsid w:val="00687EB7"/>
    <w:rsid w:val="00687EC4"/>
    <w:rsid w:val="006904D0"/>
    <w:rsid w:val="006905E1"/>
    <w:rsid w:val="00690935"/>
    <w:rsid w:val="0069094D"/>
    <w:rsid w:val="00690C26"/>
    <w:rsid w:val="00690E8B"/>
    <w:rsid w:val="006911F9"/>
    <w:rsid w:val="006912B8"/>
    <w:rsid w:val="0069164D"/>
    <w:rsid w:val="00691A1B"/>
    <w:rsid w:val="00691C3A"/>
    <w:rsid w:val="00691F09"/>
    <w:rsid w:val="00691F72"/>
    <w:rsid w:val="00692081"/>
    <w:rsid w:val="00692137"/>
    <w:rsid w:val="006925B9"/>
    <w:rsid w:val="00692829"/>
    <w:rsid w:val="00692DF5"/>
    <w:rsid w:val="00692E09"/>
    <w:rsid w:val="0069346C"/>
    <w:rsid w:val="0069349D"/>
    <w:rsid w:val="0069360E"/>
    <w:rsid w:val="00693662"/>
    <w:rsid w:val="00693F3C"/>
    <w:rsid w:val="00694201"/>
    <w:rsid w:val="0069476E"/>
    <w:rsid w:val="0069508F"/>
    <w:rsid w:val="0069539E"/>
    <w:rsid w:val="00695583"/>
    <w:rsid w:val="006955E5"/>
    <w:rsid w:val="0069570D"/>
    <w:rsid w:val="00695715"/>
    <w:rsid w:val="00695F59"/>
    <w:rsid w:val="006962B6"/>
    <w:rsid w:val="0069669F"/>
    <w:rsid w:val="006966A1"/>
    <w:rsid w:val="00696A01"/>
    <w:rsid w:val="00696C49"/>
    <w:rsid w:val="00696D38"/>
    <w:rsid w:val="006972C3"/>
    <w:rsid w:val="0069744B"/>
    <w:rsid w:val="00697702"/>
    <w:rsid w:val="0069795C"/>
    <w:rsid w:val="006979C2"/>
    <w:rsid w:val="00697EA4"/>
    <w:rsid w:val="00697F75"/>
    <w:rsid w:val="006A0553"/>
    <w:rsid w:val="006A076F"/>
    <w:rsid w:val="006A07C2"/>
    <w:rsid w:val="006A0FA4"/>
    <w:rsid w:val="006A105B"/>
    <w:rsid w:val="006A1239"/>
    <w:rsid w:val="006A1403"/>
    <w:rsid w:val="006A1491"/>
    <w:rsid w:val="006A164F"/>
    <w:rsid w:val="006A175C"/>
    <w:rsid w:val="006A17E0"/>
    <w:rsid w:val="006A19DE"/>
    <w:rsid w:val="006A1A00"/>
    <w:rsid w:val="006A1BCA"/>
    <w:rsid w:val="006A222D"/>
    <w:rsid w:val="006A2755"/>
    <w:rsid w:val="006A2B70"/>
    <w:rsid w:val="006A2CB9"/>
    <w:rsid w:val="006A2CC1"/>
    <w:rsid w:val="006A2D2B"/>
    <w:rsid w:val="006A2F2E"/>
    <w:rsid w:val="006A389F"/>
    <w:rsid w:val="006A3E87"/>
    <w:rsid w:val="006A3E93"/>
    <w:rsid w:val="006A3F8F"/>
    <w:rsid w:val="006A400D"/>
    <w:rsid w:val="006A400F"/>
    <w:rsid w:val="006A4045"/>
    <w:rsid w:val="006A4665"/>
    <w:rsid w:val="006A46D9"/>
    <w:rsid w:val="006A4C11"/>
    <w:rsid w:val="006A50C3"/>
    <w:rsid w:val="006A5238"/>
    <w:rsid w:val="006A5527"/>
    <w:rsid w:val="006A5A4C"/>
    <w:rsid w:val="006A672C"/>
    <w:rsid w:val="006A69E7"/>
    <w:rsid w:val="006A69E8"/>
    <w:rsid w:val="006A6B2D"/>
    <w:rsid w:val="006A6C5A"/>
    <w:rsid w:val="006A6FE7"/>
    <w:rsid w:val="006A716F"/>
    <w:rsid w:val="006A7451"/>
    <w:rsid w:val="006A7525"/>
    <w:rsid w:val="006A75CB"/>
    <w:rsid w:val="006A76A3"/>
    <w:rsid w:val="006A7A82"/>
    <w:rsid w:val="006A7CA0"/>
    <w:rsid w:val="006B06F9"/>
    <w:rsid w:val="006B0E70"/>
    <w:rsid w:val="006B1117"/>
    <w:rsid w:val="006B140B"/>
    <w:rsid w:val="006B144D"/>
    <w:rsid w:val="006B1539"/>
    <w:rsid w:val="006B1718"/>
    <w:rsid w:val="006B17AA"/>
    <w:rsid w:val="006B1AC8"/>
    <w:rsid w:val="006B1D7C"/>
    <w:rsid w:val="006B1F45"/>
    <w:rsid w:val="006B1F6D"/>
    <w:rsid w:val="006B2594"/>
    <w:rsid w:val="006B2665"/>
    <w:rsid w:val="006B2677"/>
    <w:rsid w:val="006B26F8"/>
    <w:rsid w:val="006B2749"/>
    <w:rsid w:val="006B311C"/>
    <w:rsid w:val="006B34A0"/>
    <w:rsid w:val="006B35D0"/>
    <w:rsid w:val="006B361F"/>
    <w:rsid w:val="006B3BF1"/>
    <w:rsid w:val="006B3EC8"/>
    <w:rsid w:val="006B4404"/>
    <w:rsid w:val="006B4629"/>
    <w:rsid w:val="006B46D0"/>
    <w:rsid w:val="006B4717"/>
    <w:rsid w:val="006B482A"/>
    <w:rsid w:val="006B4BD8"/>
    <w:rsid w:val="006B4C82"/>
    <w:rsid w:val="006B4ECE"/>
    <w:rsid w:val="006B551A"/>
    <w:rsid w:val="006B58FE"/>
    <w:rsid w:val="006B5F9B"/>
    <w:rsid w:val="006B62AF"/>
    <w:rsid w:val="006B6562"/>
    <w:rsid w:val="006B6664"/>
    <w:rsid w:val="006B6A4A"/>
    <w:rsid w:val="006B7407"/>
    <w:rsid w:val="006B741F"/>
    <w:rsid w:val="006B7511"/>
    <w:rsid w:val="006B75D3"/>
    <w:rsid w:val="006B76CB"/>
    <w:rsid w:val="006B7A68"/>
    <w:rsid w:val="006B7D71"/>
    <w:rsid w:val="006B7FD6"/>
    <w:rsid w:val="006C00D2"/>
    <w:rsid w:val="006C02B0"/>
    <w:rsid w:val="006C02C9"/>
    <w:rsid w:val="006C0317"/>
    <w:rsid w:val="006C03CB"/>
    <w:rsid w:val="006C06A0"/>
    <w:rsid w:val="006C0741"/>
    <w:rsid w:val="006C074B"/>
    <w:rsid w:val="006C07D5"/>
    <w:rsid w:val="006C09FB"/>
    <w:rsid w:val="006C108E"/>
    <w:rsid w:val="006C113A"/>
    <w:rsid w:val="006C1284"/>
    <w:rsid w:val="006C16F0"/>
    <w:rsid w:val="006C175F"/>
    <w:rsid w:val="006C1762"/>
    <w:rsid w:val="006C2F5B"/>
    <w:rsid w:val="006C32F7"/>
    <w:rsid w:val="006C3457"/>
    <w:rsid w:val="006C3E76"/>
    <w:rsid w:val="006C410F"/>
    <w:rsid w:val="006C44D8"/>
    <w:rsid w:val="006C4865"/>
    <w:rsid w:val="006C48FB"/>
    <w:rsid w:val="006C4F76"/>
    <w:rsid w:val="006C5CE1"/>
    <w:rsid w:val="006C5D48"/>
    <w:rsid w:val="006C6071"/>
    <w:rsid w:val="006C607E"/>
    <w:rsid w:val="006C608E"/>
    <w:rsid w:val="006C6236"/>
    <w:rsid w:val="006C626D"/>
    <w:rsid w:val="006C6697"/>
    <w:rsid w:val="006C6739"/>
    <w:rsid w:val="006C707D"/>
    <w:rsid w:val="006C71AA"/>
    <w:rsid w:val="006C73A3"/>
    <w:rsid w:val="006C7526"/>
    <w:rsid w:val="006C75BE"/>
    <w:rsid w:val="006C7899"/>
    <w:rsid w:val="006C7932"/>
    <w:rsid w:val="006C7B7E"/>
    <w:rsid w:val="006C7E2E"/>
    <w:rsid w:val="006D0137"/>
    <w:rsid w:val="006D0388"/>
    <w:rsid w:val="006D0995"/>
    <w:rsid w:val="006D0B88"/>
    <w:rsid w:val="006D0CDF"/>
    <w:rsid w:val="006D1715"/>
    <w:rsid w:val="006D2400"/>
    <w:rsid w:val="006D276F"/>
    <w:rsid w:val="006D285A"/>
    <w:rsid w:val="006D2AEC"/>
    <w:rsid w:val="006D2C41"/>
    <w:rsid w:val="006D367B"/>
    <w:rsid w:val="006D38C6"/>
    <w:rsid w:val="006D3CC8"/>
    <w:rsid w:val="006D42EC"/>
    <w:rsid w:val="006D43B8"/>
    <w:rsid w:val="006D44BF"/>
    <w:rsid w:val="006D452D"/>
    <w:rsid w:val="006D453D"/>
    <w:rsid w:val="006D48A2"/>
    <w:rsid w:val="006D4DC1"/>
    <w:rsid w:val="006D4F98"/>
    <w:rsid w:val="006D5192"/>
    <w:rsid w:val="006D549A"/>
    <w:rsid w:val="006D5662"/>
    <w:rsid w:val="006D59D2"/>
    <w:rsid w:val="006D5B72"/>
    <w:rsid w:val="006D6057"/>
    <w:rsid w:val="006D6420"/>
    <w:rsid w:val="006D64B1"/>
    <w:rsid w:val="006D6696"/>
    <w:rsid w:val="006D6BC0"/>
    <w:rsid w:val="006D70BA"/>
    <w:rsid w:val="006D70E3"/>
    <w:rsid w:val="006D7163"/>
    <w:rsid w:val="006D7421"/>
    <w:rsid w:val="006D7B23"/>
    <w:rsid w:val="006D7EF7"/>
    <w:rsid w:val="006E0056"/>
    <w:rsid w:val="006E0128"/>
    <w:rsid w:val="006E04FE"/>
    <w:rsid w:val="006E07E6"/>
    <w:rsid w:val="006E09C6"/>
    <w:rsid w:val="006E0AFF"/>
    <w:rsid w:val="006E0CA8"/>
    <w:rsid w:val="006E1191"/>
    <w:rsid w:val="006E12A7"/>
    <w:rsid w:val="006E153B"/>
    <w:rsid w:val="006E165B"/>
    <w:rsid w:val="006E1715"/>
    <w:rsid w:val="006E2B75"/>
    <w:rsid w:val="006E2C6E"/>
    <w:rsid w:val="006E2F29"/>
    <w:rsid w:val="006E3250"/>
    <w:rsid w:val="006E3512"/>
    <w:rsid w:val="006E3BB2"/>
    <w:rsid w:val="006E3CA2"/>
    <w:rsid w:val="006E3E66"/>
    <w:rsid w:val="006E3FB1"/>
    <w:rsid w:val="006E45CF"/>
    <w:rsid w:val="006E47AE"/>
    <w:rsid w:val="006E4BA2"/>
    <w:rsid w:val="006E4BF4"/>
    <w:rsid w:val="006E4DEB"/>
    <w:rsid w:val="006E5169"/>
    <w:rsid w:val="006E522B"/>
    <w:rsid w:val="006E5349"/>
    <w:rsid w:val="006E5442"/>
    <w:rsid w:val="006E54E2"/>
    <w:rsid w:val="006E5506"/>
    <w:rsid w:val="006E5649"/>
    <w:rsid w:val="006E586F"/>
    <w:rsid w:val="006E5BF6"/>
    <w:rsid w:val="006E5F86"/>
    <w:rsid w:val="006E5FC4"/>
    <w:rsid w:val="006E6219"/>
    <w:rsid w:val="006E6400"/>
    <w:rsid w:val="006E65AD"/>
    <w:rsid w:val="006E6810"/>
    <w:rsid w:val="006E6CB1"/>
    <w:rsid w:val="006E6D86"/>
    <w:rsid w:val="006E744C"/>
    <w:rsid w:val="006E79BD"/>
    <w:rsid w:val="006E7C14"/>
    <w:rsid w:val="006E7C78"/>
    <w:rsid w:val="006E7F4F"/>
    <w:rsid w:val="006F01F7"/>
    <w:rsid w:val="006F0591"/>
    <w:rsid w:val="006F05BF"/>
    <w:rsid w:val="006F0875"/>
    <w:rsid w:val="006F1052"/>
    <w:rsid w:val="006F132B"/>
    <w:rsid w:val="006F13B8"/>
    <w:rsid w:val="006F142F"/>
    <w:rsid w:val="006F1686"/>
    <w:rsid w:val="006F1707"/>
    <w:rsid w:val="006F1A30"/>
    <w:rsid w:val="006F1CCF"/>
    <w:rsid w:val="006F216C"/>
    <w:rsid w:val="006F21C8"/>
    <w:rsid w:val="006F269C"/>
    <w:rsid w:val="006F281E"/>
    <w:rsid w:val="006F297E"/>
    <w:rsid w:val="006F29FE"/>
    <w:rsid w:val="006F2B68"/>
    <w:rsid w:val="006F2B7B"/>
    <w:rsid w:val="006F2F98"/>
    <w:rsid w:val="006F3078"/>
    <w:rsid w:val="006F30BE"/>
    <w:rsid w:val="006F36CA"/>
    <w:rsid w:val="006F39E4"/>
    <w:rsid w:val="006F3A08"/>
    <w:rsid w:val="006F3B62"/>
    <w:rsid w:val="006F3F94"/>
    <w:rsid w:val="006F4209"/>
    <w:rsid w:val="006F432D"/>
    <w:rsid w:val="006F43F4"/>
    <w:rsid w:val="006F4882"/>
    <w:rsid w:val="006F48DA"/>
    <w:rsid w:val="006F4CCD"/>
    <w:rsid w:val="006F4D5B"/>
    <w:rsid w:val="006F4FB4"/>
    <w:rsid w:val="006F52FD"/>
    <w:rsid w:val="006F586C"/>
    <w:rsid w:val="006F58EC"/>
    <w:rsid w:val="006F5D7C"/>
    <w:rsid w:val="006F5DD9"/>
    <w:rsid w:val="006F5FBF"/>
    <w:rsid w:val="006F6036"/>
    <w:rsid w:val="006F62B4"/>
    <w:rsid w:val="006F6CD5"/>
    <w:rsid w:val="006F6F72"/>
    <w:rsid w:val="006F74A7"/>
    <w:rsid w:val="006F75B2"/>
    <w:rsid w:val="006F768A"/>
    <w:rsid w:val="006F772B"/>
    <w:rsid w:val="006F7F30"/>
    <w:rsid w:val="007002C2"/>
    <w:rsid w:val="007003B3"/>
    <w:rsid w:val="00700469"/>
    <w:rsid w:val="007004AD"/>
    <w:rsid w:val="007005C0"/>
    <w:rsid w:val="007005CB"/>
    <w:rsid w:val="007007FB"/>
    <w:rsid w:val="00700C23"/>
    <w:rsid w:val="00700C38"/>
    <w:rsid w:val="00700E15"/>
    <w:rsid w:val="00700FE4"/>
    <w:rsid w:val="00701298"/>
    <w:rsid w:val="0070139C"/>
    <w:rsid w:val="00701852"/>
    <w:rsid w:val="00701E38"/>
    <w:rsid w:val="0070204D"/>
    <w:rsid w:val="0070218B"/>
    <w:rsid w:val="007023E7"/>
    <w:rsid w:val="007023F2"/>
    <w:rsid w:val="0070247B"/>
    <w:rsid w:val="0070247E"/>
    <w:rsid w:val="00702614"/>
    <w:rsid w:val="00702829"/>
    <w:rsid w:val="00702A85"/>
    <w:rsid w:val="00702D77"/>
    <w:rsid w:val="00702DF1"/>
    <w:rsid w:val="007035E6"/>
    <w:rsid w:val="0070365E"/>
    <w:rsid w:val="00703721"/>
    <w:rsid w:val="00703A84"/>
    <w:rsid w:val="00703A90"/>
    <w:rsid w:val="00703B95"/>
    <w:rsid w:val="0070411E"/>
    <w:rsid w:val="007043F8"/>
    <w:rsid w:val="007045E9"/>
    <w:rsid w:val="007045F4"/>
    <w:rsid w:val="0070465C"/>
    <w:rsid w:val="0070499C"/>
    <w:rsid w:val="00704A17"/>
    <w:rsid w:val="00704B5F"/>
    <w:rsid w:val="00704BE2"/>
    <w:rsid w:val="007057BE"/>
    <w:rsid w:val="00705B39"/>
    <w:rsid w:val="00705F41"/>
    <w:rsid w:val="00706125"/>
    <w:rsid w:val="00706785"/>
    <w:rsid w:val="007069C8"/>
    <w:rsid w:val="00706CFC"/>
    <w:rsid w:val="00706EF5"/>
    <w:rsid w:val="0070740B"/>
    <w:rsid w:val="00707776"/>
    <w:rsid w:val="0070781D"/>
    <w:rsid w:val="0070791C"/>
    <w:rsid w:val="00707B08"/>
    <w:rsid w:val="00707CF9"/>
    <w:rsid w:val="00707D50"/>
    <w:rsid w:val="00707ED9"/>
    <w:rsid w:val="00707F8D"/>
    <w:rsid w:val="00710227"/>
    <w:rsid w:val="007103E9"/>
    <w:rsid w:val="007104AD"/>
    <w:rsid w:val="00710B51"/>
    <w:rsid w:val="00710F9C"/>
    <w:rsid w:val="007110FE"/>
    <w:rsid w:val="0071120B"/>
    <w:rsid w:val="00711726"/>
    <w:rsid w:val="007118CA"/>
    <w:rsid w:val="00711B8E"/>
    <w:rsid w:val="00711FA6"/>
    <w:rsid w:val="007122F3"/>
    <w:rsid w:val="007126E8"/>
    <w:rsid w:val="00712881"/>
    <w:rsid w:val="00712C54"/>
    <w:rsid w:val="00712D6F"/>
    <w:rsid w:val="0071368C"/>
    <w:rsid w:val="007136A5"/>
    <w:rsid w:val="00713714"/>
    <w:rsid w:val="007137A6"/>
    <w:rsid w:val="00713855"/>
    <w:rsid w:val="00713ADC"/>
    <w:rsid w:val="00713D82"/>
    <w:rsid w:val="00713F47"/>
    <w:rsid w:val="00713F95"/>
    <w:rsid w:val="00714112"/>
    <w:rsid w:val="0071424B"/>
    <w:rsid w:val="00714344"/>
    <w:rsid w:val="007143BC"/>
    <w:rsid w:val="007143FC"/>
    <w:rsid w:val="00714737"/>
    <w:rsid w:val="007149C9"/>
    <w:rsid w:val="00714F32"/>
    <w:rsid w:val="0071502B"/>
    <w:rsid w:val="00715221"/>
    <w:rsid w:val="0071569E"/>
    <w:rsid w:val="0071575B"/>
    <w:rsid w:val="00715806"/>
    <w:rsid w:val="00715BA4"/>
    <w:rsid w:val="007160C1"/>
    <w:rsid w:val="00716196"/>
    <w:rsid w:val="0071653C"/>
    <w:rsid w:val="00716746"/>
    <w:rsid w:val="007168DC"/>
    <w:rsid w:val="00716CA2"/>
    <w:rsid w:val="00716D94"/>
    <w:rsid w:val="00716F11"/>
    <w:rsid w:val="007170E2"/>
    <w:rsid w:val="007174FD"/>
    <w:rsid w:val="00717A45"/>
    <w:rsid w:val="007203C8"/>
    <w:rsid w:val="00720498"/>
    <w:rsid w:val="00720931"/>
    <w:rsid w:val="00720D12"/>
    <w:rsid w:val="00720D4F"/>
    <w:rsid w:val="00720DA3"/>
    <w:rsid w:val="00721110"/>
    <w:rsid w:val="0072180B"/>
    <w:rsid w:val="007218EE"/>
    <w:rsid w:val="00721A33"/>
    <w:rsid w:val="00721B65"/>
    <w:rsid w:val="007222B4"/>
    <w:rsid w:val="0072256A"/>
    <w:rsid w:val="00722697"/>
    <w:rsid w:val="00722967"/>
    <w:rsid w:val="00722D89"/>
    <w:rsid w:val="007232EA"/>
    <w:rsid w:val="007237EA"/>
    <w:rsid w:val="0072382F"/>
    <w:rsid w:val="00723982"/>
    <w:rsid w:val="00723A1F"/>
    <w:rsid w:val="00723C14"/>
    <w:rsid w:val="0072404B"/>
    <w:rsid w:val="00724180"/>
    <w:rsid w:val="007246D4"/>
    <w:rsid w:val="00724B6C"/>
    <w:rsid w:val="00724FC4"/>
    <w:rsid w:val="007251A0"/>
    <w:rsid w:val="00725380"/>
    <w:rsid w:val="0072543E"/>
    <w:rsid w:val="00725851"/>
    <w:rsid w:val="007259FF"/>
    <w:rsid w:val="00725A42"/>
    <w:rsid w:val="00725DF8"/>
    <w:rsid w:val="00726233"/>
    <w:rsid w:val="007262D0"/>
    <w:rsid w:val="007262DA"/>
    <w:rsid w:val="00726C6B"/>
    <w:rsid w:val="00726F4D"/>
    <w:rsid w:val="00727154"/>
    <w:rsid w:val="007272A2"/>
    <w:rsid w:val="007273D4"/>
    <w:rsid w:val="00727599"/>
    <w:rsid w:val="007277F6"/>
    <w:rsid w:val="00727826"/>
    <w:rsid w:val="00727A3F"/>
    <w:rsid w:val="00727B83"/>
    <w:rsid w:val="00727EC1"/>
    <w:rsid w:val="00730060"/>
    <w:rsid w:val="00730777"/>
    <w:rsid w:val="00730D3A"/>
    <w:rsid w:val="00730D4F"/>
    <w:rsid w:val="00730F95"/>
    <w:rsid w:val="00730FA3"/>
    <w:rsid w:val="007311C1"/>
    <w:rsid w:val="007313A9"/>
    <w:rsid w:val="007313E8"/>
    <w:rsid w:val="00731453"/>
    <w:rsid w:val="00731616"/>
    <w:rsid w:val="00731E52"/>
    <w:rsid w:val="00732B46"/>
    <w:rsid w:val="00732B51"/>
    <w:rsid w:val="00732E6D"/>
    <w:rsid w:val="00732E93"/>
    <w:rsid w:val="00732EBD"/>
    <w:rsid w:val="00732F5A"/>
    <w:rsid w:val="00732FC4"/>
    <w:rsid w:val="00733283"/>
    <w:rsid w:val="007332C4"/>
    <w:rsid w:val="0073337E"/>
    <w:rsid w:val="00733451"/>
    <w:rsid w:val="007334F8"/>
    <w:rsid w:val="00733A52"/>
    <w:rsid w:val="007343C6"/>
    <w:rsid w:val="007343E5"/>
    <w:rsid w:val="007345A1"/>
    <w:rsid w:val="00734608"/>
    <w:rsid w:val="00734EC2"/>
    <w:rsid w:val="00734F8B"/>
    <w:rsid w:val="007351E1"/>
    <w:rsid w:val="00735280"/>
    <w:rsid w:val="00735796"/>
    <w:rsid w:val="00735D15"/>
    <w:rsid w:val="00735DE6"/>
    <w:rsid w:val="007361AF"/>
    <w:rsid w:val="00736A7C"/>
    <w:rsid w:val="00736A8B"/>
    <w:rsid w:val="00736C1C"/>
    <w:rsid w:val="00736F6E"/>
    <w:rsid w:val="0073727E"/>
    <w:rsid w:val="00737280"/>
    <w:rsid w:val="00737616"/>
    <w:rsid w:val="00737652"/>
    <w:rsid w:val="00737668"/>
    <w:rsid w:val="00737866"/>
    <w:rsid w:val="00737CF8"/>
    <w:rsid w:val="00737F23"/>
    <w:rsid w:val="00737F9E"/>
    <w:rsid w:val="00740595"/>
    <w:rsid w:val="0074073D"/>
    <w:rsid w:val="00740A78"/>
    <w:rsid w:val="00740C73"/>
    <w:rsid w:val="00740D66"/>
    <w:rsid w:val="00741322"/>
    <w:rsid w:val="00741594"/>
    <w:rsid w:val="0074181C"/>
    <w:rsid w:val="0074181F"/>
    <w:rsid w:val="00741841"/>
    <w:rsid w:val="00741BB2"/>
    <w:rsid w:val="00741EE6"/>
    <w:rsid w:val="00741F51"/>
    <w:rsid w:val="00741FB8"/>
    <w:rsid w:val="00741FCC"/>
    <w:rsid w:val="0074228F"/>
    <w:rsid w:val="007424CF"/>
    <w:rsid w:val="00742B6E"/>
    <w:rsid w:val="00742B98"/>
    <w:rsid w:val="00742E7B"/>
    <w:rsid w:val="00742FE3"/>
    <w:rsid w:val="00743180"/>
    <w:rsid w:val="0074370E"/>
    <w:rsid w:val="00743725"/>
    <w:rsid w:val="00743959"/>
    <w:rsid w:val="00743B19"/>
    <w:rsid w:val="00743C17"/>
    <w:rsid w:val="0074400E"/>
    <w:rsid w:val="0074406D"/>
    <w:rsid w:val="0074407C"/>
    <w:rsid w:val="00744270"/>
    <w:rsid w:val="00744568"/>
    <w:rsid w:val="007446DD"/>
    <w:rsid w:val="00744E50"/>
    <w:rsid w:val="00744E7A"/>
    <w:rsid w:val="00744EE6"/>
    <w:rsid w:val="00744F0B"/>
    <w:rsid w:val="0074509E"/>
    <w:rsid w:val="00745246"/>
    <w:rsid w:val="00745302"/>
    <w:rsid w:val="00745642"/>
    <w:rsid w:val="007456EA"/>
    <w:rsid w:val="00745707"/>
    <w:rsid w:val="00745C3C"/>
    <w:rsid w:val="00745DC7"/>
    <w:rsid w:val="00745F1C"/>
    <w:rsid w:val="00746145"/>
    <w:rsid w:val="0074615D"/>
    <w:rsid w:val="00746411"/>
    <w:rsid w:val="007466CC"/>
    <w:rsid w:val="00746738"/>
    <w:rsid w:val="0074681D"/>
    <w:rsid w:val="0074688C"/>
    <w:rsid w:val="00746AD0"/>
    <w:rsid w:val="00746C98"/>
    <w:rsid w:val="00746D52"/>
    <w:rsid w:val="00746E2C"/>
    <w:rsid w:val="00747450"/>
    <w:rsid w:val="007475DA"/>
    <w:rsid w:val="007479E1"/>
    <w:rsid w:val="00747BC9"/>
    <w:rsid w:val="00747E77"/>
    <w:rsid w:val="00750266"/>
    <w:rsid w:val="0075035D"/>
    <w:rsid w:val="007504A5"/>
    <w:rsid w:val="00750645"/>
    <w:rsid w:val="00750F76"/>
    <w:rsid w:val="00751554"/>
    <w:rsid w:val="0075167E"/>
    <w:rsid w:val="007518E1"/>
    <w:rsid w:val="0075198F"/>
    <w:rsid w:val="00751BBE"/>
    <w:rsid w:val="00751DCB"/>
    <w:rsid w:val="00752645"/>
    <w:rsid w:val="00752716"/>
    <w:rsid w:val="00752EED"/>
    <w:rsid w:val="00753580"/>
    <w:rsid w:val="00753D70"/>
    <w:rsid w:val="00753E9F"/>
    <w:rsid w:val="007542DB"/>
    <w:rsid w:val="00754599"/>
    <w:rsid w:val="00754768"/>
    <w:rsid w:val="0075496A"/>
    <w:rsid w:val="0075498E"/>
    <w:rsid w:val="00754B81"/>
    <w:rsid w:val="00754BF3"/>
    <w:rsid w:val="00754C48"/>
    <w:rsid w:val="00754DC2"/>
    <w:rsid w:val="00754F0D"/>
    <w:rsid w:val="007552DA"/>
    <w:rsid w:val="0075576C"/>
    <w:rsid w:val="00755B56"/>
    <w:rsid w:val="00756010"/>
    <w:rsid w:val="0075654B"/>
    <w:rsid w:val="00756A28"/>
    <w:rsid w:val="00756D3D"/>
    <w:rsid w:val="0075702C"/>
    <w:rsid w:val="007570AB"/>
    <w:rsid w:val="00757599"/>
    <w:rsid w:val="007577FB"/>
    <w:rsid w:val="00757BA9"/>
    <w:rsid w:val="00757D58"/>
    <w:rsid w:val="00757D8B"/>
    <w:rsid w:val="00757DED"/>
    <w:rsid w:val="00760174"/>
    <w:rsid w:val="007604FB"/>
    <w:rsid w:val="007607A7"/>
    <w:rsid w:val="007609C9"/>
    <w:rsid w:val="00760A70"/>
    <w:rsid w:val="00760F0D"/>
    <w:rsid w:val="00761215"/>
    <w:rsid w:val="0076127C"/>
    <w:rsid w:val="007615F2"/>
    <w:rsid w:val="0076164D"/>
    <w:rsid w:val="00761DE5"/>
    <w:rsid w:val="00761E21"/>
    <w:rsid w:val="00761EC6"/>
    <w:rsid w:val="00762051"/>
    <w:rsid w:val="00762153"/>
    <w:rsid w:val="00762235"/>
    <w:rsid w:val="007622D7"/>
    <w:rsid w:val="007624D6"/>
    <w:rsid w:val="007626FF"/>
    <w:rsid w:val="00762726"/>
    <w:rsid w:val="00763300"/>
    <w:rsid w:val="00763352"/>
    <w:rsid w:val="00763AAB"/>
    <w:rsid w:val="00764447"/>
    <w:rsid w:val="0076462C"/>
    <w:rsid w:val="00764710"/>
    <w:rsid w:val="0076487C"/>
    <w:rsid w:val="00765088"/>
    <w:rsid w:val="007651D9"/>
    <w:rsid w:val="00765562"/>
    <w:rsid w:val="00765805"/>
    <w:rsid w:val="00765DB8"/>
    <w:rsid w:val="0076664D"/>
    <w:rsid w:val="007668AD"/>
    <w:rsid w:val="00766B11"/>
    <w:rsid w:val="00766B3C"/>
    <w:rsid w:val="00766D74"/>
    <w:rsid w:val="0076701D"/>
    <w:rsid w:val="00767089"/>
    <w:rsid w:val="0076727A"/>
    <w:rsid w:val="007674C6"/>
    <w:rsid w:val="00767526"/>
    <w:rsid w:val="00767553"/>
    <w:rsid w:val="007677BD"/>
    <w:rsid w:val="00767A31"/>
    <w:rsid w:val="00767C85"/>
    <w:rsid w:val="00767DBA"/>
    <w:rsid w:val="00767FA2"/>
    <w:rsid w:val="007708BB"/>
    <w:rsid w:val="0077094B"/>
    <w:rsid w:val="00770A03"/>
    <w:rsid w:val="00770B65"/>
    <w:rsid w:val="00770C55"/>
    <w:rsid w:val="00770DC2"/>
    <w:rsid w:val="007712FC"/>
    <w:rsid w:val="0077135E"/>
    <w:rsid w:val="00771BA0"/>
    <w:rsid w:val="00772090"/>
    <w:rsid w:val="0077258D"/>
    <w:rsid w:val="00772996"/>
    <w:rsid w:val="00772A05"/>
    <w:rsid w:val="00772A72"/>
    <w:rsid w:val="00772ADB"/>
    <w:rsid w:val="00773349"/>
    <w:rsid w:val="00773438"/>
    <w:rsid w:val="007735E8"/>
    <w:rsid w:val="007736EC"/>
    <w:rsid w:val="00773722"/>
    <w:rsid w:val="00773815"/>
    <w:rsid w:val="00773A76"/>
    <w:rsid w:val="00773B9D"/>
    <w:rsid w:val="007741BB"/>
    <w:rsid w:val="00774609"/>
    <w:rsid w:val="00774708"/>
    <w:rsid w:val="00774719"/>
    <w:rsid w:val="007749AF"/>
    <w:rsid w:val="0077502C"/>
    <w:rsid w:val="007753E4"/>
    <w:rsid w:val="0077542D"/>
    <w:rsid w:val="00775453"/>
    <w:rsid w:val="00775718"/>
    <w:rsid w:val="00775C53"/>
    <w:rsid w:val="00776263"/>
    <w:rsid w:val="0077626D"/>
    <w:rsid w:val="00776479"/>
    <w:rsid w:val="0077697D"/>
    <w:rsid w:val="00776B3F"/>
    <w:rsid w:val="00776B6B"/>
    <w:rsid w:val="00776DB2"/>
    <w:rsid w:val="00777290"/>
    <w:rsid w:val="00777950"/>
    <w:rsid w:val="00777BC8"/>
    <w:rsid w:val="00777D8D"/>
    <w:rsid w:val="00777D99"/>
    <w:rsid w:val="00780080"/>
    <w:rsid w:val="00780293"/>
    <w:rsid w:val="00780677"/>
    <w:rsid w:val="00780837"/>
    <w:rsid w:val="0078089D"/>
    <w:rsid w:val="007808F3"/>
    <w:rsid w:val="00780A3F"/>
    <w:rsid w:val="00780F1B"/>
    <w:rsid w:val="0078139F"/>
    <w:rsid w:val="0078146D"/>
    <w:rsid w:val="007818DE"/>
    <w:rsid w:val="00781C44"/>
    <w:rsid w:val="00781E44"/>
    <w:rsid w:val="00781FB1"/>
    <w:rsid w:val="0078201B"/>
    <w:rsid w:val="00782278"/>
    <w:rsid w:val="00782B5F"/>
    <w:rsid w:val="0078376A"/>
    <w:rsid w:val="00783A26"/>
    <w:rsid w:val="00784384"/>
    <w:rsid w:val="0078442D"/>
    <w:rsid w:val="0078446C"/>
    <w:rsid w:val="007844D4"/>
    <w:rsid w:val="0078474C"/>
    <w:rsid w:val="007848FA"/>
    <w:rsid w:val="00784A1D"/>
    <w:rsid w:val="00784E1E"/>
    <w:rsid w:val="00784F4F"/>
    <w:rsid w:val="0078532C"/>
    <w:rsid w:val="00785D07"/>
    <w:rsid w:val="00785EBF"/>
    <w:rsid w:val="00786B9C"/>
    <w:rsid w:val="00786BDD"/>
    <w:rsid w:val="00786C81"/>
    <w:rsid w:val="00786D4C"/>
    <w:rsid w:val="00786DFE"/>
    <w:rsid w:val="00786EFC"/>
    <w:rsid w:val="007870C8"/>
    <w:rsid w:val="00787169"/>
    <w:rsid w:val="0078721D"/>
    <w:rsid w:val="007872EE"/>
    <w:rsid w:val="00787C75"/>
    <w:rsid w:val="007903F9"/>
    <w:rsid w:val="00790776"/>
    <w:rsid w:val="0079085C"/>
    <w:rsid w:val="007908C3"/>
    <w:rsid w:val="00790C53"/>
    <w:rsid w:val="00790C9A"/>
    <w:rsid w:val="00790F3D"/>
    <w:rsid w:val="00791073"/>
    <w:rsid w:val="00791347"/>
    <w:rsid w:val="00791A4A"/>
    <w:rsid w:val="00791B7E"/>
    <w:rsid w:val="00791D11"/>
    <w:rsid w:val="00791D2B"/>
    <w:rsid w:val="00791EAC"/>
    <w:rsid w:val="0079200B"/>
    <w:rsid w:val="0079214C"/>
    <w:rsid w:val="007922E5"/>
    <w:rsid w:val="00792993"/>
    <w:rsid w:val="00792EA6"/>
    <w:rsid w:val="00792EDB"/>
    <w:rsid w:val="0079301F"/>
    <w:rsid w:val="007932D8"/>
    <w:rsid w:val="0079356A"/>
    <w:rsid w:val="007936DC"/>
    <w:rsid w:val="00793A18"/>
    <w:rsid w:val="00793BC6"/>
    <w:rsid w:val="00793E8C"/>
    <w:rsid w:val="007940B2"/>
    <w:rsid w:val="0079443D"/>
    <w:rsid w:val="00794C20"/>
    <w:rsid w:val="00795112"/>
    <w:rsid w:val="0079512D"/>
    <w:rsid w:val="0079536E"/>
    <w:rsid w:val="0079590D"/>
    <w:rsid w:val="007959F0"/>
    <w:rsid w:val="00795ABC"/>
    <w:rsid w:val="00795C3E"/>
    <w:rsid w:val="00795F3C"/>
    <w:rsid w:val="00795F77"/>
    <w:rsid w:val="007960EA"/>
    <w:rsid w:val="0079625F"/>
    <w:rsid w:val="00796593"/>
    <w:rsid w:val="00796AD8"/>
    <w:rsid w:val="00796D71"/>
    <w:rsid w:val="00796F27"/>
    <w:rsid w:val="0079731A"/>
    <w:rsid w:val="0079750D"/>
    <w:rsid w:val="007977C2"/>
    <w:rsid w:val="00797A8B"/>
    <w:rsid w:val="00797C3B"/>
    <w:rsid w:val="00797D56"/>
    <w:rsid w:val="00797DCD"/>
    <w:rsid w:val="007A08FC"/>
    <w:rsid w:val="007A09EB"/>
    <w:rsid w:val="007A0FA6"/>
    <w:rsid w:val="007A0FE6"/>
    <w:rsid w:val="007A115C"/>
    <w:rsid w:val="007A11B3"/>
    <w:rsid w:val="007A14CE"/>
    <w:rsid w:val="007A16F6"/>
    <w:rsid w:val="007A1877"/>
    <w:rsid w:val="007A1FC6"/>
    <w:rsid w:val="007A217F"/>
    <w:rsid w:val="007A21B3"/>
    <w:rsid w:val="007A224D"/>
    <w:rsid w:val="007A240E"/>
    <w:rsid w:val="007A24D6"/>
    <w:rsid w:val="007A2D22"/>
    <w:rsid w:val="007A2E4B"/>
    <w:rsid w:val="007A2E9C"/>
    <w:rsid w:val="007A2FA0"/>
    <w:rsid w:val="007A3320"/>
    <w:rsid w:val="007A3390"/>
    <w:rsid w:val="007A3444"/>
    <w:rsid w:val="007A3598"/>
    <w:rsid w:val="007A3B72"/>
    <w:rsid w:val="007A3EFA"/>
    <w:rsid w:val="007A4004"/>
    <w:rsid w:val="007A425E"/>
    <w:rsid w:val="007A42ED"/>
    <w:rsid w:val="007A4887"/>
    <w:rsid w:val="007A4AFF"/>
    <w:rsid w:val="007A4CAB"/>
    <w:rsid w:val="007A4E24"/>
    <w:rsid w:val="007A51B4"/>
    <w:rsid w:val="007A55BC"/>
    <w:rsid w:val="007A5656"/>
    <w:rsid w:val="007A56A3"/>
    <w:rsid w:val="007A5778"/>
    <w:rsid w:val="007A5A5D"/>
    <w:rsid w:val="007A5EA1"/>
    <w:rsid w:val="007A600B"/>
    <w:rsid w:val="007A6466"/>
    <w:rsid w:val="007A6473"/>
    <w:rsid w:val="007A64BB"/>
    <w:rsid w:val="007A685B"/>
    <w:rsid w:val="007A68C5"/>
    <w:rsid w:val="007A6940"/>
    <w:rsid w:val="007A6B1D"/>
    <w:rsid w:val="007A6BD6"/>
    <w:rsid w:val="007A6E6B"/>
    <w:rsid w:val="007A721B"/>
    <w:rsid w:val="007A75FF"/>
    <w:rsid w:val="007A781D"/>
    <w:rsid w:val="007A7853"/>
    <w:rsid w:val="007A79AC"/>
    <w:rsid w:val="007A7D16"/>
    <w:rsid w:val="007A7D92"/>
    <w:rsid w:val="007B03AE"/>
    <w:rsid w:val="007B04F2"/>
    <w:rsid w:val="007B0779"/>
    <w:rsid w:val="007B094B"/>
    <w:rsid w:val="007B099E"/>
    <w:rsid w:val="007B0D13"/>
    <w:rsid w:val="007B0DC7"/>
    <w:rsid w:val="007B0DDA"/>
    <w:rsid w:val="007B109A"/>
    <w:rsid w:val="007B1731"/>
    <w:rsid w:val="007B1A7C"/>
    <w:rsid w:val="007B1BD9"/>
    <w:rsid w:val="007B1C59"/>
    <w:rsid w:val="007B1CA1"/>
    <w:rsid w:val="007B1CC9"/>
    <w:rsid w:val="007B293A"/>
    <w:rsid w:val="007B2AD7"/>
    <w:rsid w:val="007B2CDC"/>
    <w:rsid w:val="007B33B8"/>
    <w:rsid w:val="007B36BD"/>
    <w:rsid w:val="007B377F"/>
    <w:rsid w:val="007B4175"/>
    <w:rsid w:val="007B41BF"/>
    <w:rsid w:val="007B41D2"/>
    <w:rsid w:val="007B4361"/>
    <w:rsid w:val="007B4785"/>
    <w:rsid w:val="007B47BA"/>
    <w:rsid w:val="007B4AB9"/>
    <w:rsid w:val="007B4B44"/>
    <w:rsid w:val="007B4DD2"/>
    <w:rsid w:val="007B5250"/>
    <w:rsid w:val="007B52F4"/>
    <w:rsid w:val="007B54A9"/>
    <w:rsid w:val="007B56A4"/>
    <w:rsid w:val="007B570B"/>
    <w:rsid w:val="007B5751"/>
    <w:rsid w:val="007B591A"/>
    <w:rsid w:val="007B5CEB"/>
    <w:rsid w:val="007B5FA4"/>
    <w:rsid w:val="007B6034"/>
    <w:rsid w:val="007B6138"/>
    <w:rsid w:val="007B6302"/>
    <w:rsid w:val="007B6418"/>
    <w:rsid w:val="007B6442"/>
    <w:rsid w:val="007B6900"/>
    <w:rsid w:val="007B6BE3"/>
    <w:rsid w:val="007B6C00"/>
    <w:rsid w:val="007B6F15"/>
    <w:rsid w:val="007B6F75"/>
    <w:rsid w:val="007B703E"/>
    <w:rsid w:val="007B715F"/>
    <w:rsid w:val="007B722E"/>
    <w:rsid w:val="007B72AD"/>
    <w:rsid w:val="007B72C1"/>
    <w:rsid w:val="007B774C"/>
    <w:rsid w:val="007B781A"/>
    <w:rsid w:val="007B785C"/>
    <w:rsid w:val="007B7987"/>
    <w:rsid w:val="007B7A06"/>
    <w:rsid w:val="007B7AEA"/>
    <w:rsid w:val="007B7C20"/>
    <w:rsid w:val="007B7C2D"/>
    <w:rsid w:val="007B7D1C"/>
    <w:rsid w:val="007C03BC"/>
    <w:rsid w:val="007C05BD"/>
    <w:rsid w:val="007C0BDE"/>
    <w:rsid w:val="007C0C35"/>
    <w:rsid w:val="007C1206"/>
    <w:rsid w:val="007C1385"/>
    <w:rsid w:val="007C187B"/>
    <w:rsid w:val="007C18EE"/>
    <w:rsid w:val="007C1B58"/>
    <w:rsid w:val="007C1C74"/>
    <w:rsid w:val="007C1C93"/>
    <w:rsid w:val="007C1CC7"/>
    <w:rsid w:val="007C1EDA"/>
    <w:rsid w:val="007C2506"/>
    <w:rsid w:val="007C2811"/>
    <w:rsid w:val="007C2BB2"/>
    <w:rsid w:val="007C31C8"/>
    <w:rsid w:val="007C36C6"/>
    <w:rsid w:val="007C3782"/>
    <w:rsid w:val="007C3A34"/>
    <w:rsid w:val="007C411A"/>
    <w:rsid w:val="007C4D23"/>
    <w:rsid w:val="007C4E06"/>
    <w:rsid w:val="007C4EDA"/>
    <w:rsid w:val="007C4FEB"/>
    <w:rsid w:val="007C5223"/>
    <w:rsid w:val="007C5559"/>
    <w:rsid w:val="007C5A80"/>
    <w:rsid w:val="007C5BAD"/>
    <w:rsid w:val="007C6065"/>
    <w:rsid w:val="007C612D"/>
    <w:rsid w:val="007C6406"/>
    <w:rsid w:val="007C6B7B"/>
    <w:rsid w:val="007C6D4E"/>
    <w:rsid w:val="007C6ED8"/>
    <w:rsid w:val="007C7443"/>
    <w:rsid w:val="007C74C9"/>
    <w:rsid w:val="007C77AC"/>
    <w:rsid w:val="007C7BAD"/>
    <w:rsid w:val="007C7D7C"/>
    <w:rsid w:val="007C7F99"/>
    <w:rsid w:val="007D043D"/>
    <w:rsid w:val="007D0949"/>
    <w:rsid w:val="007D0FB8"/>
    <w:rsid w:val="007D1128"/>
    <w:rsid w:val="007D1134"/>
    <w:rsid w:val="007D115D"/>
    <w:rsid w:val="007D13B2"/>
    <w:rsid w:val="007D1482"/>
    <w:rsid w:val="007D15E3"/>
    <w:rsid w:val="007D15F4"/>
    <w:rsid w:val="007D1A10"/>
    <w:rsid w:val="007D209C"/>
    <w:rsid w:val="007D215F"/>
    <w:rsid w:val="007D218D"/>
    <w:rsid w:val="007D237B"/>
    <w:rsid w:val="007D2478"/>
    <w:rsid w:val="007D27FE"/>
    <w:rsid w:val="007D2A59"/>
    <w:rsid w:val="007D2BAD"/>
    <w:rsid w:val="007D2CE3"/>
    <w:rsid w:val="007D318C"/>
    <w:rsid w:val="007D368A"/>
    <w:rsid w:val="007D37A6"/>
    <w:rsid w:val="007D3AE5"/>
    <w:rsid w:val="007D3F37"/>
    <w:rsid w:val="007D4019"/>
    <w:rsid w:val="007D4A43"/>
    <w:rsid w:val="007D4D38"/>
    <w:rsid w:val="007D4DE8"/>
    <w:rsid w:val="007D5062"/>
    <w:rsid w:val="007D51E7"/>
    <w:rsid w:val="007D5202"/>
    <w:rsid w:val="007D547D"/>
    <w:rsid w:val="007D5D5D"/>
    <w:rsid w:val="007D5F01"/>
    <w:rsid w:val="007D6288"/>
    <w:rsid w:val="007D6555"/>
    <w:rsid w:val="007D6844"/>
    <w:rsid w:val="007D6888"/>
    <w:rsid w:val="007D68E6"/>
    <w:rsid w:val="007D6A83"/>
    <w:rsid w:val="007D74B0"/>
    <w:rsid w:val="007D74CE"/>
    <w:rsid w:val="007D76BD"/>
    <w:rsid w:val="007D7798"/>
    <w:rsid w:val="007E045A"/>
    <w:rsid w:val="007E0A7A"/>
    <w:rsid w:val="007E0B54"/>
    <w:rsid w:val="007E0B6F"/>
    <w:rsid w:val="007E1177"/>
    <w:rsid w:val="007E1418"/>
    <w:rsid w:val="007E180E"/>
    <w:rsid w:val="007E1D4C"/>
    <w:rsid w:val="007E1F7A"/>
    <w:rsid w:val="007E20A2"/>
    <w:rsid w:val="007E25CF"/>
    <w:rsid w:val="007E2825"/>
    <w:rsid w:val="007E2897"/>
    <w:rsid w:val="007E28B3"/>
    <w:rsid w:val="007E2AB9"/>
    <w:rsid w:val="007E2E28"/>
    <w:rsid w:val="007E2E5A"/>
    <w:rsid w:val="007E345F"/>
    <w:rsid w:val="007E384B"/>
    <w:rsid w:val="007E3F2C"/>
    <w:rsid w:val="007E3FBD"/>
    <w:rsid w:val="007E4139"/>
    <w:rsid w:val="007E473B"/>
    <w:rsid w:val="007E483C"/>
    <w:rsid w:val="007E48C8"/>
    <w:rsid w:val="007E49FB"/>
    <w:rsid w:val="007E4A42"/>
    <w:rsid w:val="007E4B85"/>
    <w:rsid w:val="007E4C85"/>
    <w:rsid w:val="007E4CB4"/>
    <w:rsid w:val="007E5165"/>
    <w:rsid w:val="007E54DA"/>
    <w:rsid w:val="007E55F3"/>
    <w:rsid w:val="007E5822"/>
    <w:rsid w:val="007E5928"/>
    <w:rsid w:val="007E5A3F"/>
    <w:rsid w:val="007E5C6B"/>
    <w:rsid w:val="007E5C89"/>
    <w:rsid w:val="007E5D15"/>
    <w:rsid w:val="007E5EC6"/>
    <w:rsid w:val="007E6210"/>
    <w:rsid w:val="007E63C7"/>
    <w:rsid w:val="007E6999"/>
    <w:rsid w:val="007E6AC0"/>
    <w:rsid w:val="007E6D13"/>
    <w:rsid w:val="007E6EB4"/>
    <w:rsid w:val="007E6F07"/>
    <w:rsid w:val="007E7C21"/>
    <w:rsid w:val="007E7DAF"/>
    <w:rsid w:val="007E7F3C"/>
    <w:rsid w:val="007E7F46"/>
    <w:rsid w:val="007F07B8"/>
    <w:rsid w:val="007F07E3"/>
    <w:rsid w:val="007F0A30"/>
    <w:rsid w:val="007F0DAB"/>
    <w:rsid w:val="007F10D5"/>
    <w:rsid w:val="007F122A"/>
    <w:rsid w:val="007F152F"/>
    <w:rsid w:val="007F1532"/>
    <w:rsid w:val="007F19D5"/>
    <w:rsid w:val="007F1A47"/>
    <w:rsid w:val="007F1A6A"/>
    <w:rsid w:val="007F1C29"/>
    <w:rsid w:val="007F1CAE"/>
    <w:rsid w:val="007F1E90"/>
    <w:rsid w:val="007F1F15"/>
    <w:rsid w:val="007F2700"/>
    <w:rsid w:val="007F2746"/>
    <w:rsid w:val="007F2AB7"/>
    <w:rsid w:val="007F2CA7"/>
    <w:rsid w:val="007F2E78"/>
    <w:rsid w:val="007F2EBF"/>
    <w:rsid w:val="007F3248"/>
    <w:rsid w:val="007F3651"/>
    <w:rsid w:val="007F38FE"/>
    <w:rsid w:val="007F39BB"/>
    <w:rsid w:val="007F405D"/>
    <w:rsid w:val="007F425D"/>
    <w:rsid w:val="007F44C5"/>
    <w:rsid w:val="007F460F"/>
    <w:rsid w:val="007F4A60"/>
    <w:rsid w:val="007F4AE8"/>
    <w:rsid w:val="007F4DC7"/>
    <w:rsid w:val="007F4E76"/>
    <w:rsid w:val="007F59E9"/>
    <w:rsid w:val="007F5A0D"/>
    <w:rsid w:val="007F5B91"/>
    <w:rsid w:val="007F5BFC"/>
    <w:rsid w:val="007F5ECF"/>
    <w:rsid w:val="007F6626"/>
    <w:rsid w:val="007F6ABE"/>
    <w:rsid w:val="007F7040"/>
    <w:rsid w:val="007F70ED"/>
    <w:rsid w:val="007F72C9"/>
    <w:rsid w:val="007F775D"/>
    <w:rsid w:val="007F7A8C"/>
    <w:rsid w:val="007F7B38"/>
    <w:rsid w:val="007F7DD7"/>
    <w:rsid w:val="0080059C"/>
    <w:rsid w:val="00800826"/>
    <w:rsid w:val="00800AB7"/>
    <w:rsid w:val="00800BE6"/>
    <w:rsid w:val="00800DD8"/>
    <w:rsid w:val="00800FF5"/>
    <w:rsid w:val="0080193D"/>
    <w:rsid w:val="00801C84"/>
    <w:rsid w:val="00801D7F"/>
    <w:rsid w:val="00801DAC"/>
    <w:rsid w:val="00801F19"/>
    <w:rsid w:val="00802124"/>
    <w:rsid w:val="00802126"/>
    <w:rsid w:val="008023F5"/>
    <w:rsid w:val="00802B22"/>
    <w:rsid w:val="00802CD8"/>
    <w:rsid w:val="00802F97"/>
    <w:rsid w:val="00802FDA"/>
    <w:rsid w:val="00803270"/>
    <w:rsid w:val="00803355"/>
    <w:rsid w:val="00803374"/>
    <w:rsid w:val="0080353B"/>
    <w:rsid w:val="00803796"/>
    <w:rsid w:val="008038AD"/>
    <w:rsid w:val="00803A87"/>
    <w:rsid w:val="00803D8F"/>
    <w:rsid w:val="00803FB6"/>
    <w:rsid w:val="0080407D"/>
    <w:rsid w:val="008045DB"/>
    <w:rsid w:val="0080481D"/>
    <w:rsid w:val="0080484B"/>
    <w:rsid w:val="00804891"/>
    <w:rsid w:val="00804CE4"/>
    <w:rsid w:val="00804D6F"/>
    <w:rsid w:val="00804DDB"/>
    <w:rsid w:val="00804F94"/>
    <w:rsid w:val="008056ED"/>
    <w:rsid w:val="0080577B"/>
    <w:rsid w:val="008063D9"/>
    <w:rsid w:val="008066F7"/>
    <w:rsid w:val="008067D2"/>
    <w:rsid w:val="00806853"/>
    <w:rsid w:val="00806883"/>
    <w:rsid w:val="00806C9D"/>
    <w:rsid w:val="00806EF9"/>
    <w:rsid w:val="008072D9"/>
    <w:rsid w:val="008073B4"/>
    <w:rsid w:val="008076C4"/>
    <w:rsid w:val="008079A7"/>
    <w:rsid w:val="00807AF7"/>
    <w:rsid w:val="00807ECE"/>
    <w:rsid w:val="00807EF9"/>
    <w:rsid w:val="00807FBF"/>
    <w:rsid w:val="008100A4"/>
    <w:rsid w:val="00810308"/>
    <w:rsid w:val="00810402"/>
    <w:rsid w:val="008105EA"/>
    <w:rsid w:val="008107AC"/>
    <w:rsid w:val="00810D99"/>
    <w:rsid w:val="00810F10"/>
    <w:rsid w:val="00810F23"/>
    <w:rsid w:val="00811290"/>
    <w:rsid w:val="00811791"/>
    <w:rsid w:val="00811BAD"/>
    <w:rsid w:val="00811CA2"/>
    <w:rsid w:val="0081253F"/>
    <w:rsid w:val="00812736"/>
    <w:rsid w:val="00812803"/>
    <w:rsid w:val="008128FF"/>
    <w:rsid w:val="0081312D"/>
    <w:rsid w:val="008134CD"/>
    <w:rsid w:val="0081352B"/>
    <w:rsid w:val="00813691"/>
    <w:rsid w:val="00813926"/>
    <w:rsid w:val="00813CEC"/>
    <w:rsid w:val="00813FC7"/>
    <w:rsid w:val="00813FF6"/>
    <w:rsid w:val="00814191"/>
    <w:rsid w:val="0081436E"/>
    <w:rsid w:val="00814579"/>
    <w:rsid w:val="0081463E"/>
    <w:rsid w:val="0081470A"/>
    <w:rsid w:val="008149A1"/>
    <w:rsid w:val="00814B8C"/>
    <w:rsid w:val="00814C41"/>
    <w:rsid w:val="0081559A"/>
    <w:rsid w:val="00815617"/>
    <w:rsid w:val="008156A9"/>
    <w:rsid w:val="008157A2"/>
    <w:rsid w:val="00815A03"/>
    <w:rsid w:val="00815ADD"/>
    <w:rsid w:val="00815C1C"/>
    <w:rsid w:val="00816243"/>
    <w:rsid w:val="00816359"/>
    <w:rsid w:val="00816702"/>
    <w:rsid w:val="00816755"/>
    <w:rsid w:val="00816C3E"/>
    <w:rsid w:val="00816CA5"/>
    <w:rsid w:val="00816EE8"/>
    <w:rsid w:val="00817252"/>
    <w:rsid w:val="00817480"/>
    <w:rsid w:val="00817A6D"/>
    <w:rsid w:val="00817B2F"/>
    <w:rsid w:val="00817C4E"/>
    <w:rsid w:val="00820542"/>
    <w:rsid w:val="00820585"/>
    <w:rsid w:val="0082089D"/>
    <w:rsid w:val="00820D25"/>
    <w:rsid w:val="00820EB3"/>
    <w:rsid w:val="00821080"/>
    <w:rsid w:val="00821559"/>
    <w:rsid w:val="0082170C"/>
    <w:rsid w:val="00821AA7"/>
    <w:rsid w:val="00821B55"/>
    <w:rsid w:val="00821CE3"/>
    <w:rsid w:val="0082221F"/>
    <w:rsid w:val="00822418"/>
    <w:rsid w:val="00822663"/>
    <w:rsid w:val="00822E09"/>
    <w:rsid w:val="0082310B"/>
    <w:rsid w:val="0082321A"/>
    <w:rsid w:val="00823316"/>
    <w:rsid w:val="00823769"/>
    <w:rsid w:val="008239A6"/>
    <w:rsid w:val="00823D80"/>
    <w:rsid w:val="0082409A"/>
    <w:rsid w:val="00824389"/>
    <w:rsid w:val="00824B36"/>
    <w:rsid w:val="00824D74"/>
    <w:rsid w:val="00824D8C"/>
    <w:rsid w:val="00825067"/>
    <w:rsid w:val="00825156"/>
    <w:rsid w:val="0082540F"/>
    <w:rsid w:val="008255CC"/>
    <w:rsid w:val="00825E8F"/>
    <w:rsid w:val="00825F8F"/>
    <w:rsid w:val="008260F9"/>
    <w:rsid w:val="00826383"/>
    <w:rsid w:val="00826429"/>
    <w:rsid w:val="00826466"/>
    <w:rsid w:val="0082654D"/>
    <w:rsid w:val="008269DA"/>
    <w:rsid w:val="00827068"/>
    <w:rsid w:val="008273F1"/>
    <w:rsid w:val="00827411"/>
    <w:rsid w:val="00827794"/>
    <w:rsid w:val="00827D1B"/>
    <w:rsid w:val="008302FF"/>
    <w:rsid w:val="00830417"/>
    <w:rsid w:val="0083050D"/>
    <w:rsid w:val="008306BA"/>
    <w:rsid w:val="00830886"/>
    <w:rsid w:val="00830A6A"/>
    <w:rsid w:val="00830AA8"/>
    <w:rsid w:val="00830B4A"/>
    <w:rsid w:val="00830E12"/>
    <w:rsid w:val="00831423"/>
    <w:rsid w:val="00831C91"/>
    <w:rsid w:val="008325C7"/>
    <w:rsid w:val="0083267F"/>
    <w:rsid w:val="00832941"/>
    <w:rsid w:val="00832A45"/>
    <w:rsid w:val="00832A91"/>
    <w:rsid w:val="00832B44"/>
    <w:rsid w:val="00832C21"/>
    <w:rsid w:val="00833213"/>
    <w:rsid w:val="0083345F"/>
    <w:rsid w:val="008335EE"/>
    <w:rsid w:val="00833872"/>
    <w:rsid w:val="00833AEB"/>
    <w:rsid w:val="00833C9E"/>
    <w:rsid w:val="00833EB8"/>
    <w:rsid w:val="00833F63"/>
    <w:rsid w:val="00833FCA"/>
    <w:rsid w:val="008342DB"/>
    <w:rsid w:val="0083452D"/>
    <w:rsid w:val="0083482A"/>
    <w:rsid w:val="00834E6B"/>
    <w:rsid w:val="00835056"/>
    <w:rsid w:val="008355BF"/>
    <w:rsid w:val="00835A7B"/>
    <w:rsid w:val="00835B90"/>
    <w:rsid w:val="00835C28"/>
    <w:rsid w:val="00835C68"/>
    <w:rsid w:val="00835C6E"/>
    <w:rsid w:val="00835CB5"/>
    <w:rsid w:val="00836261"/>
    <w:rsid w:val="00836C7F"/>
    <w:rsid w:val="00836D4E"/>
    <w:rsid w:val="00837039"/>
    <w:rsid w:val="00837495"/>
    <w:rsid w:val="00837DEF"/>
    <w:rsid w:val="00840301"/>
    <w:rsid w:val="00840954"/>
    <w:rsid w:val="0084098E"/>
    <w:rsid w:val="00840F11"/>
    <w:rsid w:val="008410FE"/>
    <w:rsid w:val="00841155"/>
    <w:rsid w:val="0084139E"/>
    <w:rsid w:val="008414FD"/>
    <w:rsid w:val="0084150F"/>
    <w:rsid w:val="00841602"/>
    <w:rsid w:val="00841E05"/>
    <w:rsid w:val="008422FE"/>
    <w:rsid w:val="008424B7"/>
    <w:rsid w:val="0084295B"/>
    <w:rsid w:val="0084298C"/>
    <w:rsid w:val="00842D77"/>
    <w:rsid w:val="00842E36"/>
    <w:rsid w:val="00843231"/>
    <w:rsid w:val="00843B1C"/>
    <w:rsid w:val="00843FD7"/>
    <w:rsid w:val="0084416E"/>
    <w:rsid w:val="00844205"/>
    <w:rsid w:val="008447A2"/>
    <w:rsid w:val="008449B4"/>
    <w:rsid w:val="008449E7"/>
    <w:rsid w:val="00844A16"/>
    <w:rsid w:val="00844AA2"/>
    <w:rsid w:val="00844D5A"/>
    <w:rsid w:val="00844F89"/>
    <w:rsid w:val="008451AE"/>
    <w:rsid w:val="0084530E"/>
    <w:rsid w:val="00845677"/>
    <w:rsid w:val="008459C3"/>
    <w:rsid w:val="00845FB5"/>
    <w:rsid w:val="008466AE"/>
    <w:rsid w:val="008468DD"/>
    <w:rsid w:val="0084697B"/>
    <w:rsid w:val="00846AB3"/>
    <w:rsid w:val="00846D83"/>
    <w:rsid w:val="00846E9F"/>
    <w:rsid w:val="0084715D"/>
    <w:rsid w:val="00847321"/>
    <w:rsid w:val="00847513"/>
    <w:rsid w:val="008475DA"/>
    <w:rsid w:val="008476DE"/>
    <w:rsid w:val="00847875"/>
    <w:rsid w:val="00847B8A"/>
    <w:rsid w:val="00847BC2"/>
    <w:rsid w:val="0085001A"/>
    <w:rsid w:val="00850091"/>
    <w:rsid w:val="008502DC"/>
    <w:rsid w:val="008502DF"/>
    <w:rsid w:val="00850658"/>
    <w:rsid w:val="00850A76"/>
    <w:rsid w:val="00850BAD"/>
    <w:rsid w:val="00850E86"/>
    <w:rsid w:val="008510AC"/>
    <w:rsid w:val="00851194"/>
    <w:rsid w:val="00851195"/>
    <w:rsid w:val="008513D2"/>
    <w:rsid w:val="0085177F"/>
    <w:rsid w:val="008517F3"/>
    <w:rsid w:val="00851DBA"/>
    <w:rsid w:val="00851FCF"/>
    <w:rsid w:val="00852008"/>
    <w:rsid w:val="008523DF"/>
    <w:rsid w:val="008526AD"/>
    <w:rsid w:val="00852EEB"/>
    <w:rsid w:val="00853441"/>
    <w:rsid w:val="008537EB"/>
    <w:rsid w:val="00853B61"/>
    <w:rsid w:val="00853BBC"/>
    <w:rsid w:val="00854108"/>
    <w:rsid w:val="00854150"/>
    <w:rsid w:val="008541A2"/>
    <w:rsid w:val="008542B9"/>
    <w:rsid w:val="0085441F"/>
    <w:rsid w:val="008544A6"/>
    <w:rsid w:val="00854669"/>
    <w:rsid w:val="00854CAF"/>
    <w:rsid w:val="00854E13"/>
    <w:rsid w:val="00855219"/>
    <w:rsid w:val="008552F1"/>
    <w:rsid w:val="00855444"/>
    <w:rsid w:val="00855647"/>
    <w:rsid w:val="00855663"/>
    <w:rsid w:val="0085595C"/>
    <w:rsid w:val="008559AF"/>
    <w:rsid w:val="008559DB"/>
    <w:rsid w:val="00855D5D"/>
    <w:rsid w:val="00856BA3"/>
    <w:rsid w:val="00856D31"/>
    <w:rsid w:val="00856DE3"/>
    <w:rsid w:val="00856ED7"/>
    <w:rsid w:val="00856FC6"/>
    <w:rsid w:val="008573B3"/>
    <w:rsid w:val="008574E0"/>
    <w:rsid w:val="00857619"/>
    <w:rsid w:val="00857669"/>
    <w:rsid w:val="008577D1"/>
    <w:rsid w:val="008578FF"/>
    <w:rsid w:val="00857B52"/>
    <w:rsid w:val="008601EF"/>
    <w:rsid w:val="008606AF"/>
    <w:rsid w:val="0086096A"/>
    <w:rsid w:val="00860BB0"/>
    <w:rsid w:val="00860CDD"/>
    <w:rsid w:val="00861298"/>
    <w:rsid w:val="008616D0"/>
    <w:rsid w:val="008619BD"/>
    <w:rsid w:val="00861ACB"/>
    <w:rsid w:val="00861DAB"/>
    <w:rsid w:val="00862622"/>
    <w:rsid w:val="00862751"/>
    <w:rsid w:val="00862754"/>
    <w:rsid w:val="00862BA7"/>
    <w:rsid w:val="00862E38"/>
    <w:rsid w:val="00863365"/>
    <w:rsid w:val="0086380A"/>
    <w:rsid w:val="00863812"/>
    <w:rsid w:val="008639A3"/>
    <w:rsid w:val="00863B59"/>
    <w:rsid w:val="00863C06"/>
    <w:rsid w:val="00864081"/>
    <w:rsid w:val="00864149"/>
    <w:rsid w:val="008641F1"/>
    <w:rsid w:val="008643B3"/>
    <w:rsid w:val="008644CD"/>
    <w:rsid w:val="00864651"/>
    <w:rsid w:val="00864686"/>
    <w:rsid w:val="00864F0F"/>
    <w:rsid w:val="00865370"/>
    <w:rsid w:val="00865471"/>
    <w:rsid w:val="00865B04"/>
    <w:rsid w:val="00865BEE"/>
    <w:rsid w:val="00865CAA"/>
    <w:rsid w:val="00865D34"/>
    <w:rsid w:val="0086629A"/>
    <w:rsid w:val="008668A1"/>
    <w:rsid w:val="00866936"/>
    <w:rsid w:val="008669AC"/>
    <w:rsid w:val="00866A27"/>
    <w:rsid w:val="0086711A"/>
    <w:rsid w:val="008675AE"/>
    <w:rsid w:val="00867A85"/>
    <w:rsid w:val="00867AF3"/>
    <w:rsid w:val="00867B15"/>
    <w:rsid w:val="008701E3"/>
    <w:rsid w:val="00870603"/>
    <w:rsid w:val="0087067B"/>
    <w:rsid w:val="00870921"/>
    <w:rsid w:val="00870ACD"/>
    <w:rsid w:val="00871328"/>
    <w:rsid w:val="00871458"/>
    <w:rsid w:val="008716B0"/>
    <w:rsid w:val="0087172D"/>
    <w:rsid w:val="00871A64"/>
    <w:rsid w:val="00871C65"/>
    <w:rsid w:val="00871E9E"/>
    <w:rsid w:val="0087223E"/>
    <w:rsid w:val="00872905"/>
    <w:rsid w:val="00872985"/>
    <w:rsid w:val="00872EC1"/>
    <w:rsid w:val="008731B9"/>
    <w:rsid w:val="008733B0"/>
    <w:rsid w:val="008733CD"/>
    <w:rsid w:val="0087341D"/>
    <w:rsid w:val="008735E3"/>
    <w:rsid w:val="0087392C"/>
    <w:rsid w:val="008739A4"/>
    <w:rsid w:val="00873C8D"/>
    <w:rsid w:val="00874019"/>
    <w:rsid w:val="00874267"/>
    <w:rsid w:val="00874289"/>
    <w:rsid w:val="008742C6"/>
    <w:rsid w:val="008743B4"/>
    <w:rsid w:val="008744D5"/>
    <w:rsid w:val="0087463B"/>
    <w:rsid w:val="00874BFE"/>
    <w:rsid w:val="00874D9B"/>
    <w:rsid w:val="00874E86"/>
    <w:rsid w:val="008750AD"/>
    <w:rsid w:val="00875154"/>
    <w:rsid w:val="00875218"/>
    <w:rsid w:val="008752E0"/>
    <w:rsid w:val="008753D7"/>
    <w:rsid w:val="0087547F"/>
    <w:rsid w:val="008758ED"/>
    <w:rsid w:val="00875F6D"/>
    <w:rsid w:val="00876145"/>
    <w:rsid w:val="00876271"/>
    <w:rsid w:val="0087649D"/>
    <w:rsid w:val="008767D0"/>
    <w:rsid w:val="0087694E"/>
    <w:rsid w:val="00876C22"/>
    <w:rsid w:val="00876D31"/>
    <w:rsid w:val="00876F5E"/>
    <w:rsid w:val="00876FE1"/>
    <w:rsid w:val="008771F0"/>
    <w:rsid w:val="00877298"/>
    <w:rsid w:val="00877446"/>
    <w:rsid w:val="008775D4"/>
    <w:rsid w:val="008776DB"/>
    <w:rsid w:val="0087777C"/>
    <w:rsid w:val="00877E86"/>
    <w:rsid w:val="0088006F"/>
    <w:rsid w:val="008808A8"/>
    <w:rsid w:val="00880AA2"/>
    <w:rsid w:val="00880B19"/>
    <w:rsid w:val="00880C24"/>
    <w:rsid w:val="00880D79"/>
    <w:rsid w:val="00880DE7"/>
    <w:rsid w:val="00880EB2"/>
    <w:rsid w:val="0088132D"/>
    <w:rsid w:val="00881EC4"/>
    <w:rsid w:val="00881F06"/>
    <w:rsid w:val="008822AB"/>
    <w:rsid w:val="00882489"/>
    <w:rsid w:val="00882AE4"/>
    <w:rsid w:val="00882EC9"/>
    <w:rsid w:val="0088363E"/>
    <w:rsid w:val="00883A58"/>
    <w:rsid w:val="00883AB2"/>
    <w:rsid w:val="00883D0E"/>
    <w:rsid w:val="008840C7"/>
    <w:rsid w:val="008844D5"/>
    <w:rsid w:val="00884B1E"/>
    <w:rsid w:val="00885142"/>
    <w:rsid w:val="00885143"/>
    <w:rsid w:val="008852E9"/>
    <w:rsid w:val="0088541D"/>
    <w:rsid w:val="00885464"/>
    <w:rsid w:val="008854BF"/>
    <w:rsid w:val="0088593F"/>
    <w:rsid w:val="008859F8"/>
    <w:rsid w:val="00885B75"/>
    <w:rsid w:val="00885C02"/>
    <w:rsid w:val="008860A4"/>
    <w:rsid w:val="00886470"/>
    <w:rsid w:val="00886514"/>
    <w:rsid w:val="0088662D"/>
    <w:rsid w:val="00886BB3"/>
    <w:rsid w:val="00886F01"/>
    <w:rsid w:val="00887658"/>
    <w:rsid w:val="00887B27"/>
    <w:rsid w:val="00887FE8"/>
    <w:rsid w:val="00890038"/>
    <w:rsid w:val="0089031F"/>
    <w:rsid w:val="008906F1"/>
    <w:rsid w:val="00890B76"/>
    <w:rsid w:val="00890EA4"/>
    <w:rsid w:val="00890EE2"/>
    <w:rsid w:val="008910A6"/>
    <w:rsid w:val="0089110F"/>
    <w:rsid w:val="008911EB"/>
    <w:rsid w:val="00891362"/>
    <w:rsid w:val="0089155A"/>
    <w:rsid w:val="00891A75"/>
    <w:rsid w:val="00891DD2"/>
    <w:rsid w:val="00891EB2"/>
    <w:rsid w:val="00892269"/>
    <w:rsid w:val="00892386"/>
    <w:rsid w:val="008929B5"/>
    <w:rsid w:val="00892C82"/>
    <w:rsid w:val="00892F22"/>
    <w:rsid w:val="008932EF"/>
    <w:rsid w:val="008932FF"/>
    <w:rsid w:val="008934DF"/>
    <w:rsid w:val="008935F7"/>
    <w:rsid w:val="00894503"/>
    <w:rsid w:val="00894771"/>
    <w:rsid w:val="0089477A"/>
    <w:rsid w:val="008949BD"/>
    <w:rsid w:val="00894A64"/>
    <w:rsid w:val="00894CE1"/>
    <w:rsid w:val="00894DE1"/>
    <w:rsid w:val="008951F6"/>
    <w:rsid w:val="0089529B"/>
    <w:rsid w:val="008954BB"/>
    <w:rsid w:val="008956EA"/>
    <w:rsid w:val="00895E72"/>
    <w:rsid w:val="00896243"/>
    <w:rsid w:val="008968D7"/>
    <w:rsid w:val="008969A0"/>
    <w:rsid w:val="00896E64"/>
    <w:rsid w:val="00896E8E"/>
    <w:rsid w:val="00896F3D"/>
    <w:rsid w:val="00897051"/>
    <w:rsid w:val="008971BF"/>
    <w:rsid w:val="008978BE"/>
    <w:rsid w:val="00897E80"/>
    <w:rsid w:val="008A04B8"/>
    <w:rsid w:val="008A06A3"/>
    <w:rsid w:val="008A0B5F"/>
    <w:rsid w:val="008A0C72"/>
    <w:rsid w:val="008A0DB2"/>
    <w:rsid w:val="008A12FE"/>
    <w:rsid w:val="008A1354"/>
    <w:rsid w:val="008A1541"/>
    <w:rsid w:val="008A1CD7"/>
    <w:rsid w:val="008A1D1A"/>
    <w:rsid w:val="008A1F61"/>
    <w:rsid w:val="008A234B"/>
    <w:rsid w:val="008A26F6"/>
    <w:rsid w:val="008A278E"/>
    <w:rsid w:val="008A28F2"/>
    <w:rsid w:val="008A2C67"/>
    <w:rsid w:val="008A2CF0"/>
    <w:rsid w:val="008A2F1B"/>
    <w:rsid w:val="008A2F85"/>
    <w:rsid w:val="008A3050"/>
    <w:rsid w:val="008A30A6"/>
    <w:rsid w:val="008A3449"/>
    <w:rsid w:val="008A3484"/>
    <w:rsid w:val="008A3728"/>
    <w:rsid w:val="008A38BB"/>
    <w:rsid w:val="008A3D5D"/>
    <w:rsid w:val="008A3FEC"/>
    <w:rsid w:val="008A40A5"/>
    <w:rsid w:val="008A41CA"/>
    <w:rsid w:val="008A428E"/>
    <w:rsid w:val="008A467F"/>
    <w:rsid w:val="008A48AB"/>
    <w:rsid w:val="008A49A0"/>
    <w:rsid w:val="008A4A62"/>
    <w:rsid w:val="008A4B4A"/>
    <w:rsid w:val="008A4F4C"/>
    <w:rsid w:val="008A547A"/>
    <w:rsid w:val="008A580B"/>
    <w:rsid w:val="008A5B2A"/>
    <w:rsid w:val="008A5BAD"/>
    <w:rsid w:val="008A5FA7"/>
    <w:rsid w:val="008A6296"/>
    <w:rsid w:val="008A63B7"/>
    <w:rsid w:val="008A64AA"/>
    <w:rsid w:val="008A660B"/>
    <w:rsid w:val="008A6660"/>
    <w:rsid w:val="008A677B"/>
    <w:rsid w:val="008A687B"/>
    <w:rsid w:val="008A6C4D"/>
    <w:rsid w:val="008A6CFF"/>
    <w:rsid w:val="008A6FEB"/>
    <w:rsid w:val="008A7000"/>
    <w:rsid w:val="008A7315"/>
    <w:rsid w:val="008A739D"/>
    <w:rsid w:val="008A777F"/>
    <w:rsid w:val="008A79BC"/>
    <w:rsid w:val="008A7A5D"/>
    <w:rsid w:val="008A7D4F"/>
    <w:rsid w:val="008A7D8D"/>
    <w:rsid w:val="008A7E53"/>
    <w:rsid w:val="008B00CE"/>
    <w:rsid w:val="008B069B"/>
    <w:rsid w:val="008B07B8"/>
    <w:rsid w:val="008B08F2"/>
    <w:rsid w:val="008B0BB1"/>
    <w:rsid w:val="008B0EB9"/>
    <w:rsid w:val="008B0EED"/>
    <w:rsid w:val="008B0EF8"/>
    <w:rsid w:val="008B1159"/>
    <w:rsid w:val="008B1485"/>
    <w:rsid w:val="008B1DBC"/>
    <w:rsid w:val="008B22E0"/>
    <w:rsid w:val="008B25D8"/>
    <w:rsid w:val="008B2934"/>
    <w:rsid w:val="008B2FA7"/>
    <w:rsid w:val="008B35D3"/>
    <w:rsid w:val="008B37C8"/>
    <w:rsid w:val="008B3A64"/>
    <w:rsid w:val="008B3AAE"/>
    <w:rsid w:val="008B3ABC"/>
    <w:rsid w:val="008B3B2A"/>
    <w:rsid w:val="008B4ADF"/>
    <w:rsid w:val="008B4C23"/>
    <w:rsid w:val="008B5005"/>
    <w:rsid w:val="008B50A9"/>
    <w:rsid w:val="008B52E2"/>
    <w:rsid w:val="008B61C0"/>
    <w:rsid w:val="008B6B0B"/>
    <w:rsid w:val="008B6B0C"/>
    <w:rsid w:val="008B6D44"/>
    <w:rsid w:val="008B6F68"/>
    <w:rsid w:val="008B7030"/>
    <w:rsid w:val="008B768A"/>
    <w:rsid w:val="008B7A27"/>
    <w:rsid w:val="008B7A2B"/>
    <w:rsid w:val="008C0083"/>
    <w:rsid w:val="008C01CC"/>
    <w:rsid w:val="008C01F9"/>
    <w:rsid w:val="008C03B0"/>
    <w:rsid w:val="008C0891"/>
    <w:rsid w:val="008C0A56"/>
    <w:rsid w:val="008C0AD4"/>
    <w:rsid w:val="008C0B2F"/>
    <w:rsid w:val="008C0C6A"/>
    <w:rsid w:val="008C1014"/>
    <w:rsid w:val="008C1262"/>
    <w:rsid w:val="008C1403"/>
    <w:rsid w:val="008C193E"/>
    <w:rsid w:val="008C21B2"/>
    <w:rsid w:val="008C2530"/>
    <w:rsid w:val="008C2814"/>
    <w:rsid w:val="008C2D0B"/>
    <w:rsid w:val="008C2E49"/>
    <w:rsid w:val="008C2FF3"/>
    <w:rsid w:val="008C3043"/>
    <w:rsid w:val="008C32D3"/>
    <w:rsid w:val="008C3395"/>
    <w:rsid w:val="008C35A1"/>
    <w:rsid w:val="008C368E"/>
    <w:rsid w:val="008C372B"/>
    <w:rsid w:val="008C3824"/>
    <w:rsid w:val="008C3921"/>
    <w:rsid w:val="008C3A90"/>
    <w:rsid w:val="008C3F03"/>
    <w:rsid w:val="008C407A"/>
    <w:rsid w:val="008C4322"/>
    <w:rsid w:val="008C48D0"/>
    <w:rsid w:val="008C4ABD"/>
    <w:rsid w:val="008C4C55"/>
    <w:rsid w:val="008C4D1C"/>
    <w:rsid w:val="008C4FD8"/>
    <w:rsid w:val="008C5195"/>
    <w:rsid w:val="008C555A"/>
    <w:rsid w:val="008C55FD"/>
    <w:rsid w:val="008C5606"/>
    <w:rsid w:val="008C5A83"/>
    <w:rsid w:val="008C5C87"/>
    <w:rsid w:val="008C5E00"/>
    <w:rsid w:val="008C5F17"/>
    <w:rsid w:val="008C609D"/>
    <w:rsid w:val="008C688D"/>
    <w:rsid w:val="008C6AE8"/>
    <w:rsid w:val="008C703E"/>
    <w:rsid w:val="008C7923"/>
    <w:rsid w:val="008C7B11"/>
    <w:rsid w:val="008D002F"/>
    <w:rsid w:val="008D01EC"/>
    <w:rsid w:val="008D04E6"/>
    <w:rsid w:val="008D06B0"/>
    <w:rsid w:val="008D0764"/>
    <w:rsid w:val="008D087B"/>
    <w:rsid w:val="008D088E"/>
    <w:rsid w:val="008D0D59"/>
    <w:rsid w:val="008D0EC5"/>
    <w:rsid w:val="008D0F3C"/>
    <w:rsid w:val="008D1005"/>
    <w:rsid w:val="008D138C"/>
    <w:rsid w:val="008D16FF"/>
    <w:rsid w:val="008D1886"/>
    <w:rsid w:val="008D196F"/>
    <w:rsid w:val="008D1ED4"/>
    <w:rsid w:val="008D2164"/>
    <w:rsid w:val="008D21AF"/>
    <w:rsid w:val="008D2292"/>
    <w:rsid w:val="008D22FA"/>
    <w:rsid w:val="008D25AE"/>
    <w:rsid w:val="008D25EF"/>
    <w:rsid w:val="008D28C6"/>
    <w:rsid w:val="008D2A63"/>
    <w:rsid w:val="008D2A87"/>
    <w:rsid w:val="008D2BAC"/>
    <w:rsid w:val="008D312C"/>
    <w:rsid w:val="008D317A"/>
    <w:rsid w:val="008D327A"/>
    <w:rsid w:val="008D32BE"/>
    <w:rsid w:val="008D3886"/>
    <w:rsid w:val="008D38C2"/>
    <w:rsid w:val="008D3CC9"/>
    <w:rsid w:val="008D3D66"/>
    <w:rsid w:val="008D3EDD"/>
    <w:rsid w:val="008D3F4F"/>
    <w:rsid w:val="008D4129"/>
    <w:rsid w:val="008D43CC"/>
    <w:rsid w:val="008D4A42"/>
    <w:rsid w:val="008D4F14"/>
    <w:rsid w:val="008D599A"/>
    <w:rsid w:val="008D59D3"/>
    <w:rsid w:val="008D5A12"/>
    <w:rsid w:val="008D5B46"/>
    <w:rsid w:val="008D5BA8"/>
    <w:rsid w:val="008D5F82"/>
    <w:rsid w:val="008D6020"/>
    <w:rsid w:val="008D6315"/>
    <w:rsid w:val="008D643E"/>
    <w:rsid w:val="008D65D2"/>
    <w:rsid w:val="008D698B"/>
    <w:rsid w:val="008D6A38"/>
    <w:rsid w:val="008D6C78"/>
    <w:rsid w:val="008D6E9E"/>
    <w:rsid w:val="008D6F07"/>
    <w:rsid w:val="008D7552"/>
    <w:rsid w:val="008D761A"/>
    <w:rsid w:val="008D788A"/>
    <w:rsid w:val="008D7A82"/>
    <w:rsid w:val="008D7B10"/>
    <w:rsid w:val="008D7B54"/>
    <w:rsid w:val="008E0152"/>
    <w:rsid w:val="008E04BB"/>
    <w:rsid w:val="008E05CF"/>
    <w:rsid w:val="008E06E9"/>
    <w:rsid w:val="008E0762"/>
    <w:rsid w:val="008E1050"/>
    <w:rsid w:val="008E1200"/>
    <w:rsid w:val="008E1467"/>
    <w:rsid w:val="008E1B91"/>
    <w:rsid w:val="008E1F01"/>
    <w:rsid w:val="008E202B"/>
    <w:rsid w:val="008E2567"/>
    <w:rsid w:val="008E27ED"/>
    <w:rsid w:val="008E28DC"/>
    <w:rsid w:val="008E29BE"/>
    <w:rsid w:val="008E2A0E"/>
    <w:rsid w:val="008E2F62"/>
    <w:rsid w:val="008E30F6"/>
    <w:rsid w:val="008E33D1"/>
    <w:rsid w:val="008E364E"/>
    <w:rsid w:val="008E387E"/>
    <w:rsid w:val="008E39B6"/>
    <w:rsid w:val="008E3F07"/>
    <w:rsid w:val="008E44B2"/>
    <w:rsid w:val="008E4654"/>
    <w:rsid w:val="008E475C"/>
    <w:rsid w:val="008E489A"/>
    <w:rsid w:val="008E49F0"/>
    <w:rsid w:val="008E4D19"/>
    <w:rsid w:val="008E4E78"/>
    <w:rsid w:val="008E4F7B"/>
    <w:rsid w:val="008E5689"/>
    <w:rsid w:val="008E57E4"/>
    <w:rsid w:val="008E57EB"/>
    <w:rsid w:val="008E5848"/>
    <w:rsid w:val="008E588C"/>
    <w:rsid w:val="008E5A6C"/>
    <w:rsid w:val="008E5E59"/>
    <w:rsid w:val="008E5EF4"/>
    <w:rsid w:val="008E60D7"/>
    <w:rsid w:val="008E689D"/>
    <w:rsid w:val="008E6A16"/>
    <w:rsid w:val="008E71BC"/>
    <w:rsid w:val="008E7434"/>
    <w:rsid w:val="008E7510"/>
    <w:rsid w:val="008E75F9"/>
    <w:rsid w:val="008E7696"/>
    <w:rsid w:val="008F0011"/>
    <w:rsid w:val="008F0310"/>
    <w:rsid w:val="008F05D7"/>
    <w:rsid w:val="008F07F9"/>
    <w:rsid w:val="008F144B"/>
    <w:rsid w:val="008F1772"/>
    <w:rsid w:val="008F17FD"/>
    <w:rsid w:val="008F1A7A"/>
    <w:rsid w:val="008F1B97"/>
    <w:rsid w:val="008F1E54"/>
    <w:rsid w:val="008F204F"/>
    <w:rsid w:val="008F2B53"/>
    <w:rsid w:val="008F2C2E"/>
    <w:rsid w:val="008F2DC2"/>
    <w:rsid w:val="008F2F72"/>
    <w:rsid w:val="008F3350"/>
    <w:rsid w:val="008F3536"/>
    <w:rsid w:val="008F3556"/>
    <w:rsid w:val="008F38AB"/>
    <w:rsid w:val="008F3B62"/>
    <w:rsid w:val="008F3DD7"/>
    <w:rsid w:val="008F3F54"/>
    <w:rsid w:val="008F3FE3"/>
    <w:rsid w:val="008F4702"/>
    <w:rsid w:val="008F4CC4"/>
    <w:rsid w:val="008F4CD8"/>
    <w:rsid w:val="008F586A"/>
    <w:rsid w:val="008F5B9A"/>
    <w:rsid w:val="008F5C66"/>
    <w:rsid w:val="008F620D"/>
    <w:rsid w:val="008F6455"/>
    <w:rsid w:val="008F65C1"/>
    <w:rsid w:val="008F69D6"/>
    <w:rsid w:val="008F6B98"/>
    <w:rsid w:val="008F6E27"/>
    <w:rsid w:val="008F6E8E"/>
    <w:rsid w:val="008F743E"/>
    <w:rsid w:val="008F74FC"/>
    <w:rsid w:val="008F766D"/>
    <w:rsid w:val="008F7A11"/>
    <w:rsid w:val="00900145"/>
    <w:rsid w:val="0090014D"/>
    <w:rsid w:val="00900169"/>
    <w:rsid w:val="009007DE"/>
    <w:rsid w:val="00900A35"/>
    <w:rsid w:val="00900A86"/>
    <w:rsid w:val="00900C65"/>
    <w:rsid w:val="0090121D"/>
    <w:rsid w:val="00901775"/>
    <w:rsid w:val="009019BB"/>
    <w:rsid w:val="00901AB2"/>
    <w:rsid w:val="00901C04"/>
    <w:rsid w:val="009023CF"/>
    <w:rsid w:val="009028F8"/>
    <w:rsid w:val="00902A0E"/>
    <w:rsid w:val="00902C44"/>
    <w:rsid w:val="00902CDA"/>
    <w:rsid w:val="00902D09"/>
    <w:rsid w:val="00902D17"/>
    <w:rsid w:val="00902D8F"/>
    <w:rsid w:val="00902DB0"/>
    <w:rsid w:val="00903A10"/>
    <w:rsid w:val="00903AFF"/>
    <w:rsid w:val="00903D31"/>
    <w:rsid w:val="00903F5B"/>
    <w:rsid w:val="00903FD2"/>
    <w:rsid w:val="00904254"/>
    <w:rsid w:val="009049C7"/>
    <w:rsid w:val="00904C75"/>
    <w:rsid w:val="00904C7B"/>
    <w:rsid w:val="00905635"/>
    <w:rsid w:val="009056C1"/>
    <w:rsid w:val="009059BB"/>
    <w:rsid w:val="00905B7A"/>
    <w:rsid w:val="00906144"/>
    <w:rsid w:val="009061E0"/>
    <w:rsid w:val="0090639C"/>
    <w:rsid w:val="009064A4"/>
    <w:rsid w:val="009064C2"/>
    <w:rsid w:val="00906522"/>
    <w:rsid w:val="00906ADF"/>
    <w:rsid w:val="00906B1A"/>
    <w:rsid w:val="00907168"/>
    <w:rsid w:val="0090725E"/>
    <w:rsid w:val="00907261"/>
    <w:rsid w:val="009073D4"/>
    <w:rsid w:val="009076A3"/>
    <w:rsid w:val="00907A2F"/>
    <w:rsid w:val="00907D89"/>
    <w:rsid w:val="00907DA7"/>
    <w:rsid w:val="00907E53"/>
    <w:rsid w:val="00910180"/>
    <w:rsid w:val="00910506"/>
    <w:rsid w:val="00910575"/>
    <w:rsid w:val="009106D7"/>
    <w:rsid w:val="00910781"/>
    <w:rsid w:val="00910806"/>
    <w:rsid w:val="00910830"/>
    <w:rsid w:val="00910A26"/>
    <w:rsid w:val="00910AEC"/>
    <w:rsid w:val="00910EAE"/>
    <w:rsid w:val="00911863"/>
    <w:rsid w:val="00911919"/>
    <w:rsid w:val="009127D6"/>
    <w:rsid w:val="009128B7"/>
    <w:rsid w:val="00912C22"/>
    <w:rsid w:val="00912FB4"/>
    <w:rsid w:val="0091311C"/>
    <w:rsid w:val="009131C4"/>
    <w:rsid w:val="0091353F"/>
    <w:rsid w:val="0091396E"/>
    <w:rsid w:val="00913B2B"/>
    <w:rsid w:val="00913C01"/>
    <w:rsid w:val="00913C5A"/>
    <w:rsid w:val="00914059"/>
    <w:rsid w:val="00914201"/>
    <w:rsid w:val="00914339"/>
    <w:rsid w:val="009144E4"/>
    <w:rsid w:val="00914681"/>
    <w:rsid w:val="0091469B"/>
    <w:rsid w:val="009147E8"/>
    <w:rsid w:val="009148F9"/>
    <w:rsid w:val="00914C61"/>
    <w:rsid w:val="0091552B"/>
    <w:rsid w:val="00915BD1"/>
    <w:rsid w:val="00915C33"/>
    <w:rsid w:val="00915F7E"/>
    <w:rsid w:val="009160C1"/>
    <w:rsid w:val="0091637F"/>
    <w:rsid w:val="00916387"/>
    <w:rsid w:val="0091639E"/>
    <w:rsid w:val="0091669F"/>
    <w:rsid w:val="009168EF"/>
    <w:rsid w:val="009168F0"/>
    <w:rsid w:val="00916DAC"/>
    <w:rsid w:val="009170DD"/>
    <w:rsid w:val="00917171"/>
    <w:rsid w:val="00917413"/>
    <w:rsid w:val="00917417"/>
    <w:rsid w:val="009174BA"/>
    <w:rsid w:val="00917605"/>
    <w:rsid w:val="00917850"/>
    <w:rsid w:val="00917AA0"/>
    <w:rsid w:val="00917ABF"/>
    <w:rsid w:val="00917B5A"/>
    <w:rsid w:val="00917D15"/>
    <w:rsid w:val="009200C3"/>
    <w:rsid w:val="0092010B"/>
    <w:rsid w:val="009201B9"/>
    <w:rsid w:val="0092048C"/>
    <w:rsid w:val="009208C9"/>
    <w:rsid w:val="0092096F"/>
    <w:rsid w:val="00920D0E"/>
    <w:rsid w:val="009210E2"/>
    <w:rsid w:val="00921143"/>
    <w:rsid w:val="009213B4"/>
    <w:rsid w:val="009213DF"/>
    <w:rsid w:val="00921410"/>
    <w:rsid w:val="0092155B"/>
    <w:rsid w:val="009216A7"/>
    <w:rsid w:val="009216B5"/>
    <w:rsid w:val="009217AB"/>
    <w:rsid w:val="0092180C"/>
    <w:rsid w:val="009218F1"/>
    <w:rsid w:val="0092207D"/>
    <w:rsid w:val="0092224A"/>
    <w:rsid w:val="0092226D"/>
    <w:rsid w:val="009222EC"/>
    <w:rsid w:val="00922738"/>
    <w:rsid w:val="00922AA8"/>
    <w:rsid w:val="00923285"/>
    <w:rsid w:val="00923631"/>
    <w:rsid w:val="00923C21"/>
    <w:rsid w:val="00923EC1"/>
    <w:rsid w:val="00923F84"/>
    <w:rsid w:val="00923FB9"/>
    <w:rsid w:val="0092436D"/>
    <w:rsid w:val="00924483"/>
    <w:rsid w:val="009245E0"/>
    <w:rsid w:val="00924686"/>
    <w:rsid w:val="009246CD"/>
    <w:rsid w:val="00924B8B"/>
    <w:rsid w:val="00924F59"/>
    <w:rsid w:val="00925399"/>
    <w:rsid w:val="009253F2"/>
    <w:rsid w:val="009257CC"/>
    <w:rsid w:val="0092583D"/>
    <w:rsid w:val="00925A87"/>
    <w:rsid w:val="0092672F"/>
    <w:rsid w:val="00926864"/>
    <w:rsid w:val="00926C5E"/>
    <w:rsid w:val="00926C8C"/>
    <w:rsid w:val="00927063"/>
    <w:rsid w:val="00927456"/>
    <w:rsid w:val="00927513"/>
    <w:rsid w:val="009278FF"/>
    <w:rsid w:val="009279E1"/>
    <w:rsid w:val="00927C2E"/>
    <w:rsid w:val="00927DC7"/>
    <w:rsid w:val="00930935"/>
    <w:rsid w:val="00930BDF"/>
    <w:rsid w:val="00930E2E"/>
    <w:rsid w:val="009313E2"/>
    <w:rsid w:val="009315A0"/>
    <w:rsid w:val="009316B4"/>
    <w:rsid w:val="0093181B"/>
    <w:rsid w:val="00931832"/>
    <w:rsid w:val="00931C5C"/>
    <w:rsid w:val="00931D3D"/>
    <w:rsid w:val="00931D4D"/>
    <w:rsid w:val="009320BB"/>
    <w:rsid w:val="00932249"/>
    <w:rsid w:val="0093225E"/>
    <w:rsid w:val="00932819"/>
    <w:rsid w:val="00932B77"/>
    <w:rsid w:val="009334F0"/>
    <w:rsid w:val="00933A90"/>
    <w:rsid w:val="00933B54"/>
    <w:rsid w:val="00933BD2"/>
    <w:rsid w:val="00933E1D"/>
    <w:rsid w:val="00933F55"/>
    <w:rsid w:val="00933FBA"/>
    <w:rsid w:val="0093456D"/>
    <w:rsid w:val="00934747"/>
    <w:rsid w:val="00934765"/>
    <w:rsid w:val="00934AC8"/>
    <w:rsid w:val="009351BD"/>
    <w:rsid w:val="00935248"/>
    <w:rsid w:val="00935710"/>
    <w:rsid w:val="00935881"/>
    <w:rsid w:val="00935C47"/>
    <w:rsid w:val="00936005"/>
    <w:rsid w:val="0093611B"/>
    <w:rsid w:val="009361AF"/>
    <w:rsid w:val="00936276"/>
    <w:rsid w:val="009362FB"/>
    <w:rsid w:val="0093641F"/>
    <w:rsid w:val="009364C8"/>
    <w:rsid w:val="0093662C"/>
    <w:rsid w:val="0093668C"/>
    <w:rsid w:val="00936704"/>
    <w:rsid w:val="0093686F"/>
    <w:rsid w:val="00936C5F"/>
    <w:rsid w:val="00936EF5"/>
    <w:rsid w:val="0093734F"/>
    <w:rsid w:val="009373EB"/>
    <w:rsid w:val="00937472"/>
    <w:rsid w:val="00937972"/>
    <w:rsid w:val="00937EA4"/>
    <w:rsid w:val="00940009"/>
    <w:rsid w:val="009406C4"/>
    <w:rsid w:val="0094083E"/>
    <w:rsid w:val="00940D86"/>
    <w:rsid w:val="0094111D"/>
    <w:rsid w:val="0094121F"/>
    <w:rsid w:val="00941380"/>
    <w:rsid w:val="009413AF"/>
    <w:rsid w:val="0094168E"/>
    <w:rsid w:val="00941941"/>
    <w:rsid w:val="00941D12"/>
    <w:rsid w:val="00941F8B"/>
    <w:rsid w:val="0094259C"/>
    <w:rsid w:val="009426F2"/>
    <w:rsid w:val="00942A35"/>
    <w:rsid w:val="00943170"/>
    <w:rsid w:val="009434A1"/>
    <w:rsid w:val="00943748"/>
    <w:rsid w:val="00943A15"/>
    <w:rsid w:val="00943B9C"/>
    <w:rsid w:val="00943C07"/>
    <w:rsid w:val="00944170"/>
    <w:rsid w:val="009441D6"/>
    <w:rsid w:val="009441F8"/>
    <w:rsid w:val="009447B6"/>
    <w:rsid w:val="009448AE"/>
    <w:rsid w:val="00944C6E"/>
    <w:rsid w:val="00944F8E"/>
    <w:rsid w:val="009451C5"/>
    <w:rsid w:val="009452B7"/>
    <w:rsid w:val="00945499"/>
    <w:rsid w:val="009454E6"/>
    <w:rsid w:val="0094559C"/>
    <w:rsid w:val="00945858"/>
    <w:rsid w:val="00945B71"/>
    <w:rsid w:val="00945DA9"/>
    <w:rsid w:val="00945FEB"/>
    <w:rsid w:val="009460E5"/>
    <w:rsid w:val="009464C0"/>
    <w:rsid w:val="0094679F"/>
    <w:rsid w:val="0094714A"/>
    <w:rsid w:val="00947A9F"/>
    <w:rsid w:val="00947B0A"/>
    <w:rsid w:val="00947F53"/>
    <w:rsid w:val="0095017A"/>
    <w:rsid w:val="0095057B"/>
    <w:rsid w:val="0095063B"/>
    <w:rsid w:val="00950E53"/>
    <w:rsid w:val="00950E7B"/>
    <w:rsid w:val="00951044"/>
    <w:rsid w:val="0095111A"/>
    <w:rsid w:val="009511FD"/>
    <w:rsid w:val="0095142D"/>
    <w:rsid w:val="0095153D"/>
    <w:rsid w:val="00951B9E"/>
    <w:rsid w:val="00951FF4"/>
    <w:rsid w:val="009522DF"/>
    <w:rsid w:val="00952447"/>
    <w:rsid w:val="00952474"/>
    <w:rsid w:val="00952872"/>
    <w:rsid w:val="009528A1"/>
    <w:rsid w:val="00952AE9"/>
    <w:rsid w:val="00953092"/>
    <w:rsid w:val="00953659"/>
    <w:rsid w:val="0095374C"/>
    <w:rsid w:val="00953CCF"/>
    <w:rsid w:val="00954087"/>
    <w:rsid w:val="009544CA"/>
    <w:rsid w:val="009544EC"/>
    <w:rsid w:val="00954550"/>
    <w:rsid w:val="0095485E"/>
    <w:rsid w:val="00954B2F"/>
    <w:rsid w:val="00954E0B"/>
    <w:rsid w:val="00954E7D"/>
    <w:rsid w:val="009551FF"/>
    <w:rsid w:val="00955A51"/>
    <w:rsid w:val="00955C9F"/>
    <w:rsid w:val="00955CA9"/>
    <w:rsid w:val="0095642F"/>
    <w:rsid w:val="00956445"/>
    <w:rsid w:val="00956631"/>
    <w:rsid w:val="00956890"/>
    <w:rsid w:val="009569FA"/>
    <w:rsid w:val="00956A6B"/>
    <w:rsid w:val="00956BE5"/>
    <w:rsid w:val="009571A8"/>
    <w:rsid w:val="009574EA"/>
    <w:rsid w:val="00960141"/>
    <w:rsid w:val="009603C9"/>
    <w:rsid w:val="009603E5"/>
    <w:rsid w:val="009604B9"/>
    <w:rsid w:val="00960610"/>
    <w:rsid w:val="009607B4"/>
    <w:rsid w:val="00960813"/>
    <w:rsid w:val="0096082D"/>
    <w:rsid w:val="009608E4"/>
    <w:rsid w:val="00960B90"/>
    <w:rsid w:val="00960BB6"/>
    <w:rsid w:val="0096131E"/>
    <w:rsid w:val="00961493"/>
    <w:rsid w:val="009614F0"/>
    <w:rsid w:val="00961853"/>
    <w:rsid w:val="0096187E"/>
    <w:rsid w:val="0096195A"/>
    <w:rsid w:val="00961970"/>
    <w:rsid w:val="00961DD0"/>
    <w:rsid w:val="00961E7E"/>
    <w:rsid w:val="009621C6"/>
    <w:rsid w:val="00962467"/>
    <w:rsid w:val="0096253A"/>
    <w:rsid w:val="00962586"/>
    <w:rsid w:val="00962BB0"/>
    <w:rsid w:val="009632D2"/>
    <w:rsid w:val="00963401"/>
    <w:rsid w:val="00963465"/>
    <w:rsid w:val="00963758"/>
    <w:rsid w:val="00963AFF"/>
    <w:rsid w:val="00964038"/>
    <w:rsid w:val="009640CD"/>
    <w:rsid w:val="009644B7"/>
    <w:rsid w:val="009648C8"/>
    <w:rsid w:val="00964C1A"/>
    <w:rsid w:val="00964FE3"/>
    <w:rsid w:val="0096500C"/>
    <w:rsid w:val="0096532B"/>
    <w:rsid w:val="00965519"/>
    <w:rsid w:val="00965B93"/>
    <w:rsid w:val="00965C93"/>
    <w:rsid w:val="00965F7C"/>
    <w:rsid w:val="009664C3"/>
    <w:rsid w:val="00966513"/>
    <w:rsid w:val="0096684E"/>
    <w:rsid w:val="00966F24"/>
    <w:rsid w:val="0096710D"/>
    <w:rsid w:val="0096768E"/>
    <w:rsid w:val="00967811"/>
    <w:rsid w:val="009679F7"/>
    <w:rsid w:val="00967A4E"/>
    <w:rsid w:val="00970A37"/>
    <w:rsid w:val="00970D38"/>
    <w:rsid w:val="00971483"/>
    <w:rsid w:val="009715BA"/>
    <w:rsid w:val="00971AF9"/>
    <w:rsid w:val="00971BA0"/>
    <w:rsid w:val="00971E3F"/>
    <w:rsid w:val="009722A9"/>
    <w:rsid w:val="009723CF"/>
    <w:rsid w:val="00972552"/>
    <w:rsid w:val="00972727"/>
    <w:rsid w:val="00972851"/>
    <w:rsid w:val="00972B20"/>
    <w:rsid w:val="00972C2D"/>
    <w:rsid w:val="0097322F"/>
    <w:rsid w:val="0097327C"/>
    <w:rsid w:val="00973534"/>
    <w:rsid w:val="009735C0"/>
    <w:rsid w:val="0097367F"/>
    <w:rsid w:val="00973A69"/>
    <w:rsid w:val="00973C67"/>
    <w:rsid w:val="00973FB8"/>
    <w:rsid w:val="00974129"/>
    <w:rsid w:val="00974209"/>
    <w:rsid w:val="00974829"/>
    <w:rsid w:val="00974A6D"/>
    <w:rsid w:val="00974B25"/>
    <w:rsid w:val="00974C1C"/>
    <w:rsid w:val="00974C68"/>
    <w:rsid w:val="00974D58"/>
    <w:rsid w:val="009755A7"/>
    <w:rsid w:val="009759DE"/>
    <w:rsid w:val="00975DF8"/>
    <w:rsid w:val="00975E7A"/>
    <w:rsid w:val="00975FE1"/>
    <w:rsid w:val="009763E1"/>
    <w:rsid w:val="00976458"/>
    <w:rsid w:val="00976C87"/>
    <w:rsid w:val="00976F20"/>
    <w:rsid w:val="009771F8"/>
    <w:rsid w:val="009779AD"/>
    <w:rsid w:val="00977AEF"/>
    <w:rsid w:val="00977B14"/>
    <w:rsid w:val="00977B55"/>
    <w:rsid w:val="00977BF7"/>
    <w:rsid w:val="00977D4B"/>
    <w:rsid w:val="00977EE7"/>
    <w:rsid w:val="009803A8"/>
    <w:rsid w:val="0098052D"/>
    <w:rsid w:val="00980906"/>
    <w:rsid w:val="0098090D"/>
    <w:rsid w:val="00980960"/>
    <w:rsid w:val="00980C24"/>
    <w:rsid w:val="00980C59"/>
    <w:rsid w:val="00980F71"/>
    <w:rsid w:val="00981647"/>
    <w:rsid w:val="009817B1"/>
    <w:rsid w:val="00981D06"/>
    <w:rsid w:val="00981E91"/>
    <w:rsid w:val="009822B9"/>
    <w:rsid w:val="0098244C"/>
    <w:rsid w:val="00982B88"/>
    <w:rsid w:val="00982CEF"/>
    <w:rsid w:val="00982D30"/>
    <w:rsid w:val="00982D68"/>
    <w:rsid w:val="00982FAF"/>
    <w:rsid w:val="0098301A"/>
    <w:rsid w:val="0098340D"/>
    <w:rsid w:val="0098368E"/>
    <w:rsid w:val="00983AEC"/>
    <w:rsid w:val="00984114"/>
    <w:rsid w:val="00984274"/>
    <w:rsid w:val="0098427D"/>
    <w:rsid w:val="00984352"/>
    <w:rsid w:val="00984679"/>
    <w:rsid w:val="0098468E"/>
    <w:rsid w:val="00984A6D"/>
    <w:rsid w:val="00984CBC"/>
    <w:rsid w:val="00985387"/>
    <w:rsid w:val="00985671"/>
    <w:rsid w:val="0098569B"/>
    <w:rsid w:val="0098575D"/>
    <w:rsid w:val="0098578E"/>
    <w:rsid w:val="00985A20"/>
    <w:rsid w:val="00985A34"/>
    <w:rsid w:val="00986742"/>
    <w:rsid w:val="00986CE9"/>
    <w:rsid w:val="0098726C"/>
    <w:rsid w:val="009874BC"/>
    <w:rsid w:val="009874D5"/>
    <w:rsid w:val="009875BE"/>
    <w:rsid w:val="00987771"/>
    <w:rsid w:val="00987951"/>
    <w:rsid w:val="00987AE5"/>
    <w:rsid w:val="009901D3"/>
    <w:rsid w:val="009903E4"/>
    <w:rsid w:val="009905EB"/>
    <w:rsid w:val="00990621"/>
    <w:rsid w:val="009908BF"/>
    <w:rsid w:val="00990A1A"/>
    <w:rsid w:val="00990AA2"/>
    <w:rsid w:val="0099114C"/>
    <w:rsid w:val="00991486"/>
    <w:rsid w:val="00991A15"/>
    <w:rsid w:val="00991ADF"/>
    <w:rsid w:val="00991AE8"/>
    <w:rsid w:val="00991BFE"/>
    <w:rsid w:val="00991CDB"/>
    <w:rsid w:val="00991FBC"/>
    <w:rsid w:val="00992654"/>
    <w:rsid w:val="0099271D"/>
    <w:rsid w:val="0099272B"/>
    <w:rsid w:val="00992C0D"/>
    <w:rsid w:val="00992C44"/>
    <w:rsid w:val="00992EE2"/>
    <w:rsid w:val="00992F71"/>
    <w:rsid w:val="0099303B"/>
    <w:rsid w:val="009931E0"/>
    <w:rsid w:val="0099324C"/>
    <w:rsid w:val="0099356F"/>
    <w:rsid w:val="00993741"/>
    <w:rsid w:val="0099394A"/>
    <w:rsid w:val="00993B42"/>
    <w:rsid w:val="00994052"/>
    <w:rsid w:val="00994351"/>
    <w:rsid w:val="009944E4"/>
    <w:rsid w:val="0099451E"/>
    <w:rsid w:val="00994528"/>
    <w:rsid w:val="0099469E"/>
    <w:rsid w:val="009946A3"/>
    <w:rsid w:val="009946FB"/>
    <w:rsid w:val="00994A16"/>
    <w:rsid w:val="00994E0F"/>
    <w:rsid w:val="00994E17"/>
    <w:rsid w:val="00995036"/>
    <w:rsid w:val="009953AD"/>
    <w:rsid w:val="009955C3"/>
    <w:rsid w:val="00995971"/>
    <w:rsid w:val="00995F9E"/>
    <w:rsid w:val="00996035"/>
    <w:rsid w:val="0099611C"/>
    <w:rsid w:val="00996154"/>
    <w:rsid w:val="009968AA"/>
    <w:rsid w:val="0099699D"/>
    <w:rsid w:val="0099702F"/>
    <w:rsid w:val="009976C9"/>
    <w:rsid w:val="009978F5"/>
    <w:rsid w:val="00997BD8"/>
    <w:rsid w:val="00997C73"/>
    <w:rsid w:val="00997DE2"/>
    <w:rsid w:val="00997E7C"/>
    <w:rsid w:val="009A01AD"/>
    <w:rsid w:val="009A053F"/>
    <w:rsid w:val="009A068A"/>
    <w:rsid w:val="009A0813"/>
    <w:rsid w:val="009A09B4"/>
    <w:rsid w:val="009A0C80"/>
    <w:rsid w:val="009A0E4E"/>
    <w:rsid w:val="009A12F6"/>
    <w:rsid w:val="009A1C0B"/>
    <w:rsid w:val="009A1FE1"/>
    <w:rsid w:val="009A210C"/>
    <w:rsid w:val="009A2283"/>
    <w:rsid w:val="009A28F5"/>
    <w:rsid w:val="009A2AD2"/>
    <w:rsid w:val="009A2ADB"/>
    <w:rsid w:val="009A2C20"/>
    <w:rsid w:val="009A2F50"/>
    <w:rsid w:val="009A306B"/>
    <w:rsid w:val="009A30DD"/>
    <w:rsid w:val="009A3641"/>
    <w:rsid w:val="009A37BE"/>
    <w:rsid w:val="009A39F5"/>
    <w:rsid w:val="009A3B43"/>
    <w:rsid w:val="009A43B6"/>
    <w:rsid w:val="009A43CF"/>
    <w:rsid w:val="009A47B2"/>
    <w:rsid w:val="009A4A1D"/>
    <w:rsid w:val="009A4B7F"/>
    <w:rsid w:val="009A5341"/>
    <w:rsid w:val="009A587E"/>
    <w:rsid w:val="009A5919"/>
    <w:rsid w:val="009A5964"/>
    <w:rsid w:val="009A5998"/>
    <w:rsid w:val="009A5CBC"/>
    <w:rsid w:val="009A6270"/>
    <w:rsid w:val="009A6804"/>
    <w:rsid w:val="009A6A33"/>
    <w:rsid w:val="009A6C44"/>
    <w:rsid w:val="009A6ED6"/>
    <w:rsid w:val="009A6FDA"/>
    <w:rsid w:val="009A7663"/>
    <w:rsid w:val="009A76D7"/>
    <w:rsid w:val="009A7820"/>
    <w:rsid w:val="009A7A71"/>
    <w:rsid w:val="009A7C4F"/>
    <w:rsid w:val="009B028A"/>
    <w:rsid w:val="009B03F3"/>
    <w:rsid w:val="009B0628"/>
    <w:rsid w:val="009B08BA"/>
    <w:rsid w:val="009B08BB"/>
    <w:rsid w:val="009B09DD"/>
    <w:rsid w:val="009B0BB5"/>
    <w:rsid w:val="009B0DA4"/>
    <w:rsid w:val="009B11C9"/>
    <w:rsid w:val="009B1327"/>
    <w:rsid w:val="009B13B4"/>
    <w:rsid w:val="009B144C"/>
    <w:rsid w:val="009B161D"/>
    <w:rsid w:val="009B1625"/>
    <w:rsid w:val="009B16FF"/>
    <w:rsid w:val="009B1896"/>
    <w:rsid w:val="009B1965"/>
    <w:rsid w:val="009B23B8"/>
    <w:rsid w:val="009B2738"/>
    <w:rsid w:val="009B2876"/>
    <w:rsid w:val="009B294E"/>
    <w:rsid w:val="009B2AD3"/>
    <w:rsid w:val="009B2D7F"/>
    <w:rsid w:val="009B2EBE"/>
    <w:rsid w:val="009B33E9"/>
    <w:rsid w:val="009B3ADF"/>
    <w:rsid w:val="009B3EB8"/>
    <w:rsid w:val="009B3F29"/>
    <w:rsid w:val="009B40E0"/>
    <w:rsid w:val="009B41D7"/>
    <w:rsid w:val="009B435B"/>
    <w:rsid w:val="009B43E5"/>
    <w:rsid w:val="009B441F"/>
    <w:rsid w:val="009B48A8"/>
    <w:rsid w:val="009B4917"/>
    <w:rsid w:val="009B4B39"/>
    <w:rsid w:val="009B4BAD"/>
    <w:rsid w:val="009B4E36"/>
    <w:rsid w:val="009B5004"/>
    <w:rsid w:val="009B513C"/>
    <w:rsid w:val="009B5736"/>
    <w:rsid w:val="009B5A0D"/>
    <w:rsid w:val="009B5A15"/>
    <w:rsid w:val="009B5BE7"/>
    <w:rsid w:val="009B5D13"/>
    <w:rsid w:val="009B5DBB"/>
    <w:rsid w:val="009B603D"/>
    <w:rsid w:val="009B6159"/>
    <w:rsid w:val="009B61CB"/>
    <w:rsid w:val="009B6241"/>
    <w:rsid w:val="009B6857"/>
    <w:rsid w:val="009B69C4"/>
    <w:rsid w:val="009B70BD"/>
    <w:rsid w:val="009B747F"/>
    <w:rsid w:val="009B7650"/>
    <w:rsid w:val="009B7D0C"/>
    <w:rsid w:val="009B7D98"/>
    <w:rsid w:val="009C0297"/>
    <w:rsid w:val="009C04C9"/>
    <w:rsid w:val="009C0531"/>
    <w:rsid w:val="009C086E"/>
    <w:rsid w:val="009C08BF"/>
    <w:rsid w:val="009C08C3"/>
    <w:rsid w:val="009C08ED"/>
    <w:rsid w:val="009C09BE"/>
    <w:rsid w:val="009C0D00"/>
    <w:rsid w:val="009C0ED2"/>
    <w:rsid w:val="009C1071"/>
    <w:rsid w:val="009C1199"/>
    <w:rsid w:val="009C1850"/>
    <w:rsid w:val="009C18A7"/>
    <w:rsid w:val="009C192F"/>
    <w:rsid w:val="009C1D0B"/>
    <w:rsid w:val="009C1E8F"/>
    <w:rsid w:val="009C1F23"/>
    <w:rsid w:val="009C2515"/>
    <w:rsid w:val="009C2573"/>
    <w:rsid w:val="009C2696"/>
    <w:rsid w:val="009C279C"/>
    <w:rsid w:val="009C28CD"/>
    <w:rsid w:val="009C28D5"/>
    <w:rsid w:val="009C2E7C"/>
    <w:rsid w:val="009C2F4E"/>
    <w:rsid w:val="009C32DF"/>
    <w:rsid w:val="009C3367"/>
    <w:rsid w:val="009C3DA1"/>
    <w:rsid w:val="009C3EBA"/>
    <w:rsid w:val="009C4926"/>
    <w:rsid w:val="009C4E1A"/>
    <w:rsid w:val="009C4FC2"/>
    <w:rsid w:val="009C5639"/>
    <w:rsid w:val="009C5832"/>
    <w:rsid w:val="009C59AD"/>
    <w:rsid w:val="009C60FB"/>
    <w:rsid w:val="009C6126"/>
    <w:rsid w:val="009C6585"/>
    <w:rsid w:val="009C66DE"/>
    <w:rsid w:val="009C66F6"/>
    <w:rsid w:val="009C67E2"/>
    <w:rsid w:val="009C6ADC"/>
    <w:rsid w:val="009C6B78"/>
    <w:rsid w:val="009C6C09"/>
    <w:rsid w:val="009C6D16"/>
    <w:rsid w:val="009C6D74"/>
    <w:rsid w:val="009C6EA3"/>
    <w:rsid w:val="009C6F6D"/>
    <w:rsid w:val="009C70D2"/>
    <w:rsid w:val="009C76EC"/>
    <w:rsid w:val="009C7B17"/>
    <w:rsid w:val="009D00CF"/>
    <w:rsid w:val="009D0412"/>
    <w:rsid w:val="009D0520"/>
    <w:rsid w:val="009D0599"/>
    <w:rsid w:val="009D05F3"/>
    <w:rsid w:val="009D0850"/>
    <w:rsid w:val="009D087A"/>
    <w:rsid w:val="009D08C1"/>
    <w:rsid w:val="009D0E1C"/>
    <w:rsid w:val="009D0E3B"/>
    <w:rsid w:val="009D0EB6"/>
    <w:rsid w:val="009D0F19"/>
    <w:rsid w:val="009D1760"/>
    <w:rsid w:val="009D176C"/>
    <w:rsid w:val="009D19CC"/>
    <w:rsid w:val="009D1AE0"/>
    <w:rsid w:val="009D1F48"/>
    <w:rsid w:val="009D27EE"/>
    <w:rsid w:val="009D29E6"/>
    <w:rsid w:val="009D2BA6"/>
    <w:rsid w:val="009D2FEB"/>
    <w:rsid w:val="009D352B"/>
    <w:rsid w:val="009D428E"/>
    <w:rsid w:val="009D44B7"/>
    <w:rsid w:val="009D4534"/>
    <w:rsid w:val="009D4542"/>
    <w:rsid w:val="009D4619"/>
    <w:rsid w:val="009D4890"/>
    <w:rsid w:val="009D4C44"/>
    <w:rsid w:val="009D506A"/>
    <w:rsid w:val="009D50B9"/>
    <w:rsid w:val="009D52C4"/>
    <w:rsid w:val="009D52CD"/>
    <w:rsid w:val="009D5797"/>
    <w:rsid w:val="009D5A46"/>
    <w:rsid w:val="009D5AF8"/>
    <w:rsid w:val="009D5B9F"/>
    <w:rsid w:val="009D5C24"/>
    <w:rsid w:val="009D5EFE"/>
    <w:rsid w:val="009D62C2"/>
    <w:rsid w:val="009D62F0"/>
    <w:rsid w:val="009D63DC"/>
    <w:rsid w:val="009D6608"/>
    <w:rsid w:val="009D6638"/>
    <w:rsid w:val="009D668B"/>
    <w:rsid w:val="009D683F"/>
    <w:rsid w:val="009D6BEB"/>
    <w:rsid w:val="009D72C4"/>
    <w:rsid w:val="009D7814"/>
    <w:rsid w:val="009D7D2C"/>
    <w:rsid w:val="009D7D6F"/>
    <w:rsid w:val="009D7DB6"/>
    <w:rsid w:val="009D7F11"/>
    <w:rsid w:val="009E0019"/>
    <w:rsid w:val="009E01BD"/>
    <w:rsid w:val="009E0245"/>
    <w:rsid w:val="009E0B6A"/>
    <w:rsid w:val="009E0C2C"/>
    <w:rsid w:val="009E1626"/>
    <w:rsid w:val="009E17BC"/>
    <w:rsid w:val="009E1846"/>
    <w:rsid w:val="009E1B8B"/>
    <w:rsid w:val="009E21CC"/>
    <w:rsid w:val="009E269A"/>
    <w:rsid w:val="009E2742"/>
    <w:rsid w:val="009E2BBC"/>
    <w:rsid w:val="009E2CC5"/>
    <w:rsid w:val="009E2F28"/>
    <w:rsid w:val="009E3108"/>
    <w:rsid w:val="009E318B"/>
    <w:rsid w:val="009E3337"/>
    <w:rsid w:val="009E345E"/>
    <w:rsid w:val="009E3566"/>
    <w:rsid w:val="009E3AE2"/>
    <w:rsid w:val="009E3C15"/>
    <w:rsid w:val="009E3DFC"/>
    <w:rsid w:val="009E3E3F"/>
    <w:rsid w:val="009E409B"/>
    <w:rsid w:val="009E44EF"/>
    <w:rsid w:val="009E4734"/>
    <w:rsid w:val="009E4CE1"/>
    <w:rsid w:val="009E5107"/>
    <w:rsid w:val="009E522C"/>
    <w:rsid w:val="009E5337"/>
    <w:rsid w:val="009E542E"/>
    <w:rsid w:val="009E5730"/>
    <w:rsid w:val="009E5995"/>
    <w:rsid w:val="009E5BDE"/>
    <w:rsid w:val="009E5DCC"/>
    <w:rsid w:val="009E5F12"/>
    <w:rsid w:val="009E5F64"/>
    <w:rsid w:val="009E627A"/>
    <w:rsid w:val="009E6588"/>
    <w:rsid w:val="009E67CD"/>
    <w:rsid w:val="009E6D04"/>
    <w:rsid w:val="009E6E2A"/>
    <w:rsid w:val="009E6E54"/>
    <w:rsid w:val="009E6EC7"/>
    <w:rsid w:val="009E6F84"/>
    <w:rsid w:val="009E75F7"/>
    <w:rsid w:val="009E76B9"/>
    <w:rsid w:val="009E79AD"/>
    <w:rsid w:val="009E7A7E"/>
    <w:rsid w:val="009E7D36"/>
    <w:rsid w:val="009E7F25"/>
    <w:rsid w:val="009E7FCE"/>
    <w:rsid w:val="009F02DE"/>
    <w:rsid w:val="009F0492"/>
    <w:rsid w:val="009F0B3C"/>
    <w:rsid w:val="009F0D3F"/>
    <w:rsid w:val="009F0D7E"/>
    <w:rsid w:val="009F0DCA"/>
    <w:rsid w:val="009F0EBC"/>
    <w:rsid w:val="009F0F89"/>
    <w:rsid w:val="009F17F6"/>
    <w:rsid w:val="009F1857"/>
    <w:rsid w:val="009F1AA1"/>
    <w:rsid w:val="009F1EF2"/>
    <w:rsid w:val="009F1FAC"/>
    <w:rsid w:val="009F21D4"/>
    <w:rsid w:val="009F2343"/>
    <w:rsid w:val="009F234F"/>
    <w:rsid w:val="009F2445"/>
    <w:rsid w:val="009F28FB"/>
    <w:rsid w:val="009F292A"/>
    <w:rsid w:val="009F2A92"/>
    <w:rsid w:val="009F2AC0"/>
    <w:rsid w:val="009F2B44"/>
    <w:rsid w:val="009F2BCB"/>
    <w:rsid w:val="009F2CC8"/>
    <w:rsid w:val="009F311A"/>
    <w:rsid w:val="009F3438"/>
    <w:rsid w:val="009F35BC"/>
    <w:rsid w:val="009F35CA"/>
    <w:rsid w:val="009F373D"/>
    <w:rsid w:val="009F389C"/>
    <w:rsid w:val="009F3CC9"/>
    <w:rsid w:val="009F3DB5"/>
    <w:rsid w:val="009F3F43"/>
    <w:rsid w:val="009F423E"/>
    <w:rsid w:val="009F473A"/>
    <w:rsid w:val="009F47E7"/>
    <w:rsid w:val="009F4A2C"/>
    <w:rsid w:val="009F50AA"/>
    <w:rsid w:val="009F5B97"/>
    <w:rsid w:val="009F6136"/>
    <w:rsid w:val="009F61D9"/>
    <w:rsid w:val="009F6323"/>
    <w:rsid w:val="009F65B7"/>
    <w:rsid w:val="009F6D4F"/>
    <w:rsid w:val="009F710A"/>
    <w:rsid w:val="009F759A"/>
    <w:rsid w:val="009F792C"/>
    <w:rsid w:val="009F7A9A"/>
    <w:rsid w:val="009F7B32"/>
    <w:rsid w:val="009F7C52"/>
    <w:rsid w:val="009F7E13"/>
    <w:rsid w:val="00A0011F"/>
    <w:rsid w:val="00A00F2F"/>
    <w:rsid w:val="00A0104D"/>
    <w:rsid w:val="00A0125B"/>
    <w:rsid w:val="00A01B17"/>
    <w:rsid w:val="00A02225"/>
    <w:rsid w:val="00A025CE"/>
    <w:rsid w:val="00A02627"/>
    <w:rsid w:val="00A02D2F"/>
    <w:rsid w:val="00A02DC1"/>
    <w:rsid w:val="00A02EA5"/>
    <w:rsid w:val="00A03676"/>
    <w:rsid w:val="00A03AB3"/>
    <w:rsid w:val="00A044CA"/>
    <w:rsid w:val="00A044FB"/>
    <w:rsid w:val="00A045D4"/>
    <w:rsid w:val="00A04929"/>
    <w:rsid w:val="00A05219"/>
    <w:rsid w:val="00A052A2"/>
    <w:rsid w:val="00A052D5"/>
    <w:rsid w:val="00A05643"/>
    <w:rsid w:val="00A05941"/>
    <w:rsid w:val="00A05C17"/>
    <w:rsid w:val="00A0604C"/>
    <w:rsid w:val="00A06A3D"/>
    <w:rsid w:val="00A06FE8"/>
    <w:rsid w:val="00A0706E"/>
    <w:rsid w:val="00A0721D"/>
    <w:rsid w:val="00A0735F"/>
    <w:rsid w:val="00A0751A"/>
    <w:rsid w:val="00A075D4"/>
    <w:rsid w:val="00A07A0E"/>
    <w:rsid w:val="00A07A7C"/>
    <w:rsid w:val="00A07B74"/>
    <w:rsid w:val="00A07C4E"/>
    <w:rsid w:val="00A07CF9"/>
    <w:rsid w:val="00A07D26"/>
    <w:rsid w:val="00A10257"/>
    <w:rsid w:val="00A104BD"/>
    <w:rsid w:val="00A10712"/>
    <w:rsid w:val="00A10778"/>
    <w:rsid w:val="00A10953"/>
    <w:rsid w:val="00A10A4E"/>
    <w:rsid w:val="00A10EDA"/>
    <w:rsid w:val="00A115A3"/>
    <w:rsid w:val="00A11728"/>
    <w:rsid w:val="00A11744"/>
    <w:rsid w:val="00A11A0F"/>
    <w:rsid w:val="00A11C30"/>
    <w:rsid w:val="00A11C8A"/>
    <w:rsid w:val="00A12200"/>
    <w:rsid w:val="00A12BC8"/>
    <w:rsid w:val="00A12DF8"/>
    <w:rsid w:val="00A131A1"/>
    <w:rsid w:val="00A136AF"/>
    <w:rsid w:val="00A136C4"/>
    <w:rsid w:val="00A13759"/>
    <w:rsid w:val="00A13816"/>
    <w:rsid w:val="00A13997"/>
    <w:rsid w:val="00A13AEB"/>
    <w:rsid w:val="00A13BEE"/>
    <w:rsid w:val="00A14101"/>
    <w:rsid w:val="00A14438"/>
    <w:rsid w:val="00A1460A"/>
    <w:rsid w:val="00A146B2"/>
    <w:rsid w:val="00A148C3"/>
    <w:rsid w:val="00A14967"/>
    <w:rsid w:val="00A14A30"/>
    <w:rsid w:val="00A14A60"/>
    <w:rsid w:val="00A14EDB"/>
    <w:rsid w:val="00A15002"/>
    <w:rsid w:val="00A1512B"/>
    <w:rsid w:val="00A15636"/>
    <w:rsid w:val="00A1575E"/>
    <w:rsid w:val="00A15AC5"/>
    <w:rsid w:val="00A15CDD"/>
    <w:rsid w:val="00A15D76"/>
    <w:rsid w:val="00A15D81"/>
    <w:rsid w:val="00A15E12"/>
    <w:rsid w:val="00A16142"/>
    <w:rsid w:val="00A1616D"/>
    <w:rsid w:val="00A167E8"/>
    <w:rsid w:val="00A170BD"/>
    <w:rsid w:val="00A17439"/>
    <w:rsid w:val="00A175CF"/>
    <w:rsid w:val="00A17632"/>
    <w:rsid w:val="00A17716"/>
    <w:rsid w:val="00A17804"/>
    <w:rsid w:val="00A17904"/>
    <w:rsid w:val="00A17CF2"/>
    <w:rsid w:val="00A17D2F"/>
    <w:rsid w:val="00A17DAC"/>
    <w:rsid w:val="00A20143"/>
    <w:rsid w:val="00A2025C"/>
    <w:rsid w:val="00A202BD"/>
    <w:rsid w:val="00A207D0"/>
    <w:rsid w:val="00A209BF"/>
    <w:rsid w:val="00A20E4B"/>
    <w:rsid w:val="00A21067"/>
    <w:rsid w:val="00A21089"/>
    <w:rsid w:val="00A21092"/>
    <w:rsid w:val="00A21424"/>
    <w:rsid w:val="00A2149B"/>
    <w:rsid w:val="00A21680"/>
    <w:rsid w:val="00A21BCE"/>
    <w:rsid w:val="00A21C95"/>
    <w:rsid w:val="00A21CEF"/>
    <w:rsid w:val="00A21E9A"/>
    <w:rsid w:val="00A22077"/>
    <w:rsid w:val="00A221C0"/>
    <w:rsid w:val="00A222CE"/>
    <w:rsid w:val="00A22378"/>
    <w:rsid w:val="00A223A0"/>
    <w:rsid w:val="00A2271C"/>
    <w:rsid w:val="00A229B3"/>
    <w:rsid w:val="00A229D5"/>
    <w:rsid w:val="00A2326A"/>
    <w:rsid w:val="00A233A4"/>
    <w:rsid w:val="00A234E1"/>
    <w:rsid w:val="00A2360B"/>
    <w:rsid w:val="00A2381B"/>
    <w:rsid w:val="00A23857"/>
    <w:rsid w:val="00A23CB6"/>
    <w:rsid w:val="00A2409A"/>
    <w:rsid w:val="00A2424B"/>
    <w:rsid w:val="00A24272"/>
    <w:rsid w:val="00A24636"/>
    <w:rsid w:val="00A247AB"/>
    <w:rsid w:val="00A24878"/>
    <w:rsid w:val="00A24B21"/>
    <w:rsid w:val="00A24EFB"/>
    <w:rsid w:val="00A25113"/>
    <w:rsid w:val="00A25293"/>
    <w:rsid w:val="00A25332"/>
    <w:rsid w:val="00A2539B"/>
    <w:rsid w:val="00A25748"/>
    <w:rsid w:val="00A25BF5"/>
    <w:rsid w:val="00A25BF6"/>
    <w:rsid w:val="00A25CB8"/>
    <w:rsid w:val="00A25E6E"/>
    <w:rsid w:val="00A25F0E"/>
    <w:rsid w:val="00A261FE"/>
    <w:rsid w:val="00A2649A"/>
    <w:rsid w:val="00A264F6"/>
    <w:rsid w:val="00A2684D"/>
    <w:rsid w:val="00A2689F"/>
    <w:rsid w:val="00A26C98"/>
    <w:rsid w:val="00A26C9F"/>
    <w:rsid w:val="00A26DA2"/>
    <w:rsid w:val="00A26E96"/>
    <w:rsid w:val="00A27005"/>
    <w:rsid w:val="00A27021"/>
    <w:rsid w:val="00A27191"/>
    <w:rsid w:val="00A278F1"/>
    <w:rsid w:val="00A27AF4"/>
    <w:rsid w:val="00A27AFF"/>
    <w:rsid w:val="00A27B25"/>
    <w:rsid w:val="00A301E5"/>
    <w:rsid w:val="00A30284"/>
    <w:rsid w:val="00A3033D"/>
    <w:rsid w:val="00A306C2"/>
    <w:rsid w:val="00A30A75"/>
    <w:rsid w:val="00A30CD5"/>
    <w:rsid w:val="00A30DD2"/>
    <w:rsid w:val="00A30DD7"/>
    <w:rsid w:val="00A30E6F"/>
    <w:rsid w:val="00A31192"/>
    <w:rsid w:val="00A31248"/>
    <w:rsid w:val="00A31523"/>
    <w:rsid w:val="00A31732"/>
    <w:rsid w:val="00A318BE"/>
    <w:rsid w:val="00A3199D"/>
    <w:rsid w:val="00A319E2"/>
    <w:rsid w:val="00A31BFF"/>
    <w:rsid w:val="00A31E82"/>
    <w:rsid w:val="00A3205D"/>
    <w:rsid w:val="00A3208B"/>
    <w:rsid w:val="00A32301"/>
    <w:rsid w:val="00A324DA"/>
    <w:rsid w:val="00A328F1"/>
    <w:rsid w:val="00A32981"/>
    <w:rsid w:val="00A32E48"/>
    <w:rsid w:val="00A33022"/>
    <w:rsid w:val="00A3343E"/>
    <w:rsid w:val="00A334D0"/>
    <w:rsid w:val="00A33574"/>
    <w:rsid w:val="00A33F24"/>
    <w:rsid w:val="00A3410C"/>
    <w:rsid w:val="00A341BF"/>
    <w:rsid w:val="00A34301"/>
    <w:rsid w:val="00A34B35"/>
    <w:rsid w:val="00A3518D"/>
    <w:rsid w:val="00A3519A"/>
    <w:rsid w:val="00A35376"/>
    <w:rsid w:val="00A353CB"/>
    <w:rsid w:val="00A3542B"/>
    <w:rsid w:val="00A3563B"/>
    <w:rsid w:val="00A35811"/>
    <w:rsid w:val="00A35EE9"/>
    <w:rsid w:val="00A35F1A"/>
    <w:rsid w:val="00A35F45"/>
    <w:rsid w:val="00A361D3"/>
    <w:rsid w:val="00A3645D"/>
    <w:rsid w:val="00A369CE"/>
    <w:rsid w:val="00A36BE8"/>
    <w:rsid w:val="00A36C6B"/>
    <w:rsid w:val="00A3701F"/>
    <w:rsid w:val="00A37033"/>
    <w:rsid w:val="00A3724F"/>
    <w:rsid w:val="00A372B6"/>
    <w:rsid w:val="00A37518"/>
    <w:rsid w:val="00A3788A"/>
    <w:rsid w:val="00A37995"/>
    <w:rsid w:val="00A379FD"/>
    <w:rsid w:val="00A37B79"/>
    <w:rsid w:val="00A37E13"/>
    <w:rsid w:val="00A4006A"/>
    <w:rsid w:val="00A4010E"/>
    <w:rsid w:val="00A40186"/>
    <w:rsid w:val="00A402B4"/>
    <w:rsid w:val="00A403B5"/>
    <w:rsid w:val="00A4065B"/>
    <w:rsid w:val="00A40867"/>
    <w:rsid w:val="00A4089D"/>
    <w:rsid w:val="00A40C43"/>
    <w:rsid w:val="00A412A6"/>
    <w:rsid w:val="00A4169E"/>
    <w:rsid w:val="00A417A0"/>
    <w:rsid w:val="00A41B89"/>
    <w:rsid w:val="00A41D4A"/>
    <w:rsid w:val="00A4207D"/>
    <w:rsid w:val="00A4236F"/>
    <w:rsid w:val="00A42442"/>
    <w:rsid w:val="00A424B0"/>
    <w:rsid w:val="00A425C8"/>
    <w:rsid w:val="00A425CA"/>
    <w:rsid w:val="00A4280D"/>
    <w:rsid w:val="00A42BAA"/>
    <w:rsid w:val="00A42BD5"/>
    <w:rsid w:val="00A42EE0"/>
    <w:rsid w:val="00A430ED"/>
    <w:rsid w:val="00A43712"/>
    <w:rsid w:val="00A43A3B"/>
    <w:rsid w:val="00A43B9C"/>
    <w:rsid w:val="00A43D19"/>
    <w:rsid w:val="00A44271"/>
    <w:rsid w:val="00A44437"/>
    <w:rsid w:val="00A4462C"/>
    <w:rsid w:val="00A45BA9"/>
    <w:rsid w:val="00A45BBA"/>
    <w:rsid w:val="00A45E0A"/>
    <w:rsid w:val="00A461A4"/>
    <w:rsid w:val="00A46297"/>
    <w:rsid w:val="00A462A2"/>
    <w:rsid w:val="00A46F31"/>
    <w:rsid w:val="00A46F85"/>
    <w:rsid w:val="00A47551"/>
    <w:rsid w:val="00A478B4"/>
    <w:rsid w:val="00A478D8"/>
    <w:rsid w:val="00A4790D"/>
    <w:rsid w:val="00A47A13"/>
    <w:rsid w:val="00A47E55"/>
    <w:rsid w:val="00A47F3B"/>
    <w:rsid w:val="00A5021D"/>
    <w:rsid w:val="00A50323"/>
    <w:rsid w:val="00A5040E"/>
    <w:rsid w:val="00A50938"/>
    <w:rsid w:val="00A51161"/>
    <w:rsid w:val="00A5125A"/>
    <w:rsid w:val="00A52295"/>
    <w:rsid w:val="00A52322"/>
    <w:rsid w:val="00A52370"/>
    <w:rsid w:val="00A523E9"/>
    <w:rsid w:val="00A52DF1"/>
    <w:rsid w:val="00A52EDE"/>
    <w:rsid w:val="00A5306E"/>
    <w:rsid w:val="00A533FF"/>
    <w:rsid w:val="00A53566"/>
    <w:rsid w:val="00A53B73"/>
    <w:rsid w:val="00A53BEC"/>
    <w:rsid w:val="00A53F5A"/>
    <w:rsid w:val="00A53FD0"/>
    <w:rsid w:val="00A54416"/>
    <w:rsid w:val="00A545E6"/>
    <w:rsid w:val="00A54918"/>
    <w:rsid w:val="00A54B87"/>
    <w:rsid w:val="00A54D0E"/>
    <w:rsid w:val="00A54FF1"/>
    <w:rsid w:val="00A55097"/>
    <w:rsid w:val="00A5515A"/>
    <w:rsid w:val="00A552B6"/>
    <w:rsid w:val="00A5550A"/>
    <w:rsid w:val="00A559AD"/>
    <w:rsid w:val="00A55DFD"/>
    <w:rsid w:val="00A55E33"/>
    <w:rsid w:val="00A56248"/>
    <w:rsid w:val="00A563B6"/>
    <w:rsid w:val="00A56536"/>
    <w:rsid w:val="00A5673F"/>
    <w:rsid w:val="00A571A6"/>
    <w:rsid w:val="00A574A8"/>
    <w:rsid w:val="00A57681"/>
    <w:rsid w:val="00A578F7"/>
    <w:rsid w:val="00A57A03"/>
    <w:rsid w:val="00A57FE2"/>
    <w:rsid w:val="00A6042F"/>
    <w:rsid w:val="00A60BAD"/>
    <w:rsid w:val="00A60BD4"/>
    <w:rsid w:val="00A60D67"/>
    <w:rsid w:val="00A61525"/>
    <w:rsid w:val="00A615A3"/>
    <w:rsid w:val="00A619BD"/>
    <w:rsid w:val="00A61B5E"/>
    <w:rsid w:val="00A61C4A"/>
    <w:rsid w:val="00A61CCC"/>
    <w:rsid w:val="00A61ED5"/>
    <w:rsid w:val="00A61F5C"/>
    <w:rsid w:val="00A61FC4"/>
    <w:rsid w:val="00A623E4"/>
    <w:rsid w:val="00A6250B"/>
    <w:rsid w:val="00A62D54"/>
    <w:rsid w:val="00A62E20"/>
    <w:rsid w:val="00A63669"/>
    <w:rsid w:val="00A6369A"/>
    <w:rsid w:val="00A6374A"/>
    <w:rsid w:val="00A63A15"/>
    <w:rsid w:val="00A63A75"/>
    <w:rsid w:val="00A63AFE"/>
    <w:rsid w:val="00A641FB"/>
    <w:rsid w:val="00A6424D"/>
    <w:rsid w:val="00A64B86"/>
    <w:rsid w:val="00A64C5A"/>
    <w:rsid w:val="00A654E2"/>
    <w:rsid w:val="00A65B84"/>
    <w:rsid w:val="00A65D75"/>
    <w:rsid w:val="00A65DBF"/>
    <w:rsid w:val="00A65F0C"/>
    <w:rsid w:val="00A66135"/>
    <w:rsid w:val="00A66332"/>
    <w:rsid w:val="00A663D6"/>
    <w:rsid w:val="00A66992"/>
    <w:rsid w:val="00A669C4"/>
    <w:rsid w:val="00A66A2C"/>
    <w:rsid w:val="00A66D26"/>
    <w:rsid w:val="00A671A4"/>
    <w:rsid w:val="00A67521"/>
    <w:rsid w:val="00A67638"/>
    <w:rsid w:val="00A677A9"/>
    <w:rsid w:val="00A6784F"/>
    <w:rsid w:val="00A67882"/>
    <w:rsid w:val="00A67897"/>
    <w:rsid w:val="00A705AB"/>
    <w:rsid w:val="00A705D2"/>
    <w:rsid w:val="00A7072C"/>
    <w:rsid w:val="00A70855"/>
    <w:rsid w:val="00A70B96"/>
    <w:rsid w:val="00A70BDB"/>
    <w:rsid w:val="00A71535"/>
    <w:rsid w:val="00A71950"/>
    <w:rsid w:val="00A71D10"/>
    <w:rsid w:val="00A71D6D"/>
    <w:rsid w:val="00A71DC1"/>
    <w:rsid w:val="00A71E92"/>
    <w:rsid w:val="00A71EAE"/>
    <w:rsid w:val="00A72400"/>
    <w:rsid w:val="00A728DE"/>
    <w:rsid w:val="00A7291B"/>
    <w:rsid w:val="00A72AF8"/>
    <w:rsid w:val="00A72D2C"/>
    <w:rsid w:val="00A72E26"/>
    <w:rsid w:val="00A7313D"/>
    <w:rsid w:val="00A7315D"/>
    <w:rsid w:val="00A733B6"/>
    <w:rsid w:val="00A73751"/>
    <w:rsid w:val="00A73A6E"/>
    <w:rsid w:val="00A73CBE"/>
    <w:rsid w:val="00A7421D"/>
    <w:rsid w:val="00A743FD"/>
    <w:rsid w:val="00A7440C"/>
    <w:rsid w:val="00A74554"/>
    <w:rsid w:val="00A74AD0"/>
    <w:rsid w:val="00A74BE6"/>
    <w:rsid w:val="00A759E9"/>
    <w:rsid w:val="00A75A1E"/>
    <w:rsid w:val="00A75BF6"/>
    <w:rsid w:val="00A75F13"/>
    <w:rsid w:val="00A762AA"/>
    <w:rsid w:val="00A76426"/>
    <w:rsid w:val="00A767A8"/>
    <w:rsid w:val="00A77097"/>
    <w:rsid w:val="00A771EE"/>
    <w:rsid w:val="00A77379"/>
    <w:rsid w:val="00A774ED"/>
    <w:rsid w:val="00A775EE"/>
    <w:rsid w:val="00A7793A"/>
    <w:rsid w:val="00A77CA3"/>
    <w:rsid w:val="00A77E7E"/>
    <w:rsid w:val="00A80891"/>
    <w:rsid w:val="00A8097B"/>
    <w:rsid w:val="00A80A98"/>
    <w:rsid w:val="00A80DAC"/>
    <w:rsid w:val="00A811FF"/>
    <w:rsid w:val="00A81493"/>
    <w:rsid w:val="00A815A1"/>
    <w:rsid w:val="00A8166B"/>
    <w:rsid w:val="00A817A7"/>
    <w:rsid w:val="00A81DE8"/>
    <w:rsid w:val="00A81EE5"/>
    <w:rsid w:val="00A822AB"/>
    <w:rsid w:val="00A82438"/>
    <w:rsid w:val="00A829B3"/>
    <w:rsid w:val="00A82F2C"/>
    <w:rsid w:val="00A82F31"/>
    <w:rsid w:val="00A832E5"/>
    <w:rsid w:val="00A83327"/>
    <w:rsid w:val="00A83558"/>
    <w:rsid w:val="00A836A7"/>
    <w:rsid w:val="00A83BE0"/>
    <w:rsid w:val="00A83DC0"/>
    <w:rsid w:val="00A83EB3"/>
    <w:rsid w:val="00A84504"/>
    <w:rsid w:val="00A84A9D"/>
    <w:rsid w:val="00A84B9E"/>
    <w:rsid w:val="00A84BD8"/>
    <w:rsid w:val="00A84EAF"/>
    <w:rsid w:val="00A8592D"/>
    <w:rsid w:val="00A863FB"/>
    <w:rsid w:val="00A86A72"/>
    <w:rsid w:val="00A86B20"/>
    <w:rsid w:val="00A86D3B"/>
    <w:rsid w:val="00A86E30"/>
    <w:rsid w:val="00A86F1E"/>
    <w:rsid w:val="00A86F66"/>
    <w:rsid w:val="00A87164"/>
    <w:rsid w:val="00A875DD"/>
    <w:rsid w:val="00A8778E"/>
    <w:rsid w:val="00A87ACC"/>
    <w:rsid w:val="00A87B65"/>
    <w:rsid w:val="00A87C30"/>
    <w:rsid w:val="00A87CE2"/>
    <w:rsid w:val="00A87D72"/>
    <w:rsid w:val="00A87E0F"/>
    <w:rsid w:val="00A901B5"/>
    <w:rsid w:val="00A903C0"/>
    <w:rsid w:val="00A90430"/>
    <w:rsid w:val="00A9061F"/>
    <w:rsid w:val="00A90925"/>
    <w:rsid w:val="00A911D1"/>
    <w:rsid w:val="00A91348"/>
    <w:rsid w:val="00A914B0"/>
    <w:rsid w:val="00A91538"/>
    <w:rsid w:val="00A91656"/>
    <w:rsid w:val="00A91732"/>
    <w:rsid w:val="00A91878"/>
    <w:rsid w:val="00A91ED6"/>
    <w:rsid w:val="00A9228C"/>
    <w:rsid w:val="00A92886"/>
    <w:rsid w:val="00A92A25"/>
    <w:rsid w:val="00A92A28"/>
    <w:rsid w:val="00A92D6F"/>
    <w:rsid w:val="00A931D9"/>
    <w:rsid w:val="00A93490"/>
    <w:rsid w:val="00A93845"/>
    <w:rsid w:val="00A93D59"/>
    <w:rsid w:val="00A93DD3"/>
    <w:rsid w:val="00A943D5"/>
    <w:rsid w:val="00A94AEF"/>
    <w:rsid w:val="00A94C3A"/>
    <w:rsid w:val="00A94D41"/>
    <w:rsid w:val="00A94DA5"/>
    <w:rsid w:val="00A94DD7"/>
    <w:rsid w:val="00A94E9F"/>
    <w:rsid w:val="00A95067"/>
    <w:rsid w:val="00A953D7"/>
    <w:rsid w:val="00A95900"/>
    <w:rsid w:val="00A95D10"/>
    <w:rsid w:val="00A95D77"/>
    <w:rsid w:val="00A965B9"/>
    <w:rsid w:val="00A966E6"/>
    <w:rsid w:val="00A96939"/>
    <w:rsid w:val="00A96DCC"/>
    <w:rsid w:val="00A973C3"/>
    <w:rsid w:val="00A973CB"/>
    <w:rsid w:val="00A976FB"/>
    <w:rsid w:val="00A97755"/>
    <w:rsid w:val="00A9776C"/>
    <w:rsid w:val="00AA0003"/>
    <w:rsid w:val="00AA01BF"/>
    <w:rsid w:val="00AA02F2"/>
    <w:rsid w:val="00AA0A3F"/>
    <w:rsid w:val="00AA0AA2"/>
    <w:rsid w:val="00AA0B39"/>
    <w:rsid w:val="00AA0B90"/>
    <w:rsid w:val="00AA0C31"/>
    <w:rsid w:val="00AA1046"/>
    <w:rsid w:val="00AA1495"/>
    <w:rsid w:val="00AA15D2"/>
    <w:rsid w:val="00AA1710"/>
    <w:rsid w:val="00AA1895"/>
    <w:rsid w:val="00AA1CAB"/>
    <w:rsid w:val="00AA2048"/>
    <w:rsid w:val="00AA2627"/>
    <w:rsid w:val="00AA26C2"/>
    <w:rsid w:val="00AA27E6"/>
    <w:rsid w:val="00AA29BA"/>
    <w:rsid w:val="00AA2BAC"/>
    <w:rsid w:val="00AA2CC9"/>
    <w:rsid w:val="00AA2DC5"/>
    <w:rsid w:val="00AA2EEA"/>
    <w:rsid w:val="00AA375C"/>
    <w:rsid w:val="00AA3C2E"/>
    <w:rsid w:val="00AA3C6D"/>
    <w:rsid w:val="00AA3D84"/>
    <w:rsid w:val="00AA3F7A"/>
    <w:rsid w:val="00AA45ED"/>
    <w:rsid w:val="00AA4870"/>
    <w:rsid w:val="00AA48ED"/>
    <w:rsid w:val="00AA4C52"/>
    <w:rsid w:val="00AA4E8A"/>
    <w:rsid w:val="00AA4E96"/>
    <w:rsid w:val="00AA4F01"/>
    <w:rsid w:val="00AA532E"/>
    <w:rsid w:val="00AA5A6D"/>
    <w:rsid w:val="00AA5CAF"/>
    <w:rsid w:val="00AA65A5"/>
    <w:rsid w:val="00AA66D8"/>
    <w:rsid w:val="00AA6BCF"/>
    <w:rsid w:val="00AA6D88"/>
    <w:rsid w:val="00AA6D9A"/>
    <w:rsid w:val="00AA6EE6"/>
    <w:rsid w:val="00AA7421"/>
    <w:rsid w:val="00AA7590"/>
    <w:rsid w:val="00AA770D"/>
    <w:rsid w:val="00AA7876"/>
    <w:rsid w:val="00AA78E5"/>
    <w:rsid w:val="00AA78F5"/>
    <w:rsid w:val="00AA7B67"/>
    <w:rsid w:val="00AA7DDD"/>
    <w:rsid w:val="00AB012E"/>
    <w:rsid w:val="00AB0453"/>
    <w:rsid w:val="00AB060A"/>
    <w:rsid w:val="00AB07EA"/>
    <w:rsid w:val="00AB0BE4"/>
    <w:rsid w:val="00AB0EE7"/>
    <w:rsid w:val="00AB112A"/>
    <w:rsid w:val="00AB1491"/>
    <w:rsid w:val="00AB16E7"/>
    <w:rsid w:val="00AB1797"/>
    <w:rsid w:val="00AB186B"/>
    <w:rsid w:val="00AB1BDF"/>
    <w:rsid w:val="00AB1D28"/>
    <w:rsid w:val="00AB20C7"/>
    <w:rsid w:val="00AB25B7"/>
    <w:rsid w:val="00AB25DD"/>
    <w:rsid w:val="00AB27AB"/>
    <w:rsid w:val="00AB2B1C"/>
    <w:rsid w:val="00AB2C36"/>
    <w:rsid w:val="00AB2C7A"/>
    <w:rsid w:val="00AB2CF4"/>
    <w:rsid w:val="00AB2DAE"/>
    <w:rsid w:val="00AB30EA"/>
    <w:rsid w:val="00AB33F0"/>
    <w:rsid w:val="00AB3440"/>
    <w:rsid w:val="00AB348C"/>
    <w:rsid w:val="00AB362C"/>
    <w:rsid w:val="00AB3669"/>
    <w:rsid w:val="00AB391C"/>
    <w:rsid w:val="00AB3A9C"/>
    <w:rsid w:val="00AB3BC5"/>
    <w:rsid w:val="00AB3E83"/>
    <w:rsid w:val="00AB3ECC"/>
    <w:rsid w:val="00AB3F08"/>
    <w:rsid w:val="00AB4790"/>
    <w:rsid w:val="00AB480E"/>
    <w:rsid w:val="00AB4839"/>
    <w:rsid w:val="00AB4874"/>
    <w:rsid w:val="00AB49B7"/>
    <w:rsid w:val="00AB4A13"/>
    <w:rsid w:val="00AB5127"/>
    <w:rsid w:val="00AB57FB"/>
    <w:rsid w:val="00AB5C20"/>
    <w:rsid w:val="00AB5DEA"/>
    <w:rsid w:val="00AB617E"/>
    <w:rsid w:val="00AB646F"/>
    <w:rsid w:val="00AB652C"/>
    <w:rsid w:val="00AB6713"/>
    <w:rsid w:val="00AB68EB"/>
    <w:rsid w:val="00AB6973"/>
    <w:rsid w:val="00AB6E25"/>
    <w:rsid w:val="00AB6F5C"/>
    <w:rsid w:val="00AB714D"/>
    <w:rsid w:val="00AB74AE"/>
    <w:rsid w:val="00AB7515"/>
    <w:rsid w:val="00AB76B7"/>
    <w:rsid w:val="00AB7AF0"/>
    <w:rsid w:val="00AB7D9B"/>
    <w:rsid w:val="00AB7DDC"/>
    <w:rsid w:val="00AC0232"/>
    <w:rsid w:val="00AC054A"/>
    <w:rsid w:val="00AC0555"/>
    <w:rsid w:val="00AC057F"/>
    <w:rsid w:val="00AC05CE"/>
    <w:rsid w:val="00AC0AAD"/>
    <w:rsid w:val="00AC0D77"/>
    <w:rsid w:val="00AC0DA0"/>
    <w:rsid w:val="00AC101B"/>
    <w:rsid w:val="00AC1099"/>
    <w:rsid w:val="00AC10AF"/>
    <w:rsid w:val="00AC1381"/>
    <w:rsid w:val="00AC17A4"/>
    <w:rsid w:val="00AC1829"/>
    <w:rsid w:val="00AC2399"/>
    <w:rsid w:val="00AC258D"/>
    <w:rsid w:val="00AC263B"/>
    <w:rsid w:val="00AC2772"/>
    <w:rsid w:val="00AC2BD9"/>
    <w:rsid w:val="00AC321A"/>
    <w:rsid w:val="00AC321D"/>
    <w:rsid w:val="00AC34D5"/>
    <w:rsid w:val="00AC35BE"/>
    <w:rsid w:val="00AC3602"/>
    <w:rsid w:val="00AC36FC"/>
    <w:rsid w:val="00AC3B94"/>
    <w:rsid w:val="00AC44D0"/>
    <w:rsid w:val="00AC4730"/>
    <w:rsid w:val="00AC4A4F"/>
    <w:rsid w:val="00AC4B13"/>
    <w:rsid w:val="00AC4BF4"/>
    <w:rsid w:val="00AC4C6A"/>
    <w:rsid w:val="00AC4DCC"/>
    <w:rsid w:val="00AC4F36"/>
    <w:rsid w:val="00AC57A2"/>
    <w:rsid w:val="00AC58AC"/>
    <w:rsid w:val="00AC58CF"/>
    <w:rsid w:val="00AC6256"/>
    <w:rsid w:val="00AC64AB"/>
    <w:rsid w:val="00AC6AFE"/>
    <w:rsid w:val="00AC6FE5"/>
    <w:rsid w:val="00AC7236"/>
    <w:rsid w:val="00AC7343"/>
    <w:rsid w:val="00AC7591"/>
    <w:rsid w:val="00AC7666"/>
    <w:rsid w:val="00AC7F1B"/>
    <w:rsid w:val="00AD041D"/>
    <w:rsid w:val="00AD0568"/>
    <w:rsid w:val="00AD074B"/>
    <w:rsid w:val="00AD0B82"/>
    <w:rsid w:val="00AD0CBF"/>
    <w:rsid w:val="00AD1473"/>
    <w:rsid w:val="00AD1AD3"/>
    <w:rsid w:val="00AD1EF4"/>
    <w:rsid w:val="00AD1F55"/>
    <w:rsid w:val="00AD2285"/>
    <w:rsid w:val="00AD2771"/>
    <w:rsid w:val="00AD2792"/>
    <w:rsid w:val="00AD2D84"/>
    <w:rsid w:val="00AD2FB0"/>
    <w:rsid w:val="00AD2FEC"/>
    <w:rsid w:val="00AD3053"/>
    <w:rsid w:val="00AD30AA"/>
    <w:rsid w:val="00AD310E"/>
    <w:rsid w:val="00AD3F0C"/>
    <w:rsid w:val="00AD41D6"/>
    <w:rsid w:val="00AD42D4"/>
    <w:rsid w:val="00AD4D8C"/>
    <w:rsid w:val="00AD5158"/>
    <w:rsid w:val="00AD558A"/>
    <w:rsid w:val="00AD58A8"/>
    <w:rsid w:val="00AD593F"/>
    <w:rsid w:val="00AD5B1C"/>
    <w:rsid w:val="00AD5F3F"/>
    <w:rsid w:val="00AD5FE8"/>
    <w:rsid w:val="00AD604F"/>
    <w:rsid w:val="00AD610E"/>
    <w:rsid w:val="00AD630C"/>
    <w:rsid w:val="00AD662C"/>
    <w:rsid w:val="00AD68E8"/>
    <w:rsid w:val="00AD6B80"/>
    <w:rsid w:val="00AD6DB5"/>
    <w:rsid w:val="00AD71A3"/>
    <w:rsid w:val="00AD72F0"/>
    <w:rsid w:val="00AD73AE"/>
    <w:rsid w:val="00AD75DA"/>
    <w:rsid w:val="00AE0594"/>
    <w:rsid w:val="00AE074B"/>
    <w:rsid w:val="00AE0CF6"/>
    <w:rsid w:val="00AE10ED"/>
    <w:rsid w:val="00AE16E7"/>
    <w:rsid w:val="00AE19B3"/>
    <w:rsid w:val="00AE1B88"/>
    <w:rsid w:val="00AE1D05"/>
    <w:rsid w:val="00AE1FB1"/>
    <w:rsid w:val="00AE22D3"/>
    <w:rsid w:val="00AE274B"/>
    <w:rsid w:val="00AE2947"/>
    <w:rsid w:val="00AE2B76"/>
    <w:rsid w:val="00AE2CE5"/>
    <w:rsid w:val="00AE2E7C"/>
    <w:rsid w:val="00AE300B"/>
    <w:rsid w:val="00AE31FD"/>
    <w:rsid w:val="00AE33DF"/>
    <w:rsid w:val="00AE34B7"/>
    <w:rsid w:val="00AE3B0E"/>
    <w:rsid w:val="00AE3CE7"/>
    <w:rsid w:val="00AE424A"/>
    <w:rsid w:val="00AE475E"/>
    <w:rsid w:val="00AE49BA"/>
    <w:rsid w:val="00AE4C26"/>
    <w:rsid w:val="00AE4E55"/>
    <w:rsid w:val="00AE4FA5"/>
    <w:rsid w:val="00AE50A9"/>
    <w:rsid w:val="00AE512B"/>
    <w:rsid w:val="00AE51A0"/>
    <w:rsid w:val="00AE51BD"/>
    <w:rsid w:val="00AE5346"/>
    <w:rsid w:val="00AE538F"/>
    <w:rsid w:val="00AE5532"/>
    <w:rsid w:val="00AE5625"/>
    <w:rsid w:val="00AE574C"/>
    <w:rsid w:val="00AE5AEC"/>
    <w:rsid w:val="00AE5D5D"/>
    <w:rsid w:val="00AE5EEF"/>
    <w:rsid w:val="00AE612B"/>
    <w:rsid w:val="00AE63B9"/>
    <w:rsid w:val="00AE6583"/>
    <w:rsid w:val="00AE6735"/>
    <w:rsid w:val="00AE6AAC"/>
    <w:rsid w:val="00AE6B95"/>
    <w:rsid w:val="00AE6D0C"/>
    <w:rsid w:val="00AE6EE7"/>
    <w:rsid w:val="00AE6F90"/>
    <w:rsid w:val="00AE7427"/>
    <w:rsid w:val="00AE7559"/>
    <w:rsid w:val="00AE7762"/>
    <w:rsid w:val="00AE7CFA"/>
    <w:rsid w:val="00AF004B"/>
    <w:rsid w:val="00AF02EF"/>
    <w:rsid w:val="00AF06D6"/>
    <w:rsid w:val="00AF06FF"/>
    <w:rsid w:val="00AF077C"/>
    <w:rsid w:val="00AF0794"/>
    <w:rsid w:val="00AF08EE"/>
    <w:rsid w:val="00AF09E7"/>
    <w:rsid w:val="00AF0BAA"/>
    <w:rsid w:val="00AF0F44"/>
    <w:rsid w:val="00AF0F83"/>
    <w:rsid w:val="00AF0FC4"/>
    <w:rsid w:val="00AF1302"/>
    <w:rsid w:val="00AF16AE"/>
    <w:rsid w:val="00AF1885"/>
    <w:rsid w:val="00AF1909"/>
    <w:rsid w:val="00AF1A1A"/>
    <w:rsid w:val="00AF1BFE"/>
    <w:rsid w:val="00AF1D6F"/>
    <w:rsid w:val="00AF200B"/>
    <w:rsid w:val="00AF2314"/>
    <w:rsid w:val="00AF277E"/>
    <w:rsid w:val="00AF27EF"/>
    <w:rsid w:val="00AF2C37"/>
    <w:rsid w:val="00AF3313"/>
    <w:rsid w:val="00AF3F04"/>
    <w:rsid w:val="00AF42B0"/>
    <w:rsid w:val="00AF472F"/>
    <w:rsid w:val="00AF49F3"/>
    <w:rsid w:val="00AF534C"/>
    <w:rsid w:val="00AF5C13"/>
    <w:rsid w:val="00AF5FA0"/>
    <w:rsid w:val="00AF6215"/>
    <w:rsid w:val="00AF62A8"/>
    <w:rsid w:val="00AF662A"/>
    <w:rsid w:val="00AF6A54"/>
    <w:rsid w:val="00AF6CF7"/>
    <w:rsid w:val="00AF7766"/>
    <w:rsid w:val="00AF782E"/>
    <w:rsid w:val="00AF7963"/>
    <w:rsid w:val="00AF7ADC"/>
    <w:rsid w:val="00AF7EFC"/>
    <w:rsid w:val="00AF7FE3"/>
    <w:rsid w:val="00B0041B"/>
    <w:rsid w:val="00B005A5"/>
    <w:rsid w:val="00B00736"/>
    <w:rsid w:val="00B008CE"/>
    <w:rsid w:val="00B00A62"/>
    <w:rsid w:val="00B00AF4"/>
    <w:rsid w:val="00B00CB7"/>
    <w:rsid w:val="00B013E9"/>
    <w:rsid w:val="00B0167F"/>
    <w:rsid w:val="00B01697"/>
    <w:rsid w:val="00B0210F"/>
    <w:rsid w:val="00B023B5"/>
    <w:rsid w:val="00B0255E"/>
    <w:rsid w:val="00B025F0"/>
    <w:rsid w:val="00B026D7"/>
    <w:rsid w:val="00B02831"/>
    <w:rsid w:val="00B02A45"/>
    <w:rsid w:val="00B02B69"/>
    <w:rsid w:val="00B02EBF"/>
    <w:rsid w:val="00B02F6B"/>
    <w:rsid w:val="00B03702"/>
    <w:rsid w:val="00B03709"/>
    <w:rsid w:val="00B037FD"/>
    <w:rsid w:val="00B0382C"/>
    <w:rsid w:val="00B0384C"/>
    <w:rsid w:val="00B03A0A"/>
    <w:rsid w:val="00B03A87"/>
    <w:rsid w:val="00B03C92"/>
    <w:rsid w:val="00B03F4C"/>
    <w:rsid w:val="00B046A8"/>
    <w:rsid w:val="00B04824"/>
    <w:rsid w:val="00B04831"/>
    <w:rsid w:val="00B048F0"/>
    <w:rsid w:val="00B04FD5"/>
    <w:rsid w:val="00B04FD7"/>
    <w:rsid w:val="00B05133"/>
    <w:rsid w:val="00B05719"/>
    <w:rsid w:val="00B05A72"/>
    <w:rsid w:val="00B05E6B"/>
    <w:rsid w:val="00B06010"/>
    <w:rsid w:val="00B06129"/>
    <w:rsid w:val="00B06386"/>
    <w:rsid w:val="00B06819"/>
    <w:rsid w:val="00B06947"/>
    <w:rsid w:val="00B0710D"/>
    <w:rsid w:val="00B071FD"/>
    <w:rsid w:val="00B07663"/>
    <w:rsid w:val="00B07906"/>
    <w:rsid w:val="00B07A75"/>
    <w:rsid w:val="00B07DBA"/>
    <w:rsid w:val="00B07EBD"/>
    <w:rsid w:val="00B10849"/>
    <w:rsid w:val="00B10AFF"/>
    <w:rsid w:val="00B10B3F"/>
    <w:rsid w:val="00B11177"/>
    <w:rsid w:val="00B1128B"/>
    <w:rsid w:val="00B11A14"/>
    <w:rsid w:val="00B11C83"/>
    <w:rsid w:val="00B11DAF"/>
    <w:rsid w:val="00B11E46"/>
    <w:rsid w:val="00B11F80"/>
    <w:rsid w:val="00B11F99"/>
    <w:rsid w:val="00B12124"/>
    <w:rsid w:val="00B12219"/>
    <w:rsid w:val="00B1230E"/>
    <w:rsid w:val="00B126E3"/>
    <w:rsid w:val="00B12822"/>
    <w:rsid w:val="00B12AD0"/>
    <w:rsid w:val="00B12B9D"/>
    <w:rsid w:val="00B12C39"/>
    <w:rsid w:val="00B12C58"/>
    <w:rsid w:val="00B12DBC"/>
    <w:rsid w:val="00B12F11"/>
    <w:rsid w:val="00B12FF6"/>
    <w:rsid w:val="00B13300"/>
    <w:rsid w:val="00B13802"/>
    <w:rsid w:val="00B13EC6"/>
    <w:rsid w:val="00B143F8"/>
    <w:rsid w:val="00B14533"/>
    <w:rsid w:val="00B14542"/>
    <w:rsid w:val="00B148B3"/>
    <w:rsid w:val="00B148C0"/>
    <w:rsid w:val="00B1499D"/>
    <w:rsid w:val="00B14E4F"/>
    <w:rsid w:val="00B14EE7"/>
    <w:rsid w:val="00B15708"/>
    <w:rsid w:val="00B15FAF"/>
    <w:rsid w:val="00B165C8"/>
    <w:rsid w:val="00B17568"/>
    <w:rsid w:val="00B17F60"/>
    <w:rsid w:val="00B20246"/>
    <w:rsid w:val="00B20436"/>
    <w:rsid w:val="00B2073F"/>
    <w:rsid w:val="00B20CE9"/>
    <w:rsid w:val="00B20D69"/>
    <w:rsid w:val="00B20E30"/>
    <w:rsid w:val="00B20EBA"/>
    <w:rsid w:val="00B212D8"/>
    <w:rsid w:val="00B2155B"/>
    <w:rsid w:val="00B2155C"/>
    <w:rsid w:val="00B21939"/>
    <w:rsid w:val="00B219FC"/>
    <w:rsid w:val="00B2214B"/>
    <w:rsid w:val="00B225AB"/>
    <w:rsid w:val="00B22A2F"/>
    <w:rsid w:val="00B233E1"/>
    <w:rsid w:val="00B23711"/>
    <w:rsid w:val="00B23950"/>
    <w:rsid w:val="00B2398F"/>
    <w:rsid w:val="00B239D8"/>
    <w:rsid w:val="00B23A99"/>
    <w:rsid w:val="00B23F84"/>
    <w:rsid w:val="00B24128"/>
    <w:rsid w:val="00B24289"/>
    <w:rsid w:val="00B247AB"/>
    <w:rsid w:val="00B24887"/>
    <w:rsid w:val="00B24C9F"/>
    <w:rsid w:val="00B24D7A"/>
    <w:rsid w:val="00B24E1A"/>
    <w:rsid w:val="00B24FD9"/>
    <w:rsid w:val="00B24FE6"/>
    <w:rsid w:val="00B25116"/>
    <w:rsid w:val="00B253A9"/>
    <w:rsid w:val="00B2540F"/>
    <w:rsid w:val="00B2560C"/>
    <w:rsid w:val="00B25836"/>
    <w:rsid w:val="00B25849"/>
    <w:rsid w:val="00B259CE"/>
    <w:rsid w:val="00B25A26"/>
    <w:rsid w:val="00B25A9F"/>
    <w:rsid w:val="00B25E80"/>
    <w:rsid w:val="00B25F2D"/>
    <w:rsid w:val="00B26DD0"/>
    <w:rsid w:val="00B26EA9"/>
    <w:rsid w:val="00B270CE"/>
    <w:rsid w:val="00B270E5"/>
    <w:rsid w:val="00B27197"/>
    <w:rsid w:val="00B27301"/>
    <w:rsid w:val="00B27AC2"/>
    <w:rsid w:val="00B27C01"/>
    <w:rsid w:val="00B27F8E"/>
    <w:rsid w:val="00B30200"/>
    <w:rsid w:val="00B302F9"/>
    <w:rsid w:val="00B30319"/>
    <w:rsid w:val="00B30471"/>
    <w:rsid w:val="00B309C4"/>
    <w:rsid w:val="00B31308"/>
    <w:rsid w:val="00B316D9"/>
    <w:rsid w:val="00B31F48"/>
    <w:rsid w:val="00B320F4"/>
    <w:rsid w:val="00B3219D"/>
    <w:rsid w:val="00B325BB"/>
    <w:rsid w:val="00B326F7"/>
    <w:rsid w:val="00B32B8E"/>
    <w:rsid w:val="00B32D02"/>
    <w:rsid w:val="00B33632"/>
    <w:rsid w:val="00B33863"/>
    <w:rsid w:val="00B33B03"/>
    <w:rsid w:val="00B33BE7"/>
    <w:rsid w:val="00B33D28"/>
    <w:rsid w:val="00B33D55"/>
    <w:rsid w:val="00B343E8"/>
    <w:rsid w:val="00B34462"/>
    <w:rsid w:val="00B34798"/>
    <w:rsid w:val="00B3493B"/>
    <w:rsid w:val="00B349DE"/>
    <w:rsid w:val="00B34A7B"/>
    <w:rsid w:val="00B34BC9"/>
    <w:rsid w:val="00B34FFB"/>
    <w:rsid w:val="00B35515"/>
    <w:rsid w:val="00B3570E"/>
    <w:rsid w:val="00B3581B"/>
    <w:rsid w:val="00B35A8E"/>
    <w:rsid w:val="00B35AE3"/>
    <w:rsid w:val="00B35C58"/>
    <w:rsid w:val="00B35EA3"/>
    <w:rsid w:val="00B35F0C"/>
    <w:rsid w:val="00B36C2D"/>
    <w:rsid w:val="00B36C98"/>
    <w:rsid w:val="00B36D46"/>
    <w:rsid w:val="00B36E4A"/>
    <w:rsid w:val="00B36F83"/>
    <w:rsid w:val="00B37115"/>
    <w:rsid w:val="00B37435"/>
    <w:rsid w:val="00B3798C"/>
    <w:rsid w:val="00B37A37"/>
    <w:rsid w:val="00B37B5C"/>
    <w:rsid w:val="00B4013E"/>
    <w:rsid w:val="00B40213"/>
    <w:rsid w:val="00B402DA"/>
    <w:rsid w:val="00B40735"/>
    <w:rsid w:val="00B407F0"/>
    <w:rsid w:val="00B4087E"/>
    <w:rsid w:val="00B40E8D"/>
    <w:rsid w:val="00B4161A"/>
    <w:rsid w:val="00B41AA2"/>
    <w:rsid w:val="00B41CB3"/>
    <w:rsid w:val="00B41D5C"/>
    <w:rsid w:val="00B42502"/>
    <w:rsid w:val="00B426AE"/>
    <w:rsid w:val="00B42DD4"/>
    <w:rsid w:val="00B42ECA"/>
    <w:rsid w:val="00B42FA2"/>
    <w:rsid w:val="00B432C7"/>
    <w:rsid w:val="00B43696"/>
    <w:rsid w:val="00B43741"/>
    <w:rsid w:val="00B437CB"/>
    <w:rsid w:val="00B43D2B"/>
    <w:rsid w:val="00B43E5F"/>
    <w:rsid w:val="00B4441C"/>
    <w:rsid w:val="00B4454D"/>
    <w:rsid w:val="00B44630"/>
    <w:rsid w:val="00B44996"/>
    <w:rsid w:val="00B452B1"/>
    <w:rsid w:val="00B45303"/>
    <w:rsid w:val="00B45318"/>
    <w:rsid w:val="00B45886"/>
    <w:rsid w:val="00B459DF"/>
    <w:rsid w:val="00B45A04"/>
    <w:rsid w:val="00B45CE5"/>
    <w:rsid w:val="00B45F0E"/>
    <w:rsid w:val="00B4617E"/>
    <w:rsid w:val="00B462FC"/>
    <w:rsid w:val="00B464E6"/>
    <w:rsid w:val="00B464FD"/>
    <w:rsid w:val="00B467D5"/>
    <w:rsid w:val="00B468C5"/>
    <w:rsid w:val="00B4696B"/>
    <w:rsid w:val="00B46DD5"/>
    <w:rsid w:val="00B46E62"/>
    <w:rsid w:val="00B46E78"/>
    <w:rsid w:val="00B46FEF"/>
    <w:rsid w:val="00B471F3"/>
    <w:rsid w:val="00B47232"/>
    <w:rsid w:val="00B47435"/>
    <w:rsid w:val="00B475A1"/>
    <w:rsid w:val="00B47C12"/>
    <w:rsid w:val="00B47EFC"/>
    <w:rsid w:val="00B5007D"/>
    <w:rsid w:val="00B505BA"/>
    <w:rsid w:val="00B506B1"/>
    <w:rsid w:val="00B507A0"/>
    <w:rsid w:val="00B50BE8"/>
    <w:rsid w:val="00B50C0D"/>
    <w:rsid w:val="00B50DEE"/>
    <w:rsid w:val="00B50FAB"/>
    <w:rsid w:val="00B5111C"/>
    <w:rsid w:val="00B5132C"/>
    <w:rsid w:val="00B51435"/>
    <w:rsid w:val="00B516D3"/>
    <w:rsid w:val="00B51BE4"/>
    <w:rsid w:val="00B51C1F"/>
    <w:rsid w:val="00B51CA4"/>
    <w:rsid w:val="00B5228D"/>
    <w:rsid w:val="00B52316"/>
    <w:rsid w:val="00B52333"/>
    <w:rsid w:val="00B5247C"/>
    <w:rsid w:val="00B524D8"/>
    <w:rsid w:val="00B525F0"/>
    <w:rsid w:val="00B52BC6"/>
    <w:rsid w:val="00B52ECD"/>
    <w:rsid w:val="00B52F6F"/>
    <w:rsid w:val="00B52FD3"/>
    <w:rsid w:val="00B53533"/>
    <w:rsid w:val="00B5353D"/>
    <w:rsid w:val="00B53671"/>
    <w:rsid w:val="00B537D3"/>
    <w:rsid w:val="00B539AA"/>
    <w:rsid w:val="00B53CA7"/>
    <w:rsid w:val="00B53CED"/>
    <w:rsid w:val="00B53E9B"/>
    <w:rsid w:val="00B53FC5"/>
    <w:rsid w:val="00B53FED"/>
    <w:rsid w:val="00B54365"/>
    <w:rsid w:val="00B5443F"/>
    <w:rsid w:val="00B54525"/>
    <w:rsid w:val="00B54681"/>
    <w:rsid w:val="00B546D9"/>
    <w:rsid w:val="00B54F63"/>
    <w:rsid w:val="00B550F5"/>
    <w:rsid w:val="00B552EB"/>
    <w:rsid w:val="00B55454"/>
    <w:rsid w:val="00B554C6"/>
    <w:rsid w:val="00B557BC"/>
    <w:rsid w:val="00B5668C"/>
    <w:rsid w:val="00B56A62"/>
    <w:rsid w:val="00B56A8B"/>
    <w:rsid w:val="00B56BA1"/>
    <w:rsid w:val="00B572BB"/>
    <w:rsid w:val="00B57818"/>
    <w:rsid w:val="00B5799D"/>
    <w:rsid w:val="00B57A17"/>
    <w:rsid w:val="00B57B73"/>
    <w:rsid w:val="00B57D80"/>
    <w:rsid w:val="00B6070A"/>
    <w:rsid w:val="00B60A44"/>
    <w:rsid w:val="00B60A65"/>
    <w:rsid w:val="00B60FD6"/>
    <w:rsid w:val="00B61235"/>
    <w:rsid w:val="00B614A4"/>
    <w:rsid w:val="00B61575"/>
    <w:rsid w:val="00B61856"/>
    <w:rsid w:val="00B61E27"/>
    <w:rsid w:val="00B61EAE"/>
    <w:rsid w:val="00B62400"/>
    <w:rsid w:val="00B62888"/>
    <w:rsid w:val="00B628CC"/>
    <w:rsid w:val="00B62F9C"/>
    <w:rsid w:val="00B63076"/>
    <w:rsid w:val="00B635D6"/>
    <w:rsid w:val="00B63E23"/>
    <w:rsid w:val="00B642A4"/>
    <w:rsid w:val="00B644B7"/>
    <w:rsid w:val="00B645A7"/>
    <w:rsid w:val="00B64725"/>
    <w:rsid w:val="00B649C6"/>
    <w:rsid w:val="00B64B79"/>
    <w:rsid w:val="00B64FA0"/>
    <w:rsid w:val="00B64FBB"/>
    <w:rsid w:val="00B6506B"/>
    <w:rsid w:val="00B65186"/>
    <w:rsid w:val="00B65281"/>
    <w:rsid w:val="00B653BB"/>
    <w:rsid w:val="00B65424"/>
    <w:rsid w:val="00B657B3"/>
    <w:rsid w:val="00B65C01"/>
    <w:rsid w:val="00B65C82"/>
    <w:rsid w:val="00B65D15"/>
    <w:rsid w:val="00B660B7"/>
    <w:rsid w:val="00B6656E"/>
    <w:rsid w:val="00B66728"/>
    <w:rsid w:val="00B66B46"/>
    <w:rsid w:val="00B66F82"/>
    <w:rsid w:val="00B66FB4"/>
    <w:rsid w:val="00B67319"/>
    <w:rsid w:val="00B6757A"/>
    <w:rsid w:val="00B675DE"/>
    <w:rsid w:val="00B67A7E"/>
    <w:rsid w:val="00B67D66"/>
    <w:rsid w:val="00B67DB4"/>
    <w:rsid w:val="00B67F47"/>
    <w:rsid w:val="00B7031A"/>
    <w:rsid w:val="00B708C4"/>
    <w:rsid w:val="00B70949"/>
    <w:rsid w:val="00B710CA"/>
    <w:rsid w:val="00B71666"/>
    <w:rsid w:val="00B719C7"/>
    <w:rsid w:val="00B72135"/>
    <w:rsid w:val="00B72162"/>
    <w:rsid w:val="00B722B8"/>
    <w:rsid w:val="00B72420"/>
    <w:rsid w:val="00B72443"/>
    <w:rsid w:val="00B72538"/>
    <w:rsid w:val="00B7268B"/>
    <w:rsid w:val="00B729FA"/>
    <w:rsid w:val="00B72F99"/>
    <w:rsid w:val="00B733C1"/>
    <w:rsid w:val="00B73485"/>
    <w:rsid w:val="00B735D0"/>
    <w:rsid w:val="00B7372D"/>
    <w:rsid w:val="00B7378D"/>
    <w:rsid w:val="00B7389E"/>
    <w:rsid w:val="00B73AC0"/>
    <w:rsid w:val="00B73B9D"/>
    <w:rsid w:val="00B73E44"/>
    <w:rsid w:val="00B73EBF"/>
    <w:rsid w:val="00B7497F"/>
    <w:rsid w:val="00B74F40"/>
    <w:rsid w:val="00B74FD9"/>
    <w:rsid w:val="00B750E9"/>
    <w:rsid w:val="00B7546E"/>
    <w:rsid w:val="00B75514"/>
    <w:rsid w:val="00B755D6"/>
    <w:rsid w:val="00B75675"/>
    <w:rsid w:val="00B756DE"/>
    <w:rsid w:val="00B757A6"/>
    <w:rsid w:val="00B75FA4"/>
    <w:rsid w:val="00B762DE"/>
    <w:rsid w:val="00B76342"/>
    <w:rsid w:val="00B763B6"/>
    <w:rsid w:val="00B76528"/>
    <w:rsid w:val="00B76A27"/>
    <w:rsid w:val="00B76B75"/>
    <w:rsid w:val="00B76B97"/>
    <w:rsid w:val="00B76D84"/>
    <w:rsid w:val="00B76D99"/>
    <w:rsid w:val="00B76E2A"/>
    <w:rsid w:val="00B77091"/>
    <w:rsid w:val="00B7740C"/>
    <w:rsid w:val="00B77726"/>
    <w:rsid w:val="00B77825"/>
    <w:rsid w:val="00B77941"/>
    <w:rsid w:val="00B77A11"/>
    <w:rsid w:val="00B77A38"/>
    <w:rsid w:val="00B77A45"/>
    <w:rsid w:val="00B77C39"/>
    <w:rsid w:val="00B77FE8"/>
    <w:rsid w:val="00B80190"/>
    <w:rsid w:val="00B8047A"/>
    <w:rsid w:val="00B804EA"/>
    <w:rsid w:val="00B8071A"/>
    <w:rsid w:val="00B80771"/>
    <w:rsid w:val="00B807B1"/>
    <w:rsid w:val="00B80809"/>
    <w:rsid w:val="00B80A6D"/>
    <w:rsid w:val="00B80C88"/>
    <w:rsid w:val="00B80D8A"/>
    <w:rsid w:val="00B81242"/>
    <w:rsid w:val="00B81D31"/>
    <w:rsid w:val="00B81D62"/>
    <w:rsid w:val="00B82224"/>
    <w:rsid w:val="00B8231E"/>
    <w:rsid w:val="00B824A2"/>
    <w:rsid w:val="00B82528"/>
    <w:rsid w:val="00B829B5"/>
    <w:rsid w:val="00B82C71"/>
    <w:rsid w:val="00B82E5A"/>
    <w:rsid w:val="00B83200"/>
    <w:rsid w:val="00B83496"/>
    <w:rsid w:val="00B83AEA"/>
    <w:rsid w:val="00B83E6D"/>
    <w:rsid w:val="00B83F79"/>
    <w:rsid w:val="00B8411E"/>
    <w:rsid w:val="00B843E7"/>
    <w:rsid w:val="00B84536"/>
    <w:rsid w:val="00B8497A"/>
    <w:rsid w:val="00B85024"/>
    <w:rsid w:val="00B8544D"/>
    <w:rsid w:val="00B85ADE"/>
    <w:rsid w:val="00B85C0D"/>
    <w:rsid w:val="00B85CCC"/>
    <w:rsid w:val="00B85E50"/>
    <w:rsid w:val="00B86259"/>
    <w:rsid w:val="00B865BD"/>
    <w:rsid w:val="00B868A2"/>
    <w:rsid w:val="00B86B05"/>
    <w:rsid w:val="00B86C86"/>
    <w:rsid w:val="00B86E02"/>
    <w:rsid w:val="00B86E95"/>
    <w:rsid w:val="00B86F9D"/>
    <w:rsid w:val="00B8713A"/>
    <w:rsid w:val="00B877D5"/>
    <w:rsid w:val="00B8791C"/>
    <w:rsid w:val="00B9055E"/>
    <w:rsid w:val="00B906CF"/>
    <w:rsid w:val="00B90B57"/>
    <w:rsid w:val="00B9101F"/>
    <w:rsid w:val="00B919E8"/>
    <w:rsid w:val="00B91E73"/>
    <w:rsid w:val="00B91FF3"/>
    <w:rsid w:val="00B9213E"/>
    <w:rsid w:val="00B92181"/>
    <w:rsid w:val="00B9250C"/>
    <w:rsid w:val="00B92E43"/>
    <w:rsid w:val="00B93923"/>
    <w:rsid w:val="00B93B1E"/>
    <w:rsid w:val="00B93E51"/>
    <w:rsid w:val="00B942AA"/>
    <w:rsid w:val="00B95950"/>
    <w:rsid w:val="00B95A61"/>
    <w:rsid w:val="00B95CDD"/>
    <w:rsid w:val="00B95D82"/>
    <w:rsid w:val="00B9604F"/>
    <w:rsid w:val="00B963AE"/>
    <w:rsid w:val="00B964F7"/>
    <w:rsid w:val="00B96621"/>
    <w:rsid w:val="00B96942"/>
    <w:rsid w:val="00B969F4"/>
    <w:rsid w:val="00B96B3D"/>
    <w:rsid w:val="00B96BAC"/>
    <w:rsid w:val="00B97129"/>
    <w:rsid w:val="00B97312"/>
    <w:rsid w:val="00B97370"/>
    <w:rsid w:val="00B9737D"/>
    <w:rsid w:val="00B975A4"/>
    <w:rsid w:val="00B97B92"/>
    <w:rsid w:val="00B97F71"/>
    <w:rsid w:val="00BA0176"/>
    <w:rsid w:val="00BA0678"/>
    <w:rsid w:val="00BA07DB"/>
    <w:rsid w:val="00BA10A6"/>
    <w:rsid w:val="00BA11D4"/>
    <w:rsid w:val="00BA1212"/>
    <w:rsid w:val="00BA139F"/>
    <w:rsid w:val="00BA13B0"/>
    <w:rsid w:val="00BA18E4"/>
    <w:rsid w:val="00BA1A55"/>
    <w:rsid w:val="00BA1E3A"/>
    <w:rsid w:val="00BA20C7"/>
    <w:rsid w:val="00BA2AE4"/>
    <w:rsid w:val="00BA2BA4"/>
    <w:rsid w:val="00BA2E3F"/>
    <w:rsid w:val="00BA317A"/>
    <w:rsid w:val="00BA318C"/>
    <w:rsid w:val="00BA36A2"/>
    <w:rsid w:val="00BA3745"/>
    <w:rsid w:val="00BA3805"/>
    <w:rsid w:val="00BA38AB"/>
    <w:rsid w:val="00BA3A64"/>
    <w:rsid w:val="00BA3B8A"/>
    <w:rsid w:val="00BA3D78"/>
    <w:rsid w:val="00BA3D98"/>
    <w:rsid w:val="00BA4443"/>
    <w:rsid w:val="00BA46A3"/>
    <w:rsid w:val="00BA47CD"/>
    <w:rsid w:val="00BA4FAF"/>
    <w:rsid w:val="00BA523A"/>
    <w:rsid w:val="00BA5318"/>
    <w:rsid w:val="00BA540C"/>
    <w:rsid w:val="00BA55D0"/>
    <w:rsid w:val="00BA5834"/>
    <w:rsid w:val="00BA58B5"/>
    <w:rsid w:val="00BA591E"/>
    <w:rsid w:val="00BA5B93"/>
    <w:rsid w:val="00BA601E"/>
    <w:rsid w:val="00BA629E"/>
    <w:rsid w:val="00BA6517"/>
    <w:rsid w:val="00BA6A14"/>
    <w:rsid w:val="00BA6AC4"/>
    <w:rsid w:val="00BA6B87"/>
    <w:rsid w:val="00BA6D67"/>
    <w:rsid w:val="00BA6E1E"/>
    <w:rsid w:val="00BA714E"/>
    <w:rsid w:val="00BA7A32"/>
    <w:rsid w:val="00BA7CE9"/>
    <w:rsid w:val="00BA7DCF"/>
    <w:rsid w:val="00BB0172"/>
    <w:rsid w:val="00BB04BC"/>
    <w:rsid w:val="00BB090D"/>
    <w:rsid w:val="00BB1036"/>
    <w:rsid w:val="00BB1100"/>
    <w:rsid w:val="00BB1530"/>
    <w:rsid w:val="00BB15BD"/>
    <w:rsid w:val="00BB1808"/>
    <w:rsid w:val="00BB1BF7"/>
    <w:rsid w:val="00BB1DCE"/>
    <w:rsid w:val="00BB3890"/>
    <w:rsid w:val="00BB39A4"/>
    <w:rsid w:val="00BB39EB"/>
    <w:rsid w:val="00BB3E11"/>
    <w:rsid w:val="00BB3EED"/>
    <w:rsid w:val="00BB4296"/>
    <w:rsid w:val="00BB44F2"/>
    <w:rsid w:val="00BB471D"/>
    <w:rsid w:val="00BB4A5C"/>
    <w:rsid w:val="00BB4DF1"/>
    <w:rsid w:val="00BB55A8"/>
    <w:rsid w:val="00BB56AF"/>
    <w:rsid w:val="00BB58A5"/>
    <w:rsid w:val="00BB5A76"/>
    <w:rsid w:val="00BB5C8A"/>
    <w:rsid w:val="00BB6318"/>
    <w:rsid w:val="00BB663A"/>
    <w:rsid w:val="00BB709D"/>
    <w:rsid w:val="00BB70C9"/>
    <w:rsid w:val="00BB7178"/>
    <w:rsid w:val="00BB7C1E"/>
    <w:rsid w:val="00BC0A9B"/>
    <w:rsid w:val="00BC0AF7"/>
    <w:rsid w:val="00BC123E"/>
    <w:rsid w:val="00BC15F8"/>
    <w:rsid w:val="00BC1643"/>
    <w:rsid w:val="00BC1D0D"/>
    <w:rsid w:val="00BC25A2"/>
    <w:rsid w:val="00BC28ED"/>
    <w:rsid w:val="00BC293D"/>
    <w:rsid w:val="00BC3064"/>
    <w:rsid w:val="00BC3641"/>
    <w:rsid w:val="00BC3AB7"/>
    <w:rsid w:val="00BC3FF6"/>
    <w:rsid w:val="00BC4580"/>
    <w:rsid w:val="00BC45C0"/>
    <w:rsid w:val="00BC462A"/>
    <w:rsid w:val="00BC463B"/>
    <w:rsid w:val="00BC470E"/>
    <w:rsid w:val="00BC47DF"/>
    <w:rsid w:val="00BC4B7F"/>
    <w:rsid w:val="00BC53B1"/>
    <w:rsid w:val="00BC5530"/>
    <w:rsid w:val="00BC56DC"/>
    <w:rsid w:val="00BC5823"/>
    <w:rsid w:val="00BC5A48"/>
    <w:rsid w:val="00BC615B"/>
    <w:rsid w:val="00BC61CB"/>
    <w:rsid w:val="00BC6278"/>
    <w:rsid w:val="00BC62CE"/>
    <w:rsid w:val="00BC6319"/>
    <w:rsid w:val="00BC66B6"/>
    <w:rsid w:val="00BC66FB"/>
    <w:rsid w:val="00BC678C"/>
    <w:rsid w:val="00BC6A20"/>
    <w:rsid w:val="00BC72B0"/>
    <w:rsid w:val="00BC765B"/>
    <w:rsid w:val="00BC7665"/>
    <w:rsid w:val="00BC78AF"/>
    <w:rsid w:val="00BC78EC"/>
    <w:rsid w:val="00BC7A84"/>
    <w:rsid w:val="00BC7BAE"/>
    <w:rsid w:val="00BC7E08"/>
    <w:rsid w:val="00BC7FC6"/>
    <w:rsid w:val="00BD0058"/>
    <w:rsid w:val="00BD00C5"/>
    <w:rsid w:val="00BD058C"/>
    <w:rsid w:val="00BD05BD"/>
    <w:rsid w:val="00BD0641"/>
    <w:rsid w:val="00BD06A3"/>
    <w:rsid w:val="00BD08D6"/>
    <w:rsid w:val="00BD0DCC"/>
    <w:rsid w:val="00BD11F4"/>
    <w:rsid w:val="00BD163F"/>
    <w:rsid w:val="00BD17B1"/>
    <w:rsid w:val="00BD1887"/>
    <w:rsid w:val="00BD19C1"/>
    <w:rsid w:val="00BD1A1D"/>
    <w:rsid w:val="00BD201D"/>
    <w:rsid w:val="00BD25ED"/>
    <w:rsid w:val="00BD2994"/>
    <w:rsid w:val="00BD2A21"/>
    <w:rsid w:val="00BD2C67"/>
    <w:rsid w:val="00BD3583"/>
    <w:rsid w:val="00BD35A3"/>
    <w:rsid w:val="00BD3887"/>
    <w:rsid w:val="00BD41F6"/>
    <w:rsid w:val="00BD44CC"/>
    <w:rsid w:val="00BD4534"/>
    <w:rsid w:val="00BD4580"/>
    <w:rsid w:val="00BD4B33"/>
    <w:rsid w:val="00BD4CE4"/>
    <w:rsid w:val="00BD4E99"/>
    <w:rsid w:val="00BD58E8"/>
    <w:rsid w:val="00BD599E"/>
    <w:rsid w:val="00BD5BB7"/>
    <w:rsid w:val="00BD5D8A"/>
    <w:rsid w:val="00BD5FDE"/>
    <w:rsid w:val="00BD6110"/>
    <w:rsid w:val="00BD661A"/>
    <w:rsid w:val="00BD6C45"/>
    <w:rsid w:val="00BD6D17"/>
    <w:rsid w:val="00BD6DAB"/>
    <w:rsid w:val="00BD746D"/>
    <w:rsid w:val="00BD7749"/>
    <w:rsid w:val="00BD791F"/>
    <w:rsid w:val="00BD792B"/>
    <w:rsid w:val="00BD79C0"/>
    <w:rsid w:val="00BD7C2D"/>
    <w:rsid w:val="00BD7C56"/>
    <w:rsid w:val="00BE00C9"/>
    <w:rsid w:val="00BE0282"/>
    <w:rsid w:val="00BE0451"/>
    <w:rsid w:val="00BE04EE"/>
    <w:rsid w:val="00BE0603"/>
    <w:rsid w:val="00BE0627"/>
    <w:rsid w:val="00BE08F0"/>
    <w:rsid w:val="00BE0C13"/>
    <w:rsid w:val="00BE1037"/>
    <w:rsid w:val="00BE1706"/>
    <w:rsid w:val="00BE1787"/>
    <w:rsid w:val="00BE1C3B"/>
    <w:rsid w:val="00BE1E93"/>
    <w:rsid w:val="00BE2211"/>
    <w:rsid w:val="00BE22B4"/>
    <w:rsid w:val="00BE268D"/>
    <w:rsid w:val="00BE28BE"/>
    <w:rsid w:val="00BE2BDD"/>
    <w:rsid w:val="00BE2C06"/>
    <w:rsid w:val="00BE2D16"/>
    <w:rsid w:val="00BE313F"/>
    <w:rsid w:val="00BE3193"/>
    <w:rsid w:val="00BE3200"/>
    <w:rsid w:val="00BE32F3"/>
    <w:rsid w:val="00BE34B5"/>
    <w:rsid w:val="00BE3A87"/>
    <w:rsid w:val="00BE3C5A"/>
    <w:rsid w:val="00BE3E32"/>
    <w:rsid w:val="00BE3F16"/>
    <w:rsid w:val="00BE43DC"/>
    <w:rsid w:val="00BE4630"/>
    <w:rsid w:val="00BE471D"/>
    <w:rsid w:val="00BE49BA"/>
    <w:rsid w:val="00BE49F2"/>
    <w:rsid w:val="00BE4C35"/>
    <w:rsid w:val="00BE4DF3"/>
    <w:rsid w:val="00BE528F"/>
    <w:rsid w:val="00BE5306"/>
    <w:rsid w:val="00BE5474"/>
    <w:rsid w:val="00BE5577"/>
    <w:rsid w:val="00BE563C"/>
    <w:rsid w:val="00BE5655"/>
    <w:rsid w:val="00BE56BA"/>
    <w:rsid w:val="00BE5786"/>
    <w:rsid w:val="00BE5A5B"/>
    <w:rsid w:val="00BE5D4B"/>
    <w:rsid w:val="00BE64C8"/>
    <w:rsid w:val="00BE6888"/>
    <w:rsid w:val="00BE6AA4"/>
    <w:rsid w:val="00BE7769"/>
    <w:rsid w:val="00BE7797"/>
    <w:rsid w:val="00BE7DF6"/>
    <w:rsid w:val="00BF0B9F"/>
    <w:rsid w:val="00BF0D8F"/>
    <w:rsid w:val="00BF0E02"/>
    <w:rsid w:val="00BF0FE5"/>
    <w:rsid w:val="00BF1137"/>
    <w:rsid w:val="00BF1796"/>
    <w:rsid w:val="00BF1821"/>
    <w:rsid w:val="00BF24A5"/>
    <w:rsid w:val="00BF25ED"/>
    <w:rsid w:val="00BF2984"/>
    <w:rsid w:val="00BF3E7E"/>
    <w:rsid w:val="00BF3F40"/>
    <w:rsid w:val="00BF4027"/>
    <w:rsid w:val="00BF416D"/>
    <w:rsid w:val="00BF420E"/>
    <w:rsid w:val="00BF428C"/>
    <w:rsid w:val="00BF4AA3"/>
    <w:rsid w:val="00BF4B4E"/>
    <w:rsid w:val="00BF4EB8"/>
    <w:rsid w:val="00BF52FC"/>
    <w:rsid w:val="00BF5C07"/>
    <w:rsid w:val="00BF5E2A"/>
    <w:rsid w:val="00BF5F17"/>
    <w:rsid w:val="00BF64E6"/>
    <w:rsid w:val="00BF7025"/>
    <w:rsid w:val="00BF73A2"/>
    <w:rsid w:val="00BF76B0"/>
    <w:rsid w:val="00BF78CD"/>
    <w:rsid w:val="00BF78D8"/>
    <w:rsid w:val="00BF7BC2"/>
    <w:rsid w:val="00BF7CAF"/>
    <w:rsid w:val="00C000B6"/>
    <w:rsid w:val="00C0020A"/>
    <w:rsid w:val="00C0033A"/>
    <w:rsid w:val="00C00623"/>
    <w:rsid w:val="00C0064C"/>
    <w:rsid w:val="00C007CC"/>
    <w:rsid w:val="00C00B84"/>
    <w:rsid w:val="00C010B1"/>
    <w:rsid w:val="00C012AA"/>
    <w:rsid w:val="00C012BB"/>
    <w:rsid w:val="00C012DC"/>
    <w:rsid w:val="00C013C3"/>
    <w:rsid w:val="00C015C5"/>
    <w:rsid w:val="00C01601"/>
    <w:rsid w:val="00C019B7"/>
    <w:rsid w:val="00C01FFE"/>
    <w:rsid w:val="00C02044"/>
    <w:rsid w:val="00C020CC"/>
    <w:rsid w:val="00C02202"/>
    <w:rsid w:val="00C02273"/>
    <w:rsid w:val="00C02375"/>
    <w:rsid w:val="00C02647"/>
    <w:rsid w:val="00C026E0"/>
    <w:rsid w:val="00C027B3"/>
    <w:rsid w:val="00C02A6D"/>
    <w:rsid w:val="00C02AD4"/>
    <w:rsid w:val="00C0306E"/>
    <w:rsid w:val="00C0326A"/>
    <w:rsid w:val="00C03617"/>
    <w:rsid w:val="00C03669"/>
    <w:rsid w:val="00C03A42"/>
    <w:rsid w:val="00C03B9C"/>
    <w:rsid w:val="00C03BCD"/>
    <w:rsid w:val="00C03BDB"/>
    <w:rsid w:val="00C03C7F"/>
    <w:rsid w:val="00C0496C"/>
    <w:rsid w:val="00C04E5A"/>
    <w:rsid w:val="00C04E92"/>
    <w:rsid w:val="00C04EB3"/>
    <w:rsid w:val="00C04F83"/>
    <w:rsid w:val="00C050F7"/>
    <w:rsid w:val="00C053A6"/>
    <w:rsid w:val="00C053A8"/>
    <w:rsid w:val="00C054A6"/>
    <w:rsid w:val="00C061A1"/>
    <w:rsid w:val="00C061EF"/>
    <w:rsid w:val="00C062E5"/>
    <w:rsid w:val="00C063F4"/>
    <w:rsid w:val="00C0647E"/>
    <w:rsid w:val="00C06AAE"/>
    <w:rsid w:val="00C072A3"/>
    <w:rsid w:val="00C074FC"/>
    <w:rsid w:val="00C07562"/>
    <w:rsid w:val="00C07722"/>
    <w:rsid w:val="00C07730"/>
    <w:rsid w:val="00C07862"/>
    <w:rsid w:val="00C0795E"/>
    <w:rsid w:val="00C07986"/>
    <w:rsid w:val="00C079A1"/>
    <w:rsid w:val="00C101C7"/>
    <w:rsid w:val="00C1059B"/>
    <w:rsid w:val="00C105EB"/>
    <w:rsid w:val="00C10666"/>
    <w:rsid w:val="00C1067D"/>
    <w:rsid w:val="00C10AA4"/>
    <w:rsid w:val="00C110C1"/>
    <w:rsid w:val="00C1149D"/>
    <w:rsid w:val="00C11515"/>
    <w:rsid w:val="00C11DF4"/>
    <w:rsid w:val="00C11F09"/>
    <w:rsid w:val="00C11F69"/>
    <w:rsid w:val="00C121A4"/>
    <w:rsid w:val="00C122E0"/>
    <w:rsid w:val="00C1255D"/>
    <w:rsid w:val="00C126A0"/>
    <w:rsid w:val="00C129DF"/>
    <w:rsid w:val="00C12B31"/>
    <w:rsid w:val="00C12DC5"/>
    <w:rsid w:val="00C13145"/>
    <w:rsid w:val="00C131E3"/>
    <w:rsid w:val="00C134FE"/>
    <w:rsid w:val="00C13688"/>
    <w:rsid w:val="00C13715"/>
    <w:rsid w:val="00C13FD7"/>
    <w:rsid w:val="00C14188"/>
    <w:rsid w:val="00C14232"/>
    <w:rsid w:val="00C14699"/>
    <w:rsid w:val="00C146D2"/>
    <w:rsid w:val="00C1474F"/>
    <w:rsid w:val="00C148AA"/>
    <w:rsid w:val="00C14926"/>
    <w:rsid w:val="00C14C65"/>
    <w:rsid w:val="00C15103"/>
    <w:rsid w:val="00C15455"/>
    <w:rsid w:val="00C1545E"/>
    <w:rsid w:val="00C156C8"/>
    <w:rsid w:val="00C15703"/>
    <w:rsid w:val="00C157AF"/>
    <w:rsid w:val="00C15982"/>
    <w:rsid w:val="00C15D49"/>
    <w:rsid w:val="00C1653C"/>
    <w:rsid w:val="00C167C5"/>
    <w:rsid w:val="00C167C8"/>
    <w:rsid w:val="00C16A96"/>
    <w:rsid w:val="00C16E86"/>
    <w:rsid w:val="00C16ECE"/>
    <w:rsid w:val="00C1706E"/>
    <w:rsid w:val="00C1725B"/>
    <w:rsid w:val="00C17467"/>
    <w:rsid w:val="00C17E97"/>
    <w:rsid w:val="00C20021"/>
    <w:rsid w:val="00C200F8"/>
    <w:rsid w:val="00C2031B"/>
    <w:rsid w:val="00C2035E"/>
    <w:rsid w:val="00C20574"/>
    <w:rsid w:val="00C20721"/>
    <w:rsid w:val="00C2076E"/>
    <w:rsid w:val="00C211E0"/>
    <w:rsid w:val="00C21B5B"/>
    <w:rsid w:val="00C21BF1"/>
    <w:rsid w:val="00C21BF8"/>
    <w:rsid w:val="00C21E7E"/>
    <w:rsid w:val="00C21ED5"/>
    <w:rsid w:val="00C21FF5"/>
    <w:rsid w:val="00C2225A"/>
    <w:rsid w:val="00C224FC"/>
    <w:rsid w:val="00C226A9"/>
    <w:rsid w:val="00C227F1"/>
    <w:rsid w:val="00C22CA6"/>
    <w:rsid w:val="00C22CB4"/>
    <w:rsid w:val="00C231D1"/>
    <w:rsid w:val="00C231D9"/>
    <w:rsid w:val="00C23261"/>
    <w:rsid w:val="00C23387"/>
    <w:rsid w:val="00C233A4"/>
    <w:rsid w:val="00C233B9"/>
    <w:rsid w:val="00C2340F"/>
    <w:rsid w:val="00C23EFF"/>
    <w:rsid w:val="00C240C9"/>
    <w:rsid w:val="00C241E7"/>
    <w:rsid w:val="00C244EB"/>
    <w:rsid w:val="00C24711"/>
    <w:rsid w:val="00C24812"/>
    <w:rsid w:val="00C2493C"/>
    <w:rsid w:val="00C24953"/>
    <w:rsid w:val="00C249BC"/>
    <w:rsid w:val="00C24A08"/>
    <w:rsid w:val="00C25074"/>
    <w:rsid w:val="00C250E1"/>
    <w:rsid w:val="00C251E7"/>
    <w:rsid w:val="00C253CC"/>
    <w:rsid w:val="00C253D6"/>
    <w:rsid w:val="00C2566A"/>
    <w:rsid w:val="00C256E8"/>
    <w:rsid w:val="00C26179"/>
    <w:rsid w:val="00C2644D"/>
    <w:rsid w:val="00C264C1"/>
    <w:rsid w:val="00C2654F"/>
    <w:rsid w:val="00C2661E"/>
    <w:rsid w:val="00C266B7"/>
    <w:rsid w:val="00C267BC"/>
    <w:rsid w:val="00C26805"/>
    <w:rsid w:val="00C26DB6"/>
    <w:rsid w:val="00C26E38"/>
    <w:rsid w:val="00C2702B"/>
    <w:rsid w:val="00C2708E"/>
    <w:rsid w:val="00C270A3"/>
    <w:rsid w:val="00C274EB"/>
    <w:rsid w:val="00C27573"/>
    <w:rsid w:val="00C275D7"/>
    <w:rsid w:val="00C277E0"/>
    <w:rsid w:val="00C27849"/>
    <w:rsid w:val="00C27C72"/>
    <w:rsid w:val="00C3028B"/>
    <w:rsid w:val="00C30480"/>
    <w:rsid w:val="00C31549"/>
    <w:rsid w:val="00C316A5"/>
    <w:rsid w:val="00C31781"/>
    <w:rsid w:val="00C3188A"/>
    <w:rsid w:val="00C319CE"/>
    <w:rsid w:val="00C31EBD"/>
    <w:rsid w:val="00C32326"/>
    <w:rsid w:val="00C32444"/>
    <w:rsid w:val="00C3251D"/>
    <w:rsid w:val="00C326A5"/>
    <w:rsid w:val="00C32757"/>
    <w:rsid w:val="00C32765"/>
    <w:rsid w:val="00C32C20"/>
    <w:rsid w:val="00C331AF"/>
    <w:rsid w:val="00C335ED"/>
    <w:rsid w:val="00C33CD8"/>
    <w:rsid w:val="00C33E52"/>
    <w:rsid w:val="00C34211"/>
    <w:rsid w:val="00C347EC"/>
    <w:rsid w:val="00C348AE"/>
    <w:rsid w:val="00C34A33"/>
    <w:rsid w:val="00C34A7B"/>
    <w:rsid w:val="00C35273"/>
    <w:rsid w:val="00C3550D"/>
    <w:rsid w:val="00C36027"/>
    <w:rsid w:val="00C36571"/>
    <w:rsid w:val="00C365EB"/>
    <w:rsid w:val="00C36DC3"/>
    <w:rsid w:val="00C371C4"/>
    <w:rsid w:val="00C371F2"/>
    <w:rsid w:val="00C3725C"/>
    <w:rsid w:val="00C37465"/>
    <w:rsid w:val="00C376F7"/>
    <w:rsid w:val="00C37BAB"/>
    <w:rsid w:val="00C37F1F"/>
    <w:rsid w:val="00C37F6F"/>
    <w:rsid w:val="00C40262"/>
    <w:rsid w:val="00C40400"/>
    <w:rsid w:val="00C407CB"/>
    <w:rsid w:val="00C408BE"/>
    <w:rsid w:val="00C4095D"/>
    <w:rsid w:val="00C40C68"/>
    <w:rsid w:val="00C40D1B"/>
    <w:rsid w:val="00C41063"/>
    <w:rsid w:val="00C411E9"/>
    <w:rsid w:val="00C415E4"/>
    <w:rsid w:val="00C41633"/>
    <w:rsid w:val="00C416D6"/>
    <w:rsid w:val="00C41DA6"/>
    <w:rsid w:val="00C424EF"/>
    <w:rsid w:val="00C42566"/>
    <w:rsid w:val="00C42B1C"/>
    <w:rsid w:val="00C42B25"/>
    <w:rsid w:val="00C42F48"/>
    <w:rsid w:val="00C430A1"/>
    <w:rsid w:val="00C43230"/>
    <w:rsid w:val="00C43314"/>
    <w:rsid w:val="00C4385E"/>
    <w:rsid w:val="00C43E53"/>
    <w:rsid w:val="00C4417C"/>
    <w:rsid w:val="00C441E5"/>
    <w:rsid w:val="00C442EC"/>
    <w:rsid w:val="00C44478"/>
    <w:rsid w:val="00C44F37"/>
    <w:rsid w:val="00C450A9"/>
    <w:rsid w:val="00C454DE"/>
    <w:rsid w:val="00C459E3"/>
    <w:rsid w:val="00C45B30"/>
    <w:rsid w:val="00C45DC2"/>
    <w:rsid w:val="00C45E95"/>
    <w:rsid w:val="00C45EA0"/>
    <w:rsid w:val="00C461D3"/>
    <w:rsid w:val="00C4655A"/>
    <w:rsid w:val="00C465AF"/>
    <w:rsid w:val="00C466FB"/>
    <w:rsid w:val="00C46867"/>
    <w:rsid w:val="00C46F1D"/>
    <w:rsid w:val="00C47077"/>
    <w:rsid w:val="00C47250"/>
    <w:rsid w:val="00C473D5"/>
    <w:rsid w:val="00C477D7"/>
    <w:rsid w:val="00C479A7"/>
    <w:rsid w:val="00C47AF3"/>
    <w:rsid w:val="00C5005E"/>
    <w:rsid w:val="00C5011E"/>
    <w:rsid w:val="00C501CB"/>
    <w:rsid w:val="00C50376"/>
    <w:rsid w:val="00C5068A"/>
    <w:rsid w:val="00C50A74"/>
    <w:rsid w:val="00C50D4E"/>
    <w:rsid w:val="00C50E4B"/>
    <w:rsid w:val="00C50E7D"/>
    <w:rsid w:val="00C51078"/>
    <w:rsid w:val="00C5138C"/>
    <w:rsid w:val="00C51C21"/>
    <w:rsid w:val="00C51C64"/>
    <w:rsid w:val="00C51DED"/>
    <w:rsid w:val="00C51F67"/>
    <w:rsid w:val="00C5201D"/>
    <w:rsid w:val="00C52026"/>
    <w:rsid w:val="00C52155"/>
    <w:rsid w:val="00C52339"/>
    <w:rsid w:val="00C525C5"/>
    <w:rsid w:val="00C52694"/>
    <w:rsid w:val="00C52AD0"/>
    <w:rsid w:val="00C52D48"/>
    <w:rsid w:val="00C52D76"/>
    <w:rsid w:val="00C536C1"/>
    <w:rsid w:val="00C541BF"/>
    <w:rsid w:val="00C54323"/>
    <w:rsid w:val="00C54A4C"/>
    <w:rsid w:val="00C54CFF"/>
    <w:rsid w:val="00C552F5"/>
    <w:rsid w:val="00C55AD3"/>
    <w:rsid w:val="00C55EE1"/>
    <w:rsid w:val="00C5607B"/>
    <w:rsid w:val="00C563DF"/>
    <w:rsid w:val="00C5640B"/>
    <w:rsid w:val="00C565DA"/>
    <w:rsid w:val="00C56ACD"/>
    <w:rsid w:val="00C56D4D"/>
    <w:rsid w:val="00C56F23"/>
    <w:rsid w:val="00C56F6B"/>
    <w:rsid w:val="00C57321"/>
    <w:rsid w:val="00C57570"/>
    <w:rsid w:val="00C60253"/>
    <w:rsid w:val="00C60A0D"/>
    <w:rsid w:val="00C60D00"/>
    <w:rsid w:val="00C60E5A"/>
    <w:rsid w:val="00C61813"/>
    <w:rsid w:val="00C6186E"/>
    <w:rsid w:val="00C61A1A"/>
    <w:rsid w:val="00C61FDB"/>
    <w:rsid w:val="00C62391"/>
    <w:rsid w:val="00C6241D"/>
    <w:rsid w:val="00C6244D"/>
    <w:rsid w:val="00C62A03"/>
    <w:rsid w:val="00C63115"/>
    <w:rsid w:val="00C6375A"/>
    <w:rsid w:val="00C63B58"/>
    <w:rsid w:val="00C63B74"/>
    <w:rsid w:val="00C63BAA"/>
    <w:rsid w:val="00C63BFA"/>
    <w:rsid w:val="00C63DE8"/>
    <w:rsid w:val="00C63EBF"/>
    <w:rsid w:val="00C64A70"/>
    <w:rsid w:val="00C64AC0"/>
    <w:rsid w:val="00C64CB4"/>
    <w:rsid w:val="00C64DAB"/>
    <w:rsid w:val="00C6508A"/>
    <w:rsid w:val="00C65293"/>
    <w:rsid w:val="00C6594D"/>
    <w:rsid w:val="00C65DB9"/>
    <w:rsid w:val="00C65E05"/>
    <w:rsid w:val="00C65EFA"/>
    <w:rsid w:val="00C6618A"/>
    <w:rsid w:val="00C66290"/>
    <w:rsid w:val="00C66511"/>
    <w:rsid w:val="00C67922"/>
    <w:rsid w:val="00C67E83"/>
    <w:rsid w:val="00C70123"/>
    <w:rsid w:val="00C701A0"/>
    <w:rsid w:val="00C7022C"/>
    <w:rsid w:val="00C70435"/>
    <w:rsid w:val="00C70AEA"/>
    <w:rsid w:val="00C70BED"/>
    <w:rsid w:val="00C70EE2"/>
    <w:rsid w:val="00C70FA3"/>
    <w:rsid w:val="00C711FE"/>
    <w:rsid w:val="00C7136E"/>
    <w:rsid w:val="00C7185A"/>
    <w:rsid w:val="00C718A7"/>
    <w:rsid w:val="00C71C24"/>
    <w:rsid w:val="00C7209C"/>
    <w:rsid w:val="00C7209F"/>
    <w:rsid w:val="00C720C5"/>
    <w:rsid w:val="00C7221B"/>
    <w:rsid w:val="00C723A9"/>
    <w:rsid w:val="00C726C5"/>
    <w:rsid w:val="00C73144"/>
    <w:rsid w:val="00C7315A"/>
    <w:rsid w:val="00C731C1"/>
    <w:rsid w:val="00C7324C"/>
    <w:rsid w:val="00C733DE"/>
    <w:rsid w:val="00C735D8"/>
    <w:rsid w:val="00C7376B"/>
    <w:rsid w:val="00C73A42"/>
    <w:rsid w:val="00C73CFE"/>
    <w:rsid w:val="00C73DA7"/>
    <w:rsid w:val="00C73E1B"/>
    <w:rsid w:val="00C73E5A"/>
    <w:rsid w:val="00C740A4"/>
    <w:rsid w:val="00C7413E"/>
    <w:rsid w:val="00C74217"/>
    <w:rsid w:val="00C74429"/>
    <w:rsid w:val="00C744B8"/>
    <w:rsid w:val="00C7467E"/>
    <w:rsid w:val="00C747A4"/>
    <w:rsid w:val="00C748EE"/>
    <w:rsid w:val="00C74CD0"/>
    <w:rsid w:val="00C74F87"/>
    <w:rsid w:val="00C75293"/>
    <w:rsid w:val="00C752ED"/>
    <w:rsid w:val="00C755DA"/>
    <w:rsid w:val="00C758BD"/>
    <w:rsid w:val="00C75A63"/>
    <w:rsid w:val="00C7602E"/>
    <w:rsid w:val="00C76307"/>
    <w:rsid w:val="00C7651B"/>
    <w:rsid w:val="00C76621"/>
    <w:rsid w:val="00C7698A"/>
    <w:rsid w:val="00C76FCE"/>
    <w:rsid w:val="00C77C1E"/>
    <w:rsid w:val="00C77C9F"/>
    <w:rsid w:val="00C8045B"/>
    <w:rsid w:val="00C80473"/>
    <w:rsid w:val="00C80795"/>
    <w:rsid w:val="00C807A7"/>
    <w:rsid w:val="00C808F7"/>
    <w:rsid w:val="00C80A13"/>
    <w:rsid w:val="00C80DAA"/>
    <w:rsid w:val="00C80F7A"/>
    <w:rsid w:val="00C80FFC"/>
    <w:rsid w:val="00C81029"/>
    <w:rsid w:val="00C81507"/>
    <w:rsid w:val="00C815FF"/>
    <w:rsid w:val="00C81CD7"/>
    <w:rsid w:val="00C81D25"/>
    <w:rsid w:val="00C81E1A"/>
    <w:rsid w:val="00C81FC9"/>
    <w:rsid w:val="00C81FE3"/>
    <w:rsid w:val="00C82187"/>
    <w:rsid w:val="00C82280"/>
    <w:rsid w:val="00C82378"/>
    <w:rsid w:val="00C8241C"/>
    <w:rsid w:val="00C826A9"/>
    <w:rsid w:val="00C82782"/>
    <w:rsid w:val="00C82913"/>
    <w:rsid w:val="00C82AB2"/>
    <w:rsid w:val="00C82ACB"/>
    <w:rsid w:val="00C82DCF"/>
    <w:rsid w:val="00C82F82"/>
    <w:rsid w:val="00C82F88"/>
    <w:rsid w:val="00C8302B"/>
    <w:rsid w:val="00C8304B"/>
    <w:rsid w:val="00C83324"/>
    <w:rsid w:val="00C835CA"/>
    <w:rsid w:val="00C837D6"/>
    <w:rsid w:val="00C838D4"/>
    <w:rsid w:val="00C839A5"/>
    <w:rsid w:val="00C839B6"/>
    <w:rsid w:val="00C846B2"/>
    <w:rsid w:val="00C84895"/>
    <w:rsid w:val="00C84AA6"/>
    <w:rsid w:val="00C84B19"/>
    <w:rsid w:val="00C84B87"/>
    <w:rsid w:val="00C84D6A"/>
    <w:rsid w:val="00C852A7"/>
    <w:rsid w:val="00C855DC"/>
    <w:rsid w:val="00C85614"/>
    <w:rsid w:val="00C8573C"/>
    <w:rsid w:val="00C85848"/>
    <w:rsid w:val="00C85C91"/>
    <w:rsid w:val="00C85F1D"/>
    <w:rsid w:val="00C861FD"/>
    <w:rsid w:val="00C86A95"/>
    <w:rsid w:val="00C86B76"/>
    <w:rsid w:val="00C86B79"/>
    <w:rsid w:val="00C86F9D"/>
    <w:rsid w:val="00C870BA"/>
    <w:rsid w:val="00C8798C"/>
    <w:rsid w:val="00C87A7B"/>
    <w:rsid w:val="00C87C1A"/>
    <w:rsid w:val="00C87FF1"/>
    <w:rsid w:val="00C90102"/>
    <w:rsid w:val="00C9017E"/>
    <w:rsid w:val="00C90633"/>
    <w:rsid w:val="00C90955"/>
    <w:rsid w:val="00C90DDE"/>
    <w:rsid w:val="00C91628"/>
    <w:rsid w:val="00C919CF"/>
    <w:rsid w:val="00C919EC"/>
    <w:rsid w:val="00C921DB"/>
    <w:rsid w:val="00C92346"/>
    <w:rsid w:val="00C92490"/>
    <w:rsid w:val="00C92639"/>
    <w:rsid w:val="00C92709"/>
    <w:rsid w:val="00C92760"/>
    <w:rsid w:val="00C9284C"/>
    <w:rsid w:val="00C93553"/>
    <w:rsid w:val="00C93666"/>
    <w:rsid w:val="00C936E0"/>
    <w:rsid w:val="00C93797"/>
    <w:rsid w:val="00C93CDE"/>
    <w:rsid w:val="00C94350"/>
    <w:rsid w:val="00C947BB"/>
    <w:rsid w:val="00C94973"/>
    <w:rsid w:val="00C94E48"/>
    <w:rsid w:val="00C94F7A"/>
    <w:rsid w:val="00C9519E"/>
    <w:rsid w:val="00C95236"/>
    <w:rsid w:val="00C95486"/>
    <w:rsid w:val="00C95D0E"/>
    <w:rsid w:val="00C969C3"/>
    <w:rsid w:val="00C96BAD"/>
    <w:rsid w:val="00C96C2A"/>
    <w:rsid w:val="00C97055"/>
    <w:rsid w:val="00C97069"/>
    <w:rsid w:val="00C972FC"/>
    <w:rsid w:val="00C97372"/>
    <w:rsid w:val="00C976BA"/>
    <w:rsid w:val="00C9788E"/>
    <w:rsid w:val="00C978CF"/>
    <w:rsid w:val="00C9795C"/>
    <w:rsid w:val="00C97DF9"/>
    <w:rsid w:val="00CA03EA"/>
    <w:rsid w:val="00CA064B"/>
    <w:rsid w:val="00CA0836"/>
    <w:rsid w:val="00CA1083"/>
    <w:rsid w:val="00CA11F5"/>
    <w:rsid w:val="00CA134B"/>
    <w:rsid w:val="00CA1692"/>
    <w:rsid w:val="00CA16DC"/>
    <w:rsid w:val="00CA1731"/>
    <w:rsid w:val="00CA18B0"/>
    <w:rsid w:val="00CA1951"/>
    <w:rsid w:val="00CA1B1F"/>
    <w:rsid w:val="00CA1CBD"/>
    <w:rsid w:val="00CA1E92"/>
    <w:rsid w:val="00CA232E"/>
    <w:rsid w:val="00CA2537"/>
    <w:rsid w:val="00CA2626"/>
    <w:rsid w:val="00CA2A9D"/>
    <w:rsid w:val="00CA2C21"/>
    <w:rsid w:val="00CA2EB8"/>
    <w:rsid w:val="00CA2FC4"/>
    <w:rsid w:val="00CA3109"/>
    <w:rsid w:val="00CA3273"/>
    <w:rsid w:val="00CA32C9"/>
    <w:rsid w:val="00CA35F4"/>
    <w:rsid w:val="00CA3D8B"/>
    <w:rsid w:val="00CA3E37"/>
    <w:rsid w:val="00CA471B"/>
    <w:rsid w:val="00CA4DDA"/>
    <w:rsid w:val="00CA4DE2"/>
    <w:rsid w:val="00CA543D"/>
    <w:rsid w:val="00CA5807"/>
    <w:rsid w:val="00CA603D"/>
    <w:rsid w:val="00CA6157"/>
    <w:rsid w:val="00CA632E"/>
    <w:rsid w:val="00CA6612"/>
    <w:rsid w:val="00CA662A"/>
    <w:rsid w:val="00CA667C"/>
    <w:rsid w:val="00CA684F"/>
    <w:rsid w:val="00CA6A56"/>
    <w:rsid w:val="00CA6B6C"/>
    <w:rsid w:val="00CA6F66"/>
    <w:rsid w:val="00CA70E4"/>
    <w:rsid w:val="00CA75D3"/>
    <w:rsid w:val="00CA76CE"/>
    <w:rsid w:val="00CB00D3"/>
    <w:rsid w:val="00CB05D6"/>
    <w:rsid w:val="00CB0743"/>
    <w:rsid w:val="00CB0E71"/>
    <w:rsid w:val="00CB0EFF"/>
    <w:rsid w:val="00CB1006"/>
    <w:rsid w:val="00CB16F2"/>
    <w:rsid w:val="00CB19CE"/>
    <w:rsid w:val="00CB20B2"/>
    <w:rsid w:val="00CB2265"/>
    <w:rsid w:val="00CB2768"/>
    <w:rsid w:val="00CB27C7"/>
    <w:rsid w:val="00CB2B9E"/>
    <w:rsid w:val="00CB2D89"/>
    <w:rsid w:val="00CB3762"/>
    <w:rsid w:val="00CB377F"/>
    <w:rsid w:val="00CB3B1D"/>
    <w:rsid w:val="00CB3CE0"/>
    <w:rsid w:val="00CB3D32"/>
    <w:rsid w:val="00CB415B"/>
    <w:rsid w:val="00CB4200"/>
    <w:rsid w:val="00CB49C8"/>
    <w:rsid w:val="00CB535B"/>
    <w:rsid w:val="00CB5421"/>
    <w:rsid w:val="00CB5591"/>
    <w:rsid w:val="00CB55B0"/>
    <w:rsid w:val="00CB55E0"/>
    <w:rsid w:val="00CB59AA"/>
    <w:rsid w:val="00CB5C95"/>
    <w:rsid w:val="00CB5DEA"/>
    <w:rsid w:val="00CB5ED0"/>
    <w:rsid w:val="00CB60C5"/>
    <w:rsid w:val="00CB617D"/>
    <w:rsid w:val="00CB6459"/>
    <w:rsid w:val="00CB73CF"/>
    <w:rsid w:val="00CB74AB"/>
    <w:rsid w:val="00CB765B"/>
    <w:rsid w:val="00CB7706"/>
    <w:rsid w:val="00CB773A"/>
    <w:rsid w:val="00CB7986"/>
    <w:rsid w:val="00CB79E5"/>
    <w:rsid w:val="00CB7B14"/>
    <w:rsid w:val="00CB7E48"/>
    <w:rsid w:val="00CC07CD"/>
    <w:rsid w:val="00CC07E0"/>
    <w:rsid w:val="00CC092F"/>
    <w:rsid w:val="00CC0C0F"/>
    <w:rsid w:val="00CC0D19"/>
    <w:rsid w:val="00CC0EE7"/>
    <w:rsid w:val="00CC1D17"/>
    <w:rsid w:val="00CC2080"/>
    <w:rsid w:val="00CC2199"/>
    <w:rsid w:val="00CC2632"/>
    <w:rsid w:val="00CC2877"/>
    <w:rsid w:val="00CC288F"/>
    <w:rsid w:val="00CC2A24"/>
    <w:rsid w:val="00CC3CBB"/>
    <w:rsid w:val="00CC3E2D"/>
    <w:rsid w:val="00CC4287"/>
    <w:rsid w:val="00CC4A6E"/>
    <w:rsid w:val="00CC4D26"/>
    <w:rsid w:val="00CC4E25"/>
    <w:rsid w:val="00CC4F01"/>
    <w:rsid w:val="00CC4F7E"/>
    <w:rsid w:val="00CC547B"/>
    <w:rsid w:val="00CC55DF"/>
    <w:rsid w:val="00CC5C34"/>
    <w:rsid w:val="00CC637E"/>
    <w:rsid w:val="00CC6514"/>
    <w:rsid w:val="00CC685A"/>
    <w:rsid w:val="00CC709B"/>
    <w:rsid w:val="00CC711E"/>
    <w:rsid w:val="00CC7211"/>
    <w:rsid w:val="00CC74FB"/>
    <w:rsid w:val="00CC7793"/>
    <w:rsid w:val="00CC78D8"/>
    <w:rsid w:val="00CC7C97"/>
    <w:rsid w:val="00CC7DA4"/>
    <w:rsid w:val="00CD0041"/>
    <w:rsid w:val="00CD01A3"/>
    <w:rsid w:val="00CD0252"/>
    <w:rsid w:val="00CD025E"/>
    <w:rsid w:val="00CD02A9"/>
    <w:rsid w:val="00CD0401"/>
    <w:rsid w:val="00CD06E2"/>
    <w:rsid w:val="00CD125A"/>
    <w:rsid w:val="00CD12F6"/>
    <w:rsid w:val="00CD1440"/>
    <w:rsid w:val="00CD1474"/>
    <w:rsid w:val="00CD1738"/>
    <w:rsid w:val="00CD1953"/>
    <w:rsid w:val="00CD19D6"/>
    <w:rsid w:val="00CD21D5"/>
    <w:rsid w:val="00CD2798"/>
    <w:rsid w:val="00CD298A"/>
    <w:rsid w:val="00CD2F49"/>
    <w:rsid w:val="00CD2F9C"/>
    <w:rsid w:val="00CD2FB3"/>
    <w:rsid w:val="00CD33DF"/>
    <w:rsid w:val="00CD3525"/>
    <w:rsid w:val="00CD3932"/>
    <w:rsid w:val="00CD3C94"/>
    <w:rsid w:val="00CD3F6A"/>
    <w:rsid w:val="00CD4142"/>
    <w:rsid w:val="00CD441E"/>
    <w:rsid w:val="00CD44E3"/>
    <w:rsid w:val="00CD4792"/>
    <w:rsid w:val="00CD47A8"/>
    <w:rsid w:val="00CD4842"/>
    <w:rsid w:val="00CD49DA"/>
    <w:rsid w:val="00CD4AFD"/>
    <w:rsid w:val="00CD4FD8"/>
    <w:rsid w:val="00CD5043"/>
    <w:rsid w:val="00CD51E0"/>
    <w:rsid w:val="00CD538B"/>
    <w:rsid w:val="00CD53F7"/>
    <w:rsid w:val="00CD5752"/>
    <w:rsid w:val="00CD5833"/>
    <w:rsid w:val="00CD5999"/>
    <w:rsid w:val="00CD5A28"/>
    <w:rsid w:val="00CD5AD4"/>
    <w:rsid w:val="00CD5B08"/>
    <w:rsid w:val="00CD6001"/>
    <w:rsid w:val="00CD6076"/>
    <w:rsid w:val="00CD61B0"/>
    <w:rsid w:val="00CD6289"/>
    <w:rsid w:val="00CD62A3"/>
    <w:rsid w:val="00CD66A1"/>
    <w:rsid w:val="00CD66DD"/>
    <w:rsid w:val="00CD6C4E"/>
    <w:rsid w:val="00CD75F0"/>
    <w:rsid w:val="00CD768D"/>
    <w:rsid w:val="00CD78C1"/>
    <w:rsid w:val="00CD78EB"/>
    <w:rsid w:val="00CD79F3"/>
    <w:rsid w:val="00CD7CBB"/>
    <w:rsid w:val="00CE001D"/>
    <w:rsid w:val="00CE011A"/>
    <w:rsid w:val="00CE04F0"/>
    <w:rsid w:val="00CE05E9"/>
    <w:rsid w:val="00CE06B5"/>
    <w:rsid w:val="00CE0926"/>
    <w:rsid w:val="00CE0A2D"/>
    <w:rsid w:val="00CE0E69"/>
    <w:rsid w:val="00CE0EF0"/>
    <w:rsid w:val="00CE0FA2"/>
    <w:rsid w:val="00CE0FE8"/>
    <w:rsid w:val="00CE0FF4"/>
    <w:rsid w:val="00CE15FA"/>
    <w:rsid w:val="00CE1D2A"/>
    <w:rsid w:val="00CE271F"/>
    <w:rsid w:val="00CE27D2"/>
    <w:rsid w:val="00CE2B91"/>
    <w:rsid w:val="00CE2C9F"/>
    <w:rsid w:val="00CE3176"/>
    <w:rsid w:val="00CE31FD"/>
    <w:rsid w:val="00CE3371"/>
    <w:rsid w:val="00CE34EC"/>
    <w:rsid w:val="00CE3571"/>
    <w:rsid w:val="00CE3884"/>
    <w:rsid w:val="00CE39AD"/>
    <w:rsid w:val="00CE3A2E"/>
    <w:rsid w:val="00CE3C35"/>
    <w:rsid w:val="00CE3DD3"/>
    <w:rsid w:val="00CE47C4"/>
    <w:rsid w:val="00CE4B3C"/>
    <w:rsid w:val="00CE4F47"/>
    <w:rsid w:val="00CE5004"/>
    <w:rsid w:val="00CE5325"/>
    <w:rsid w:val="00CE5BE1"/>
    <w:rsid w:val="00CE5D3F"/>
    <w:rsid w:val="00CE5DC8"/>
    <w:rsid w:val="00CE60F8"/>
    <w:rsid w:val="00CE63E4"/>
    <w:rsid w:val="00CE6598"/>
    <w:rsid w:val="00CE65E1"/>
    <w:rsid w:val="00CE662A"/>
    <w:rsid w:val="00CE6954"/>
    <w:rsid w:val="00CE6A16"/>
    <w:rsid w:val="00CE6A6F"/>
    <w:rsid w:val="00CE6BCE"/>
    <w:rsid w:val="00CE6EF1"/>
    <w:rsid w:val="00CE6FA4"/>
    <w:rsid w:val="00CE73AD"/>
    <w:rsid w:val="00CE745E"/>
    <w:rsid w:val="00CE7CFB"/>
    <w:rsid w:val="00CF051E"/>
    <w:rsid w:val="00CF07B6"/>
    <w:rsid w:val="00CF091F"/>
    <w:rsid w:val="00CF0E0B"/>
    <w:rsid w:val="00CF1097"/>
    <w:rsid w:val="00CF11B8"/>
    <w:rsid w:val="00CF1507"/>
    <w:rsid w:val="00CF1B07"/>
    <w:rsid w:val="00CF20F3"/>
    <w:rsid w:val="00CF2290"/>
    <w:rsid w:val="00CF2843"/>
    <w:rsid w:val="00CF2A4A"/>
    <w:rsid w:val="00CF3497"/>
    <w:rsid w:val="00CF3F95"/>
    <w:rsid w:val="00CF42B8"/>
    <w:rsid w:val="00CF4528"/>
    <w:rsid w:val="00CF460E"/>
    <w:rsid w:val="00CF4620"/>
    <w:rsid w:val="00CF4D64"/>
    <w:rsid w:val="00CF4F6B"/>
    <w:rsid w:val="00CF4FE6"/>
    <w:rsid w:val="00CF516B"/>
    <w:rsid w:val="00CF534B"/>
    <w:rsid w:val="00CF54C3"/>
    <w:rsid w:val="00CF5A8E"/>
    <w:rsid w:val="00CF5DC5"/>
    <w:rsid w:val="00CF5EDF"/>
    <w:rsid w:val="00CF61D5"/>
    <w:rsid w:val="00CF6395"/>
    <w:rsid w:val="00CF6D5A"/>
    <w:rsid w:val="00CF7000"/>
    <w:rsid w:val="00CF7C72"/>
    <w:rsid w:val="00CF7CF6"/>
    <w:rsid w:val="00CF7DFB"/>
    <w:rsid w:val="00CF7E97"/>
    <w:rsid w:val="00D0017D"/>
    <w:rsid w:val="00D0035C"/>
    <w:rsid w:val="00D0037B"/>
    <w:rsid w:val="00D0062E"/>
    <w:rsid w:val="00D00640"/>
    <w:rsid w:val="00D007C0"/>
    <w:rsid w:val="00D00C29"/>
    <w:rsid w:val="00D00E8C"/>
    <w:rsid w:val="00D00E92"/>
    <w:rsid w:val="00D01200"/>
    <w:rsid w:val="00D0126E"/>
    <w:rsid w:val="00D01304"/>
    <w:rsid w:val="00D013EE"/>
    <w:rsid w:val="00D01410"/>
    <w:rsid w:val="00D01B5B"/>
    <w:rsid w:val="00D020DC"/>
    <w:rsid w:val="00D02477"/>
    <w:rsid w:val="00D0263C"/>
    <w:rsid w:val="00D02749"/>
    <w:rsid w:val="00D02CC7"/>
    <w:rsid w:val="00D02CDA"/>
    <w:rsid w:val="00D02FD8"/>
    <w:rsid w:val="00D03011"/>
    <w:rsid w:val="00D03058"/>
    <w:rsid w:val="00D030C6"/>
    <w:rsid w:val="00D0323E"/>
    <w:rsid w:val="00D0333F"/>
    <w:rsid w:val="00D03543"/>
    <w:rsid w:val="00D035CC"/>
    <w:rsid w:val="00D037DD"/>
    <w:rsid w:val="00D03867"/>
    <w:rsid w:val="00D03C75"/>
    <w:rsid w:val="00D041DB"/>
    <w:rsid w:val="00D04325"/>
    <w:rsid w:val="00D0439A"/>
    <w:rsid w:val="00D04488"/>
    <w:rsid w:val="00D044BD"/>
    <w:rsid w:val="00D0484F"/>
    <w:rsid w:val="00D04FEF"/>
    <w:rsid w:val="00D05604"/>
    <w:rsid w:val="00D056C2"/>
    <w:rsid w:val="00D0590A"/>
    <w:rsid w:val="00D059A8"/>
    <w:rsid w:val="00D05D11"/>
    <w:rsid w:val="00D05F49"/>
    <w:rsid w:val="00D0654E"/>
    <w:rsid w:val="00D06BB2"/>
    <w:rsid w:val="00D07017"/>
    <w:rsid w:val="00D0729D"/>
    <w:rsid w:val="00D07645"/>
    <w:rsid w:val="00D07672"/>
    <w:rsid w:val="00D0789C"/>
    <w:rsid w:val="00D07AC5"/>
    <w:rsid w:val="00D101A5"/>
    <w:rsid w:val="00D10B9C"/>
    <w:rsid w:val="00D10DB3"/>
    <w:rsid w:val="00D11242"/>
    <w:rsid w:val="00D11538"/>
    <w:rsid w:val="00D11964"/>
    <w:rsid w:val="00D11A91"/>
    <w:rsid w:val="00D11ED1"/>
    <w:rsid w:val="00D1291C"/>
    <w:rsid w:val="00D12C5A"/>
    <w:rsid w:val="00D12D8C"/>
    <w:rsid w:val="00D12EC9"/>
    <w:rsid w:val="00D12F19"/>
    <w:rsid w:val="00D13007"/>
    <w:rsid w:val="00D133FA"/>
    <w:rsid w:val="00D1342C"/>
    <w:rsid w:val="00D13824"/>
    <w:rsid w:val="00D13C41"/>
    <w:rsid w:val="00D13CD3"/>
    <w:rsid w:val="00D13D34"/>
    <w:rsid w:val="00D13F05"/>
    <w:rsid w:val="00D13FAF"/>
    <w:rsid w:val="00D140F4"/>
    <w:rsid w:val="00D141BA"/>
    <w:rsid w:val="00D141DA"/>
    <w:rsid w:val="00D14318"/>
    <w:rsid w:val="00D1431A"/>
    <w:rsid w:val="00D14410"/>
    <w:rsid w:val="00D14631"/>
    <w:rsid w:val="00D148CB"/>
    <w:rsid w:val="00D14B69"/>
    <w:rsid w:val="00D14FC0"/>
    <w:rsid w:val="00D1504E"/>
    <w:rsid w:val="00D154A7"/>
    <w:rsid w:val="00D15694"/>
    <w:rsid w:val="00D157C2"/>
    <w:rsid w:val="00D1599E"/>
    <w:rsid w:val="00D15A7B"/>
    <w:rsid w:val="00D1609B"/>
    <w:rsid w:val="00D160FF"/>
    <w:rsid w:val="00D162DF"/>
    <w:rsid w:val="00D16503"/>
    <w:rsid w:val="00D165C4"/>
    <w:rsid w:val="00D165EA"/>
    <w:rsid w:val="00D16ECC"/>
    <w:rsid w:val="00D16F1A"/>
    <w:rsid w:val="00D17155"/>
    <w:rsid w:val="00D17304"/>
    <w:rsid w:val="00D173C7"/>
    <w:rsid w:val="00D1762B"/>
    <w:rsid w:val="00D177C5"/>
    <w:rsid w:val="00D177D2"/>
    <w:rsid w:val="00D179FC"/>
    <w:rsid w:val="00D17AC6"/>
    <w:rsid w:val="00D17ADF"/>
    <w:rsid w:val="00D17D52"/>
    <w:rsid w:val="00D17FB3"/>
    <w:rsid w:val="00D2033E"/>
    <w:rsid w:val="00D203ED"/>
    <w:rsid w:val="00D20644"/>
    <w:rsid w:val="00D208C9"/>
    <w:rsid w:val="00D20B4D"/>
    <w:rsid w:val="00D20C5B"/>
    <w:rsid w:val="00D20D7E"/>
    <w:rsid w:val="00D213BB"/>
    <w:rsid w:val="00D21515"/>
    <w:rsid w:val="00D2161C"/>
    <w:rsid w:val="00D21B82"/>
    <w:rsid w:val="00D21EF4"/>
    <w:rsid w:val="00D21FBF"/>
    <w:rsid w:val="00D22186"/>
    <w:rsid w:val="00D221F6"/>
    <w:rsid w:val="00D2230B"/>
    <w:rsid w:val="00D2292F"/>
    <w:rsid w:val="00D22946"/>
    <w:rsid w:val="00D22974"/>
    <w:rsid w:val="00D22B8E"/>
    <w:rsid w:val="00D22E17"/>
    <w:rsid w:val="00D22FDC"/>
    <w:rsid w:val="00D23298"/>
    <w:rsid w:val="00D233CD"/>
    <w:rsid w:val="00D237F8"/>
    <w:rsid w:val="00D23937"/>
    <w:rsid w:val="00D23A0A"/>
    <w:rsid w:val="00D24050"/>
    <w:rsid w:val="00D24732"/>
    <w:rsid w:val="00D24C89"/>
    <w:rsid w:val="00D2508B"/>
    <w:rsid w:val="00D250BA"/>
    <w:rsid w:val="00D252EC"/>
    <w:rsid w:val="00D25504"/>
    <w:rsid w:val="00D25B87"/>
    <w:rsid w:val="00D25BB1"/>
    <w:rsid w:val="00D25DB9"/>
    <w:rsid w:val="00D25ED4"/>
    <w:rsid w:val="00D261FC"/>
    <w:rsid w:val="00D2678A"/>
    <w:rsid w:val="00D26966"/>
    <w:rsid w:val="00D26CA7"/>
    <w:rsid w:val="00D2758F"/>
    <w:rsid w:val="00D2759A"/>
    <w:rsid w:val="00D279BC"/>
    <w:rsid w:val="00D27A61"/>
    <w:rsid w:val="00D27C80"/>
    <w:rsid w:val="00D27CE2"/>
    <w:rsid w:val="00D27D0F"/>
    <w:rsid w:val="00D27D79"/>
    <w:rsid w:val="00D27E32"/>
    <w:rsid w:val="00D301BA"/>
    <w:rsid w:val="00D3033B"/>
    <w:rsid w:val="00D30406"/>
    <w:rsid w:val="00D308A1"/>
    <w:rsid w:val="00D3090A"/>
    <w:rsid w:val="00D30D0C"/>
    <w:rsid w:val="00D3109A"/>
    <w:rsid w:val="00D310F5"/>
    <w:rsid w:val="00D3111F"/>
    <w:rsid w:val="00D3132D"/>
    <w:rsid w:val="00D31890"/>
    <w:rsid w:val="00D31F8C"/>
    <w:rsid w:val="00D320E5"/>
    <w:rsid w:val="00D32201"/>
    <w:rsid w:val="00D32328"/>
    <w:rsid w:val="00D329A3"/>
    <w:rsid w:val="00D32B34"/>
    <w:rsid w:val="00D33004"/>
    <w:rsid w:val="00D3336E"/>
    <w:rsid w:val="00D33469"/>
    <w:rsid w:val="00D33648"/>
    <w:rsid w:val="00D33761"/>
    <w:rsid w:val="00D339C1"/>
    <w:rsid w:val="00D33A11"/>
    <w:rsid w:val="00D33BD5"/>
    <w:rsid w:val="00D33DBB"/>
    <w:rsid w:val="00D34115"/>
    <w:rsid w:val="00D341A6"/>
    <w:rsid w:val="00D34260"/>
    <w:rsid w:val="00D3427B"/>
    <w:rsid w:val="00D346ED"/>
    <w:rsid w:val="00D34764"/>
    <w:rsid w:val="00D34849"/>
    <w:rsid w:val="00D34A27"/>
    <w:rsid w:val="00D34C46"/>
    <w:rsid w:val="00D34C7F"/>
    <w:rsid w:val="00D34F07"/>
    <w:rsid w:val="00D3535F"/>
    <w:rsid w:val="00D3546A"/>
    <w:rsid w:val="00D35A24"/>
    <w:rsid w:val="00D35CC1"/>
    <w:rsid w:val="00D35D31"/>
    <w:rsid w:val="00D35F7C"/>
    <w:rsid w:val="00D362BB"/>
    <w:rsid w:val="00D362C2"/>
    <w:rsid w:val="00D363AD"/>
    <w:rsid w:val="00D36635"/>
    <w:rsid w:val="00D3671C"/>
    <w:rsid w:val="00D36D6D"/>
    <w:rsid w:val="00D37154"/>
    <w:rsid w:val="00D371DE"/>
    <w:rsid w:val="00D374A4"/>
    <w:rsid w:val="00D376CF"/>
    <w:rsid w:val="00D37890"/>
    <w:rsid w:val="00D37936"/>
    <w:rsid w:val="00D4078C"/>
    <w:rsid w:val="00D4084D"/>
    <w:rsid w:val="00D40AEF"/>
    <w:rsid w:val="00D40B40"/>
    <w:rsid w:val="00D41111"/>
    <w:rsid w:val="00D412BF"/>
    <w:rsid w:val="00D4157C"/>
    <w:rsid w:val="00D415B9"/>
    <w:rsid w:val="00D41BC9"/>
    <w:rsid w:val="00D41D48"/>
    <w:rsid w:val="00D42090"/>
    <w:rsid w:val="00D4257C"/>
    <w:rsid w:val="00D42A47"/>
    <w:rsid w:val="00D42CDF"/>
    <w:rsid w:val="00D42DAE"/>
    <w:rsid w:val="00D42F45"/>
    <w:rsid w:val="00D4301F"/>
    <w:rsid w:val="00D43652"/>
    <w:rsid w:val="00D43745"/>
    <w:rsid w:val="00D43767"/>
    <w:rsid w:val="00D43AE4"/>
    <w:rsid w:val="00D43BB3"/>
    <w:rsid w:val="00D445F0"/>
    <w:rsid w:val="00D45278"/>
    <w:rsid w:val="00D453CC"/>
    <w:rsid w:val="00D457D0"/>
    <w:rsid w:val="00D45B5F"/>
    <w:rsid w:val="00D45D93"/>
    <w:rsid w:val="00D4691E"/>
    <w:rsid w:val="00D46A6D"/>
    <w:rsid w:val="00D46CC7"/>
    <w:rsid w:val="00D46E35"/>
    <w:rsid w:val="00D473B7"/>
    <w:rsid w:val="00D47426"/>
    <w:rsid w:val="00D47459"/>
    <w:rsid w:val="00D47505"/>
    <w:rsid w:val="00D47625"/>
    <w:rsid w:val="00D47ADE"/>
    <w:rsid w:val="00D47F81"/>
    <w:rsid w:val="00D502D6"/>
    <w:rsid w:val="00D505C1"/>
    <w:rsid w:val="00D50B5D"/>
    <w:rsid w:val="00D51115"/>
    <w:rsid w:val="00D5135D"/>
    <w:rsid w:val="00D51711"/>
    <w:rsid w:val="00D51E95"/>
    <w:rsid w:val="00D51F73"/>
    <w:rsid w:val="00D521F1"/>
    <w:rsid w:val="00D52A6D"/>
    <w:rsid w:val="00D5302F"/>
    <w:rsid w:val="00D5411A"/>
    <w:rsid w:val="00D5439A"/>
    <w:rsid w:val="00D54929"/>
    <w:rsid w:val="00D54979"/>
    <w:rsid w:val="00D54CE5"/>
    <w:rsid w:val="00D55166"/>
    <w:rsid w:val="00D55494"/>
    <w:rsid w:val="00D557C0"/>
    <w:rsid w:val="00D55DE1"/>
    <w:rsid w:val="00D56072"/>
    <w:rsid w:val="00D561F5"/>
    <w:rsid w:val="00D565A2"/>
    <w:rsid w:val="00D566F4"/>
    <w:rsid w:val="00D5672B"/>
    <w:rsid w:val="00D56928"/>
    <w:rsid w:val="00D577BB"/>
    <w:rsid w:val="00D5788A"/>
    <w:rsid w:val="00D579EA"/>
    <w:rsid w:val="00D57BF0"/>
    <w:rsid w:val="00D605D9"/>
    <w:rsid w:val="00D60B50"/>
    <w:rsid w:val="00D60BD1"/>
    <w:rsid w:val="00D60CB0"/>
    <w:rsid w:val="00D60F6D"/>
    <w:rsid w:val="00D612B4"/>
    <w:rsid w:val="00D61543"/>
    <w:rsid w:val="00D615CD"/>
    <w:rsid w:val="00D6164E"/>
    <w:rsid w:val="00D62061"/>
    <w:rsid w:val="00D624FA"/>
    <w:rsid w:val="00D62D02"/>
    <w:rsid w:val="00D63472"/>
    <w:rsid w:val="00D635C0"/>
    <w:rsid w:val="00D63960"/>
    <w:rsid w:val="00D63BC4"/>
    <w:rsid w:val="00D63C1A"/>
    <w:rsid w:val="00D640E2"/>
    <w:rsid w:val="00D6415D"/>
    <w:rsid w:val="00D64269"/>
    <w:rsid w:val="00D6440C"/>
    <w:rsid w:val="00D6446F"/>
    <w:rsid w:val="00D64608"/>
    <w:rsid w:val="00D6471E"/>
    <w:rsid w:val="00D6477E"/>
    <w:rsid w:val="00D647A4"/>
    <w:rsid w:val="00D64843"/>
    <w:rsid w:val="00D64913"/>
    <w:rsid w:val="00D64F96"/>
    <w:rsid w:val="00D65002"/>
    <w:rsid w:val="00D65AF2"/>
    <w:rsid w:val="00D65BBD"/>
    <w:rsid w:val="00D65C4A"/>
    <w:rsid w:val="00D65C86"/>
    <w:rsid w:val="00D65E01"/>
    <w:rsid w:val="00D65E52"/>
    <w:rsid w:val="00D660AA"/>
    <w:rsid w:val="00D66218"/>
    <w:rsid w:val="00D665FF"/>
    <w:rsid w:val="00D67175"/>
    <w:rsid w:val="00D671D2"/>
    <w:rsid w:val="00D67260"/>
    <w:rsid w:val="00D67293"/>
    <w:rsid w:val="00D675FD"/>
    <w:rsid w:val="00D67AB9"/>
    <w:rsid w:val="00D67B35"/>
    <w:rsid w:val="00D67C90"/>
    <w:rsid w:val="00D67CD5"/>
    <w:rsid w:val="00D67DB6"/>
    <w:rsid w:val="00D67DD9"/>
    <w:rsid w:val="00D700F5"/>
    <w:rsid w:val="00D701CC"/>
    <w:rsid w:val="00D70734"/>
    <w:rsid w:val="00D70CEB"/>
    <w:rsid w:val="00D71215"/>
    <w:rsid w:val="00D714C2"/>
    <w:rsid w:val="00D714F0"/>
    <w:rsid w:val="00D71547"/>
    <w:rsid w:val="00D719EE"/>
    <w:rsid w:val="00D71C52"/>
    <w:rsid w:val="00D71D1A"/>
    <w:rsid w:val="00D71E02"/>
    <w:rsid w:val="00D71EB3"/>
    <w:rsid w:val="00D72AB6"/>
    <w:rsid w:val="00D72DA8"/>
    <w:rsid w:val="00D733EB"/>
    <w:rsid w:val="00D73517"/>
    <w:rsid w:val="00D7356A"/>
    <w:rsid w:val="00D73865"/>
    <w:rsid w:val="00D73868"/>
    <w:rsid w:val="00D739F9"/>
    <w:rsid w:val="00D73A8C"/>
    <w:rsid w:val="00D74025"/>
    <w:rsid w:val="00D740CD"/>
    <w:rsid w:val="00D7440B"/>
    <w:rsid w:val="00D74981"/>
    <w:rsid w:val="00D74C30"/>
    <w:rsid w:val="00D74E55"/>
    <w:rsid w:val="00D7517C"/>
    <w:rsid w:val="00D75256"/>
    <w:rsid w:val="00D75455"/>
    <w:rsid w:val="00D7571D"/>
    <w:rsid w:val="00D75867"/>
    <w:rsid w:val="00D75B2A"/>
    <w:rsid w:val="00D75CA9"/>
    <w:rsid w:val="00D75DBD"/>
    <w:rsid w:val="00D75F0B"/>
    <w:rsid w:val="00D75F42"/>
    <w:rsid w:val="00D76010"/>
    <w:rsid w:val="00D761C5"/>
    <w:rsid w:val="00D7639C"/>
    <w:rsid w:val="00D767CD"/>
    <w:rsid w:val="00D76A7D"/>
    <w:rsid w:val="00D76CB6"/>
    <w:rsid w:val="00D76DE7"/>
    <w:rsid w:val="00D77285"/>
    <w:rsid w:val="00D77CD4"/>
    <w:rsid w:val="00D80002"/>
    <w:rsid w:val="00D800AB"/>
    <w:rsid w:val="00D8065D"/>
    <w:rsid w:val="00D8085C"/>
    <w:rsid w:val="00D80FA8"/>
    <w:rsid w:val="00D80FDF"/>
    <w:rsid w:val="00D81074"/>
    <w:rsid w:val="00D81166"/>
    <w:rsid w:val="00D811DA"/>
    <w:rsid w:val="00D8121B"/>
    <w:rsid w:val="00D81249"/>
    <w:rsid w:val="00D8129B"/>
    <w:rsid w:val="00D8180A"/>
    <w:rsid w:val="00D8187E"/>
    <w:rsid w:val="00D81CB4"/>
    <w:rsid w:val="00D81DF0"/>
    <w:rsid w:val="00D81F79"/>
    <w:rsid w:val="00D82093"/>
    <w:rsid w:val="00D82488"/>
    <w:rsid w:val="00D8270B"/>
    <w:rsid w:val="00D82CC6"/>
    <w:rsid w:val="00D82D56"/>
    <w:rsid w:val="00D82FF5"/>
    <w:rsid w:val="00D8304D"/>
    <w:rsid w:val="00D83195"/>
    <w:rsid w:val="00D83440"/>
    <w:rsid w:val="00D8398F"/>
    <w:rsid w:val="00D83A62"/>
    <w:rsid w:val="00D83B67"/>
    <w:rsid w:val="00D83B99"/>
    <w:rsid w:val="00D83CD3"/>
    <w:rsid w:val="00D83ECA"/>
    <w:rsid w:val="00D8423D"/>
    <w:rsid w:val="00D84618"/>
    <w:rsid w:val="00D84799"/>
    <w:rsid w:val="00D84C00"/>
    <w:rsid w:val="00D84EF1"/>
    <w:rsid w:val="00D84F09"/>
    <w:rsid w:val="00D84FD0"/>
    <w:rsid w:val="00D850AF"/>
    <w:rsid w:val="00D853C6"/>
    <w:rsid w:val="00D8566E"/>
    <w:rsid w:val="00D85811"/>
    <w:rsid w:val="00D85B09"/>
    <w:rsid w:val="00D85D22"/>
    <w:rsid w:val="00D85E5A"/>
    <w:rsid w:val="00D863CD"/>
    <w:rsid w:val="00D86680"/>
    <w:rsid w:val="00D86960"/>
    <w:rsid w:val="00D87171"/>
    <w:rsid w:val="00D8718B"/>
    <w:rsid w:val="00D874CB"/>
    <w:rsid w:val="00D87600"/>
    <w:rsid w:val="00D87907"/>
    <w:rsid w:val="00D9032B"/>
    <w:rsid w:val="00D90356"/>
    <w:rsid w:val="00D90551"/>
    <w:rsid w:val="00D908FA"/>
    <w:rsid w:val="00D90AEA"/>
    <w:rsid w:val="00D90AF0"/>
    <w:rsid w:val="00D90EBD"/>
    <w:rsid w:val="00D90EF8"/>
    <w:rsid w:val="00D9101B"/>
    <w:rsid w:val="00D9113A"/>
    <w:rsid w:val="00D912FE"/>
    <w:rsid w:val="00D9143A"/>
    <w:rsid w:val="00D91627"/>
    <w:rsid w:val="00D919EA"/>
    <w:rsid w:val="00D91FC1"/>
    <w:rsid w:val="00D920A6"/>
    <w:rsid w:val="00D921C3"/>
    <w:rsid w:val="00D92A94"/>
    <w:rsid w:val="00D92AC8"/>
    <w:rsid w:val="00D92BF6"/>
    <w:rsid w:val="00D92D6F"/>
    <w:rsid w:val="00D92F26"/>
    <w:rsid w:val="00D9327C"/>
    <w:rsid w:val="00D932E3"/>
    <w:rsid w:val="00D93354"/>
    <w:rsid w:val="00D93B91"/>
    <w:rsid w:val="00D93D73"/>
    <w:rsid w:val="00D93EC4"/>
    <w:rsid w:val="00D941C2"/>
    <w:rsid w:val="00D9438A"/>
    <w:rsid w:val="00D94639"/>
    <w:rsid w:val="00D94B0B"/>
    <w:rsid w:val="00D94B1B"/>
    <w:rsid w:val="00D94F3E"/>
    <w:rsid w:val="00D950FA"/>
    <w:rsid w:val="00D953A0"/>
    <w:rsid w:val="00D956BB"/>
    <w:rsid w:val="00D960BA"/>
    <w:rsid w:val="00D9626D"/>
    <w:rsid w:val="00D96301"/>
    <w:rsid w:val="00D96449"/>
    <w:rsid w:val="00D96483"/>
    <w:rsid w:val="00D96571"/>
    <w:rsid w:val="00D9658F"/>
    <w:rsid w:val="00D96DE8"/>
    <w:rsid w:val="00D97014"/>
    <w:rsid w:val="00D9702D"/>
    <w:rsid w:val="00D9706E"/>
    <w:rsid w:val="00D97090"/>
    <w:rsid w:val="00D9728E"/>
    <w:rsid w:val="00D972B0"/>
    <w:rsid w:val="00D97629"/>
    <w:rsid w:val="00D976ED"/>
    <w:rsid w:val="00D97820"/>
    <w:rsid w:val="00D97EE3"/>
    <w:rsid w:val="00DA038F"/>
    <w:rsid w:val="00DA03AC"/>
    <w:rsid w:val="00DA0928"/>
    <w:rsid w:val="00DA1002"/>
    <w:rsid w:val="00DA15BC"/>
    <w:rsid w:val="00DA1C35"/>
    <w:rsid w:val="00DA2754"/>
    <w:rsid w:val="00DA2D08"/>
    <w:rsid w:val="00DA2E8B"/>
    <w:rsid w:val="00DA2E8D"/>
    <w:rsid w:val="00DA2F10"/>
    <w:rsid w:val="00DA3015"/>
    <w:rsid w:val="00DA369F"/>
    <w:rsid w:val="00DA38C0"/>
    <w:rsid w:val="00DA41D8"/>
    <w:rsid w:val="00DA4442"/>
    <w:rsid w:val="00DA4485"/>
    <w:rsid w:val="00DA456D"/>
    <w:rsid w:val="00DA45F0"/>
    <w:rsid w:val="00DA474A"/>
    <w:rsid w:val="00DA47CE"/>
    <w:rsid w:val="00DA48D0"/>
    <w:rsid w:val="00DA4942"/>
    <w:rsid w:val="00DA49CC"/>
    <w:rsid w:val="00DA4A33"/>
    <w:rsid w:val="00DA4A5D"/>
    <w:rsid w:val="00DA4B23"/>
    <w:rsid w:val="00DA4B2D"/>
    <w:rsid w:val="00DA4E49"/>
    <w:rsid w:val="00DA4EA7"/>
    <w:rsid w:val="00DA5091"/>
    <w:rsid w:val="00DA52F4"/>
    <w:rsid w:val="00DA60B9"/>
    <w:rsid w:val="00DA617A"/>
    <w:rsid w:val="00DA64B8"/>
    <w:rsid w:val="00DA65C2"/>
    <w:rsid w:val="00DA682F"/>
    <w:rsid w:val="00DA6E17"/>
    <w:rsid w:val="00DA6EE6"/>
    <w:rsid w:val="00DA6EF5"/>
    <w:rsid w:val="00DA72C2"/>
    <w:rsid w:val="00DA7366"/>
    <w:rsid w:val="00DA7385"/>
    <w:rsid w:val="00DA7546"/>
    <w:rsid w:val="00DA77D2"/>
    <w:rsid w:val="00DA7872"/>
    <w:rsid w:val="00DA7A20"/>
    <w:rsid w:val="00DA7B17"/>
    <w:rsid w:val="00DA7B67"/>
    <w:rsid w:val="00DA7CF0"/>
    <w:rsid w:val="00DB0003"/>
    <w:rsid w:val="00DB001F"/>
    <w:rsid w:val="00DB02F4"/>
    <w:rsid w:val="00DB0801"/>
    <w:rsid w:val="00DB0916"/>
    <w:rsid w:val="00DB0A3F"/>
    <w:rsid w:val="00DB0C00"/>
    <w:rsid w:val="00DB0F29"/>
    <w:rsid w:val="00DB19B8"/>
    <w:rsid w:val="00DB1B85"/>
    <w:rsid w:val="00DB1BF0"/>
    <w:rsid w:val="00DB1F1E"/>
    <w:rsid w:val="00DB2827"/>
    <w:rsid w:val="00DB2B40"/>
    <w:rsid w:val="00DB2F57"/>
    <w:rsid w:val="00DB3FA7"/>
    <w:rsid w:val="00DB3FE2"/>
    <w:rsid w:val="00DB4010"/>
    <w:rsid w:val="00DB43D3"/>
    <w:rsid w:val="00DB4B2F"/>
    <w:rsid w:val="00DB4E80"/>
    <w:rsid w:val="00DB5028"/>
    <w:rsid w:val="00DB504E"/>
    <w:rsid w:val="00DB5565"/>
    <w:rsid w:val="00DB55B2"/>
    <w:rsid w:val="00DB55EA"/>
    <w:rsid w:val="00DB5B32"/>
    <w:rsid w:val="00DB5BEC"/>
    <w:rsid w:val="00DB5FBA"/>
    <w:rsid w:val="00DB5FF4"/>
    <w:rsid w:val="00DB60A1"/>
    <w:rsid w:val="00DB60E9"/>
    <w:rsid w:val="00DB630F"/>
    <w:rsid w:val="00DB64A0"/>
    <w:rsid w:val="00DB65C9"/>
    <w:rsid w:val="00DB66B5"/>
    <w:rsid w:val="00DB6949"/>
    <w:rsid w:val="00DB6C28"/>
    <w:rsid w:val="00DB6D65"/>
    <w:rsid w:val="00DB6DE8"/>
    <w:rsid w:val="00DB6E0B"/>
    <w:rsid w:val="00DB7504"/>
    <w:rsid w:val="00DB7650"/>
    <w:rsid w:val="00DB783B"/>
    <w:rsid w:val="00DB7886"/>
    <w:rsid w:val="00DB7CD1"/>
    <w:rsid w:val="00DB7D18"/>
    <w:rsid w:val="00DB7E93"/>
    <w:rsid w:val="00DC01F1"/>
    <w:rsid w:val="00DC0541"/>
    <w:rsid w:val="00DC054F"/>
    <w:rsid w:val="00DC06BD"/>
    <w:rsid w:val="00DC0702"/>
    <w:rsid w:val="00DC09A3"/>
    <w:rsid w:val="00DC0C1A"/>
    <w:rsid w:val="00DC0D2D"/>
    <w:rsid w:val="00DC0E24"/>
    <w:rsid w:val="00DC0E64"/>
    <w:rsid w:val="00DC0EF8"/>
    <w:rsid w:val="00DC119C"/>
    <w:rsid w:val="00DC11C1"/>
    <w:rsid w:val="00DC14EB"/>
    <w:rsid w:val="00DC15A8"/>
    <w:rsid w:val="00DC17B9"/>
    <w:rsid w:val="00DC1F44"/>
    <w:rsid w:val="00DC22DD"/>
    <w:rsid w:val="00DC29B9"/>
    <w:rsid w:val="00DC2D3F"/>
    <w:rsid w:val="00DC2F15"/>
    <w:rsid w:val="00DC3344"/>
    <w:rsid w:val="00DC3589"/>
    <w:rsid w:val="00DC38C4"/>
    <w:rsid w:val="00DC3D3D"/>
    <w:rsid w:val="00DC3DB8"/>
    <w:rsid w:val="00DC3F50"/>
    <w:rsid w:val="00DC408F"/>
    <w:rsid w:val="00DC46A2"/>
    <w:rsid w:val="00DC4837"/>
    <w:rsid w:val="00DC4A97"/>
    <w:rsid w:val="00DC528C"/>
    <w:rsid w:val="00DC5885"/>
    <w:rsid w:val="00DC58A1"/>
    <w:rsid w:val="00DC5AE0"/>
    <w:rsid w:val="00DC5C5B"/>
    <w:rsid w:val="00DC5C8C"/>
    <w:rsid w:val="00DC5D2B"/>
    <w:rsid w:val="00DC5F83"/>
    <w:rsid w:val="00DC5FA8"/>
    <w:rsid w:val="00DC60A2"/>
    <w:rsid w:val="00DC621B"/>
    <w:rsid w:val="00DC628E"/>
    <w:rsid w:val="00DC632E"/>
    <w:rsid w:val="00DC6478"/>
    <w:rsid w:val="00DC6C87"/>
    <w:rsid w:val="00DC6D34"/>
    <w:rsid w:val="00DC6F0E"/>
    <w:rsid w:val="00DC7137"/>
    <w:rsid w:val="00DC7384"/>
    <w:rsid w:val="00DC7424"/>
    <w:rsid w:val="00DC7AFC"/>
    <w:rsid w:val="00DC7D0F"/>
    <w:rsid w:val="00DC7F07"/>
    <w:rsid w:val="00DC7F13"/>
    <w:rsid w:val="00DD0431"/>
    <w:rsid w:val="00DD07E8"/>
    <w:rsid w:val="00DD0A33"/>
    <w:rsid w:val="00DD0BC1"/>
    <w:rsid w:val="00DD0E61"/>
    <w:rsid w:val="00DD0EBB"/>
    <w:rsid w:val="00DD0F86"/>
    <w:rsid w:val="00DD12FB"/>
    <w:rsid w:val="00DD1D8C"/>
    <w:rsid w:val="00DD1E57"/>
    <w:rsid w:val="00DD20AC"/>
    <w:rsid w:val="00DD2207"/>
    <w:rsid w:val="00DD24DA"/>
    <w:rsid w:val="00DD2762"/>
    <w:rsid w:val="00DD27CB"/>
    <w:rsid w:val="00DD3185"/>
    <w:rsid w:val="00DD37F2"/>
    <w:rsid w:val="00DD3995"/>
    <w:rsid w:val="00DD3BE1"/>
    <w:rsid w:val="00DD3E82"/>
    <w:rsid w:val="00DD41FA"/>
    <w:rsid w:val="00DD4291"/>
    <w:rsid w:val="00DD42ED"/>
    <w:rsid w:val="00DD4586"/>
    <w:rsid w:val="00DD4667"/>
    <w:rsid w:val="00DD4892"/>
    <w:rsid w:val="00DD4BB9"/>
    <w:rsid w:val="00DD509C"/>
    <w:rsid w:val="00DD5217"/>
    <w:rsid w:val="00DD5AFD"/>
    <w:rsid w:val="00DD5B42"/>
    <w:rsid w:val="00DD5CE2"/>
    <w:rsid w:val="00DD5D0F"/>
    <w:rsid w:val="00DD69B3"/>
    <w:rsid w:val="00DD6A09"/>
    <w:rsid w:val="00DD6A61"/>
    <w:rsid w:val="00DD6ABA"/>
    <w:rsid w:val="00DD6EED"/>
    <w:rsid w:val="00DD75B7"/>
    <w:rsid w:val="00DD7D6C"/>
    <w:rsid w:val="00DD7D9B"/>
    <w:rsid w:val="00DD7FB9"/>
    <w:rsid w:val="00DE047F"/>
    <w:rsid w:val="00DE049E"/>
    <w:rsid w:val="00DE0A40"/>
    <w:rsid w:val="00DE0A6E"/>
    <w:rsid w:val="00DE0ACF"/>
    <w:rsid w:val="00DE0FDF"/>
    <w:rsid w:val="00DE1605"/>
    <w:rsid w:val="00DE1709"/>
    <w:rsid w:val="00DE1786"/>
    <w:rsid w:val="00DE1B2A"/>
    <w:rsid w:val="00DE1F47"/>
    <w:rsid w:val="00DE2115"/>
    <w:rsid w:val="00DE2238"/>
    <w:rsid w:val="00DE227B"/>
    <w:rsid w:val="00DE233C"/>
    <w:rsid w:val="00DE27B3"/>
    <w:rsid w:val="00DE27F8"/>
    <w:rsid w:val="00DE2FCD"/>
    <w:rsid w:val="00DE30E5"/>
    <w:rsid w:val="00DE3597"/>
    <w:rsid w:val="00DE41A1"/>
    <w:rsid w:val="00DE43D2"/>
    <w:rsid w:val="00DE46A9"/>
    <w:rsid w:val="00DE4A99"/>
    <w:rsid w:val="00DE4C4A"/>
    <w:rsid w:val="00DE4EC4"/>
    <w:rsid w:val="00DE506E"/>
    <w:rsid w:val="00DE53E8"/>
    <w:rsid w:val="00DE55E4"/>
    <w:rsid w:val="00DE55F7"/>
    <w:rsid w:val="00DE5841"/>
    <w:rsid w:val="00DE5953"/>
    <w:rsid w:val="00DE596C"/>
    <w:rsid w:val="00DE59E6"/>
    <w:rsid w:val="00DE5D81"/>
    <w:rsid w:val="00DE6222"/>
    <w:rsid w:val="00DE6251"/>
    <w:rsid w:val="00DE6291"/>
    <w:rsid w:val="00DE6403"/>
    <w:rsid w:val="00DE687B"/>
    <w:rsid w:val="00DE6981"/>
    <w:rsid w:val="00DE6BE4"/>
    <w:rsid w:val="00DE6D8A"/>
    <w:rsid w:val="00DE6E82"/>
    <w:rsid w:val="00DE73D8"/>
    <w:rsid w:val="00DE7415"/>
    <w:rsid w:val="00DE773B"/>
    <w:rsid w:val="00DE775D"/>
    <w:rsid w:val="00DE7A62"/>
    <w:rsid w:val="00DE7B4A"/>
    <w:rsid w:val="00DE7B58"/>
    <w:rsid w:val="00DE7BBA"/>
    <w:rsid w:val="00DE7E21"/>
    <w:rsid w:val="00DF0323"/>
    <w:rsid w:val="00DF0760"/>
    <w:rsid w:val="00DF12AC"/>
    <w:rsid w:val="00DF12F5"/>
    <w:rsid w:val="00DF16D1"/>
    <w:rsid w:val="00DF1839"/>
    <w:rsid w:val="00DF1DA3"/>
    <w:rsid w:val="00DF1EA7"/>
    <w:rsid w:val="00DF1FD7"/>
    <w:rsid w:val="00DF1FF3"/>
    <w:rsid w:val="00DF26E1"/>
    <w:rsid w:val="00DF2B6C"/>
    <w:rsid w:val="00DF2D4D"/>
    <w:rsid w:val="00DF2E9F"/>
    <w:rsid w:val="00DF32A5"/>
    <w:rsid w:val="00DF35E2"/>
    <w:rsid w:val="00DF36FB"/>
    <w:rsid w:val="00DF3947"/>
    <w:rsid w:val="00DF3EEA"/>
    <w:rsid w:val="00DF4035"/>
    <w:rsid w:val="00DF411F"/>
    <w:rsid w:val="00DF444A"/>
    <w:rsid w:val="00DF461A"/>
    <w:rsid w:val="00DF479D"/>
    <w:rsid w:val="00DF4A62"/>
    <w:rsid w:val="00DF4E8D"/>
    <w:rsid w:val="00DF4EB1"/>
    <w:rsid w:val="00DF5054"/>
    <w:rsid w:val="00DF54D2"/>
    <w:rsid w:val="00DF5646"/>
    <w:rsid w:val="00DF58D8"/>
    <w:rsid w:val="00DF600F"/>
    <w:rsid w:val="00DF6055"/>
    <w:rsid w:val="00DF656A"/>
    <w:rsid w:val="00DF6985"/>
    <w:rsid w:val="00DF6F8B"/>
    <w:rsid w:val="00DF7649"/>
    <w:rsid w:val="00DF766E"/>
    <w:rsid w:val="00DF7835"/>
    <w:rsid w:val="00DF7B5C"/>
    <w:rsid w:val="00DF7BD5"/>
    <w:rsid w:val="00DF7D1F"/>
    <w:rsid w:val="00DF7E66"/>
    <w:rsid w:val="00E0015F"/>
    <w:rsid w:val="00E001E1"/>
    <w:rsid w:val="00E002BA"/>
    <w:rsid w:val="00E00329"/>
    <w:rsid w:val="00E00377"/>
    <w:rsid w:val="00E004F0"/>
    <w:rsid w:val="00E00A07"/>
    <w:rsid w:val="00E00A7F"/>
    <w:rsid w:val="00E00BE9"/>
    <w:rsid w:val="00E01725"/>
    <w:rsid w:val="00E0190E"/>
    <w:rsid w:val="00E01CCF"/>
    <w:rsid w:val="00E01E26"/>
    <w:rsid w:val="00E01F18"/>
    <w:rsid w:val="00E01F88"/>
    <w:rsid w:val="00E024A7"/>
    <w:rsid w:val="00E02564"/>
    <w:rsid w:val="00E026D0"/>
    <w:rsid w:val="00E029F0"/>
    <w:rsid w:val="00E02CAA"/>
    <w:rsid w:val="00E02DD4"/>
    <w:rsid w:val="00E02DF9"/>
    <w:rsid w:val="00E02F90"/>
    <w:rsid w:val="00E0327D"/>
    <w:rsid w:val="00E032E7"/>
    <w:rsid w:val="00E03837"/>
    <w:rsid w:val="00E03951"/>
    <w:rsid w:val="00E03A76"/>
    <w:rsid w:val="00E03B6F"/>
    <w:rsid w:val="00E03DCE"/>
    <w:rsid w:val="00E03E3F"/>
    <w:rsid w:val="00E03E9E"/>
    <w:rsid w:val="00E040A0"/>
    <w:rsid w:val="00E04537"/>
    <w:rsid w:val="00E045B9"/>
    <w:rsid w:val="00E04868"/>
    <w:rsid w:val="00E04BA2"/>
    <w:rsid w:val="00E04BBE"/>
    <w:rsid w:val="00E04BEB"/>
    <w:rsid w:val="00E0532B"/>
    <w:rsid w:val="00E0556A"/>
    <w:rsid w:val="00E055CC"/>
    <w:rsid w:val="00E05608"/>
    <w:rsid w:val="00E05634"/>
    <w:rsid w:val="00E05C5E"/>
    <w:rsid w:val="00E05F6B"/>
    <w:rsid w:val="00E065E2"/>
    <w:rsid w:val="00E06720"/>
    <w:rsid w:val="00E06785"/>
    <w:rsid w:val="00E069DF"/>
    <w:rsid w:val="00E06EED"/>
    <w:rsid w:val="00E07389"/>
    <w:rsid w:val="00E07483"/>
    <w:rsid w:val="00E0770D"/>
    <w:rsid w:val="00E07E78"/>
    <w:rsid w:val="00E1005C"/>
    <w:rsid w:val="00E102C8"/>
    <w:rsid w:val="00E1085F"/>
    <w:rsid w:val="00E10AE5"/>
    <w:rsid w:val="00E1129D"/>
    <w:rsid w:val="00E113C8"/>
    <w:rsid w:val="00E11436"/>
    <w:rsid w:val="00E1165C"/>
    <w:rsid w:val="00E116F4"/>
    <w:rsid w:val="00E11ACB"/>
    <w:rsid w:val="00E11BAA"/>
    <w:rsid w:val="00E11BD4"/>
    <w:rsid w:val="00E11D7E"/>
    <w:rsid w:val="00E11F4F"/>
    <w:rsid w:val="00E124F3"/>
    <w:rsid w:val="00E12788"/>
    <w:rsid w:val="00E12AA2"/>
    <w:rsid w:val="00E12F12"/>
    <w:rsid w:val="00E131D7"/>
    <w:rsid w:val="00E131EE"/>
    <w:rsid w:val="00E132A0"/>
    <w:rsid w:val="00E132BA"/>
    <w:rsid w:val="00E132F3"/>
    <w:rsid w:val="00E134C9"/>
    <w:rsid w:val="00E139B8"/>
    <w:rsid w:val="00E13D14"/>
    <w:rsid w:val="00E13D4E"/>
    <w:rsid w:val="00E13E4B"/>
    <w:rsid w:val="00E13FB4"/>
    <w:rsid w:val="00E13FE2"/>
    <w:rsid w:val="00E14584"/>
    <w:rsid w:val="00E14811"/>
    <w:rsid w:val="00E14B58"/>
    <w:rsid w:val="00E14C99"/>
    <w:rsid w:val="00E14D88"/>
    <w:rsid w:val="00E14DA3"/>
    <w:rsid w:val="00E14DA9"/>
    <w:rsid w:val="00E150AE"/>
    <w:rsid w:val="00E1515C"/>
    <w:rsid w:val="00E15234"/>
    <w:rsid w:val="00E153B1"/>
    <w:rsid w:val="00E15415"/>
    <w:rsid w:val="00E155B5"/>
    <w:rsid w:val="00E157C9"/>
    <w:rsid w:val="00E15887"/>
    <w:rsid w:val="00E15E25"/>
    <w:rsid w:val="00E15EAC"/>
    <w:rsid w:val="00E15F04"/>
    <w:rsid w:val="00E1656B"/>
    <w:rsid w:val="00E16747"/>
    <w:rsid w:val="00E169AE"/>
    <w:rsid w:val="00E169DB"/>
    <w:rsid w:val="00E16E09"/>
    <w:rsid w:val="00E1722D"/>
    <w:rsid w:val="00E17379"/>
    <w:rsid w:val="00E17397"/>
    <w:rsid w:val="00E17581"/>
    <w:rsid w:val="00E17BD7"/>
    <w:rsid w:val="00E17C18"/>
    <w:rsid w:val="00E17D9F"/>
    <w:rsid w:val="00E20404"/>
    <w:rsid w:val="00E2088B"/>
    <w:rsid w:val="00E20903"/>
    <w:rsid w:val="00E20E4F"/>
    <w:rsid w:val="00E20F28"/>
    <w:rsid w:val="00E20FD0"/>
    <w:rsid w:val="00E210B6"/>
    <w:rsid w:val="00E21139"/>
    <w:rsid w:val="00E2159F"/>
    <w:rsid w:val="00E21845"/>
    <w:rsid w:val="00E218A1"/>
    <w:rsid w:val="00E22569"/>
    <w:rsid w:val="00E2284D"/>
    <w:rsid w:val="00E22D1B"/>
    <w:rsid w:val="00E22DE9"/>
    <w:rsid w:val="00E22EF5"/>
    <w:rsid w:val="00E233B8"/>
    <w:rsid w:val="00E234AF"/>
    <w:rsid w:val="00E237C7"/>
    <w:rsid w:val="00E237ED"/>
    <w:rsid w:val="00E23874"/>
    <w:rsid w:val="00E23A28"/>
    <w:rsid w:val="00E23BDB"/>
    <w:rsid w:val="00E23EF9"/>
    <w:rsid w:val="00E24058"/>
    <w:rsid w:val="00E2434F"/>
    <w:rsid w:val="00E243E4"/>
    <w:rsid w:val="00E24701"/>
    <w:rsid w:val="00E24723"/>
    <w:rsid w:val="00E24BF6"/>
    <w:rsid w:val="00E24D00"/>
    <w:rsid w:val="00E24F44"/>
    <w:rsid w:val="00E25048"/>
    <w:rsid w:val="00E2553A"/>
    <w:rsid w:val="00E255A5"/>
    <w:rsid w:val="00E2587A"/>
    <w:rsid w:val="00E25A91"/>
    <w:rsid w:val="00E25AFB"/>
    <w:rsid w:val="00E25C33"/>
    <w:rsid w:val="00E25DCE"/>
    <w:rsid w:val="00E25F8B"/>
    <w:rsid w:val="00E26114"/>
    <w:rsid w:val="00E26140"/>
    <w:rsid w:val="00E2674E"/>
    <w:rsid w:val="00E267AE"/>
    <w:rsid w:val="00E26B82"/>
    <w:rsid w:val="00E26DB8"/>
    <w:rsid w:val="00E26E66"/>
    <w:rsid w:val="00E275BE"/>
    <w:rsid w:val="00E27B26"/>
    <w:rsid w:val="00E27C9A"/>
    <w:rsid w:val="00E27CC0"/>
    <w:rsid w:val="00E30729"/>
    <w:rsid w:val="00E30B7C"/>
    <w:rsid w:val="00E312C8"/>
    <w:rsid w:val="00E313CC"/>
    <w:rsid w:val="00E3161B"/>
    <w:rsid w:val="00E3177C"/>
    <w:rsid w:val="00E31993"/>
    <w:rsid w:val="00E31A92"/>
    <w:rsid w:val="00E321A3"/>
    <w:rsid w:val="00E32260"/>
    <w:rsid w:val="00E3244A"/>
    <w:rsid w:val="00E32987"/>
    <w:rsid w:val="00E32A04"/>
    <w:rsid w:val="00E32D96"/>
    <w:rsid w:val="00E32E19"/>
    <w:rsid w:val="00E33159"/>
    <w:rsid w:val="00E335FD"/>
    <w:rsid w:val="00E33602"/>
    <w:rsid w:val="00E3390E"/>
    <w:rsid w:val="00E33E46"/>
    <w:rsid w:val="00E3423F"/>
    <w:rsid w:val="00E34518"/>
    <w:rsid w:val="00E34830"/>
    <w:rsid w:val="00E34AE6"/>
    <w:rsid w:val="00E34C7D"/>
    <w:rsid w:val="00E3503A"/>
    <w:rsid w:val="00E35866"/>
    <w:rsid w:val="00E359E6"/>
    <w:rsid w:val="00E35E10"/>
    <w:rsid w:val="00E3624D"/>
    <w:rsid w:val="00E36496"/>
    <w:rsid w:val="00E3651B"/>
    <w:rsid w:val="00E36B5F"/>
    <w:rsid w:val="00E36D70"/>
    <w:rsid w:val="00E36E5E"/>
    <w:rsid w:val="00E36FA0"/>
    <w:rsid w:val="00E36FD3"/>
    <w:rsid w:val="00E3717E"/>
    <w:rsid w:val="00E371F1"/>
    <w:rsid w:val="00E374D1"/>
    <w:rsid w:val="00E379F6"/>
    <w:rsid w:val="00E37D6A"/>
    <w:rsid w:val="00E37E40"/>
    <w:rsid w:val="00E40020"/>
    <w:rsid w:val="00E40098"/>
    <w:rsid w:val="00E4028B"/>
    <w:rsid w:val="00E40384"/>
    <w:rsid w:val="00E40880"/>
    <w:rsid w:val="00E40AEB"/>
    <w:rsid w:val="00E40BB5"/>
    <w:rsid w:val="00E40DE9"/>
    <w:rsid w:val="00E41749"/>
    <w:rsid w:val="00E4178A"/>
    <w:rsid w:val="00E419E7"/>
    <w:rsid w:val="00E41C96"/>
    <w:rsid w:val="00E41E7A"/>
    <w:rsid w:val="00E4209C"/>
    <w:rsid w:val="00E4279A"/>
    <w:rsid w:val="00E42862"/>
    <w:rsid w:val="00E42B43"/>
    <w:rsid w:val="00E42E0E"/>
    <w:rsid w:val="00E42E76"/>
    <w:rsid w:val="00E43174"/>
    <w:rsid w:val="00E431D6"/>
    <w:rsid w:val="00E434B6"/>
    <w:rsid w:val="00E435C9"/>
    <w:rsid w:val="00E4420E"/>
    <w:rsid w:val="00E4432D"/>
    <w:rsid w:val="00E4448F"/>
    <w:rsid w:val="00E4472A"/>
    <w:rsid w:val="00E447B2"/>
    <w:rsid w:val="00E449CC"/>
    <w:rsid w:val="00E451BC"/>
    <w:rsid w:val="00E457D9"/>
    <w:rsid w:val="00E45C16"/>
    <w:rsid w:val="00E45F3A"/>
    <w:rsid w:val="00E4607A"/>
    <w:rsid w:val="00E465EF"/>
    <w:rsid w:val="00E467EA"/>
    <w:rsid w:val="00E46C9D"/>
    <w:rsid w:val="00E46D80"/>
    <w:rsid w:val="00E46F07"/>
    <w:rsid w:val="00E471B6"/>
    <w:rsid w:val="00E47439"/>
    <w:rsid w:val="00E475F1"/>
    <w:rsid w:val="00E478E5"/>
    <w:rsid w:val="00E50581"/>
    <w:rsid w:val="00E50983"/>
    <w:rsid w:val="00E50B32"/>
    <w:rsid w:val="00E50F4B"/>
    <w:rsid w:val="00E513ED"/>
    <w:rsid w:val="00E51A42"/>
    <w:rsid w:val="00E51B0B"/>
    <w:rsid w:val="00E51E6D"/>
    <w:rsid w:val="00E51ECA"/>
    <w:rsid w:val="00E526FE"/>
    <w:rsid w:val="00E52BAD"/>
    <w:rsid w:val="00E52D84"/>
    <w:rsid w:val="00E52D93"/>
    <w:rsid w:val="00E53040"/>
    <w:rsid w:val="00E53164"/>
    <w:rsid w:val="00E532ED"/>
    <w:rsid w:val="00E533B9"/>
    <w:rsid w:val="00E53537"/>
    <w:rsid w:val="00E5375B"/>
    <w:rsid w:val="00E53B3F"/>
    <w:rsid w:val="00E53BCF"/>
    <w:rsid w:val="00E53E96"/>
    <w:rsid w:val="00E541B3"/>
    <w:rsid w:val="00E5423E"/>
    <w:rsid w:val="00E54248"/>
    <w:rsid w:val="00E54315"/>
    <w:rsid w:val="00E544F1"/>
    <w:rsid w:val="00E54519"/>
    <w:rsid w:val="00E54785"/>
    <w:rsid w:val="00E5499E"/>
    <w:rsid w:val="00E54A3A"/>
    <w:rsid w:val="00E54C55"/>
    <w:rsid w:val="00E54D4E"/>
    <w:rsid w:val="00E54FA9"/>
    <w:rsid w:val="00E55102"/>
    <w:rsid w:val="00E558C5"/>
    <w:rsid w:val="00E5599D"/>
    <w:rsid w:val="00E55AB7"/>
    <w:rsid w:val="00E55DBB"/>
    <w:rsid w:val="00E565DF"/>
    <w:rsid w:val="00E56A63"/>
    <w:rsid w:val="00E56ECC"/>
    <w:rsid w:val="00E5729A"/>
    <w:rsid w:val="00E57570"/>
    <w:rsid w:val="00E57605"/>
    <w:rsid w:val="00E577C2"/>
    <w:rsid w:val="00E57888"/>
    <w:rsid w:val="00E57DED"/>
    <w:rsid w:val="00E57F9D"/>
    <w:rsid w:val="00E6036A"/>
    <w:rsid w:val="00E60A90"/>
    <w:rsid w:val="00E60B81"/>
    <w:rsid w:val="00E6111C"/>
    <w:rsid w:val="00E6111D"/>
    <w:rsid w:val="00E613CA"/>
    <w:rsid w:val="00E61416"/>
    <w:rsid w:val="00E61596"/>
    <w:rsid w:val="00E61649"/>
    <w:rsid w:val="00E619B7"/>
    <w:rsid w:val="00E61E4B"/>
    <w:rsid w:val="00E6208D"/>
    <w:rsid w:val="00E6257F"/>
    <w:rsid w:val="00E6272E"/>
    <w:rsid w:val="00E62850"/>
    <w:rsid w:val="00E62920"/>
    <w:rsid w:val="00E62947"/>
    <w:rsid w:val="00E62A5C"/>
    <w:rsid w:val="00E62B37"/>
    <w:rsid w:val="00E62E50"/>
    <w:rsid w:val="00E633F7"/>
    <w:rsid w:val="00E6364C"/>
    <w:rsid w:val="00E63AA1"/>
    <w:rsid w:val="00E63C96"/>
    <w:rsid w:val="00E64268"/>
    <w:rsid w:val="00E6427F"/>
    <w:rsid w:val="00E64671"/>
    <w:rsid w:val="00E648C1"/>
    <w:rsid w:val="00E64A88"/>
    <w:rsid w:val="00E64B97"/>
    <w:rsid w:val="00E64E00"/>
    <w:rsid w:val="00E65199"/>
    <w:rsid w:val="00E65386"/>
    <w:rsid w:val="00E65A92"/>
    <w:rsid w:val="00E65D11"/>
    <w:rsid w:val="00E65EC2"/>
    <w:rsid w:val="00E6600C"/>
    <w:rsid w:val="00E660FB"/>
    <w:rsid w:val="00E66164"/>
    <w:rsid w:val="00E66415"/>
    <w:rsid w:val="00E66983"/>
    <w:rsid w:val="00E66DBB"/>
    <w:rsid w:val="00E6709A"/>
    <w:rsid w:val="00E6732A"/>
    <w:rsid w:val="00E678ED"/>
    <w:rsid w:val="00E67C9A"/>
    <w:rsid w:val="00E67E44"/>
    <w:rsid w:val="00E67E86"/>
    <w:rsid w:val="00E70123"/>
    <w:rsid w:val="00E701EC"/>
    <w:rsid w:val="00E7076A"/>
    <w:rsid w:val="00E707CE"/>
    <w:rsid w:val="00E708B8"/>
    <w:rsid w:val="00E709E5"/>
    <w:rsid w:val="00E70D6B"/>
    <w:rsid w:val="00E70FEC"/>
    <w:rsid w:val="00E71423"/>
    <w:rsid w:val="00E7149E"/>
    <w:rsid w:val="00E71575"/>
    <w:rsid w:val="00E716AF"/>
    <w:rsid w:val="00E71E09"/>
    <w:rsid w:val="00E722DF"/>
    <w:rsid w:val="00E7264F"/>
    <w:rsid w:val="00E729B7"/>
    <w:rsid w:val="00E72B0D"/>
    <w:rsid w:val="00E72B45"/>
    <w:rsid w:val="00E7325F"/>
    <w:rsid w:val="00E7344A"/>
    <w:rsid w:val="00E73463"/>
    <w:rsid w:val="00E735CD"/>
    <w:rsid w:val="00E736E6"/>
    <w:rsid w:val="00E73A41"/>
    <w:rsid w:val="00E73BD6"/>
    <w:rsid w:val="00E73C4D"/>
    <w:rsid w:val="00E73D69"/>
    <w:rsid w:val="00E73F0B"/>
    <w:rsid w:val="00E7454A"/>
    <w:rsid w:val="00E74969"/>
    <w:rsid w:val="00E74AE4"/>
    <w:rsid w:val="00E74B1D"/>
    <w:rsid w:val="00E7515E"/>
    <w:rsid w:val="00E75971"/>
    <w:rsid w:val="00E75994"/>
    <w:rsid w:val="00E75A5F"/>
    <w:rsid w:val="00E75E73"/>
    <w:rsid w:val="00E76217"/>
    <w:rsid w:val="00E762EC"/>
    <w:rsid w:val="00E763E1"/>
    <w:rsid w:val="00E766A6"/>
    <w:rsid w:val="00E76AA9"/>
    <w:rsid w:val="00E77120"/>
    <w:rsid w:val="00E77296"/>
    <w:rsid w:val="00E77682"/>
    <w:rsid w:val="00E776DE"/>
    <w:rsid w:val="00E77AA3"/>
    <w:rsid w:val="00E77B4D"/>
    <w:rsid w:val="00E80636"/>
    <w:rsid w:val="00E8091B"/>
    <w:rsid w:val="00E8092C"/>
    <w:rsid w:val="00E809A0"/>
    <w:rsid w:val="00E80B0F"/>
    <w:rsid w:val="00E80B4C"/>
    <w:rsid w:val="00E80BD7"/>
    <w:rsid w:val="00E80C4C"/>
    <w:rsid w:val="00E80CBD"/>
    <w:rsid w:val="00E815CB"/>
    <w:rsid w:val="00E816E4"/>
    <w:rsid w:val="00E81764"/>
    <w:rsid w:val="00E81949"/>
    <w:rsid w:val="00E81C2B"/>
    <w:rsid w:val="00E81DFF"/>
    <w:rsid w:val="00E81EF6"/>
    <w:rsid w:val="00E81F75"/>
    <w:rsid w:val="00E8267A"/>
    <w:rsid w:val="00E8280C"/>
    <w:rsid w:val="00E828EF"/>
    <w:rsid w:val="00E82A14"/>
    <w:rsid w:val="00E82D8C"/>
    <w:rsid w:val="00E82F25"/>
    <w:rsid w:val="00E8300A"/>
    <w:rsid w:val="00E830C0"/>
    <w:rsid w:val="00E83594"/>
    <w:rsid w:val="00E83839"/>
    <w:rsid w:val="00E8391B"/>
    <w:rsid w:val="00E83971"/>
    <w:rsid w:val="00E839CD"/>
    <w:rsid w:val="00E83DD1"/>
    <w:rsid w:val="00E83E03"/>
    <w:rsid w:val="00E844FF"/>
    <w:rsid w:val="00E847B0"/>
    <w:rsid w:val="00E84911"/>
    <w:rsid w:val="00E84E7E"/>
    <w:rsid w:val="00E84F2C"/>
    <w:rsid w:val="00E84FDD"/>
    <w:rsid w:val="00E853D5"/>
    <w:rsid w:val="00E855F5"/>
    <w:rsid w:val="00E85986"/>
    <w:rsid w:val="00E85C6A"/>
    <w:rsid w:val="00E862CC"/>
    <w:rsid w:val="00E86611"/>
    <w:rsid w:val="00E869CE"/>
    <w:rsid w:val="00E86B9A"/>
    <w:rsid w:val="00E86C3E"/>
    <w:rsid w:val="00E86E4A"/>
    <w:rsid w:val="00E8726D"/>
    <w:rsid w:val="00E8730E"/>
    <w:rsid w:val="00E8777B"/>
    <w:rsid w:val="00E87A97"/>
    <w:rsid w:val="00E87BB9"/>
    <w:rsid w:val="00E87BD6"/>
    <w:rsid w:val="00E90347"/>
    <w:rsid w:val="00E906AA"/>
    <w:rsid w:val="00E906F7"/>
    <w:rsid w:val="00E90800"/>
    <w:rsid w:val="00E90EC1"/>
    <w:rsid w:val="00E9138F"/>
    <w:rsid w:val="00E91525"/>
    <w:rsid w:val="00E91B14"/>
    <w:rsid w:val="00E920EC"/>
    <w:rsid w:val="00E921AC"/>
    <w:rsid w:val="00E923C4"/>
    <w:rsid w:val="00E92413"/>
    <w:rsid w:val="00E92570"/>
    <w:rsid w:val="00E92619"/>
    <w:rsid w:val="00E92978"/>
    <w:rsid w:val="00E92C9C"/>
    <w:rsid w:val="00E931B1"/>
    <w:rsid w:val="00E93257"/>
    <w:rsid w:val="00E935E1"/>
    <w:rsid w:val="00E93738"/>
    <w:rsid w:val="00E93814"/>
    <w:rsid w:val="00E93B6C"/>
    <w:rsid w:val="00E93C08"/>
    <w:rsid w:val="00E93DA4"/>
    <w:rsid w:val="00E9401A"/>
    <w:rsid w:val="00E94134"/>
    <w:rsid w:val="00E945FF"/>
    <w:rsid w:val="00E94C0B"/>
    <w:rsid w:val="00E94F52"/>
    <w:rsid w:val="00E953B6"/>
    <w:rsid w:val="00E954FB"/>
    <w:rsid w:val="00E95ADD"/>
    <w:rsid w:val="00E95D9B"/>
    <w:rsid w:val="00E95E46"/>
    <w:rsid w:val="00E95FBA"/>
    <w:rsid w:val="00E96087"/>
    <w:rsid w:val="00E9647B"/>
    <w:rsid w:val="00E96ACD"/>
    <w:rsid w:val="00E96C1D"/>
    <w:rsid w:val="00E96F80"/>
    <w:rsid w:val="00E9742B"/>
    <w:rsid w:val="00E975C6"/>
    <w:rsid w:val="00E97654"/>
    <w:rsid w:val="00E97AA9"/>
    <w:rsid w:val="00E97C53"/>
    <w:rsid w:val="00EA009F"/>
    <w:rsid w:val="00EA077F"/>
    <w:rsid w:val="00EA07CD"/>
    <w:rsid w:val="00EA0E3B"/>
    <w:rsid w:val="00EA0FCA"/>
    <w:rsid w:val="00EA117C"/>
    <w:rsid w:val="00EA1391"/>
    <w:rsid w:val="00EA162F"/>
    <w:rsid w:val="00EA21D0"/>
    <w:rsid w:val="00EA2782"/>
    <w:rsid w:val="00EA278E"/>
    <w:rsid w:val="00EA29DC"/>
    <w:rsid w:val="00EA2A74"/>
    <w:rsid w:val="00EA2B97"/>
    <w:rsid w:val="00EA2F21"/>
    <w:rsid w:val="00EA2F98"/>
    <w:rsid w:val="00EA31DF"/>
    <w:rsid w:val="00EA3887"/>
    <w:rsid w:val="00EA3EA9"/>
    <w:rsid w:val="00EA47C0"/>
    <w:rsid w:val="00EA4891"/>
    <w:rsid w:val="00EA4992"/>
    <w:rsid w:val="00EA4B47"/>
    <w:rsid w:val="00EA4C84"/>
    <w:rsid w:val="00EA552A"/>
    <w:rsid w:val="00EA5ACA"/>
    <w:rsid w:val="00EA5EA4"/>
    <w:rsid w:val="00EA6008"/>
    <w:rsid w:val="00EA600E"/>
    <w:rsid w:val="00EA632D"/>
    <w:rsid w:val="00EA6364"/>
    <w:rsid w:val="00EA6595"/>
    <w:rsid w:val="00EA6D02"/>
    <w:rsid w:val="00EA72AD"/>
    <w:rsid w:val="00EA737B"/>
    <w:rsid w:val="00EA7698"/>
    <w:rsid w:val="00EA79A7"/>
    <w:rsid w:val="00EA7A08"/>
    <w:rsid w:val="00EA7A1D"/>
    <w:rsid w:val="00EA7B4B"/>
    <w:rsid w:val="00EA7B8B"/>
    <w:rsid w:val="00EB038E"/>
    <w:rsid w:val="00EB04E9"/>
    <w:rsid w:val="00EB0804"/>
    <w:rsid w:val="00EB0965"/>
    <w:rsid w:val="00EB1873"/>
    <w:rsid w:val="00EB1C52"/>
    <w:rsid w:val="00EB1D23"/>
    <w:rsid w:val="00EB1DA8"/>
    <w:rsid w:val="00EB1E23"/>
    <w:rsid w:val="00EB2390"/>
    <w:rsid w:val="00EB2450"/>
    <w:rsid w:val="00EB2780"/>
    <w:rsid w:val="00EB27D8"/>
    <w:rsid w:val="00EB28CE"/>
    <w:rsid w:val="00EB2949"/>
    <w:rsid w:val="00EB2A0E"/>
    <w:rsid w:val="00EB2D2A"/>
    <w:rsid w:val="00EB2F10"/>
    <w:rsid w:val="00EB3096"/>
    <w:rsid w:val="00EB311F"/>
    <w:rsid w:val="00EB3E68"/>
    <w:rsid w:val="00EB40D7"/>
    <w:rsid w:val="00EB43FC"/>
    <w:rsid w:val="00EB44AA"/>
    <w:rsid w:val="00EB4574"/>
    <w:rsid w:val="00EB47A6"/>
    <w:rsid w:val="00EB4C24"/>
    <w:rsid w:val="00EB4D30"/>
    <w:rsid w:val="00EB4F9E"/>
    <w:rsid w:val="00EB512F"/>
    <w:rsid w:val="00EB53E4"/>
    <w:rsid w:val="00EB5419"/>
    <w:rsid w:val="00EB5710"/>
    <w:rsid w:val="00EB5885"/>
    <w:rsid w:val="00EB594C"/>
    <w:rsid w:val="00EB61EF"/>
    <w:rsid w:val="00EB65C6"/>
    <w:rsid w:val="00EB6684"/>
    <w:rsid w:val="00EB68DA"/>
    <w:rsid w:val="00EB6A74"/>
    <w:rsid w:val="00EB6D45"/>
    <w:rsid w:val="00EB6DB5"/>
    <w:rsid w:val="00EB6DF4"/>
    <w:rsid w:val="00EB70EC"/>
    <w:rsid w:val="00EB7711"/>
    <w:rsid w:val="00EB7A75"/>
    <w:rsid w:val="00EB7A88"/>
    <w:rsid w:val="00EB7CE0"/>
    <w:rsid w:val="00EB7EE6"/>
    <w:rsid w:val="00EC0004"/>
    <w:rsid w:val="00EC092D"/>
    <w:rsid w:val="00EC0DDA"/>
    <w:rsid w:val="00EC0E25"/>
    <w:rsid w:val="00EC1020"/>
    <w:rsid w:val="00EC11D0"/>
    <w:rsid w:val="00EC14DA"/>
    <w:rsid w:val="00EC160B"/>
    <w:rsid w:val="00EC1A3C"/>
    <w:rsid w:val="00EC26E9"/>
    <w:rsid w:val="00EC27A4"/>
    <w:rsid w:val="00EC2945"/>
    <w:rsid w:val="00EC3186"/>
    <w:rsid w:val="00EC36EF"/>
    <w:rsid w:val="00EC3706"/>
    <w:rsid w:val="00EC3DF9"/>
    <w:rsid w:val="00EC4030"/>
    <w:rsid w:val="00EC41F3"/>
    <w:rsid w:val="00EC4312"/>
    <w:rsid w:val="00EC481A"/>
    <w:rsid w:val="00EC499B"/>
    <w:rsid w:val="00EC49CE"/>
    <w:rsid w:val="00EC49E9"/>
    <w:rsid w:val="00EC4A90"/>
    <w:rsid w:val="00EC4B0E"/>
    <w:rsid w:val="00EC4CA9"/>
    <w:rsid w:val="00EC4D54"/>
    <w:rsid w:val="00EC4EBD"/>
    <w:rsid w:val="00EC51F5"/>
    <w:rsid w:val="00EC52E5"/>
    <w:rsid w:val="00EC565E"/>
    <w:rsid w:val="00EC5732"/>
    <w:rsid w:val="00EC5B1C"/>
    <w:rsid w:val="00EC5D65"/>
    <w:rsid w:val="00EC6112"/>
    <w:rsid w:val="00EC6601"/>
    <w:rsid w:val="00EC6666"/>
    <w:rsid w:val="00EC6AB5"/>
    <w:rsid w:val="00EC6C2D"/>
    <w:rsid w:val="00EC6D6C"/>
    <w:rsid w:val="00EC6E66"/>
    <w:rsid w:val="00EC6FA3"/>
    <w:rsid w:val="00EC7250"/>
    <w:rsid w:val="00EC751D"/>
    <w:rsid w:val="00EC79E3"/>
    <w:rsid w:val="00EC7B93"/>
    <w:rsid w:val="00EC7C09"/>
    <w:rsid w:val="00EC7C6B"/>
    <w:rsid w:val="00EC7E2D"/>
    <w:rsid w:val="00EC7E75"/>
    <w:rsid w:val="00EC7ECD"/>
    <w:rsid w:val="00ED0150"/>
    <w:rsid w:val="00ED01E6"/>
    <w:rsid w:val="00ED0202"/>
    <w:rsid w:val="00ED025B"/>
    <w:rsid w:val="00ED0609"/>
    <w:rsid w:val="00ED06E7"/>
    <w:rsid w:val="00ED0A09"/>
    <w:rsid w:val="00ED0C67"/>
    <w:rsid w:val="00ED0ED2"/>
    <w:rsid w:val="00ED0F3C"/>
    <w:rsid w:val="00ED1F1D"/>
    <w:rsid w:val="00ED208D"/>
    <w:rsid w:val="00ED20CA"/>
    <w:rsid w:val="00ED235D"/>
    <w:rsid w:val="00ED27C3"/>
    <w:rsid w:val="00ED2AB7"/>
    <w:rsid w:val="00ED2FCD"/>
    <w:rsid w:val="00ED3003"/>
    <w:rsid w:val="00ED3355"/>
    <w:rsid w:val="00ED3426"/>
    <w:rsid w:val="00ED3581"/>
    <w:rsid w:val="00ED3C73"/>
    <w:rsid w:val="00ED42AC"/>
    <w:rsid w:val="00ED431B"/>
    <w:rsid w:val="00ED47E1"/>
    <w:rsid w:val="00ED481D"/>
    <w:rsid w:val="00ED48BF"/>
    <w:rsid w:val="00ED4A55"/>
    <w:rsid w:val="00ED4EF9"/>
    <w:rsid w:val="00ED503A"/>
    <w:rsid w:val="00ED51C2"/>
    <w:rsid w:val="00ED527D"/>
    <w:rsid w:val="00ED571D"/>
    <w:rsid w:val="00ED5AF9"/>
    <w:rsid w:val="00ED5EF0"/>
    <w:rsid w:val="00ED5F1F"/>
    <w:rsid w:val="00ED6112"/>
    <w:rsid w:val="00ED6177"/>
    <w:rsid w:val="00ED6595"/>
    <w:rsid w:val="00ED6788"/>
    <w:rsid w:val="00ED6882"/>
    <w:rsid w:val="00ED6C85"/>
    <w:rsid w:val="00ED6DA2"/>
    <w:rsid w:val="00ED713C"/>
    <w:rsid w:val="00ED7260"/>
    <w:rsid w:val="00ED73C6"/>
    <w:rsid w:val="00ED764D"/>
    <w:rsid w:val="00ED76D6"/>
    <w:rsid w:val="00ED7812"/>
    <w:rsid w:val="00ED78C7"/>
    <w:rsid w:val="00ED7EC9"/>
    <w:rsid w:val="00ED7F60"/>
    <w:rsid w:val="00EE0539"/>
    <w:rsid w:val="00EE0A9F"/>
    <w:rsid w:val="00EE0C29"/>
    <w:rsid w:val="00EE0CC6"/>
    <w:rsid w:val="00EE13E5"/>
    <w:rsid w:val="00EE19B3"/>
    <w:rsid w:val="00EE1B5A"/>
    <w:rsid w:val="00EE1FE1"/>
    <w:rsid w:val="00EE2046"/>
    <w:rsid w:val="00EE232E"/>
    <w:rsid w:val="00EE27FD"/>
    <w:rsid w:val="00EE28EB"/>
    <w:rsid w:val="00EE2990"/>
    <w:rsid w:val="00EE2C06"/>
    <w:rsid w:val="00EE2D31"/>
    <w:rsid w:val="00EE2E2E"/>
    <w:rsid w:val="00EE3588"/>
    <w:rsid w:val="00EE3677"/>
    <w:rsid w:val="00EE3FF0"/>
    <w:rsid w:val="00EE40E9"/>
    <w:rsid w:val="00EE45D3"/>
    <w:rsid w:val="00EE4813"/>
    <w:rsid w:val="00EE4A7F"/>
    <w:rsid w:val="00EE4A99"/>
    <w:rsid w:val="00EE4BD7"/>
    <w:rsid w:val="00EE50FB"/>
    <w:rsid w:val="00EE554F"/>
    <w:rsid w:val="00EE578F"/>
    <w:rsid w:val="00EE5AF1"/>
    <w:rsid w:val="00EE60FE"/>
    <w:rsid w:val="00EE632E"/>
    <w:rsid w:val="00EE6780"/>
    <w:rsid w:val="00EE71CB"/>
    <w:rsid w:val="00EE76BC"/>
    <w:rsid w:val="00EE7895"/>
    <w:rsid w:val="00EF023F"/>
    <w:rsid w:val="00EF03A1"/>
    <w:rsid w:val="00EF0603"/>
    <w:rsid w:val="00EF07D4"/>
    <w:rsid w:val="00EF0CB7"/>
    <w:rsid w:val="00EF0EA7"/>
    <w:rsid w:val="00EF1343"/>
    <w:rsid w:val="00EF1612"/>
    <w:rsid w:val="00EF16EF"/>
    <w:rsid w:val="00EF17F6"/>
    <w:rsid w:val="00EF1AFD"/>
    <w:rsid w:val="00EF1C38"/>
    <w:rsid w:val="00EF1D46"/>
    <w:rsid w:val="00EF1DCF"/>
    <w:rsid w:val="00EF22F4"/>
    <w:rsid w:val="00EF2353"/>
    <w:rsid w:val="00EF287B"/>
    <w:rsid w:val="00EF295A"/>
    <w:rsid w:val="00EF299B"/>
    <w:rsid w:val="00EF2B6B"/>
    <w:rsid w:val="00EF2C3C"/>
    <w:rsid w:val="00EF2CA9"/>
    <w:rsid w:val="00EF2F39"/>
    <w:rsid w:val="00EF314B"/>
    <w:rsid w:val="00EF31CE"/>
    <w:rsid w:val="00EF3203"/>
    <w:rsid w:val="00EF355C"/>
    <w:rsid w:val="00EF356A"/>
    <w:rsid w:val="00EF39B5"/>
    <w:rsid w:val="00EF3A4C"/>
    <w:rsid w:val="00EF3D05"/>
    <w:rsid w:val="00EF42C9"/>
    <w:rsid w:val="00EF4D07"/>
    <w:rsid w:val="00EF5019"/>
    <w:rsid w:val="00EF53FD"/>
    <w:rsid w:val="00EF5A3C"/>
    <w:rsid w:val="00EF5BA2"/>
    <w:rsid w:val="00EF60CE"/>
    <w:rsid w:val="00EF62E4"/>
    <w:rsid w:val="00EF62E6"/>
    <w:rsid w:val="00EF6A63"/>
    <w:rsid w:val="00EF6BB8"/>
    <w:rsid w:val="00EF71C1"/>
    <w:rsid w:val="00EF75BB"/>
    <w:rsid w:val="00EF76F2"/>
    <w:rsid w:val="00EF76FF"/>
    <w:rsid w:val="00EF77FF"/>
    <w:rsid w:val="00EF791E"/>
    <w:rsid w:val="00EF7979"/>
    <w:rsid w:val="00F0007C"/>
    <w:rsid w:val="00F00634"/>
    <w:rsid w:val="00F00758"/>
    <w:rsid w:val="00F00B02"/>
    <w:rsid w:val="00F00B28"/>
    <w:rsid w:val="00F00C8D"/>
    <w:rsid w:val="00F00CA5"/>
    <w:rsid w:val="00F00E3F"/>
    <w:rsid w:val="00F014B9"/>
    <w:rsid w:val="00F0169C"/>
    <w:rsid w:val="00F0194E"/>
    <w:rsid w:val="00F01C06"/>
    <w:rsid w:val="00F01CB2"/>
    <w:rsid w:val="00F020F9"/>
    <w:rsid w:val="00F02373"/>
    <w:rsid w:val="00F023C2"/>
    <w:rsid w:val="00F02449"/>
    <w:rsid w:val="00F02564"/>
    <w:rsid w:val="00F0299B"/>
    <w:rsid w:val="00F02C12"/>
    <w:rsid w:val="00F02CAA"/>
    <w:rsid w:val="00F02CC3"/>
    <w:rsid w:val="00F031C7"/>
    <w:rsid w:val="00F03227"/>
    <w:rsid w:val="00F034DB"/>
    <w:rsid w:val="00F03AC1"/>
    <w:rsid w:val="00F03C83"/>
    <w:rsid w:val="00F03D5E"/>
    <w:rsid w:val="00F03E93"/>
    <w:rsid w:val="00F04004"/>
    <w:rsid w:val="00F040A9"/>
    <w:rsid w:val="00F041DB"/>
    <w:rsid w:val="00F044A9"/>
    <w:rsid w:val="00F045B9"/>
    <w:rsid w:val="00F045FC"/>
    <w:rsid w:val="00F0508D"/>
    <w:rsid w:val="00F05293"/>
    <w:rsid w:val="00F0555C"/>
    <w:rsid w:val="00F056C5"/>
    <w:rsid w:val="00F056F6"/>
    <w:rsid w:val="00F05FAA"/>
    <w:rsid w:val="00F061F5"/>
    <w:rsid w:val="00F066F9"/>
    <w:rsid w:val="00F06733"/>
    <w:rsid w:val="00F067CA"/>
    <w:rsid w:val="00F0696B"/>
    <w:rsid w:val="00F06CE7"/>
    <w:rsid w:val="00F06D04"/>
    <w:rsid w:val="00F06D8C"/>
    <w:rsid w:val="00F06E6F"/>
    <w:rsid w:val="00F06F09"/>
    <w:rsid w:val="00F07286"/>
    <w:rsid w:val="00F0757D"/>
    <w:rsid w:val="00F07808"/>
    <w:rsid w:val="00F0792A"/>
    <w:rsid w:val="00F07A5F"/>
    <w:rsid w:val="00F07BD8"/>
    <w:rsid w:val="00F07F6C"/>
    <w:rsid w:val="00F10030"/>
    <w:rsid w:val="00F10128"/>
    <w:rsid w:val="00F10D21"/>
    <w:rsid w:val="00F10EE7"/>
    <w:rsid w:val="00F10F00"/>
    <w:rsid w:val="00F10F7F"/>
    <w:rsid w:val="00F111B2"/>
    <w:rsid w:val="00F11351"/>
    <w:rsid w:val="00F11370"/>
    <w:rsid w:val="00F11436"/>
    <w:rsid w:val="00F11651"/>
    <w:rsid w:val="00F1182B"/>
    <w:rsid w:val="00F11985"/>
    <w:rsid w:val="00F11998"/>
    <w:rsid w:val="00F119DF"/>
    <w:rsid w:val="00F11A17"/>
    <w:rsid w:val="00F11EBD"/>
    <w:rsid w:val="00F12096"/>
    <w:rsid w:val="00F12271"/>
    <w:rsid w:val="00F12598"/>
    <w:rsid w:val="00F125CF"/>
    <w:rsid w:val="00F129FD"/>
    <w:rsid w:val="00F12AEA"/>
    <w:rsid w:val="00F12B22"/>
    <w:rsid w:val="00F12B2B"/>
    <w:rsid w:val="00F12B68"/>
    <w:rsid w:val="00F13007"/>
    <w:rsid w:val="00F132B5"/>
    <w:rsid w:val="00F13383"/>
    <w:rsid w:val="00F137C4"/>
    <w:rsid w:val="00F13BC0"/>
    <w:rsid w:val="00F13C3C"/>
    <w:rsid w:val="00F14080"/>
    <w:rsid w:val="00F14663"/>
    <w:rsid w:val="00F14A93"/>
    <w:rsid w:val="00F14BB0"/>
    <w:rsid w:val="00F14C86"/>
    <w:rsid w:val="00F14D12"/>
    <w:rsid w:val="00F14E42"/>
    <w:rsid w:val="00F14E59"/>
    <w:rsid w:val="00F14FFD"/>
    <w:rsid w:val="00F1505D"/>
    <w:rsid w:val="00F15102"/>
    <w:rsid w:val="00F15317"/>
    <w:rsid w:val="00F15630"/>
    <w:rsid w:val="00F156C9"/>
    <w:rsid w:val="00F1577F"/>
    <w:rsid w:val="00F16290"/>
    <w:rsid w:val="00F164CD"/>
    <w:rsid w:val="00F164F7"/>
    <w:rsid w:val="00F16C5C"/>
    <w:rsid w:val="00F16E74"/>
    <w:rsid w:val="00F16F9B"/>
    <w:rsid w:val="00F172EC"/>
    <w:rsid w:val="00F172FD"/>
    <w:rsid w:val="00F17405"/>
    <w:rsid w:val="00F17409"/>
    <w:rsid w:val="00F17835"/>
    <w:rsid w:val="00F1788B"/>
    <w:rsid w:val="00F17C1B"/>
    <w:rsid w:val="00F17E33"/>
    <w:rsid w:val="00F200BD"/>
    <w:rsid w:val="00F20430"/>
    <w:rsid w:val="00F207C6"/>
    <w:rsid w:val="00F2092B"/>
    <w:rsid w:val="00F20B9B"/>
    <w:rsid w:val="00F20EB9"/>
    <w:rsid w:val="00F211EF"/>
    <w:rsid w:val="00F2156A"/>
    <w:rsid w:val="00F21637"/>
    <w:rsid w:val="00F2178A"/>
    <w:rsid w:val="00F219EF"/>
    <w:rsid w:val="00F21B9F"/>
    <w:rsid w:val="00F21BC6"/>
    <w:rsid w:val="00F2212E"/>
    <w:rsid w:val="00F221D6"/>
    <w:rsid w:val="00F22359"/>
    <w:rsid w:val="00F22860"/>
    <w:rsid w:val="00F229A8"/>
    <w:rsid w:val="00F22DAD"/>
    <w:rsid w:val="00F22E00"/>
    <w:rsid w:val="00F22EE2"/>
    <w:rsid w:val="00F23671"/>
    <w:rsid w:val="00F236F1"/>
    <w:rsid w:val="00F2374D"/>
    <w:rsid w:val="00F2384A"/>
    <w:rsid w:val="00F238EE"/>
    <w:rsid w:val="00F23C6A"/>
    <w:rsid w:val="00F23CCE"/>
    <w:rsid w:val="00F24150"/>
    <w:rsid w:val="00F24192"/>
    <w:rsid w:val="00F2423C"/>
    <w:rsid w:val="00F24268"/>
    <w:rsid w:val="00F242D7"/>
    <w:rsid w:val="00F244D5"/>
    <w:rsid w:val="00F24C22"/>
    <w:rsid w:val="00F25014"/>
    <w:rsid w:val="00F25091"/>
    <w:rsid w:val="00F25107"/>
    <w:rsid w:val="00F2513B"/>
    <w:rsid w:val="00F253E7"/>
    <w:rsid w:val="00F25420"/>
    <w:rsid w:val="00F257B7"/>
    <w:rsid w:val="00F25FAF"/>
    <w:rsid w:val="00F2604C"/>
    <w:rsid w:val="00F263EA"/>
    <w:rsid w:val="00F264A3"/>
    <w:rsid w:val="00F266B5"/>
    <w:rsid w:val="00F26ACE"/>
    <w:rsid w:val="00F26DA3"/>
    <w:rsid w:val="00F26DD3"/>
    <w:rsid w:val="00F26EDC"/>
    <w:rsid w:val="00F274C8"/>
    <w:rsid w:val="00F27720"/>
    <w:rsid w:val="00F279DF"/>
    <w:rsid w:val="00F27A6F"/>
    <w:rsid w:val="00F27F8B"/>
    <w:rsid w:val="00F30117"/>
    <w:rsid w:val="00F304B9"/>
    <w:rsid w:val="00F305F6"/>
    <w:rsid w:val="00F30938"/>
    <w:rsid w:val="00F30C18"/>
    <w:rsid w:val="00F31023"/>
    <w:rsid w:val="00F31229"/>
    <w:rsid w:val="00F31327"/>
    <w:rsid w:val="00F3132F"/>
    <w:rsid w:val="00F315E5"/>
    <w:rsid w:val="00F31609"/>
    <w:rsid w:val="00F31C43"/>
    <w:rsid w:val="00F31D6E"/>
    <w:rsid w:val="00F32085"/>
    <w:rsid w:val="00F322AE"/>
    <w:rsid w:val="00F32656"/>
    <w:rsid w:val="00F3265C"/>
    <w:rsid w:val="00F327BB"/>
    <w:rsid w:val="00F32A26"/>
    <w:rsid w:val="00F3304F"/>
    <w:rsid w:val="00F33895"/>
    <w:rsid w:val="00F33919"/>
    <w:rsid w:val="00F33996"/>
    <w:rsid w:val="00F33C61"/>
    <w:rsid w:val="00F33D51"/>
    <w:rsid w:val="00F33DEC"/>
    <w:rsid w:val="00F33FD3"/>
    <w:rsid w:val="00F340FE"/>
    <w:rsid w:val="00F34185"/>
    <w:rsid w:val="00F34476"/>
    <w:rsid w:val="00F3452A"/>
    <w:rsid w:val="00F346C3"/>
    <w:rsid w:val="00F34957"/>
    <w:rsid w:val="00F34998"/>
    <w:rsid w:val="00F34EE6"/>
    <w:rsid w:val="00F34F0F"/>
    <w:rsid w:val="00F35041"/>
    <w:rsid w:val="00F35059"/>
    <w:rsid w:val="00F35446"/>
    <w:rsid w:val="00F3544E"/>
    <w:rsid w:val="00F35891"/>
    <w:rsid w:val="00F35D43"/>
    <w:rsid w:val="00F35F43"/>
    <w:rsid w:val="00F35FA2"/>
    <w:rsid w:val="00F35FC8"/>
    <w:rsid w:val="00F365F2"/>
    <w:rsid w:val="00F36854"/>
    <w:rsid w:val="00F36877"/>
    <w:rsid w:val="00F36C58"/>
    <w:rsid w:val="00F372C0"/>
    <w:rsid w:val="00F37375"/>
    <w:rsid w:val="00F375B6"/>
    <w:rsid w:val="00F375FC"/>
    <w:rsid w:val="00F378D0"/>
    <w:rsid w:val="00F37E08"/>
    <w:rsid w:val="00F4007A"/>
    <w:rsid w:val="00F40081"/>
    <w:rsid w:val="00F40612"/>
    <w:rsid w:val="00F40848"/>
    <w:rsid w:val="00F4084C"/>
    <w:rsid w:val="00F40DDC"/>
    <w:rsid w:val="00F4116B"/>
    <w:rsid w:val="00F4119D"/>
    <w:rsid w:val="00F413A8"/>
    <w:rsid w:val="00F41459"/>
    <w:rsid w:val="00F41B75"/>
    <w:rsid w:val="00F41BAE"/>
    <w:rsid w:val="00F41DAE"/>
    <w:rsid w:val="00F41FE3"/>
    <w:rsid w:val="00F42048"/>
    <w:rsid w:val="00F426DB"/>
    <w:rsid w:val="00F428FE"/>
    <w:rsid w:val="00F42CA9"/>
    <w:rsid w:val="00F43217"/>
    <w:rsid w:val="00F43274"/>
    <w:rsid w:val="00F43647"/>
    <w:rsid w:val="00F438C2"/>
    <w:rsid w:val="00F4395D"/>
    <w:rsid w:val="00F43BB0"/>
    <w:rsid w:val="00F43E04"/>
    <w:rsid w:val="00F43EC0"/>
    <w:rsid w:val="00F43F7C"/>
    <w:rsid w:val="00F43FAE"/>
    <w:rsid w:val="00F44034"/>
    <w:rsid w:val="00F4429C"/>
    <w:rsid w:val="00F4469B"/>
    <w:rsid w:val="00F446EC"/>
    <w:rsid w:val="00F4478E"/>
    <w:rsid w:val="00F44923"/>
    <w:rsid w:val="00F44A81"/>
    <w:rsid w:val="00F44CA8"/>
    <w:rsid w:val="00F44E2D"/>
    <w:rsid w:val="00F45625"/>
    <w:rsid w:val="00F45773"/>
    <w:rsid w:val="00F45793"/>
    <w:rsid w:val="00F45C56"/>
    <w:rsid w:val="00F46296"/>
    <w:rsid w:val="00F46739"/>
    <w:rsid w:val="00F4688F"/>
    <w:rsid w:val="00F46A22"/>
    <w:rsid w:val="00F46B5C"/>
    <w:rsid w:val="00F47859"/>
    <w:rsid w:val="00F47A59"/>
    <w:rsid w:val="00F47FAD"/>
    <w:rsid w:val="00F5044D"/>
    <w:rsid w:val="00F504BE"/>
    <w:rsid w:val="00F5071A"/>
    <w:rsid w:val="00F50950"/>
    <w:rsid w:val="00F50C31"/>
    <w:rsid w:val="00F51570"/>
    <w:rsid w:val="00F51B7B"/>
    <w:rsid w:val="00F51DC8"/>
    <w:rsid w:val="00F51EC5"/>
    <w:rsid w:val="00F51FD9"/>
    <w:rsid w:val="00F52020"/>
    <w:rsid w:val="00F52065"/>
    <w:rsid w:val="00F521BE"/>
    <w:rsid w:val="00F52277"/>
    <w:rsid w:val="00F52382"/>
    <w:rsid w:val="00F524F6"/>
    <w:rsid w:val="00F52644"/>
    <w:rsid w:val="00F52B8D"/>
    <w:rsid w:val="00F52F8F"/>
    <w:rsid w:val="00F538C1"/>
    <w:rsid w:val="00F53EF9"/>
    <w:rsid w:val="00F54102"/>
    <w:rsid w:val="00F5457A"/>
    <w:rsid w:val="00F547B1"/>
    <w:rsid w:val="00F54935"/>
    <w:rsid w:val="00F54BF7"/>
    <w:rsid w:val="00F54CAF"/>
    <w:rsid w:val="00F54CBA"/>
    <w:rsid w:val="00F54D0B"/>
    <w:rsid w:val="00F553CD"/>
    <w:rsid w:val="00F5554B"/>
    <w:rsid w:val="00F55611"/>
    <w:rsid w:val="00F5565E"/>
    <w:rsid w:val="00F55A5F"/>
    <w:rsid w:val="00F55AC9"/>
    <w:rsid w:val="00F55AF0"/>
    <w:rsid w:val="00F55B67"/>
    <w:rsid w:val="00F56488"/>
    <w:rsid w:val="00F56660"/>
    <w:rsid w:val="00F568E9"/>
    <w:rsid w:val="00F56951"/>
    <w:rsid w:val="00F56CBD"/>
    <w:rsid w:val="00F57068"/>
    <w:rsid w:val="00F57117"/>
    <w:rsid w:val="00F5720C"/>
    <w:rsid w:val="00F575A3"/>
    <w:rsid w:val="00F57656"/>
    <w:rsid w:val="00F57795"/>
    <w:rsid w:val="00F577BA"/>
    <w:rsid w:val="00F5784C"/>
    <w:rsid w:val="00F57A47"/>
    <w:rsid w:val="00F57AAF"/>
    <w:rsid w:val="00F57DCE"/>
    <w:rsid w:val="00F6061A"/>
    <w:rsid w:val="00F60928"/>
    <w:rsid w:val="00F6093C"/>
    <w:rsid w:val="00F60AB1"/>
    <w:rsid w:val="00F60C0C"/>
    <w:rsid w:val="00F60DBC"/>
    <w:rsid w:val="00F60ECA"/>
    <w:rsid w:val="00F612A4"/>
    <w:rsid w:val="00F6171A"/>
    <w:rsid w:val="00F61939"/>
    <w:rsid w:val="00F61978"/>
    <w:rsid w:val="00F61AFA"/>
    <w:rsid w:val="00F6285D"/>
    <w:rsid w:val="00F62FED"/>
    <w:rsid w:val="00F63110"/>
    <w:rsid w:val="00F63603"/>
    <w:rsid w:val="00F636E6"/>
    <w:rsid w:val="00F6373E"/>
    <w:rsid w:val="00F6382D"/>
    <w:rsid w:val="00F63913"/>
    <w:rsid w:val="00F63D11"/>
    <w:rsid w:val="00F63FF8"/>
    <w:rsid w:val="00F6477D"/>
    <w:rsid w:val="00F647F0"/>
    <w:rsid w:val="00F64A5A"/>
    <w:rsid w:val="00F64CF7"/>
    <w:rsid w:val="00F64F07"/>
    <w:rsid w:val="00F6505C"/>
    <w:rsid w:val="00F654C9"/>
    <w:rsid w:val="00F6557A"/>
    <w:rsid w:val="00F65868"/>
    <w:rsid w:val="00F65A0F"/>
    <w:rsid w:val="00F65A7D"/>
    <w:rsid w:val="00F65BB3"/>
    <w:rsid w:val="00F66266"/>
    <w:rsid w:val="00F66C05"/>
    <w:rsid w:val="00F66CF9"/>
    <w:rsid w:val="00F670B8"/>
    <w:rsid w:val="00F6714A"/>
    <w:rsid w:val="00F6740A"/>
    <w:rsid w:val="00F67430"/>
    <w:rsid w:val="00F6757D"/>
    <w:rsid w:val="00F677C8"/>
    <w:rsid w:val="00F678A1"/>
    <w:rsid w:val="00F67A6F"/>
    <w:rsid w:val="00F67C28"/>
    <w:rsid w:val="00F67CFD"/>
    <w:rsid w:val="00F67DFE"/>
    <w:rsid w:val="00F700D4"/>
    <w:rsid w:val="00F70151"/>
    <w:rsid w:val="00F70631"/>
    <w:rsid w:val="00F70885"/>
    <w:rsid w:val="00F70F26"/>
    <w:rsid w:val="00F711D1"/>
    <w:rsid w:val="00F713C4"/>
    <w:rsid w:val="00F7145F"/>
    <w:rsid w:val="00F719DB"/>
    <w:rsid w:val="00F71B2C"/>
    <w:rsid w:val="00F71DB2"/>
    <w:rsid w:val="00F7289C"/>
    <w:rsid w:val="00F728EA"/>
    <w:rsid w:val="00F72CA9"/>
    <w:rsid w:val="00F7305C"/>
    <w:rsid w:val="00F73288"/>
    <w:rsid w:val="00F73513"/>
    <w:rsid w:val="00F735DB"/>
    <w:rsid w:val="00F73614"/>
    <w:rsid w:val="00F73986"/>
    <w:rsid w:val="00F73B93"/>
    <w:rsid w:val="00F73C1B"/>
    <w:rsid w:val="00F73C3B"/>
    <w:rsid w:val="00F73F3B"/>
    <w:rsid w:val="00F7404A"/>
    <w:rsid w:val="00F745B5"/>
    <w:rsid w:val="00F74C03"/>
    <w:rsid w:val="00F74FEE"/>
    <w:rsid w:val="00F7510A"/>
    <w:rsid w:val="00F75388"/>
    <w:rsid w:val="00F7572D"/>
    <w:rsid w:val="00F75C23"/>
    <w:rsid w:val="00F75CAD"/>
    <w:rsid w:val="00F75E49"/>
    <w:rsid w:val="00F760DA"/>
    <w:rsid w:val="00F76244"/>
    <w:rsid w:val="00F76A2A"/>
    <w:rsid w:val="00F76E5D"/>
    <w:rsid w:val="00F76F2A"/>
    <w:rsid w:val="00F772E8"/>
    <w:rsid w:val="00F7736C"/>
    <w:rsid w:val="00F7768B"/>
    <w:rsid w:val="00F777FD"/>
    <w:rsid w:val="00F779A5"/>
    <w:rsid w:val="00F77C27"/>
    <w:rsid w:val="00F77E08"/>
    <w:rsid w:val="00F80010"/>
    <w:rsid w:val="00F80CE8"/>
    <w:rsid w:val="00F8101D"/>
    <w:rsid w:val="00F812C5"/>
    <w:rsid w:val="00F81456"/>
    <w:rsid w:val="00F814DD"/>
    <w:rsid w:val="00F814E4"/>
    <w:rsid w:val="00F8185A"/>
    <w:rsid w:val="00F81AE3"/>
    <w:rsid w:val="00F8227B"/>
    <w:rsid w:val="00F82867"/>
    <w:rsid w:val="00F82C48"/>
    <w:rsid w:val="00F82D11"/>
    <w:rsid w:val="00F831AD"/>
    <w:rsid w:val="00F83642"/>
    <w:rsid w:val="00F8364C"/>
    <w:rsid w:val="00F837BE"/>
    <w:rsid w:val="00F83BEF"/>
    <w:rsid w:val="00F83F1E"/>
    <w:rsid w:val="00F8414F"/>
    <w:rsid w:val="00F841CB"/>
    <w:rsid w:val="00F843B7"/>
    <w:rsid w:val="00F843D3"/>
    <w:rsid w:val="00F84465"/>
    <w:rsid w:val="00F846D3"/>
    <w:rsid w:val="00F84B4B"/>
    <w:rsid w:val="00F84C3C"/>
    <w:rsid w:val="00F84D1D"/>
    <w:rsid w:val="00F85402"/>
    <w:rsid w:val="00F85508"/>
    <w:rsid w:val="00F85570"/>
    <w:rsid w:val="00F857CA"/>
    <w:rsid w:val="00F85821"/>
    <w:rsid w:val="00F85E17"/>
    <w:rsid w:val="00F860E4"/>
    <w:rsid w:val="00F861A0"/>
    <w:rsid w:val="00F86434"/>
    <w:rsid w:val="00F86462"/>
    <w:rsid w:val="00F86581"/>
    <w:rsid w:val="00F8666A"/>
    <w:rsid w:val="00F868CA"/>
    <w:rsid w:val="00F868DE"/>
    <w:rsid w:val="00F868E7"/>
    <w:rsid w:val="00F86B91"/>
    <w:rsid w:val="00F86D85"/>
    <w:rsid w:val="00F86E38"/>
    <w:rsid w:val="00F874AE"/>
    <w:rsid w:val="00F876A3"/>
    <w:rsid w:val="00F879EC"/>
    <w:rsid w:val="00F87A5B"/>
    <w:rsid w:val="00F87E8E"/>
    <w:rsid w:val="00F90177"/>
    <w:rsid w:val="00F90318"/>
    <w:rsid w:val="00F90382"/>
    <w:rsid w:val="00F90A5C"/>
    <w:rsid w:val="00F90B3B"/>
    <w:rsid w:val="00F90DFE"/>
    <w:rsid w:val="00F90F8D"/>
    <w:rsid w:val="00F91076"/>
    <w:rsid w:val="00F9137B"/>
    <w:rsid w:val="00F91528"/>
    <w:rsid w:val="00F91708"/>
    <w:rsid w:val="00F91A04"/>
    <w:rsid w:val="00F91A43"/>
    <w:rsid w:val="00F91A60"/>
    <w:rsid w:val="00F91B22"/>
    <w:rsid w:val="00F92102"/>
    <w:rsid w:val="00F930D5"/>
    <w:rsid w:val="00F93265"/>
    <w:rsid w:val="00F9352F"/>
    <w:rsid w:val="00F936B2"/>
    <w:rsid w:val="00F93A91"/>
    <w:rsid w:val="00F93F9C"/>
    <w:rsid w:val="00F941CB"/>
    <w:rsid w:val="00F94395"/>
    <w:rsid w:val="00F94969"/>
    <w:rsid w:val="00F94C8E"/>
    <w:rsid w:val="00F94D3F"/>
    <w:rsid w:val="00F94E00"/>
    <w:rsid w:val="00F950A7"/>
    <w:rsid w:val="00F95459"/>
    <w:rsid w:val="00F957B6"/>
    <w:rsid w:val="00F9580D"/>
    <w:rsid w:val="00F95817"/>
    <w:rsid w:val="00F95A8D"/>
    <w:rsid w:val="00F960D4"/>
    <w:rsid w:val="00F962D9"/>
    <w:rsid w:val="00F963C5"/>
    <w:rsid w:val="00F965EF"/>
    <w:rsid w:val="00F96736"/>
    <w:rsid w:val="00F96959"/>
    <w:rsid w:val="00F96A54"/>
    <w:rsid w:val="00F97019"/>
    <w:rsid w:val="00F97146"/>
    <w:rsid w:val="00F97288"/>
    <w:rsid w:val="00F9748D"/>
    <w:rsid w:val="00F976C2"/>
    <w:rsid w:val="00F9782C"/>
    <w:rsid w:val="00F979F9"/>
    <w:rsid w:val="00F97A65"/>
    <w:rsid w:val="00F97BD8"/>
    <w:rsid w:val="00FA005F"/>
    <w:rsid w:val="00FA0111"/>
    <w:rsid w:val="00FA052B"/>
    <w:rsid w:val="00FA0793"/>
    <w:rsid w:val="00FA0890"/>
    <w:rsid w:val="00FA0A19"/>
    <w:rsid w:val="00FA0A44"/>
    <w:rsid w:val="00FA0F89"/>
    <w:rsid w:val="00FA1171"/>
    <w:rsid w:val="00FA164D"/>
    <w:rsid w:val="00FA17B4"/>
    <w:rsid w:val="00FA194C"/>
    <w:rsid w:val="00FA19D3"/>
    <w:rsid w:val="00FA1AB1"/>
    <w:rsid w:val="00FA1DDB"/>
    <w:rsid w:val="00FA1EA5"/>
    <w:rsid w:val="00FA200F"/>
    <w:rsid w:val="00FA21B2"/>
    <w:rsid w:val="00FA24D0"/>
    <w:rsid w:val="00FA260C"/>
    <w:rsid w:val="00FA2890"/>
    <w:rsid w:val="00FA29A5"/>
    <w:rsid w:val="00FA2CDF"/>
    <w:rsid w:val="00FA3123"/>
    <w:rsid w:val="00FA3476"/>
    <w:rsid w:val="00FA383B"/>
    <w:rsid w:val="00FA3992"/>
    <w:rsid w:val="00FA3A3A"/>
    <w:rsid w:val="00FA3D88"/>
    <w:rsid w:val="00FA3E76"/>
    <w:rsid w:val="00FA3E86"/>
    <w:rsid w:val="00FA406F"/>
    <w:rsid w:val="00FA43B9"/>
    <w:rsid w:val="00FA43EA"/>
    <w:rsid w:val="00FA45AD"/>
    <w:rsid w:val="00FA4EDF"/>
    <w:rsid w:val="00FA4F80"/>
    <w:rsid w:val="00FA4F8A"/>
    <w:rsid w:val="00FA518A"/>
    <w:rsid w:val="00FA5307"/>
    <w:rsid w:val="00FA5321"/>
    <w:rsid w:val="00FA547C"/>
    <w:rsid w:val="00FA557F"/>
    <w:rsid w:val="00FA55C6"/>
    <w:rsid w:val="00FA566E"/>
    <w:rsid w:val="00FA5AE7"/>
    <w:rsid w:val="00FA5F00"/>
    <w:rsid w:val="00FA5FA8"/>
    <w:rsid w:val="00FA60F3"/>
    <w:rsid w:val="00FA661B"/>
    <w:rsid w:val="00FA67B2"/>
    <w:rsid w:val="00FA70ED"/>
    <w:rsid w:val="00FA7578"/>
    <w:rsid w:val="00FA7C40"/>
    <w:rsid w:val="00FB039F"/>
    <w:rsid w:val="00FB03C1"/>
    <w:rsid w:val="00FB0812"/>
    <w:rsid w:val="00FB0972"/>
    <w:rsid w:val="00FB0BB7"/>
    <w:rsid w:val="00FB0C92"/>
    <w:rsid w:val="00FB1A1A"/>
    <w:rsid w:val="00FB1C26"/>
    <w:rsid w:val="00FB1FD5"/>
    <w:rsid w:val="00FB2059"/>
    <w:rsid w:val="00FB275D"/>
    <w:rsid w:val="00FB2799"/>
    <w:rsid w:val="00FB2F6A"/>
    <w:rsid w:val="00FB31C5"/>
    <w:rsid w:val="00FB32FD"/>
    <w:rsid w:val="00FB3C04"/>
    <w:rsid w:val="00FB3DC6"/>
    <w:rsid w:val="00FB4420"/>
    <w:rsid w:val="00FB449C"/>
    <w:rsid w:val="00FB475C"/>
    <w:rsid w:val="00FB49D6"/>
    <w:rsid w:val="00FB4CF1"/>
    <w:rsid w:val="00FB4D92"/>
    <w:rsid w:val="00FB4E6C"/>
    <w:rsid w:val="00FB50C7"/>
    <w:rsid w:val="00FB51F8"/>
    <w:rsid w:val="00FB52C6"/>
    <w:rsid w:val="00FB533C"/>
    <w:rsid w:val="00FB58B8"/>
    <w:rsid w:val="00FB6388"/>
    <w:rsid w:val="00FB66B9"/>
    <w:rsid w:val="00FB677B"/>
    <w:rsid w:val="00FB6836"/>
    <w:rsid w:val="00FB6CCD"/>
    <w:rsid w:val="00FB70AB"/>
    <w:rsid w:val="00FB70C5"/>
    <w:rsid w:val="00FB7423"/>
    <w:rsid w:val="00FB7C23"/>
    <w:rsid w:val="00FB7C70"/>
    <w:rsid w:val="00FB7D6F"/>
    <w:rsid w:val="00FC0094"/>
    <w:rsid w:val="00FC0297"/>
    <w:rsid w:val="00FC0579"/>
    <w:rsid w:val="00FC0B95"/>
    <w:rsid w:val="00FC0E60"/>
    <w:rsid w:val="00FC1011"/>
    <w:rsid w:val="00FC13AF"/>
    <w:rsid w:val="00FC148F"/>
    <w:rsid w:val="00FC1A41"/>
    <w:rsid w:val="00FC1C33"/>
    <w:rsid w:val="00FC1C60"/>
    <w:rsid w:val="00FC1DDF"/>
    <w:rsid w:val="00FC1E36"/>
    <w:rsid w:val="00FC206D"/>
    <w:rsid w:val="00FC2185"/>
    <w:rsid w:val="00FC2693"/>
    <w:rsid w:val="00FC27F0"/>
    <w:rsid w:val="00FC29E9"/>
    <w:rsid w:val="00FC2F84"/>
    <w:rsid w:val="00FC32AD"/>
    <w:rsid w:val="00FC32E2"/>
    <w:rsid w:val="00FC3890"/>
    <w:rsid w:val="00FC3CBA"/>
    <w:rsid w:val="00FC3F58"/>
    <w:rsid w:val="00FC413C"/>
    <w:rsid w:val="00FC42CE"/>
    <w:rsid w:val="00FC48E3"/>
    <w:rsid w:val="00FC4B90"/>
    <w:rsid w:val="00FC5251"/>
    <w:rsid w:val="00FC5281"/>
    <w:rsid w:val="00FC5728"/>
    <w:rsid w:val="00FC596F"/>
    <w:rsid w:val="00FC5B8C"/>
    <w:rsid w:val="00FC5E82"/>
    <w:rsid w:val="00FC6270"/>
    <w:rsid w:val="00FC6409"/>
    <w:rsid w:val="00FC64CF"/>
    <w:rsid w:val="00FC6653"/>
    <w:rsid w:val="00FC6849"/>
    <w:rsid w:val="00FC6B2D"/>
    <w:rsid w:val="00FC6BCC"/>
    <w:rsid w:val="00FC6CB4"/>
    <w:rsid w:val="00FC72DA"/>
    <w:rsid w:val="00FC7719"/>
    <w:rsid w:val="00FC781D"/>
    <w:rsid w:val="00FC7D99"/>
    <w:rsid w:val="00FC7F82"/>
    <w:rsid w:val="00FD00AB"/>
    <w:rsid w:val="00FD040C"/>
    <w:rsid w:val="00FD088D"/>
    <w:rsid w:val="00FD0A36"/>
    <w:rsid w:val="00FD0C9D"/>
    <w:rsid w:val="00FD0DF1"/>
    <w:rsid w:val="00FD1003"/>
    <w:rsid w:val="00FD104B"/>
    <w:rsid w:val="00FD1A71"/>
    <w:rsid w:val="00FD1AD5"/>
    <w:rsid w:val="00FD1DEB"/>
    <w:rsid w:val="00FD1F6D"/>
    <w:rsid w:val="00FD21C0"/>
    <w:rsid w:val="00FD21C3"/>
    <w:rsid w:val="00FD2306"/>
    <w:rsid w:val="00FD25C1"/>
    <w:rsid w:val="00FD28E8"/>
    <w:rsid w:val="00FD28FF"/>
    <w:rsid w:val="00FD2A54"/>
    <w:rsid w:val="00FD31E8"/>
    <w:rsid w:val="00FD32F8"/>
    <w:rsid w:val="00FD36A6"/>
    <w:rsid w:val="00FD3707"/>
    <w:rsid w:val="00FD3A65"/>
    <w:rsid w:val="00FD3F3D"/>
    <w:rsid w:val="00FD412A"/>
    <w:rsid w:val="00FD42B9"/>
    <w:rsid w:val="00FD4483"/>
    <w:rsid w:val="00FD4649"/>
    <w:rsid w:val="00FD4E29"/>
    <w:rsid w:val="00FD4E95"/>
    <w:rsid w:val="00FD5530"/>
    <w:rsid w:val="00FD634A"/>
    <w:rsid w:val="00FD653A"/>
    <w:rsid w:val="00FD6E49"/>
    <w:rsid w:val="00FD6EF1"/>
    <w:rsid w:val="00FD6FBE"/>
    <w:rsid w:val="00FD7011"/>
    <w:rsid w:val="00FD758D"/>
    <w:rsid w:val="00FD7637"/>
    <w:rsid w:val="00FD7726"/>
    <w:rsid w:val="00FD7AD3"/>
    <w:rsid w:val="00FD7D78"/>
    <w:rsid w:val="00FD7DBC"/>
    <w:rsid w:val="00FE00CF"/>
    <w:rsid w:val="00FE0138"/>
    <w:rsid w:val="00FE01A3"/>
    <w:rsid w:val="00FE03CA"/>
    <w:rsid w:val="00FE04CF"/>
    <w:rsid w:val="00FE06BF"/>
    <w:rsid w:val="00FE0838"/>
    <w:rsid w:val="00FE0AB8"/>
    <w:rsid w:val="00FE10D5"/>
    <w:rsid w:val="00FE11A1"/>
    <w:rsid w:val="00FE1350"/>
    <w:rsid w:val="00FE141C"/>
    <w:rsid w:val="00FE1583"/>
    <w:rsid w:val="00FE1CED"/>
    <w:rsid w:val="00FE1F87"/>
    <w:rsid w:val="00FE2165"/>
    <w:rsid w:val="00FE220C"/>
    <w:rsid w:val="00FE2590"/>
    <w:rsid w:val="00FE25F9"/>
    <w:rsid w:val="00FE2AA3"/>
    <w:rsid w:val="00FE2CE9"/>
    <w:rsid w:val="00FE2E7B"/>
    <w:rsid w:val="00FE2FC4"/>
    <w:rsid w:val="00FE32E5"/>
    <w:rsid w:val="00FE35D9"/>
    <w:rsid w:val="00FE3ABE"/>
    <w:rsid w:val="00FE3CDF"/>
    <w:rsid w:val="00FE3F23"/>
    <w:rsid w:val="00FE402C"/>
    <w:rsid w:val="00FE43E7"/>
    <w:rsid w:val="00FE465B"/>
    <w:rsid w:val="00FE4B1F"/>
    <w:rsid w:val="00FE4C53"/>
    <w:rsid w:val="00FE4E94"/>
    <w:rsid w:val="00FE50A7"/>
    <w:rsid w:val="00FE5406"/>
    <w:rsid w:val="00FE559B"/>
    <w:rsid w:val="00FE5721"/>
    <w:rsid w:val="00FE573E"/>
    <w:rsid w:val="00FE584B"/>
    <w:rsid w:val="00FE58AF"/>
    <w:rsid w:val="00FE5BD5"/>
    <w:rsid w:val="00FE5DFF"/>
    <w:rsid w:val="00FE5E0F"/>
    <w:rsid w:val="00FE625A"/>
    <w:rsid w:val="00FE645D"/>
    <w:rsid w:val="00FE658F"/>
    <w:rsid w:val="00FE672A"/>
    <w:rsid w:val="00FE6951"/>
    <w:rsid w:val="00FE6CD5"/>
    <w:rsid w:val="00FE6F04"/>
    <w:rsid w:val="00FE720E"/>
    <w:rsid w:val="00FE76C8"/>
    <w:rsid w:val="00FE7A29"/>
    <w:rsid w:val="00FE7AC0"/>
    <w:rsid w:val="00FE7B72"/>
    <w:rsid w:val="00FF02F7"/>
    <w:rsid w:val="00FF09EA"/>
    <w:rsid w:val="00FF09FC"/>
    <w:rsid w:val="00FF0EBE"/>
    <w:rsid w:val="00FF11EE"/>
    <w:rsid w:val="00FF12F7"/>
    <w:rsid w:val="00FF13D2"/>
    <w:rsid w:val="00FF1400"/>
    <w:rsid w:val="00FF1669"/>
    <w:rsid w:val="00FF16C7"/>
    <w:rsid w:val="00FF16DB"/>
    <w:rsid w:val="00FF189F"/>
    <w:rsid w:val="00FF1B92"/>
    <w:rsid w:val="00FF1CE9"/>
    <w:rsid w:val="00FF1E0A"/>
    <w:rsid w:val="00FF2012"/>
    <w:rsid w:val="00FF2257"/>
    <w:rsid w:val="00FF23D0"/>
    <w:rsid w:val="00FF2445"/>
    <w:rsid w:val="00FF2561"/>
    <w:rsid w:val="00FF27E0"/>
    <w:rsid w:val="00FF298B"/>
    <w:rsid w:val="00FF2A5F"/>
    <w:rsid w:val="00FF2BD0"/>
    <w:rsid w:val="00FF2BE7"/>
    <w:rsid w:val="00FF2C47"/>
    <w:rsid w:val="00FF2C70"/>
    <w:rsid w:val="00FF2E5E"/>
    <w:rsid w:val="00FF40AC"/>
    <w:rsid w:val="00FF42AE"/>
    <w:rsid w:val="00FF5003"/>
    <w:rsid w:val="00FF5027"/>
    <w:rsid w:val="00FF543F"/>
    <w:rsid w:val="00FF5452"/>
    <w:rsid w:val="00FF5822"/>
    <w:rsid w:val="00FF5C74"/>
    <w:rsid w:val="00FF5CDD"/>
    <w:rsid w:val="00FF5E53"/>
    <w:rsid w:val="00FF5F54"/>
    <w:rsid w:val="00FF6188"/>
    <w:rsid w:val="00FF6229"/>
    <w:rsid w:val="00FF69BF"/>
    <w:rsid w:val="00FF731E"/>
    <w:rsid w:val="00FF747A"/>
    <w:rsid w:val="00FF766A"/>
    <w:rsid w:val="00FF7721"/>
    <w:rsid w:val="00FF7783"/>
    <w:rsid w:val="00FF7D55"/>
    <w:rsid w:val="00FF7E02"/>
    <w:rsid w:val="00FF7FCE"/>
    <w:rsid w:val="01045CE2"/>
    <w:rsid w:val="01065368"/>
    <w:rsid w:val="01066A48"/>
    <w:rsid w:val="010A478A"/>
    <w:rsid w:val="010C0219"/>
    <w:rsid w:val="010C5180"/>
    <w:rsid w:val="010E6590"/>
    <w:rsid w:val="010F1DA1"/>
    <w:rsid w:val="010F313C"/>
    <w:rsid w:val="01102460"/>
    <w:rsid w:val="01171636"/>
    <w:rsid w:val="011932E2"/>
    <w:rsid w:val="011946B1"/>
    <w:rsid w:val="011C64A6"/>
    <w:rsid w:val="011D2710"/>
    <w:rsid w:val="011E1FE4"/>
    <w:rsid w:val="011E5EF4"/>
    <w:rsid w:val="012251F6"/>
    <w:rsid w:val="012313A8"/>
    <w:rsid w:val="01253372"/>
    <w:rsid w:val="01264FE9"/>
    <w:rsid w:val="0129235E"/>
    <w:rsid w:val="012A4E2C"/>
    <w:rsid w:val="012D76C5"/>
    <w:rsid w:val="01352710"/>
    <w:rsid w:val="013744CE"/>
    <w:rsid w:val="01376A59"/>
    <w:rsid w:val="013823CE"/>
    <w:rsid w:val="01385C67"/>
    <w:rsid w:val="01395070"/>
    <w:rsid w:val="013D5C6F"/>
    <w:rsid w:val="01447C0F"/>
    <w:rsid w:val="01451E22"/>
    <w:rsid w:val="01453A14"/>
    <w:rsid w:val="014632E9"/>
    <w:rsid w:val="01487061"/>
    <w:rsid w:val="014B4A98"/>
    <w:rsid w:val="014F4893"/>
    <w:rsid w:val="015363D7"/>
    <w:rsid w:val="01547EF5"/>
    <w:rsid w:val="0156379E"/>
    <w:rsid w:val="015935A6"/>
    <w:rsid w:val="01594D85"/>
    <w:rsid w:val="015D5CC7"/>
    <w:rsid w:val="015E6884"/>
    <w:rsid w:val="016519C1"/>
    <w:rsid w:val="01655E65"/>
    <w:rsid w:val="0168325F"/>
    <w:rsid w:val="016A347B"/>
    <w:rsid w:val="016A6F40"/>
    <w:rsid w:val="016A6FD7"/>
    <w:rsid w:val="016D33B1"/>
    <w:rsid w:val="016F1709"/>
    <w:rsid w:val="01714809"/>
    <w:rsid w:val="01714F76"/>
    <w:rsid w:val="0172771B"/>
    <w:rsid w:val="01753800"/>
    <w:rsid w:val="01754149"/>
    <w:rsid w:val="01763848"/>
    <w:rsid w:val="0176545E"/>
    <w:rsid w:val="017800D4"/>
    <w:rsid w:val="017D41E9"/>
    <w:rsid w:val="017D7424"/>
    <w:rsid w:val="017E6F26"/>
    <w:rsid w:val="017E7BA1"/>
    <w:rsid w:val="01814321"/>
    <w:rsid w:val="0183453D"/>
    <w:rsid w:val="0184295A"/>
    <w:rsid w:val="018502B5"/>
    <w:rsid w:val="0185559C"/>
    <w:rsid w:val="018815E8"/>
    <w:rsid w:val="018875E1"/>
    <w:rsid w:val="018D077E"/>
    <w:rsid w:val="018D172D"/>
    <w:rsid w:val="018D42BD"/>
    <w:rsid w:val="018E19BE"/>
    <w:rsid w:val="01901167"/>
    <w:rsid w:val="019127B6"/>
    <w:rsid w:val="01931D82"/>
    <w:rsid w:val="019329D2"/>
    <w:rsid w:val="0196074C"/>
    <w:rsid w:val="01970BC3"/>
    <w:rsid w:val="01994B38"/>
    <w:rsid w:val="019D115B"/>
    <w:rsid w:val="01A4698D"/>
    <w:rsid w:val="01AA033A"/>
    <w:rsid w:val="01AA3877"/>
    <w:rsid w:val="01AA38BE"/>
    <w:rsid w:val="01AB510B"/>
    <w:rsid w:val="01AC5842"/>
    <w:rsid w:val="01AD5116"/>
    <w:rsid w:val="01AF70E0"/>
    <w:rsid w:val="01B02549"/>
    <w:rsid w:val="01B033D2"/>
    <w:rsid w:val="01B12E58"/>
    <w:rsid w:val="01B20C0E"/>
    <w:rsid w:val="01B3457F"/>
    <w:rsid w:val="01B4106F"/>
    <w:rsid w:val="01B82438"/>
    <w:rsid w:val="01B94DFB"/>
    <w:rsid w:val="01BB5A85"/>
    <w:rsid w:val="01BF34F5"/>
    <w:rsid w:val="01BF64E7"/>
    <w:rsid w:val="01C214AC"/>
    <w:rsid w:val="01C2284A"/>
    <w:rsid w:val="01C22EEF"/>
    <w:rsid w:val="01C25065"/>
    <w:rsid w:val="01C33A9E"/>
    <w:rsid w:val="01C437C5"/>
    <w:rsid w:val="01C506B1"/>
    <w:rsid w:val="01C52716"/>
    <w:rsid w:val="01C601C2"/>
    <w:rsid w:val="01C800A7"/>
    <w:rsid w:val="01C90F12"/>
    <w:rsid w:val="01CA3B5D"/>
    <w:rsid w:val="01CD5273"/>
    <w:rsid w:val="01D060AB"/>
    <w:rsid w:val="01D32DCE"/>
    <w:rsid w:val="01D34B7C"/>
    <w:rsid w:val="01D56610"/>
    <w:rsid w:val="01D628BE"/>
    <w:rsid w:val="01D803E5"/>
    <w:rsid w:val="01D86625"/>
    <w:rsid w:val="01D91904"/>
    <w:rsid w:val="01D932CB"/>
    <w:rsid w:val="01DA78E3"/>
    <w:rsid w:val="01DB7ED5"/>
    <w:rsid w:val="01E05F6A"/>
    <w:rsid w:val="01E7786D"/>
    <w:rsid w:val="01E77BCC"/>
    <w:rsid w:val="01EA681A"/>
    <w:rsid w:val="01EB4331"/>
    <w:rsid w:val="01EB75D7"/>
    <w:rsid w:val="01EE03E3"/>
    <w:rsid w:val="01EE2D7D"/>
    <w:rsid w:val="01EE4B5E"/>
    <w:rsid w:val="01EF51B7"/>
    <w:rsid w:val="01F0054B"/>
    <w:rsid w:val="01F01BD2"/>
    <w:rsid w:val="01F2628F"/>
    <w:rsid w:val="01F40F97"/>
    <w:rsid w:val="01F42D45"/>
    <w:rsid w:val="01F53E1D"/>
    <w:rsid w:val="01F73EF2"/>
    <w:rsid w:val="01F86CD9"/>
    <w:rsid w:val="01FA0866"/>
    <w:rsid w:val="01FC6B6A"/>
    <w:rsid w:val="01FD42EF"/>
    <w:rsid w:val="01FD445E"/>
    <w:rsid w:val="01FE2244"/>
    <w:rsid w:val="01FE36DF"/>
    <w:rsid w:val="01FE5971"/>
    <w:rsid w:val="01FF0F43"/>
    <w:rsid w:val="02000C7A"/>
    <w:rsid w:val="0200481C"/>
    <w:rsid w:val="02012172"/>
    <w:rsid w:val="02026E30"/>
    <w:rsid w:val="020611E9"/>
    <w:rsid w:val="020902DE"/>
    <w:rsid w:val="02092C94"/>
    <w:rsid w:val="020967F0"/>
    <w:rsid w:val="020A6AC7"/>
    <w:rsid w:val="020B3384"/>
    <w:rsid w:val="020B6F28"/>
    <w:rsid w:val="020D25F8"/>
    <w:rsid w:val="020E6967"/>
    <w:rsid w:val="020F621C"/>
    <w:rsid w:val="0211723B"/>
    <w:rsid w:val="0213688A"/>
    <w:rsid w:val="021533E7"/>
    <w:rsid w:val="0216715F"/>
    <w:rsid w:val="021833B5"/>
    <w:rsid w:val="02186A33"/>
    <w:rsid w:val="02196C12"/>
    <w:rsid w:val="021A6C4F"/>
    <w:rsid w:val="021E14C8"/>
    <w:rsid w:val="022071A1"/>
    <w:rsid w:val="02217FDE"/>
    <w:rsid w:val="022278B2"/>
    <w:rsid w:val="02251150"/>
    <w:rsid w:val="022831DB"/>
    <w:rsid w:val="022C0730"/>
    <w:rsid w:val="0234142F"/>
    <w:rsid w:val="02341C02"/>
    <w:rsid w:val="023B1361"/>
    <w:rsid w:val="023C078A"/>
    <w:rsid w:val="024970A8"/>
    <w:rsid w:val="024B0FAE"/>
    <w:rsid w:val="024B505A"/>
    <w:rsid w:val="024C492F"/>
    <w:rsid w:val="024E06A7"/>
    <w:rsid w:val="025263E9"/>
    <w:rsid w:val="02551A35"/>
    <w:rsid w:val="02555ED9"/>
    <w:rsid w:val="025768DB"/>
    <w:rsid w:val="02581379"/>
    <w:rsid w:val="02583EBC"/>
    <w:rsid w:val="025D52AB"/>
    <w:rsid w:val="02647ECA"/>
    <w:rsid w:val="02664241"/>
    <w:rsid w:val="026659F0"/>
    <w:rsid w:val="026701F4"/>
    <w:rsid w:val="02671768"/>
    <w:rsid w:val="02693149"/>
    <w:rsid w:val="026D38CA"/>
    <w:rsid w:val="027658E2"/>
    <w:rsid w:val="02775E4F"/>
    <w:rsid w:val="02781BC8"/>
    <w:rsid w:val="02783976"/>
    <w:rsid w:val="02783B89"/>
    <w:rsid w:val="027A2D7A"/>
    <w:rsid w:val="027A3B84"/>
    <w:rsid w:val="027B53B3"/>
    <w:rsid w:val="027D71DE"/>
    <w:rsid w:val="02801659"/>
    <w:rsid w:val="0281368F"/>
    <w:rsid w:val="02832A46"/>
    <w:rsid w:val="02842EB1"/>
    <w:rsid w:val="02852864"/>
    <w:rsid w:val="02866093"/>
    <w:rsid w:val="028842A9"/>
    <w:rsid w:val="028E0550"/>
    <w:rsid w:val="028F27F4"/>
    <w:rsid w:val="02902364"/>
    <w:rsid w:val="0290671B"/>
    <w:rsid w:val="02937F5D"/>
    <w:rsid w:val="029451C7"/>
    <w:rsid w:val="02963DFC"/>
    <w:rsid w:val="029A1B3E"/>
    <w:rsid w:val="029C1412"/>
    <w:rsid w:val="029D4C2D"/>
    <w:rsid w:val="029F264C"/>
    <w:rsid w:val="02A36C44"/>
    <w:rsid w:val="02A50760"/>
    <w:rsid w:val="02A824AD"/>
    <w:rsid w:val="02AA0054"/>
    <w:rsid w:val="02AA2CE8"/>
    <w:rsid w:val="02AC1053"/>
    <w:rsid w:val="02AE0449"/>
    <w:rsid w:val="02B1066F"/>
    <w:rsid w:val="02B16749"/>
    <w:rsid w:val="02B32C00"/>
    <w:rsid w:val="02B40E52"/>
    <w:rsid w:val="02B50C95"/>
    <w:rsid w:val="02B7624C"/>
    <w:rsid w:val="02BB22C4"/>
    <w:rsid w:val="02BC7B5E"/>
    <w:rsid w:val="02BD2130"/>
    <w:rsid w:val="02BF3353"/>
    <w:rsid w:val="02C16B88"/>
    <w:rsid w:val="02C26347"/>
    <w:rsid w:val="02C4488D"/>
    <w:rsid w:val="02C46BBB"/>
    <w:rsid w:val="02C53376"/>
    <w:rsid w:val="02C84F79"/>
    <w:rsid w:val="02CA2B99"/>
    <w:rsid w:val="02CE3035"/>
    <w:rsid w:val="02CE3596"/>
    <w:rsid w:val="02D441E5"/>
    <w:rsid w:val="02D52B76"/>
    <w:rsid w:val="02D74B40"/>
    <w:rsid w:val="02D86837"/>
    <w:rsid w:val="02D90316"/>
    <w:rsid w:val="02DB0A79"/>
    <w:rsid w:val="02DB42AA"/>
    <w:rsid w:val="02DE3D14"/>
    <w:rsid w:val="02E01C47"/>
    <w:rsid w:val="02E270C1"/>
    <w:rsid w:val="02E31182"/>
    <w:rsid w:val="02E44199"/>
    <w:rsid w:val="02E705D2"/>
    <w:rsid w:val="02EA7AB7"/>
    <w:rsid w:val="02EB4148"/>
    <w:rsid w:val="02EC634A"/>
    <w:rsid w:val="02F05C02"/>
    <w:rsid w:val="02F53218"/>
    <w:rsid w:val="02F55944"/>
    <w:rsid w:val="02F565AE"/>
    <w:rsid w:val="02F71FBC"/>
    <w:rsid w:val="02FC58AE"/>
    <w:rsid w:val="02FD06B1"/>
    <w:rsid w:val="02FD6481"/>
    <w:rsid w:val="02FE30C5"/>
    <w:rsid w:val="02FF7BF3"/>
    <w:rsid w:val="03015012"/>
    <w:rsid w:val="03036C0A"/>
    <w:rsid w:val="03041A43"/>
    <w:rsid w:val="030675DB"/>
    <w:rsid w:val="03092057"/>
    <w:rsid w:val="030A6AED"/>
    <w:rsid w:val="030B72E4"/>
    <w:rsid w:val="03156361"/>
    <w:rsid w:val="03160C59"/>
    <w:rsid w:val="03165668"/>
    <w:rsid w:val="03170A65"/>
    <w:rsid w:val="031745D7"/>
    <w:rsid w:val="031A3836"/>
    <w:rsid w:val="031A5554"/>
    <w:rsid w:val="031A67DB"/>
    <w:rsid w:val="031D3E73"/>
    <w:rsid w:val="031E41FE"/>
    <w:rsid w:val="031E451D"/>
    <w:rsid w:val="03231B33"/>
    <w:rsid w:val="03253AFD"/>
    <w:rsid w:val="03293F6F"/>
    <w:rsid w:val="032A2F78"/>
    <w:rsid w:val="032B429E"/>
    <w:rsid w:val="032D29B2"/>
    <w:rsid w:val="03351832"/>
    <w:rsid w:val="03351867"/>
    <w:rsid w:val="03355FA2"/>
    <w:rsid w:val="03362548"/>
    <w:rsid w:val="0337738D"/>
    <w:rsid w:val="03391357"/>
    <w:rsid w:val="033A3852"/>
    <w:rsid w:val="033A4DC9"/>
    <w:rsid w:val="033C2484"/>
    <w:rsid w:val="033D0F3F"/>
    <w:rsid w:val="03457CFC"/>
    <w:rsid w:val="0346720C"/>
    <w:rsid w:val="034877EC"/>
    <w:rsid w:val="034A013D"/>
    <w:rsid w:val="034B4BE6"/>
    <w:rsid w:val="03503A2D"/>
    <w:rsid w:val="03510986"/>
    <w:rsid w:val="03517201"/>
    <w:rsid w:val="035175C0"/>
    <w:rsid w:val="03541CED"/>
    <w:rsid w:val="0354444F"/>
    <w:rsid w:val="03551B89"/>
    <w:rsid w:val="03563123"/>
    <w:rsid w:val="03563446"/>
    <w:rsid w:val="035B751F"/>
    <w:rsid w:val="035C5569"/>
    <w:rsid w:val="035E2B6B"/>
    <w:rsid w:val="03630535"/>
    <w:rsid w:val="03634626"/>
    <w:rsid w:val="036363D4"/>
    <w:rsid w:val="036569C6"/>
    <w:rsid w:val="036719BB"/>
    <w:rsid w:val="03681C3C"/>
    <w:rsid w:val="036A7762"/>
    <w:rsid w:val="036B5288"/>
    <w:rsid w:val="036C0FE5"/>
    <w:rsid w:val="036C5AA6"/>
    <w:rsid w:val="036D2DAF"/>
    <w:rsid w:val="036D2F77"/>
    <w:rsid w:val="036F6B27"/>
    <w:rsid w:val="036F7C03"/>
    <w:rsid w:val="03723BE2"/>
    <w:rsid w:val="0374413D"/>
    <w:rsid w:val="03771E7F"/>
    <w:rsid w:val="03780010"/>
    <w:rsid w:val="037933F8"/>
    <w:rsid w:val="037B54CB"/>
    <w:rsid w:val="037E311D"/>
    <w:rsid w:val="03813CAB"/>
    <w:rsid w:val="0382071B"/>
    <w:rsid w:val="0385634A"/>
    <w:rsid w:val="03867DE5"/>
    <w:rsid w:val="03884660"/>
    <w:rsid w:val="038904B0"/>
    <w:rsid w:val="038C7DAE"/>
    <w:rsid w:val="038E44DF"/>
    <w:rsid w:val="038F0BF1"/>
    <w:rsid w:val="038F0F77"/>
    <w:rsid w:val="03906A9D"/>
    <w:rsid w:val="03912F41"/>
    <w:rsid w:val="039218D2"/>
    <w:rsid w:val="039467D8"/>
    <w:rsid w:val="03991DF6"/>
    <w:rsid w:val="03994832"/>
    <w:rsid w:val="039A7678"/>
    <w:rsid w:val="039B5B6E"/>
    <w:rsid w:val="039D0750"/>
    <w:rsid w:val="03A013D6"/>
    <w:rsid w:val="03A4019A"/>
    <w:rsid w:val="03A527C2"/>
    <w:rsid w:val="03AD58A1"/>
    <w:rsid w:val="03AD6AC9"/>
    <w:rsid w:val="03AE7EBE"/>
    <w:rsid w:val="03AF33C1"/>
    <w:rsid w:val="03B10EED"/>
    <w:rsid w:val="03B15391"/>
    <w:rsid w:val="03B240C2"/>
    <w:rsid w:val="03B32978"/>
    <w:rsid w:val="03B5616A"/>
    <w:rsid w:val="03B66504"/>
    <w:rsid w:val="03B81543"/>
    <w:rsid w:val="03BA3F48"/>
    <w:rsid w:val="03BB1D6C"/>
    <w:rsid w:val="03BC4105"/>
    <w:rsid w:val="03BD2F1A"/>
    <w:rsid w:val="03BE7F0F"/>
    <w:rsid w:val="03C432E6"/>
    <w:rsid w:val="03C52BEB"/>
    <w:rsid w:val="03C72414"/>
    <w:rsid w:val="03C85F43"/>
    <w:rsid w:val="03C9092D"/>
    <w:rsid w:val="03C926DB"/>
    <w:rsid w:val="03CA6453"/>
    <w:rsid w:val="03CB7B24"/>
    <w:rsid w:val="03CC0633"/>
    <w:rsid w:val="03CC1A1D"/>
    <w:rsid w:val="03CC21CB"/>
    <w:rsid w:val="03CE5F43"/>
    <w:rsid w:val="03D266E6"/>
    <w:rsid w:val="03D41080"/>
    <w:rsid w:val="03D720C6"/>
    <w:rsid w:val="03DB41BC"/>
    <w:rsid w:val="03DC0E88"/>
    <w:rsid w:val="03DD6186"/>
    <w:rsid w:val="03DF1EFE"/>
    <w:rsid w:val="03DF2141"/>
    <w:rsid w:val="03E239FB"/>
    <w:rsid w:val="03E249E8"/>
    <w:rsid w:val="03E47515"/>
    <w:rsid w:val="03E747A8"/>
    <w:rsid w:val="03E868D9"/>
    <w:rsid w:val="03EB3DEB"/>
    <w:rsid w:val="03EC1797"/>
    <w:rsid w:val="03EE0393"/>
    <w:rsid w:val="03EE1EF0"/>
    <w:rsid w:val="03EF4E95"/>
    <w:rsid w:val="03EF7C67"/>
    <w:rsid w:val="03F0537E"/>
    <w:rsid w:val="03F06A75"/>
    <w:rsid w:val="03F1578E"/>
    <w:rsid w:val="03F33403"/>
    <w:rsid w:val="03F5174E"/>
    <w:rsid w:val="03F62DA4"/>
    <w:rsid w:val="03F82BAC"/>
    <w:rsid w:val="03F90680"/>
    <w:rsid w:val="03FD2384"/>
    <w:rsid w:val="03FF5E4C"/>
    <w:rsid w:val="040000C7"/>
    <w:rsid w:val="04017689"/>
    <w:rsid w:val="040354C1"/>
    <w:rsid w:val="04076B39"/>
    <w:rsid w:val="04082E76"/>
    <w:rsid w:val="041011B9"/>
    <w:rsid w:val="04133E9C"/>
    <w:rsid w:val="041651F4"/>
    <w:rsid w:val="041771D0"/>
    <w:rsid w:val="041A0C97"/>
    <w:rsid w:val="041C2737"/>
    <w:rsid w:val="041F337E"/>
    <w:rsid w:val="041F4E0E"/>
    <w:rsid w:val="041F6974"/>
    <w:rsid w:val="042042C5"/>
    <w:rsid w:val="04216ADD"/>
    <w:rsid w:val="04224099"/>
    <w:rsid w:val="04267B2D"/>
    <w:rsid w:val="04277401"/>
    <w:rsid w:val="04293179"/>
    <w:rsid w:val="042A618D"/>
    <w:rsid w:val="042E253E"/>
    <w:rsid w:val="0431202E"/>
    <w:rsid w:val="0431270D"/>
    <w:rsid w:val="043223D4"/>
    <w:rsid w:val="04330B20"/>
    <w:rsid w:val="04331DD8"/>
    <w:rsid w:val="04333E3D"/>
    <w:rsid w:val="04364F86"/>
    <w:rsid w:val="04367644"/>
    <w:rsid w:val="0438160E"/>
    <w:rsid w:val="043A35D9"/>
    <w:rsid w:val="043B2EAD"/>
    <w:rsid w:val="043D09D3"/>
    <w:rsid w:val="043D1B92"/>
    <w:rsid w:val="043F0BEF"/>
    <w:rsid w:val="044014CA"/>
    <w:rsid w:val="04425FE9"/>
    <w:rsid w:val="044955CA"/>
    <w:rsid w:val="044D17E6"/>
    <w:rsid w:val="044D7489"/>
    <w:rsid w:val="044E6F6A"/>
    <w:rsid w:val="045126D0"/>
    <w:rsid w:val="04512934"/>
    <w:rsid w:val="0451447E"/>
    <w:rsid w:val="04545D1C"/>
    <w:rsid w:val="04575F38"/>
    <w:rsid w:val="0458442B"/>
    <w:rsid w:val="04597EB5"/>
    <w:rsid w:val="045A3333"/>
    <w:rsid w:val="045A6DB0"/>
    <w:rsid w:val="045C7140"/>
    <w:rsid w:val="045F303F"/>
    <w:rsid w:val="045F4DED"/>
    <w:rsid w:val="045F6AAD"/>
    <w:rsid w:val="04602DDA"/>
    <w:rsid w:val="046248DD"/>
    <w:rsid w:val="046360DF"/>
    <w:rsid w:val="04640482"/>
    <w:rsid w:val="046452DA"/>
    <w:rsid w:val="0466617C"/>
    <w:rsid w:val="046745BC"/>
    <w:rsid w:val="04695566"/>
    <w:rsid w:val="04695C6C"/>
    <w:rsid w:val="046A13F0"/>
    <w:rsid w:val="046C143C"/>
    <w:rsid w:val="046C60D2"/>
    <w:rsid w:val="046E4F93"/>
    <w:rsid w:val="046E6C4B"/>
    <w:rsid w:val="04762137"/>
    <w:rsid w:val="0476269B"/>
    <w:rsid w:val="047C50A9"/>
    <w:rsid w:val="047F3E18"/>
    <w:rsid w:val="047F5FC5"/>
    <w:rsid w:val="04811F53"/>
    <w:rsid w:val="048338BC"/>
    <w:rsid w:val="04844854"/>
    <w:rsid w:val="04854128"/>
    <w:rsid w:val="048759BB"/>
    <w:rsid w:val="04896C64"/>
    <w:rsid w:val="048A6042"/>
    <w:rsid w:val="048B3C24"/>
    <w:rsid w:val="048B3D68"/>
    <w:rsid w:val="04952722"/>
    <w:rsid w:val="04956A61"/>
    <w:rsid w:val="04997878"/>
    <w:rsid w:val="049F1562"/>
    <w:rsid w:val="04A07D4E"/>
    <w:rsid w:val="04A42800"/>
    <w:rsid w:val="04A43BC6"/>
    <w:rsid w:val="04A455C9"/>
    <w:rsid w:val="04A46CA4"/>
    <w:rsid w:val="04A5226E"/>
    <w:rsid w:val="04A82ABA"/>
    <w:rsid w:val="04A863DD"/>
    <w:rsid w:val="04A956F2"/>
    <w:rsid w:val="04AA1BE6"/>
    <w:rsid w:val="04AB1BC1"/>
    <w:rsid w:val="04AE18D1"/>
    <w:rsid w:val="04AE2C86"/>
    <w:rsid w:val="04AF1E68"/>
    <w:rsid w:val="04B0593A"/>
    <w:rsid w:val="04B073F7"/>
    <w:rsid w:val="04B14267"/>
    <w:rsid w:val="04B2316F"/>
    <w:rsid w:val="04B844FD"/>
    <w:rsid w:val="04B85E33"/>
    <w:rsid w:val="04BA3EC6"/>
    <w:rsid w:val="04BA4D34"/>
    <w:rsid w:val="04BC6B19"/>
    <w:rsid w:val="04BF5E4D"/>
    <w:rsid w:val="04C102B0"/>
    <w:rsid w:val="04C32B5C"/>
    <w:rsid w:val="04C5017A"/>
    <w:rsid w:val="04C52934"/>
    <w:rsid w:val="04C5642B"/>
    <w:rsid w:val="04C6031B"/>
    <w:rsid w:val="04C609C8"/>
    <w:rsid w:val="04C66C1A"/>
    <w:rsid w:val="04C71D1F"/>
    <w:rsid w:val="04C74740"/>
    <w:rsid w:val="04CA2EB8"/>
    <w:rsid w:val="04CA46C1"/>
    <w:rsid w:val="04D1736D"/>
    <w:rsid w:val="04D20115"/>
    <w:rsid w:val="04D35263"/>
    <w:rsid w:val="04D4480D"/>
    <w:rsid w:val="04D70E27"/>
    <w:rsid w:val="04D72BD5"/>
    <w:rsid w:val="04D806FC"/>
    <w:rsid w:val="04D814EF"/>
    <w:rsid w:val="04D83D7B"/>
    <w:rsid w:val="04DA11E5"/>
    <w:rsid w:val="04DA3F33"/>
    <w:rsid w:val="04DB17D8"/>
    <w:rsid w:val="04DF18A8"/>
    <w:rsid w:val="04E025B6"/>
    <w:rsid w:val="04E11CA6"/>
    <w:rsid w:val="04E1684A"/>
    <w:rsid w:val="04E23205"/>
    <w:rsid w:val="04E3586E"/>
    <w:rsid w:val="04E452F2"/>
    <w:rsid w:val="04E62371"/>
    <w:rsid w:val="04EB373F"/>
    <w:rsid w:val="04F217BD"/>
    <w:rsid w:val="04F23F8D"/>
    <w:rsid w:val="04F51C97"/>
    <w:rsid w:val="04F642DE"/>
    <w:rsid w:val="04F95927"/>
    <w:rsid w:val="04F96FF0"/>
    <w:rsid w:val="04FA2D68"/>
    <w:rsid w:val="04FA4B16"/>
    <w:rsid w:val="04FF212C"/>
    <w:rsid w:val="05022A17"/>
    <w:rsid w:val="05041908"/>
    <w:rsid w:val="050430F2"/>
    <w:rsid w:val="05045825"/>
    <w:rsid w:val="05071D38"/>
    <w:rsid w:val="05085485"/>
    <w:rsid w:val="05090F71"/>
    <w:rsid w:val="050B76FD"/>
    <w:rsid w:val="050B77A6"/>
    <w:rsid w:val="050E6A6D"/>
    <w:rsid w:val="05141A3D"/>
    <w:rsid w:val="05145BD8"/>
    <w:rsid w:val="05147CC7"/>
    <w:rsid w:val="05186104"/>
    <w:rsid w:val="051A3C74"/>
    <w:rsid w:val="051A5F1D"/>
    <w:rsid w:val="051C4C6A"/>
    <w:rsid w:val="051C5EE0"/>
    <w:rsid w:val="051D598E"/>
    <w:rsid w:val="051F3F42"/>
    <w:rsid w:val="052120A3"/>
    <w:rsid w:val="05237BC9"/>
    <w:rsid w:val="05254F53"/>
    <w:rsid w:val="052C03FA"/>
    <w:rsid w:val="052C1B99"/>
    <w:rsid w:val="052D305E"/>
    <w:rsid w:val="052E64EB"/>
    <w:rsid w:val="052F2A11"/>
    <w:rsid w:val="05371105"/>
    <w:rsid w:val="05396C78"/>
    <w:rsid w:val="053E2C54"/>
    <w:rsid w:val="053E771D"/>
    <w:rsid w:val="05424EF1"/>
    <w:rsid w:val="0543124F"/>
    <w:rsid w:val="054364BD"/>
    <w:rsid w:val="0544022B"/>
    <w:rsid w:val="05463704"/>
    <w:rsid w:val="05474425"/>
    <w:rsid w:val="054A0CB2"/>
    <w:rsid w:val="054A784B"/>
    <w:rsid w:val="054B1A71"/>
    <w:rsid w:val="054B5371"/>
    <w:rsid w:val="054B586B"/>
    <w:rsid w:val="054D7E11"/>
    <w:rsid w:val="054F194C"/>
    <w:rsid w:val="05532CE8"/>
    <w:rsid w:val="05534B90"/>
    <w:rsid w:val="05535400"/>
    <w:rsid w:val="05551A04"/>
    <w:rsid w:val="05551D4C"/>
    <w:rsid w:val="05554403"/>
    <w:rsid w:val="05564F1F"/>
    <w:rsid w:val="055661F0"/>
    <w:rsid w:val="05595CE0"/>
    <w:rsid w:val="055A7363"/>
    <w:rsid w:val="055E32F7"/>
    <w:rsid w:val="05634469"/>
    <w:rsid w:val="05644387"/>
    <w:rsid w:val="05654685"/>
    <w:rsid w:val="05671D4F"/>
    <w:rsid w:val="056926DE"/>
    <w:rsid w:val="05695C48"/>
    <w:rsid w:val="056A0AB5"/>
    <w:rsid w:val="056A0FA1"/>
    <w:rsid w:val="056A1C9B"/>
    <w:rsid w:val="056B091A"/>
    <w:rsid w:val="056D6190"/>
    <w:rsid w:val="056D7096"/>
    <w:rsid w:val="056E4905"/>
    <w:rsid w:val="056F730D"/>
    <w:rsid w:val="0571302A"/>
    <w:rsid w:val="057148F4"/>
    <w:rsid w:val="057375AB"/>
    <w:rsid w:val="05746676"/>
    <w:rsid w:val="057A18EF"/>
    <w:rsid w:val="057A26B3"/>
    <w:rsid w:val="057B2689"/>
    <w:rsid w:val="057C7394"/>
    <w:rsid w:val="057F51F0"/>
    <w:rsid w:val="058014BF"/>
    <w:rsid w:val="0581034D"/>
    <w:rsid w:val="05821261"/>
    <w:rsid w:val="05882122"/>
    <w:rsid w:val="05887005"/>
    <w:rsid w:val="05893B15"/>
    <w:rsid w:val="058A7C48"/>
    <w:rsid w:val="058D598A"/>
    <w:rsid w:val="058D66D3"/>
    <w:rsid w:val="058D7738"/>
    <w:rsid w:val="058E72B4"/>
    <w:rsid w:val="05906D8B"/>
    <w:rsid w:val="05932CF2"/>
    <w:rsid w:val="05940AC6"/>
    <w:rsid w:val="05946D18"/>
    <w:rsid w:val="05954CE4"/>
    <w:rsid w:val="059554C7"/>
    <w:rsid w:val="0596483F"/>
    <w:rsid w:val="05976809"/>
    <w:rsid w:val="059813B3"/>
    <w:rsid w:val="059B085F"/>
    <w:rsid w:val="059C27D2"/>
    <w:rsid w:val="059C64D5"/>
    <w:rsid w:val="059E7B97"/>
    <w:rsid w:val="059F44FF"/>
    <w:rsid w:val="05A14F91"/>
    <w:rsid w:val="05A36F5B"/>
    <w:rsid w:val="05A66DD5"/>
    <w:rsid w:val="05A753D7"/>
    <w:rsid w:val="05A768C1"/>
    <w:rsid w:val="05A86320"/>
    <w:rsid w:val="05A918B6"/>
    <w:rsid w:val="05AB3A4A"/>
    <w:rsid w:val="05AB7BBE"/>
    <w:rsid w:val="05AC6CEC"/>
    <w:rsid w:val="05AC7868"/>
    <w:rsid w:val="05B228C9"/>
    <w:rsid w:val="05B2719F"/>
    <w:rsid w:val="05B40CD1"/>
    <w:rsid w:val="05B64EE1"/>
    <w:rsid w:val="05B80C59"/>
    <w:rsid w:val="05BB325A"/>
    <w:rsid w:val="05BB42A5"/>
    <w:rsid w:val="05BB658B"/>
    <w:rsid w:val="05BE1FE7"/>
    <w:rsid w:val="05BE3D95"/>
    <w:rsid w:val="05C3315A"/>
    <w:rsid w:val="05C332D6"/>
    <w:rsid w:val="05C36C45"/>
    <w:rsid w:val="05C46427"/>
    <w:rsid w:val="05C47DF4"/>
    <w:rsid w:val="05C868BD"/>
    <w:rsid w:val="05C94A1F"/>
    <w:rsid w:val="05CA7B12"/>
    <w:rsid w:val="05CB38BF"/>
    <w:rsid w:val="05CB4A31"/>
    <w:rsid w:val="05CB5FD3"/>
    <w:rsid w:val="05CE41E8"/>
    <w:rsid w:val="05D03629"/>
    <w:rsid w:val="05D10DD7"/>
    <w:rsid w:val="05D2533B"/>
    <w:rsid w:val="05D45367"/>
    <w:rsid w:val="05D5069C"/>
    <w:rsid w:val="05D85CB5"/>
    <w:rsid w:val="05D9297D"/>
    <w:rsid w:val="05D957EA"/>
    <w:rsid w:val="05DA2197"/>
    <w:rsid w:val="05DA473B"/>
    <w:rsid w:val="05DA7A73"/>
    <w:rsid w:val="05DB007F"/>
    <w:rsid w:val="05DB4D76"/>
    <w:rsid w:val="05DB5DF7"/>
    <w:rsid w:val="05DC0022"/>
    <w:rsid w:val="05E277BB"/>
    <w:rsid w:val="05E30293"/>
    <w:rsid w:val="05E31502"/>
    <w:rsid w:val="05E44043"/>
    <w:rsid w:val="05E47EF0"/>
    <w:rsid w:val="05E530D0"/>
    <w:rsid w:val="05E53F6C"/>
    <w:rsid w:val="05E65755"/>
    <w:rsid w:val="05EB4FCC"/>
    <w:rsid w:val="05EC26B0"/>
    <w:rsid w:val="05EC4069"/>
    <w:rsid w:val="05EC4085"/>
    <w:rsid w:val="05EE2780"/>
    <w:rsid w:val="05EF21A1"/>
    <w:rsid w:val="05F017C9"/>
    <w:rsid w:val="05F37C0A"/>
    <w:rsid w:val="05F4524D"/>
    <w:rsid w:val="05F4739A"/>
    <w:rsid w:val="05F61781"/>
    <w:rsid w:val="05F74F7A"/>
    <w:rsid w:val="05F872A7"/>
    <w:rsid w:val="05F87BA7"/>
    <w:rsid w:val="05F97BFE"/>
    <w:rsid w:val="05FE4192"/>
    <w:rsid w:val="06007F0A"/>
    <w:rsid w:val="06010D66"/>
    <w:rsid w:val="060317A8"/>
    <w:rsid w:val="06047DF4"/>
    <w:rsid w:val="060502E7"/>
    <w:rsid w:val="0605340E"/>
    <w:rsid w:val="06057B2E"/>
    <w:rsid w:val="06066857"/>
    <w:rsid w:val="0608003D"/>
    <w:rsid w:val="060A7F0C"/>
    <w:rsid w:val="060B15FA"/>
    <w:rsid w:val="060C3A6F"/>
    <w:rsid w:val="060D74A0"/>
    <w:rsid w:val="060E6ACB"/>
    <w:rsid w:val="06103112"/>
    <w:rsid w:val="061053DF"/>
    <w:rsid w:val="06126F49"/>
    <w:rsid w:val="06132430"/>
    <w:rsid w:val="061341C7"/>
    <w:rsid w:val="06167171"/>
    <w:rsid w:val="061834A6"/>
    <w:rsid w:val="061A71C3"/>
    <w:rsid w:val="061D0ABC"/>
    <w:rsid w:val="06266129"/>
    <w:rsid w:val="06277B8D"/>
    <w:rsid w:val="062A3DB8"/>
    <w:rsid w:val="062A4401"/>
    <w:rsid w:val="062C6F51"/>
    <w:rsid w:val="062D54F0"/>
    <w:rsid w:val="062E0079"/>
    <w:rsid w:val="063237E4"/>
    <w:rsid w:val="0633197B"/>
    <w:rsid w:val="06361B7E"/>
    <w:rsid w:val="063732FD"/>
    <w:rsid w:val="06395207"/>
    <w:rsid w:val="063A78C0"/>
    <w:rsid w:val="063D115E"/>
    <w:rsid w:val="063F35A0"/>
    <w:rsid w:val="06415F8F"/>
    <w:rsid w:val="064208D7"/>
    <w:rsid w:val="06451DC1"/>
    <w:rsid w:val="06463BD0"/>
    <w:rsid w:val="06483BEC"/>
    <w:rsid w:val="06493DB5"/>
    <w:rsid w:val="06495B62"/>
    <w:rsid w:val="06497B03"/>
    <w:rsid w:val="064B4781"/>
    <w:rsid w:val="064C4FEC"/>
    <w:rsid w:val="064E7E21"/>
    <w:rsid w:val="06557C9D"/>
    <w:rsid w:val="065837C4"/>
    <w:rsid w:val="06587D46"/>
    <w:rsid w:val="065909ED"/>
    <w:rsid w:val="065A73E6"/>
    <w:rsid w:val="0661499E"/>
    <w:rsid w:val="0667442D"/>
    <w:rsid w:val="06691764"/>
    <w:rsid w:val="06694605"/>
    <w:rsid w:val="0669475C"/>
    <w:rsid w:val="066A57F2"/>
    <w:rsid w:val="066B480B"/>
    <w:rsid w:val="066C1A43"/>
    <w:rsid w:val="066D1518"/>
    <w:rsid w:val="066E0DCD"/>
    <w:rsid w:val="06700204"/>
    <w:rsid w:val="0670282A"/>
    <w:rsid w:val="06705E03"/>
    <w:rsid w:val="06711224"/>
    <w:rsid w:val="0671705A"/>
    <w:rsid w:val="06743E07"/>
    <w:rsid w:val="067538BA"/>
    <w:rsid w:val="067A4160"/>
    <w:rsid w:val="067D1523"/>
    <w:rsid w:val="067D77AC"/>
    <w:rsid w:val="067F1777"/>
    <w:rsid w:val="067F4A0F"/>
    <w:rsid w:val="068154EF"/>
    <w:rsid w:val="0682171B"/>
    <w:rsid w:val="06824DC3"/>
    <w:rsid w:val="06837944"/>
    <w:rsid w:val="06882B99"/>
    <w:rsid w:val="06896ABB"/>
    <w:rsid w:val="068A098C"/>
    <w:rsid w:val="068A3169"/>
    <w:rsid w:val="068E3768"/>
    <w:rsid w:val="068E5D78"/>
    <w:rsid w:val="068E6D03"/>
    <w:rsid w:val="06963959"/>
    <w:rsid w:val="069822DA"/>
    <w:rsid w:val="06984981"/>
    <w:rsid w:val="06995B9C"/>
    <w:rsid w:val="069A1459"/>
    <w:rsid w:val="069A571F"/>
    <w:rsid w:val="069D67DB"/>
    <w:rsid w:val="069E16F6"/>
    <w:rsid w:val="069F7723"/>
    <w:rsid w:val="06A3730B"/>
    <w:rsid w:val="06A42670"/>
    <w:rsid w:val="06A50AB1"/>
    <w:rsid w:val="06A74829"/>
    <w:rsid w:val="06A967F3"/>
    <w:rsid w:val="06AD5BC9"/>
    <w:rsid w:val="06AE3E0A"/>
    <w:rsid w:val="06B052F4"/>
    <w:rsid w:val="06B37672"/>
    <w:rsid w:val="06B70F10"/>
    <w:rsid w:val="06BB64AA"/>
    <w:rsid w:val="06BC617A"/>
    <w:rsid w:val="06BD4940"/>
    <w:rsid w:val="06C23411"/>
    <w:rsid w:val="06C61153"/>
    <w:rsid w:val="06C636BF"/>
    <w:rsid w:val="06C74ECC"/>
    <w:rsid w:val="06C96F42"/>
    <w:rsid w:val="06CB7C1E"/>
    <w:rsid w:val="06CC0EAF"/>
    <w:rsid w:val="06D05B2E"/>
    <w:rsid w:val="06D118A6"/>
    <w:rsid w:val="06D172F4"/>
    <w:rsid w:val="06D2699D"/>
    <w:rsid w:val="06D3561E"/>
    <w:rsid w:val="06D3685C"/>
    <w:rsid w:val="06D90B44"/>
    <w:rsid w:val="06DD2E93"/>
    <w:rsid w:val="06E4782C"/>
    <w:rsid w:val="06E81066"/>
    <w:rsid w:val="06EA1DB9"/>
    <w:rsid w:val="06EB0094"/>
    <w:rsid w:val="06EF6959"/>
    <w:rsid w:val="06F14F4B"/>
    <w:rsid w:val="06F67E47"/>
    <w:rsid w:val="06FA74CE"/>
    <w:rsid w:val="06FB2785"/>
    <w:rsid w:val="06FC1574"/>
    <w:rsid w:val="06FF193D"/>
    <w:rsid w:val="06FF3A78"/>
    <w:rsid w:val="07003CBC"/>
    <w:rsid w:val="070103DE"/>
    <w:rsid w:val="07034384"/>
    <w:rsid w:val="070457D8"/>
    <w:rsid w:val="070659F4"/>
    <w:rsid w:val="07091040"/>
    <w:rsid w:val="070D0B30"/>
    <w:rsid w:val="070D3B48"/>
    <w:rsid w:val="070E3B90"/>
    <w:rsid w:val="070F22B3"/>
    <w:rsid w:val="070F31DD"/>
    <w:rsid w:val="07103F21"/>
    <w:rsid w:val="07133C6D"/>
    <w:rsid w:val="07146D98"/>
    <w:rsid w:val="071472E7"/>
    <w:rsid w:val="07195727"/>
    <w:rsid w:val="071A284E"/>
    <w:rsid w:val="071A6A9C"/>
    <w:rsid w:val="071E412C"/>
    <w:rsid w:val="072001B3"/>
    <w:rsid w:val="072132AC"/>
    <w:rsid w:val="07223C85"/>
    <w:rsid w:val="07230354"/>
    <w:rsid w:val="072342BB"/>
    <w:rsid w:val="072440CC"/>
    <w:rsid w:val="07245C13"/>
    <w:rsid w:val="072517FB"/>
    <w:rsid w:val="07261BF2"/>
    <w:rsid w:val="072654FB"/>
    <w:rsid w:val="072C6ABF"/>
    <w:rsid w:val="072E48CF"/>
    <w:rsid w:val="072F054A"/>
    <w:rsid w:val="072F4F4B"/>
    <w:rsid w:val="07312079"/>
    <w:rsid w:val="07350087"/>
    <w:rsid w:val="073655C3"/>
    <w:rsid w:val="0736735E"/>
    <w:rsid w:val="07367EFF"/>
    <w:rsid w:val="073A744C"/>
    <w:rsid w:val="073C31C4"/>
    <w:rsid w:val="073D17EC"/>
    <w:rsid w:val="0740106F"/>
    <w:rsid w:val="07421293"/>
    <w:rsid w:val="07430D03"/>
    <w:rsid w:val="074723D8"/>
    <w:rsid w:val="074B63A4"/>
    <w:rsid w:val="074D5CAB"/>
    <w:rsid w:val="074E07FF"/>
    <w:rsid w:val="074F739B"/>
    <w:rsid w:val="07502077"/>
    <w:rsid w:val="07506F5F"/>
    <w:rsid w:val="07511A9D"/>
    <w:rsid w:val="0751425B"/>
    <w:rsid w:val="07536EB5"/>
    <w:rsid w:val="0754653A"/>
    <w:rsid w:val="0756354C"/>
    <w:rsid w:val="07591FC8"/>
    <w:rsid w:val="0759777D"/>
    <w:rsid w:val="075C0A5E"/>
    <w:rsid w:val="075C73C2"/>
    <w:rsid w:val="075D1636"/>
    <w:rsid w:val="075F20AC"/>
    <w:rsid w:val="076166C9"/>
    <w:rsid w:val="076763B8"/>
    <w:rsid w:val="07691ADF"/>
    <w:rsid w:val="0769551C"/>
    <w:rsid w:val="076B1CFB"/>
    <w:rsid w:val="07702E6D"/>
    <w:rsid w:val="07703297"/>
    <w:rsid w:val="077056A1"/>
    <w:rsid w:val="07745788"/>
    <w:rsid w:val="07746E01"/>
    <w:rsid w:val="07775550"/>
    <w:rsid w:val="07782AC3"/>
    <w:rsid w:val="07794418"/>
    <w:rsid w:val="077A16B0"/>
    <w:rsid w:val="077B4D21"/>
    <w:rsid w:val="077C6042"/>
    <w:rsid w:val="077F3A39"/>
    <w:rsid w:val="077F4C63"/>
    <w:rsid w:val="07807554"/>
    <w:rsid w:val="07843176"/>
    <w:rsid w:val="07846919"/>
    <w:rsid w:val="0786775F"/>
    <w:rsid w:val="07886409"/>
    <w:rsid w:val="078B414B"/>
    <w:rsid w:val="078B5EF9"/>
    <w:rsid w:val="07917E5F"/>
    <w:rsid w:val="07954AA6"/>
    <w:rsid w:val="079764F2"/>
    <w:rsid w:val="079B438E"/>
    <w:rsid w:val="079B79F3"/>
    <w:rsid w:val="079E22E1"/>
    <w:rsid w:val="07A37541"/>
    <w:rsid w:val="07A46DC6"/>
    <w:rsid w:val="07A80859"/>
    <w:rsid w:val="07A86A68"/>
    <w:rsid w:val="07AE7EEC"/>
    <w:rsid w:val="07B014E4"/>
    <w:rsid w:val="07B12835"/>
    <w:rsid w:val="07B2451F"/>
    <w:rsid w:val="07B24590"/>
    <w:rsid w:val="07B33DBE"/>
    <w:rsid w:val="07B36737"/>
    <w:rsid w:val="07B471FE"/>
    <w:rsid w:val="07B54D24"/>
    <w:rsid w:val="07B611C8"/>
    <w:rsid w:val="07B832B0"/>
    <w:rsid w:val="07BA76E1"/>
    <w:rsid w:val="07BC5914"/>
    <w:rsid w:val="07BD796A"/>
    <w:rsid w:val="07BE58E7"/>
    <w:rsid w:val="07BF0D43"/>
    <w:rsid w:val="07CA07CF"/>
    <w:rsid w:val="07CE2DDE"/>
    <w:rsid w:val="07CF39A8"/>
    <w:rsid w:val="07D04650"/>
    <w:rsid w:val="07D07136"/>
    <w:rsid w:val="07D93267"/>
    <w:rsid w:val="07DA5D7D"/>
    <w:rsid w:val="07DB478B"/>
    <w:rsid w:val="07E115AE"/>
    <w:rsid w:val="07E1403C"/>
    <w:rsid w:val="07E17B90"/>
    <w:rsid w:val="07E36637"/>
    <w:rsid w:val="07E55609"/>
    <w:rsid w:val="07E81811"/>
    <w:rsid w:val="07EA51AC"/>
    <w:rsid w:val="07ED0962"/>
    <w:rsid w:val="07EE0B46"/>
    <w:rsid w:val="07F44D79"/>
    <w:rsid w:val="07F54A76"/>
    <w:rsid w:val="07F7083D"/>
    <w:rsid w:val="07F87A82"/>
    <w:rsid w:val="07F91E40"/>
    <w:rsid w:val="07FA23F2"/>
    <w:rsid w:val="07FB50B6"/>
    <w:rsid w:val="07FC601A"/>
    <w:rsid w:val="07FD3742"/>
    <w:rsid w:val="080261BB"/>
    <w:rsid w:val="08033848"/>
    <w:rsid w:val="08033D53"/>
    <w:rsid w:val="080572D1"/>
    <w:rsid w:val="08057A5A"/>
    <w:rsid w:val="080779F2"/>
    <w:rsid w:val="080C0DE8"/>
    <w:rsid w:val="080D2DB2"/>
    <w:rsid w:val="080F071E"/>
    <w:rsid w:val="080F08D8"/>
    <w:rsid w:val="08147960"/>
    <w:rsid w:val="081A61FE"/>
    <w:rsid w:val="081B648D"/>
    <w:rsid w:val="081E2623"/>
    <w:rsid w:val="082014A6"/>
    <w:rsid w:val="082223BA"/>
    <w:rsid w:val="08230F87"/>
    <w:rsid w:val="08236FF3"/>
    <w:rsid w:val="08252E8C"/>
    <w:rsid w:val="08255B83"/>
    <w:rsid w:val="0828199A"/>
    <w:rsid w:val="0828410C"/>
    <w:rsid w:val="082C4FE6"/>
    <w:rsid w:val="082F0F7A"/>
    <w:rsid w:val="082F1612"/>
    <w:rsid w:val="08312F49"/>
    <w:rsid w:val="08337FE2"/>
    <w:rsid w:val="0835625E"/>
    <w:rsid w:val="0838068A"/>
    <w:rsid w:val="08382E14"/>
    <w:rsid w:val="08386AFD"/>
    <w:rsid w:val="083959BE"/>
    <w:rsid w:val="083B33E6"/>
    <w:rsid w:val="083C7A10"/>
    <w:rsid w:val="083D09C7"/>
    <w:rsid w:val="083F376E"/>
    <w:rsid w:val="083F4715"/>
    <w:rsid w:val="08402B9E"/>
    <w:rsid w:val="08416A03"/>
    <w:rsid w:val="0842480A"/>
    <w:rsid w:val="08446DA9"/>
    <w:rsid w:val="08470072"/>
    <w:rsid w:val="08486CD2"/>
    <w:rsid w:val="08495C44"/>
    <w:rsid w:val="084A79B7"/>
    <w:rsid w:val="084C3443"/>
    <w:rsid w:val="084D0CA8"/>
    <w:rsid w:val="084D120D"/>
    <w:rsid w:val="0851083F"/>
    <w:rsid w:val="08530FA4"/>
    <w:rsid w:val="08540002"/>
    <w:rsid w:val="085409E1"/>
    <w:rsid w:val="08553273"/>
    <w:rsid w:val="085954CB"/>
    <w:rsid w:val="08597D99"/>
    <w:rsid w:val="085B72C7"/>
    <w:rsid w:val="085F360E"/>
    <w:rsid w:val="08610A63"/>
    <w:rsid w:val="086133B6"/>
    <w:rsid w:val="08626C5A"/>
    <w:rsid w:val="08653986"/>
    <w:rsid w:val="08665FE8"/>
    <w:rsid w:val="086C7AD9"/>
    <w:rsid w:val="087003FB"/>
    <w:rsid w:val="0872798B"/>
    <w:rsid w:val="0873509B"/>
    <w:rsid w:val="08752389"/>
    <w:rsid w:val="087615CD"/>
    <w:rsid w:val="08762705"/>
    <w:rsid w:val="08762AC5"/>
    <w:rsid w:val="087A0296"/>
    <w:rsid w:val="087A7F3C"/>
    <w:rsid w:val="08800CB1"/>
    <w:rsid w:val="08843F17"/>
    <w:rsid w:val="08850B9A"/>
    <w:rsid w:val="088633EB"/>
    <w:rsid w:val="088860D0"/>
    <w:rsid w:val="08887B08"/>
    <w:rsid w:val="088F0ACE"/>
    <w:rsid w:val="08940BFB"/>
    <w:rsid w:val="0894537E"/>
    <w:rsid w:val="08954D7E"/>
    <w:rsid w:val="089C289E"/>
    <w:rsid w:val="089D7C92"/>
    <w:rsid w:val="089F097B"/>
    <w:rsid w:val="089F7EAE"/>
    <w:rsid w:val="08A21085"/>
    <w:rsid w:val="08A45711"/>
    <w:rsid w:val="08A54D99"/>
    <w:rsid w:val="08A6123D"/>
    <w:rsid w:val="08A7130F"/>
    <w:rsid w:val="08A92ADB"/>
    <w:rsid w:val="08AA7F56"/>
    <w:rsid w:val="08AB027B"/>
    <w:rsid w:val="08AC25CB"/>
    <w:rsid w:val="08AC38A8"/>
    <w:rsid w:val="08AC6809"/>
    <w:rsid w:val="08AC6F29"/>
    <w:rsid w:val="08AF3ADA"/>
    <w:rsid w:val="08B049AA"/>
    <w:rsid w:val="08B101FE"/>
    <w:rsid w:val="08B1590F"/>
    <w:rsid w:val="08B35707"/>
    <w:rsid w:val="08B4678C"/>
    <w:rsid w:val="08B651F8"/>
    <w:rsid w:val="08BA6ECD"/>
    <w:rsid w:val="08BE3B53"/>
    <w:rsid w:val="08C01BD2"/>
    <w:rsid w:val="08C04048"/>
    <w:rsid w:val="08C343B6"/>
    <w:rsid w:val="08C43E9F"/>
    <w:rsid w:val="08C608BA"/>
    <w:rsid w:val="08C6368D"/>
    <w:rsid w:val="08C83852"/>
    <w:rsid w:val="08CA47FF"/>
    <w:rsid w:val="08CE45F4"/>
    <w:rsid w:val="08CF457D"/>
    <w:rsid w:val="08D00067"/>
    <w:rsid w:val="08D26035"/>
    <w:rsid w:val="08D324CC"/>
    <w:rsid w:val="08D35DAA"/>
    <w:rsid w:val="08DA35A1"/>
    <w:rsid w:val="08DC4C5E"/>
    <w:rsid w:val="08DD57EF"/>
    <w:rsid w:val="08E029A8"/>
    <w:rsid w:val="08E27D9B"/>
    <w:rsid w:val="08E7715F"/>
    <w:rsid w:val="08E85AB9"/>
    <w:rsid w:val="08E871A4"/>
    <w:rsid w:val="08E90E23"/>
    <w:rsid w:val="08F21DD5"/>
    <w:rsid w:val="08F301FA"/>
    <w:rsid w:val="08F304E4"/>
    <w:rsid w:val="08F83A22"/>
    <w:rsid w:val="08FC12DA"/>
    <w:rsid w:val="08FC44EB"/>
    <w:rsid w:val="08FD2E27"/>
    <w:rsid w:val="08FE4A7D"/>
    <w:rsid w:val="08FF094D"/>
    <w:rsid w:val="08FF6B9F"/>
    <w:rsid w:val="09017F76"/>
    <w:rsid w:val="090200ED"/>
    <w:rsid w:val="09033573"/>
    <w:rsid w:val="09045F63"/>
    <w:rsid w:val="09052A92"/>
    <w:rsid w:val="09065393"/>
    <w:rsid w:val="09075A53"/>
    <w:rsid w:val="090F3D3C"/>
    <w:rsid w:val="091004C6"/>
    <w:rsid w:val="0910058B"/>
    <w:rsid w:val="09137F54"/>
    <w:rsid w:val="09150170"/>
    <w:rsid w:val="09154035"/>
    <w:rsid w:val="09173EE8"/>
    <w:rsid w:val="091B371D"/>
    <w:rsid w:val="091C163A"/>
    <w:rsid w:val="091D7025"/>
    <w:rsid w:val="091E1C38"/>
    <w:rsid w:val="091E5277"/>
    <w:rsid w:val="092108C3"/>
    <w:rsid w:val="092154DA"/>
    <w:rsid w:val="09252881"/>
    <w:rsid w:val="09267A5C"/>
    <w:rsid w:val="0927023A"/>
    <w:rsid w:val="09274532"/>
    <w:rsid w:val="09287EA3"/>
    <w:rsid w:val="09293209"/>
    <w:rsid w:val="092D4411"/>
    <w:rsid w:val="092E52FB"/>
    <w:rsid w:val="092E5826"/>
    <w:rsid w:val="09306D58"/>
    <w:rsid w:val="09317A06"/>
    <w:rsid w:val="09322A4B"/>
    <w:rsid w:val="093305F6"/>
    <w:rsid w:val="093323A4"/>
    <w:rsid w:val="09371E95"/>
    <w:rsid w:val="093876D2"/>
    <w:rsid w:val="093A2BBF"/>
    <w:rsid w:val="093C56FD"/>
    <w:rsid w:val="093E6953"/>
    <w:rsid w:val="09414586"/>
    <w:rsid w:val="094620D8"/>
    <w:rsid w:val="0946657C"/>
    <w:rsid w:val="09466744"/>
    <w:rsid w:val="094971EF"/>
    <w:rsid w:val="09497E1A"/>
    <w:rsid w:val="094B5940"/>
    <w:rsid w:val="094C0E38"/>
    <w:rsid w:val="094C3466"/>
    <w:rsid w:val="094C4F98"/>
    <w:rsid w:val="094D34D3"/>
    <w:rsid w:val="094F19DA"/>
    <w:rsid w:val="094F282D"/>
    <w:rsid w:val="09505745"/>
    <w:rsid w:val="09513235"/>
    <w:rsid w:val="0952646F"/>
    <w:rsid w:val="095305A8"/>
    <w:rsid w:val="09540C99"/>
    <w:rsid w:val="0957403E"/>
    <w:rsid w:val="095B3263"/>
    <w:rsid w:val="095D2D8D"/>
    <w:rsid w:val="0960001F"/>
    <w:rsid w:val="09616F12"/>
    <w:rsid w:val="096343FF"/>
    <w:rsid w:val="09646409"/>
    <w:rsid w:val="09646A02"/>
    <w:rsid w:val="09652A24"/>
    <w:rsid w:val="0965721F"/>
    <w:rsid w:val="096E0F63"/>
    <w:rsid w:val="09701308"/>
    <w:rsid w:val="0972111F"/>
    <w:rsid w:val="09732517"/>
    <w:rsid w:val="097E07FB"/>
    <w:rsid w:val="09803608"/>
    <w:rsid w:val="09823E22"/>
    <w:rsid w:val="09840E52"/>
    <w:rsid w:val="09842C00"/>
    <w:rsid w:val="098438D7"/>
    <w:rsid w:val="09844BEE"/>
    <w:rsid w:val="0984551C"/>
    <w:rsid w:val="09865114"/>
    <w:rsid w:val="09875ED6"/>
    <w:rsid w:val="09877179"/>
    <w:rsid w:val="09886B94"/>
    <w:rsid w:val="09895AEA"/>
    <w:rsid w:val="098A2122"/>
    <w:rsid w:val="098B1B4B"/>
    <w:rsid w:val="099025EE"/>
    <w:rsid w:val="09933FA1"/>
    <w:rsid w:val="099472E7"/>
    <w:rsid w:val="099622BA"/>
    <w:rsid w:val="09967471"/>
    <w:rsid w:val="09972933"/>
    <w:rsid w:val="09972A58"/>
    <w:rsid w:val="099866AB"/>
    <w:rsid w:val="09A22712"/>
    <w:rsid w:val="09A5320D"/>
    <w:rsid w:val="09A6214E"/>
    <w:rsid w:val="09A6526C"/>
    <w:rsid w:val="09A80FE4"/>
    <w:rsid w:val="09A82D92"/>
    <w:rsid w:val="09AD03A9"/>
    <w:rsid w:val="09AD2157"/>
    <w:rsid w:val="09AD2B52"/>
    <w:rsid w:val="09AE5463"/>
    <w:rsid w:val="09B039F5"/>
    <w:rsid w:val="09B24358"/>
    <w:rsid w:val="09B35684"/>
    <w:rsid w:val="09B41737"/>
    <w:rsid w:val="09B44EF2"/>
    <w:rsid w:val="09B90625"/>
    <w:rsid w:val="09B90CDC"/>
    <w:rsid w:val="09B97E7A"/>
    <w:rsid w:val="09BC683E"/>
    <w:rsid w:val="09BD181F"/>
    <w:rsid w:val="09BF1F34"/>
    <w:rsid w:val="09C0632E"/>
    <w:rsid w:val="09C25C06"/>
    <w:rsid w:val="09C3197A"/>
    <w:rsid w:val="09C37BCC"/>
    <w:rsid w:val="09C42FB5"/>
    <w:rsid w:val="09C53944"/>
    <w:rsid w:val="09C556F2"/>
    <w:rsid w:val="09C65D3C"/>
    <w:rsid w:val="09C9440F"/>
    <w:rsid w:val="09CB3C6C"/>
    <w:rsid w:val="09CB46C5"/>
    <w:rsid w:val="09CC78FE"/>
    <w:rsid w:val="09CF6571"/>
    <w:rsid w:val="09D05E45"/>
    <w:rsid w:val="09D30082"/>
    <w:rsid w:val="09D45935"/>
    <w:rsid w:val="09D501F4"/>
    <w:rsid w:val="09D51387"/>
    <w:rsid w:val="09D5345C"/>
    <w:rsid w:val="09D73678"/>
    <w:rsid w:val="09D85915"/>
    <w:rsid w:val="09D912BF"/>
    <w:rsid w:val="09DC745E"/>
    <w:rsid w:val="09E32569"/>
    <w:rsid w:val="09E33DCA"/>
    <w:rsid w:val="09E518F1"/>
    <w:rsid w:val="09E7237B"/>
    <w:rsid w:val="09E85B5D"/>
    <w:rsid w:val="09EA33AB"/>
    <w:rsid w:val="09EA5186"/>
    <w:rsid w:val="09ED1E70"/>
    <w:rsid w:val="09EE3062"/>
    <w:rsid w:val="09EE63F6"/>
    <w:rsid w:val="09EF1572"/>
    <w:rsid w:val="09EF276F"/>
    <w:rsid w:val="09EF44EC"/>
    <w:rsid w:val="09F064E7"/>
    <w:rsid w:val="09F14A88"/>
    <w:rsid w:val="09F16760"/>
    <w:rsid w:val="09F54ED9"/>
    <w:rsid w:val="09F62C6D"/>
    <w:rsid w:val="09F75A22"/>
    <w:rsid w:val="09F84395"/>
    <w:rsid w:val="09F85F2E"/>
    <w:rsid w:val="09FB1114"/>
    <w:rsid w:val="09FC30DE"/>
    <w:rsid w:val="09FC6C3A"/>
    <w:rsid w:val="0A0422C7"/>
    <w:rsid w:val="0A05166E"/>
    <w:rsid w:val="0A060E25"/>
    <w:rsid w:val="0A0855DF"/>
    <w:rsid w:val="0A093142"/>
    <w:rsid w:val="0A0A7474"/>
    <w:rsid w:val="0A0F3519"/>
    <w:rsid w:val="0A1012CB"/>
    <w:rsid w:val="0A1323AE"/>
    <w:rsid w:val="0A1714DE"/>
    <w:rsid w:val="0A171CC6"/>
    <w:rsid w:val="0A1830AD"/>
    <w:rsid w:val="0A184524"/>
    <w:rsid w:val="0A190361"/>
    <w:rsid w:val="0A193C90"/>
    <w:rsid w:val="0A1B17B6"/>
    <w:rsid w:val="0A1D4B3A"/>
    <w:rsid w:val="0A1D53B4"/>
    <w:rsid w:val="0A1E12A6"/>
    <w:rsid w:val="0A1E2B85"/>
    <w:rsid w:val="0A1F722F"/>
    <w:rsid w:val="0A234F1C"/>
    <w:rsid w:val="0A243C88"/>
    <w:rsid w:val="0A247432"/>
    <w:rsid w:val="0A2543E3"/>
    <w:rsid w:val="0A297C94"/>
    <w:rsid w:val="0A2A19F9"/>
    <w:rsid w:val="0A2C2594"/>
    <w:rsid w:val="0A2C7517"/>
    <w:rsid w:val="0A2D41E3"/>
    <w:rsid w:val="0A2D4874"/>
    <w:rsid w:val="0A2E0844"/>
    <w:rsid w:val="0A2F0DBE"/>
    <w:rsid w:val="0A2F5262"/>
    <w:rsid w:val="0A2F617F"/>
    <w:rsid w:val="0A312D88"/>
    <w:rsid w:val="0A326752"/>
    <w:rsid w:val="0A342878"/>
    <w:rsid w:val="0A371D2C"/>
    <w:rsid w:val="0A372A6D"/>
    <w:rsid w:val="0A391C3C"/>
    <w:rsid w:val="0A3A79E0"/>
    <w:rsid w:val="0A3D4737"/>
    <w:rsid w:val="0A3E0B16"/>
    <w:rsid w:val="0A454A85"/>
    <w:rsid w:val="0A4A3E4A"/>
    <w:rsid w:val="0A4D0CE3"/>
    <w:rsid w:val="0A4E5482"/>
    <w:rsid w:val="0A4F1460"/>
    <w:rsid w:val="0A4F2EF3"/>
    <w:rsid w:val="0A524DED"/>
    <w:rsid w:val="0A527D5D"/>
    <w:rsid w:val="0A5452E4"/>
    <w:rsid w:val="0A56459C"/>
    <w:rsid w:val="0A582F13"/>
    <w:rsid w:val="0A5A0571"/>
    <w:rsid w:val="0A5E4D53"/>
    <w:rsid w:val="0A5F1A0C"/>
    <w:rsid w:val="0A5F6AFE"/>
    <w:rsid w:val="0A5F7978"/>
    <w:rsid w:val="0A601322"/>
    <w:rsid w:val="0A605D88"/>
    <w:rsid w:val="0A6312E8"/>
    <w:rsid w:val="0A641F8C"/>
    <w:rsid w:val="0A656ED5"/>
    <w:rsid w:val="0A68041D"/>
    <w:rsid w:val="0A6C1A62"/>
    <w:rsid w:val="0A723B3E"/>
    <w:rsid w:val="0A7249F4"/>
    <w:rsid w:val="0A73514E"/>
    <w:rsid w:val="0A740EC6"/>
    <w:rsid w:val="0A764F0C"/>
    <w:rsid w:val="0A7C7CDE"/>
    <w:rsid w:val="0A7D5FCD"/>
    <w:rsid w:val="0A80279F"/>
    <w:rsid w:val="0A80786B"/>
    <w:rsid w:val="0A814E68"/>
    <w:rsid w:val="0A846EC3"/>
    <w:rsid w:val="0A897609"/>
    <w:rsid w:val="0A8D2A27"/>
    <w:rsid w:val="0A8D4592"/>
    <w:rsid w:val="0A8F3F52"/>
    <w:rsid w:val="0A9357F1"/>
    <w:rsid w:val="0A94590C"/>
    <w:rsid w:val="0A961955"/>
    <w:rsid w:val="0A963447"/>
    <w:rsid w:val="0A9926DB"/>
    <w:rsid w:val="0A9A10E9"/>
    <w:rsid w:val="0AA417AC"/>
    <w:rsid w:val="0AA50DE0"/>
    <w:rsid w:val="0AA55524"/>
    <w:rsid w:val="0AA55649"/>
    <w:rsid w:val="0AA5649B"/>
    <w:rsid w:val="0AA616D0"/>
    <w:rsid w:val="0AA95618"/>
    <w:rsid w:val="0AAA2B3A"/>
    <w:rsid w:val="0AAA48E8"/>
    <w:rsid w:val="0AAC68B2"/>
    <w:rsid w:val="0AB014E7"/>
    <w:rsid w:val="0AB16F92"/>
    <w:rsid w:val="0AB26FE6"/>
    <w:rsid w:val="0AB4637D"/>
    <w:rsid w:val="0AB47515"/>
    <w:rsid w:val="0AB53E69"/>
    <w:rsid w:val="0AB70B7B"/>
    <w:rsid w:val="0AB94B2B"/>
    <w:rsid w:val="0AB979EC"/>
    <w:rsid w:val="0ABA0FCF"/>
    <w:rsid w:val="0ABA1D29"/>
    <w:rsid w:val="0ABB3A98"/>
    <w:rsid w:val="0ABC5636"/>
    <w:rsid w:val="0ABE1BD6"/>
    <w:rsid w:val="0ABF6BD6"/>
    <w:rsid w:val="0AC0235E"/>
    <w:rsid w:val="0AC42104"/>
    <w:rsid w:val="0AC53CFB"/>
    <w:rsid w:val="0AC92FC0"/>
    <w:rsid w:val="0AC97464"/>
    <w:rsid w:val="0ACA0AE6"/>
    <w:rsid w:val="0ACA6E10"/>
    <w:rsid w:val="0ACB2AE8"/>
    <w:rsid w:val="0ACC5F1E"/>
    <w:rsid w:val="0ACE05D7"/>
    <w:rsid w:val="0ACE3FA1"/>
    <w:rsid w:val="0AD019C3"/>
    <w:rsid w:val="0AD025A1"/>
    <w:rsid w:val="0AD35E95"/>
    <w:rsid w:val="0AE00510"/>
    <w:rsid w:val="0AE16866"/>
    <w:rsid w:val="0AE21465"/>
    <w:rsid w:val="0AE222D4"/>
    <w:rsid w:val="0AE37F7E"/>
    <w:rsid w:val="0AE45479"/>
    <w:rsid w:val="0AE527FA"/>
    <w:rsid w:val="0AE70F45"/>
    <w:rsid w:val="0AE918B4"/>
    <w:rsid w:val="0AE95411"/>
    <w:rsid w:val="0AEC1DE7"/>
    <w:rsid w:val="0AEC4F01"/>
    <w:rsid w:val="0AED5443"/>
    <w:rsid w:val="0AEE2A27"/>
    <w:rsid w:val="0AF11778"/>
    <w:rsid w:val="0AF15BF0"/>
    <w:rsid w:val="0AF67B2D"/>
    <w:rsid w:val="0AF74362"/>
    <w:rsid w:val="0AF81620"/>
    <w:rsid w:val="0AFB2C44"/>
    <w:rsid w:val="0AFB3C3D"/>
    <w:rsid w:val="0AFD3352"/>
    <w:rsid w:val="0AFE0548"/>
    <w:rsid w:val="0AFF46A0"/>
    <w:rsid w:val="0AFF4C34"/>
    <w:rsid w:val="0AFF63F1"/>
    <w:rsid w:val="0B022CC5"/>
    <w:rsid w:val="0B0A6234"/>
    <w:rsid w:val="0B0B35D9"/>
    <w:rsid w:val="0B0D6D73"/>
    <w:rsid w:val="0B0E30C9"/>
    <w:rsid w:val="0B0F5248"/>
    <w:rsid w:val="0B11176E"/>
    <w:rsid w:val="0B1129A9"/>
    <w:rsid w:val="0B113C03"/>
    <w:rsid w:val="0B116715"/>
    <w:rsid w:val="0B126AB1"/>
    <w:rsid w:val="0B134E7C"/>
    <w:rsid w:val="0B146C72"/>
    <w:rsid w:val="0B147E88"/>
    <w:rsid w:val="0B1614E9"/>
    <w:rsid w:val="0B1A2148"/>
    <w:rsid w:val="0B1A4A2B"/>
    <w:rsid w:val="0B1B7A70"/>
    <w:rsid w:val="0B1C3A38"/>
    <w:rsid w:val="0B1F3180"/>
    <w:rsid w:val="0B1F6551"/>
    <w:rsid w:val="0B2102A2"/>
    <w:rsid w:val="0B212DFC"/>
    <w:rsid w:val="0B21726F"/>
    <w:rsid w:val="0B224DC6"/>
    <w:rsid w:val="0B241388"/>
    <w:rsid w:val="0B250AB1"/>
    <w:rsid w:val="0B260413"/>
    <w:rsid w:val="0B291CB1"/>
    <w:rsid w:val="0B2A37C7"/>
    <w:rsid w:val="0B2C354F"/>
    <w:rsid w:val="0B2C3E41"/>
    <w:rsid w:val="0B2E3315"/>
    <w:rsid w:val="0B2E76BB"/>
    <w:rsid w:val="0B304DED"/>
    <w:rsid w:val="0B3348DE"/>
    <w:rsid w:val="0B372620"/>
    <w:rsid w:val="0B377A74"/>
    <w:rsid w:val="0B3B06FB"/>
    <w:rsid w:val="0B3C2ADA"/>
    <w:rsid w:val="0B3D39AE"/>
    <w:rsid w:val="0B3F7726"/>
    <w:rsid w:val="0B411B91"/>
    <w:rsid w:val="0B420FC5"/>
    <w:rsid w:val="0B424B21"/>
    <w:rsid w:val="0B45006B"/>
    <w:rsid w:val="0B462863"/>
    <w:rsid w:val="0B4765DB"/>
    <w:rsid w:val="0B476BF0"/>
    <w:rsid w:val="0B4A0F0B"/>
    <w:rsid w:val="0B4D361E"/>
    <w:rsid w:val="0B5150CC"/>
    <w:rsid w:val="0B521208"/>
    <w:rsid w:val="0B52745A"/>
    <w:rsid w:val="0B536D2E"/>
    <w:rsid w:val="0B5717B6"/>
    <w:rsid w:val="0B5D1EB2"/>
    <w:rsid w:val="0B5F543C"/>
    <w:rsid w:val="0B6072B8"/>
    <w:rsid w:val="0B6131F9"/>
    <w:rsid w:val="0B613EA8"/>
    <w:rsid w:val="0B6162B2"/>
    <w:rsid w:val="0B617633"/>
    <w:rsid w:val="0B6308AD"/>
    <w:rsid w:val="0B643B74"/>
    <w:rsid w:val="0B6947A3"/>
    <w:rsid w:val="0B6B051B"/>
    <w:rsid w:val="0B6B22C9"/>
    <w:rsid w:val="0B6B4077"/>
    <w:rsid w:val="0B700331"/>
    <w:rsid w:val="0B742E70"/>
    <w:rsid w:val="0B7500C8"/>
    <w:rsid w:val="0B753F0C"/>
    <w:rsid w:val="0B777B61"/>
    <w:rsid w:val="0B786982"/>
    <w:rsid w:val="0B7A250D"/>
    <w:rsid w:val="0B815649"/>
    <w:rsid w:val="0B83602A"/>
    <w:rsid w:val="0B840EE0"/>
    <w:rsid w:val="0B8415DD"/>
    <w:rsid w:val="0B865355"/>
    <w:rsid w:val="0B8A04ED"/>
    <w:rsid w:val="0B8C391E"/>
    <w:rsid w:val="0B8E1D75"/>
    <w:rsid w:val="0B8E686D"/>
    <w:rsid w:val="0B8F357C"/>
    <w:rsid w:val="0B903ADE"/>
    <w:rsid w:val="0B913EF1"/>
    <w:rsid w:val="0B955598"/>
    <w:rsid w:val="0B96022A"/>
    <w:rsid w:val="0B971310"/>
    <w:rsid w:val="0B97379F"/>
    <w:rsid w:val="0B9D21F6"/>
    <w:rsid w:val="0B9E269F"/>
    <w:rsid w:val="0B9E73D9"/>
    <w:rsid w:val="0B9F68A0"/>
    <w:rsid w:val="0B9F79AD"/>
    <w:rsid w:val="0BA07D98"/>
    <w:rsid w:val="0BA13F4A"/>
    <w:rsid w:val="0BA15CEB"/>
    <w:rsid w:val="0BA17543"/>
    <w:rsid w:val="0BA31A63"/>
    <w:rsid w:val="0BA80C32"/>
    <w:rsid w:val="0BA82BF5"/>
    <w:rsid w:val="0BA90205"/>
    <w:rsid w:val="0BAD5358"/>
    <w:rsid w:val="0BB05F2E"/>
    <w:rsid w:val="0BB439CE"/>
    <w:rsid w:val="0BB45FBD"/>
    <w:rsid w:val="0BB579E9"/>
    <w:rsid w:val="0BB70173"/>
    <w:rsid w:val="0BB774BD"/>
    <w:rsid w:val="0BB869A2"/>
    <w:rsid w:val="0BB95ADC"/>
    <w:rsid w:val="0BBC0A65"/>
    <w:rsid w:val="0BBC2B25"/>
    <w:rsid w:val="0BBD6831"/>
    <w:rsid w:val="0BBE064B"/>
    <w:rsid w:val="0BBF2615"/>
    <w:rsid w:val="0BC35C62"/>
    <w:rsid w:val="0BC4286B"/>
    <w:rsid w:val="0BC474E4"/>
    <w:rsid w:val="0BC47C2C"/>
    <w:rsid w:val="0BC81C4A"/>
    <w:rsid w:val="0BC860C8"/>
    <w:rsid w:val="0BC87ED3"/>
    <w:rsid w:val="0BC9652C"/>
    <w:rsid w:val="0BCB2D68"/>
    <w:rsid w:val="0BCD1EAE"/>
    <w:rsid w:val="0BD240F7"/>
    <w:rsid w:val="0BD25EA5"/>
    <w:rsid w:val="0BD31C1D"/>
    <w:rsid w:val="0BD43DF3"/>
    <w:rsid w:val="0BD6132B"/>
    <w:rsid w:val="0BD81F70"/>
    <w:rsid w:val="0BD95485"/>
    <w:rsid w:val="0BD95BB5"/>
    <w:rsid w:val="0BDC6D23"/>
    <w:rsid w:val="0BE054B2"/>
    <w:rsid w:val="0BE11DB2"/>
    <w:rsid w:val="0BE1258C"/>
    <w:rsid w:val="0BE14A8C"/>
    <w:rsid w:val="0BE253B7"/>
    <w:rsid w:val="0BE436C0"/>
    <w:rsid w:val="0BE95CE8"/>
    <w:rsid w:val="0BEC07AD"/>
    <w:rsid w:val="0BEE5C90"/>
    <w:rsid w:val="0BF0350D"/>
    <w:rsid w:val="0BF10FB0"/>
    <w:rsid w:val="0BF1626A"/>
    <w:rsid w:val="0BF400E6"/>
    <w:rsid w:val="0BF93F3E"/>
    <w:rsid w:val="0BFB4ADD"/>
    <w:rsid w:val="0BFE342D"/>
    <w:rsid w:val="0BFE6C9A"/>
    <w:rsid w:val="0C012C2E"/>
    <w:rsid w:val="0C091E6C"/>
    <w:rsid w:val="0C0A3A6E"/>
    <w:rsid w:val="0C0B4332"/>
    <w:rsid w:val="0C0C7DBF"/>
    <w:rsid w:val="0C0D167A"/>
    <w:rsid w:val="0C0F70F9"/>
    <w:rsid w:val="0C0F71DA"/>
    <w:rsid w:val="0C105729"/>
    <w:rsid w:val="0C1110C3"/>
    <w:rsid w:val="0C133A84"/>
    <w:rsid w:val="0C142961"/>
    <w:rsid w:val="0C175CA7"/>
    <w:rsid w:val="0C175FAD"/>
    <w:rsid w:val="0C1815A9"/>
    <w:rsid w:val="0C1879DA"/>
    <w:rsid w:val="0C194E50"/>
    <w:rsid w:val="0C1B3CF0"/>
    <w:rsid w:val="0C1F49A2"/>
    <w:rsid w:val="0C201D4D"/>
    <w:rsid w:val="0C211ECE"/>
    <w:rsid w:val="0C2209A6"/>
    <w:rsid w:val="0C232BA4"/>
    <w:rsid w:val="0C2474FB"/>
    <w:rsid w:val="0C285FB1"/>
    <w:rsid w:val="0C2A6E3E"/>
    <w:rsid w:val="0C2B0EBA"/>
    <w:rsid w:val="0C2E0AFA"/>
    <w:rsid w:val="0C2F3CA5"/>
    <w:rsid w:val="0C3009E8"/>
    <w:rsid w:val="0C367833"/>
    <w:rsid w:val="0C394B01"/>
    <w:rsid w:val="0C3C6854"/>
    <w:rsid w:val="0C404E8A"/>
    <w:rsid w:val="0C42509F"/>
    <w:rsid w:val="0C4651F4"/>
    <w:rsid w:val="0C492541"/>
    <w:rsid w:val="0C4B3DE7"/>
    <w:rsid w:val="0C4E58C1"/>
    <w:rsid w:val="0C501D27"/>
    <w:rsid w:val="0C50793E"/>
    <w:rsid w:val="0C5114BF"/>
    <w:rsid w:val="0C57206F"/>
    <w:rsid w:val="0C590374"/>
    <w:rsid w:val="0C59279B"/>
    <w:rsid w:val="0C5B0590"/>
    <w:rsid w:val="0C5B233E"/>
    <w:rsid w:val="0C5B4879"/>
    <w:rsid w:val="0C5E598A"/>
    <w:rsid w:val="0C65314B"/>
    <w:rsid w:val="0C68516C"/>
    <w:rsid w:val="0C68631F"/>
    <w:rsid w:val="0C686809"/>
    <w:rsid w:val="0C692CAD"/>
    <w:rsid w:val="0C692D8B"/>
    <w:rsid w:val="0C694828"/>
    <w:rsid w:val="0C6A432F"/>
    <w:rsid w:val="0C6C06F2"/>
    <w:rsid w:val="0C6C454B"/>
    <w:rsid w:val="0C6E02C3"/>
    <w:rsid w:val="0C711B57"/>
    <w:rsid w:val="0C736B82"/>
    <w:rsid w:val="0C7938B6"/>
    <w:rsid w:val="0C7969B6"/>
    <w:rsid w:val="0C7B29E0"/>
    <w:rsid w:val="0C7D0506"/>
    <w:rsid w:val="0C802B5E"/>
    <w:rsid w:val="0C830103"/>
    <w:rsid w:val="0C835ACD"/>
    <w:rsid w:val="0C861525"/>
    <w:rsid w:val="0C8803BD"/>
    <w:rsid w:val="0C8A2D94"/>
    <w:rsid w:val="0C8D3004"/>
    <w:rsid w:val="0C8D626F"/>
    <w:rsid w:val="0C910D14"/>
    <w:rsid w:val="0C917B0E"/>
    <w:rsid w:val="0C930188"/>
    <w:rsid w:val="0C9415EC"/>
    <w:rsid w:val="0C953493"/>
    <w:rsid w:val="0C954C62"/>
    <w:rsid w:val="0C9A58FC"/>
    <w:rsid w:val="0C9E047D"/>
    <w:rsid w:val="0CA320AE"/>
    <w:rsid w:val="0CA44632"/>
    <w:rsid w:val="0CA939AA"/>
    <w:rsid w:val="0CAA29EF"/>
    <w:rsid w:val="0CAD06C0"/>
    <w:rsid w:val="0CAD0DFB"/>
    <w:rsid w:val="0CAD246E"/>
    <w:rsid w:val="0CAF0028"/>
    <w:rsid w:val="0CB10376"/>
    <w:rsid w:val="0CB200C5"/>
    <w:rsid w:val="0CB2155A"/>
    <w:rsid w:val="0CB217DB"/>
    <w:rsid w:val="0CB3217A"/>
    <w:rsid w:val="0CB35CD6"/>
    <w:rsid w:val="0CB366AD"/>
    <w:rsid w:val="0CB958EC"/>
    <w:rsid w:val="0CBA1D7D"/>
    <w:rsid w:val="0CBA3508"/>
    <w:rsid w:val="0CBA5605"/>
    <w:rsid w:val="0CBB2DDD"/>
    <w:rsid w:val="0CBD0606"/>
    <w:rsid w:val="0CBE467B"/>
    <w:rsid w:val="0CBF5DD4"/>
    <w:rsid w:val="0CC07D4B"/>
    <w:rsid w:val="0CC1278E"/>
    <w:rsid w:val="0CC12D18"/>
    <w:rsid w:val="0CC31C91"/>
    <w:rsid w:val="0CC42DAA"/>
    <w:rsid w:val="0CC47EE3"/>
    <w:rsid w:val="0CC52687"/>
    <w:rsid w:val="0CC63F6F"/>
    <w:rsid w:val="0CCA0105"/>
    <w:rsid w:val="0CCA457E"/>
    <w:rsid w:val="0CCF0636"/>
    <w:rsid w:val="0CCF4ADA"/>
    <w:rsid w:val="0CCF6888"/>
    <w:rsid w:val="0CCF73E8"/>
    <w:rsid w:val="0CD03FBE"/>
    <w:rsid w:val="0CD12600"/>
    <w:rsid w:val="0CD4782C"/>
    <w:rsid w:val="0CD50643"/>
    <w:rsid w:val="0CD506F9"/>
    <w:rsid w:val="0CD524E3"/>
    <w:rsid w:val="0CD619C5"/>
    <w:rsid w:val="0CD632A1"/>
    <w:rsid w:val="0CD65E68"/>
    <w:rsid w:val="0CD94CD8"/>
    <w:rsid w:val="0CDB55BE"/>
    <w:rsid w:val="0CDC0039"/>
    <w:rsid w:val="0CDD2D53"/>
    <w:rsid w:val="0CE33EB0"/>
    <w:rsid w:val="0CE566AE"/>
    <w:rsid w:val="0CE6052F"/>
    <w:rsid w:val="0CE72FBC"/>
    <w:rsid w:val="0CE852B9"/>
    <w:rsid w:val="0CE934F1"/>
    <w:rsid w:val="0CED5460"/>
    <w:rsid w:val="0CF018C0"/>
    <w:rsid w:val="0CF12CA2"/>
    <w:rsid w:val="0CF236F8"/>
    <w:rsid w:val="0CF307C8"/>
    <w:rsid w:val="0CF34003"/>
    <w:rsid w:val="0CF83D0C"/>
    <w:rsid w:val="0CF87B8D"/>
    <w:rsid w:val="0CF956B3"/>
    <w:rsid w:val="0CFA3905"/>
    <w:rsid w:val="0CFF0F1B"/>
    <w:rsid w:val="0CFF5004"/>
    <w:rsid w:val="0CFF53FF"/>
    <w:rsid w:val="0D00195A"/>
    <w:rsid w:val="0D002EE5"/>
    <w:rsid w:val="0D02275A"/>
    <w:rsid w:val="0D074274"/>
    <w:rsid w:val="0D0859C0"/>
    <w:rsid w:val="0D091A3B"/>
    <w:rsid w:val="0D097FEC"/>
    <w:rsid w:val="0D0E5602"/>
    <w:rsid w:val="0D0E73B0"/>
    <w:rsid w:val="0D0E7B62"/>
    <w:rsid w:val="0D0F341E"/>
    <w:rsid w:val="0D0F4ED6"/>
    <w:rsid w:val="0D116EA1"/>
    <w:rsid w:val="0D1674D8"/>
    <w:rsid w:val="0D183D8B"/>
    <w:rsid w:val="0D1963BF"/>
    <w:rsid w:val="0D1A5B70"/>
    <w:rsid w:val="0D1D5FFD"/>
    <w:rsid w:val="0D1F47C8"/>
    <w:rsid w:val="0D224637"/>
    <w:rsid w:val="0D232E09"/>
    <w:rsid w:val="0D26294C"/>
    <w:rsid w:val="0D293B15"/>
    <w:rsid w:val="0D2A0A91"/>
    <w:rsid w:val="0D2B7F62"/>
    <w:rsid w:val="0D2C59C1"/>
    <w:rsid w:val="0D2D431B"/>
    <w:rsid w:val="0D2D756F"/>
    <w:rsid w:val="0D2E4237"/>
    <w:rsid w:val="0D2E7A52"/>
    <w:rsid w:val="0D301276"/>
    <w:rsid w:val="0D3037CB"/>
    <w:rsid w:val="0D306F59"/>
    <w:rsid w:val="0D336E17"/>
    <w:rsid w:val="0D352AAD"/>
    <w:rsid w:val="0D362AF9"/>
    <w:rsid w:val="0D36355F"/>
    <w:rsid w:val="0D3D5EE8"/>
    <w:rsid w:val="0D3D721C"/>
    <w:rsid w:val="0D3D7C96"/>
    <w:rsid w:val="0D3E2D3A"/>
    <w:rsid w:val="0D3F65AA"/>
    <w:rsid w:val="0D4252AC"/>
    <w:rsid w:val="0D4601DE"/>
    <w:rsid w:val="0D465748"/>
    <w:rsid w:val="0D4728C2"/>
    <w:rsid w:val="0D4B28C6"/>
    <w:rsid w:val="0D4C2C7A"/>
    <w:rsid w:val="0D4C2CB8"/>
    <w:rsid w:val="0D4E5F95"/>
    <w:rsid w:val="0D4F144C"/>
    <w:rsid w:val="0D502CD9"/>
    <w:rsid w:val="0D503946"/>
    <w:rsid w:val="0D505FE7"/>
    <w:rsid w:val="0D5137B8"/>
    <w:rsid w:val="0D542CB1"/>
    <w:rsid w:val="0D554801"/>
    <w:rsid w:val="0D556D8D"/>
    <w:rsid w:val="0D562B05"/>
    <w:rsid w:val="0D570D57"/>
    <w:rsid w:val="0D576FA9"/>
    <w:rsid w:val="0D58062B"/>
    <w:rsid w:val="0D5846EC"/>
    <w:rsid w:val="0D5B011C"/>
    <w:rsid w:val="0D5C539B"/>
    <w:rsid w:val="0D5C68F7"/>
    <w:rsid w:val="0D5F5E5E"/>
    <w:rsid w:val="0D646FD0"/>
    <w:rsid w:val="0D650A0F"/>
    <w:rsid w:val="0D662285"/>
    <w:rsid w:val="0D662D48"/>
    <w:rsid w:val="0D6945E7"/>
    <w:rsid w:val="0D703BC7"/>
    <w:rsid w:val="0D705BFF"/>
    <w:rsid w:val="0D7336B7"/>
    <w:rsid w:val="0D755681"/>
    <w:rsid w:val="0D75742F"/>
    <w:rsid w:val="0D766D04"/>
    <w:rsid w:val="0D774F56"/>
    <w:rsid w:val="0D785A31"/>
    <w:rsid w:val="0D794204"/>
    <w:rsid w:val="0D796802"/>
    <w:rsid w:val="0D7A371F"/>
    <w:rsid w:val="0D7C6500"/>
    <w:rsid w:val="0D7D16BA"/>
    <w:rsid w:val="0D7F02AE"/>
    <w:rsid w:val="0D801BE2"/>
    <w:rsid w:val="0D8256A8"/>
    <w:rsid w:val="0D841421"/>
    <w:rsid w:val="0D843776"/>
    <w:rsid w:val="0D847672"/>
    <w:rsid w:val="0D864548"/>
    <w:rsid w:val="0D8860DF"/>
    <w:rsid w:val="0D897846"/>
    <w:rsid w:val="0D8A27BE"/>
    <w:rsid w:val="0D8C1F51"/>
    <w:rsid w:val="0D8C2B0B"/>
    <w:rsid w:val="0D8C2F07"/>
    <w:rsid w:val="0D8F7B98"/>
    <w:rsid w:val="0D91656F"/>
    <w:rsid w:val="0D920B0E"/>
    <w:rsid w:val="0D9231F2"/>
    <w:rsid w:val="0D951880"/>
    <w:rsid w:val="0D99115D"/>
    <w:rsid w:val="0D9A6FA7"/>
    <w:rsid w:val="0D9D3F92"/>
    <w:rsid w:val="0D9E76B1"/>
    <w:rsid w:val="0D9F5C00"/>
    <w:rsid w:val="0DA10224"/>
    <w:rsid w:val="0DA16BED"/>
    <w:rsid w:val="0DA33A09"/>
    <w:rsid w:val="0DA50530"/>
    <w:rsid w:val="0DA62447"/>
    <w:rsid w:val="0DA701F1"/>
    <w:rsid w:val="0DA73361"/>
    <w:rsid w:val="0DA82909"/>
    <w:rsid w:val="0DA841F7"/>
    <w:rsid w:val="0DA90DA6"/>
    <w:rsid w:val="0DA94958"/>
    <w:rsid w:val="0DAD2C98"/>
    <w:rsid w:val="0DAD3A74"/>
    <w:rsid w:val="0DAE107A"/>
    <w:rsid w:val="0DAE5F61"/>
    <w:rsid w:val="0DB25311"/>
    <w:rsid w:val="0DB55A7E"/>
    <w:rsid w:val="0DB600CF"/>
    <w:rsid w:val="0DB62B64"/>
    <w:rsid w:val="0DB8556E"/>
    <w:rsid w:val="0DBA3AA3"/>
    <w:rsid w:val="0DBC0BBA"/>
    <w:rsid w:val="0DBC26D5"/>
    <w:rsid w:val="0DBC35A2"/>
    <w:rsid w:val="0DC046B9"/>
    <w:rsid w:val="0DC12DB6"/>
    <w:rsid w:val="0DC272FE"/>
    <w:rsid w:val="0DC432BA"/>
    <w:rsid w:val="0DC857B1"/>
    <w:rsid w:val="0DCA0BA0"/>
    <w:rsid w:val="0DCB2B68"/>
    <w:rsid w:val="0DCC08BC"/>
    <w:rsid w:val="0DCF4D92"/>
    <w:rsid w:val="0DD028B8"/>
    <w:rsid w:val="0DD24882"/>
    <w:rsid w:val="0DD8176C"/>
    <w:rsid w:val="0DD9068C"/>
    <w:rsid w:val="0DDA66CE"/>
    <w:rsid w:val="0DDD6D83"/>
    <w:rsid w:val="0DE03E2A"/>
    <w:rsid w:val="0DE11AB2"/>
    <w:rsid w:val="0DE13641"/>
    <w:rsid w:val="0DE34399"/>
    <w:rsid w:val="0DE6032D"/>
    <w:rsid w:val="0DE624FD"/>
    <w:rsid w:val="0DEA4AD9"/>
    <w:rsid w:val="0DEB125B"/>
    <w:rsid w:val="0DEC4B28"/>
    <w:rsid w:val="0DEC4D92"/>
    <w:rsid w:val="0DED5218"/>
    <w:rsid w:val="0DEE4F24"/>
    <w:rsid w:val="0DEF71E2"/>
    <w:rsid w:val="0DF03395"/>
    <w:rsid w:val="0DF34025"/>
    <w:rsid w:val="0DF348F6"/>
    <w:rsid w:val="0DF45918"/>
    <w:rsid w:val="0DF87126"/>
    <w:rsid w:val="0DFE11D3"/>
    <w:rsid w:val="0DFE7723"/>
    <w:rsid w:val="0E0013EF"/>
    <w:rsid w:val="0E025EB2"/>
    <w:rsid w:val="0E0424E5"/>
    <w:rsid w:val="0E0470FA"/>
    <w:rsid w:val="0E073EF1"/>
    <w:rsid w:val="0E0A0FAD"/>
    <w:rsid w:val="0E0B3560"/>
    <w:rsid w:val="0E124104"/>
    <w:rsid w:val="0E124C7E"/>
    <w:rsid w:val="0E1327A4"/>
    <w:rsid w:val="0E143B8C"/>
    <w:rsid w:val="0E147B42"/>
    <w:rsid w:val="0E1529C0"/>
    <w:rsid w:val="0E160C52"/>
    <w:rsid w:val="0E172295"/>
    <w:rsid w:val="0E182D4A"/>
    <w:rsid w:val="0E186FB3"/>
    <w:rsid w:val="0E19425F"/>
    <w:rsid w:val="0E195A0E"/>
    <w:rsid w:val="0E1B35E8"/>
    <w:rsid w:val="0E1C6DF7"/>
    <w:rsid w:val="0E1F1149"/>
    <w:rsid w:val="0E204F44"/>
    <w:rsid w:val="0E22389C"/>
    <w:rsid w:val="0E245572"/>
    <w:rsid w:val="0E2546C7"/>
    <w:rsid w:val="0E2A1FC8"/>
    <w:rsid w:val="0E2D2DB4"/>
    <w:rsid w:val="0E2D33E4"/>
    <w:rsid w:val="0E2D67F1"/>
    <w:rsid w:val="0E306BE2"/>
    <w:rsid w:val="0E314150"/>
    <w:rsid w:val="0E346667"/>
    <w:rsid w:val="0E364E11"/>
    <w:rsid w:val="0E370B89"/>
    <w:rsid w:val="0E3C1CFB"/>
    <w:rsid w:val="0E3C6BFB"/>
    <w:rsid w:val="0E3D00E8"/>
    <w:rsid w:val="0E3D4D49"/>
    <w:rsid w:val="0E40371C"/>
    <w:rsid w:val="0E415563"/>
    <w:rsid w:val="0E415DA1"/>
    <w:rsid w:val="0E42139A"/>
    <w:rsid w:val="0E422CE9"/>
    <w:rsid w:val="0E441659"/>
    <w:rsid w:val="0E4449F2"/>
    <w:rsid w:val="0E456E02"/>
    <w:rsid w:val="0E464928"/>
    <w:rsid w:val="0E46526A"/>
    <w:rsid w:val="0E4B63E2"/>
    <w:rsid w:val="0E4D215A"/>
    <w:rsid w:val="0E4E6030"/>
    <w:rsid w:val="0E52151F"/>
    <w:rsid w:val="0E552D3A"/>
    <w:rsid w:val="0E567031"/>
    <w:rsid w:val="0E567261"/>
    <w:rsid w:val="0E567BE0"/>
    <w:rsid w:val="0E5704C1"/>
    <w:rsid w:val="0E572FD9"/>
    <w:rsid w:val="0E574D87"/>
    <w:rsid w:val="0E59465B"/>
    <w:rsid w:val="0E5A12D1"/>
    <w:rsid w:val="0E5B3C27"/>
    <w:rsid w:val="0E5B3EAA"/>
    <w:rsid w:val="0E5C05EF"/>
    <w:rsid w:val="0E5C414B"/>
    <w:rsid w:val="0E5F36CF"/>
    <w:rsid w:val="0E5F63C7"/>
    <w:rsid w:val="0E6179B4"/>
    <w:rsid w:val="0E6354DA"/>
    <w:rsid w:val="0E6A0D44"/>
    <w:rsid w:val="0E6A5895"/>
    <w:rsid w:val="0E6D0CE5"/>
    <w:rsid w:val="0E6E0FB5"/>
    <w:rsid w:val="0E6F20D1"/>
    <w:rsid w:val="0E6F58B9"/>
    <w:rsid w:val="0E713543"/>
    <w:rsid w:val="0E717873"/>
    <w:rsid w:val="0E721057"/>
    <w:rsid w:val="0E747D3C"/>
    <w:rsid w:val="0E76520D"/>
    <w:rsid w:val="0E785926"/>
    <w:rsid w:val="0E7B6CC7"/>
    <w:rsid w:val="0E7C0F5C"/>
    <w:rsid w:val="0E7C4BD8"/>
    <w:rsid w:val="0E820056"/>
    <w:rsid w:val="0E82037F"/>
    <w:rsid w:val="0E87741A"/>
    <w:rsid w:val="0E8B452B"/>
    <w:rsid w:val="0E8C4A31"/>
    <w:rsid w:val="0E91082B"/>
    <w:rsid w:val="0E921546"/>
    <w:rsid w:val="0E925FDE"/>
    <w:rsid w:val="0E956170"/>
    <w:rsid w:val="0E9733D5"/>
    <w:rsid w:val="0E9758DC"/>
    <w:rsid w:val="0E9C616C"/>
    <w:rsid w:val="0EA004DC"/>
    <w:rsid w:val="0EA7186A"/>
    <w:rsid w:val="0EA93835"/>
    <w:rsid w:val="0EAA5EDA"/>
    <w:rsid w:val="0EAD2BF9"/>
    <w:rsid w:val="0EB00B39"/>
    <w:rsid w:val="0EB07C3C"/>
    <w:rsid w:val="0EB44E55"/>
    <w:rsid w:val="0EB601BC"/>
    <w:rsid w:val="0EB61555"/>
    <w:rsid w:val="0EB62334"/>
    <w:rsid w:val="0EB75826"/>
    <w:rsid w:val="0EB84C8D"/>
    <w:rsid w:val="0EB94DDD"/>
    <w:rsid w:val="0EB96B68"/>
    <w:rsid w:val="0EB977F0"/>
    <w:rsid w:val="0EBA5F4D"/>
    <w:rsid w:val="0EBB70C4"/>
    <w:rsid w:val="0EBD5B29"/>
    <w:rsid w:val="0EBE6504"/>
    <w:rsid w:val="0EBE6BB4"/>
    <w:rsid w:val="0EBF21EA"/>
    <w:rsid w:val="0EC00D40"/>
    <w:rsid w:val="0EC37802"/>
    <w:rsid w:val="0EC576DC"/>
    <w:rsid w:val="0EC708A2"/>
    <w:rsid w:val="0EC718F9"/>
    <w:rsid w:val="0EC75A69"/>
    <w:rsid w:val="0ECC00DC"/>
    <w:rsid w:val="0ECF2402"/>
    <w:rsid w:val="0ECF2B6F"/>
    <w:rsid w:val="0ED36852"/>
    <w:rsid w:val="0ED40186"/>
    <w:rsid w:val="0ED44081"/>
    <w:rsid w:val="0ED56BA3"/>
    <w:rsid w:val="0EDA1A19"/>
    <w:rsid w:val="0EDB2EAB"/>
    <w:rsid w:val="0EDC35A2"/>
    <w:rsid w:val="0EDC6003"/>
    <w:rsid w:val="0EDE2DB2"/>
    <w:rsid w:val="0EDE63B0"/>
    <w:rsid w:val="0EE07897"/>
    <w:rsid w:val="0EE24442"/>
    <w:rsid w:val="0EE70AFE"/>
    <w:rsid w:val="0EE82110"/>
    <w:rsid w:val="0EEA15E8"/>
    <w:rsid w:val="0EEA1757"/>
    <w:rsid w:val="0EEC575B"/>
    <w:rsid w:val="0EED6289"/>
    <w:rsid w:val="0EEF6D6E"/>
    <w:rsid w:val="0EF12AE6"/>
    <w:rsid w:val="0EF136F8"/>
    <w:rsid w:val="0EF14E81"/>
    <w:rsid w:val="0EF154B3"/>
    <w:rsid w:val="0EF16F8A"/>
    <w:rsid w:val="0EF22584"/>
    <w:rsid w:val="0EF27B76"/>
    <w:rsid w:val="0EF27F59"/>
    <w:rsid w:val="0EF32D02"/>
    <w:rsid w:val="0EF77E91"/>
    <w:rsid w:val="0EF90E57"/>
    <w:rsid w:val="0EFA464C"/>
    <w:rsid w:val="0EFB6588"/>
    <w:rsid w:val="0EFC7572"/>
    <w:rsid w:val="0EFE5203"/>
    <w:rsid w:val="0EFF2863"/>
    <w:rsid w:val="0F0446B8"/>
    <w:rsid w:val="0F061C8F"/>
    <w:rsid w:val="0F0740B7"/>
    <w:rsid w:val="0F0A1171"/>
    <w:rsid w:val="0F0C1757"/>
    <w:rsid w:val="0F0D215A"/>
    <w:rsid w:val="0F152678"/>
    <w:rsid w:val="0F152C78"/>
    <w:rsid w:val="0F190AC1"/>
    <w:rsid w:val="0F1B5C13"/>
    <w:rsid w:val="0F1C695A"/>
    <w:rsid w:val="0F1D72DA"/>
    <w:rsid w:val="0F1E40C0"/>
    <w:rsid w:val="0F1F58A5"/>
    <w:rsid w:val="0F20161D"/>
    <w:rsid w:val="0F22328B"/>
    <w:rsid w:val="0F22538D"/>
    <w:rsid w:val="0F225395"/>
    <w:rsid w:val="0F234C69"/>
    <w:rsid w:val="0F2707E0"/>
    <w:rsid w:val="0F274759"/>
    <w:rsid w:val="0F276200"/>
    <w:rsid w:val="0F2A6DB4"/>
    <w:rsid w:val="0F2E5AE8"/>
    <w:rsid w:val="0F307D30"/>
    <w:rsid w:val="0F320EF5"/>
    <w:rsid w:val="0F331226"/>
    <w:rsid w:val="0F345C40"/>
    <w:rsid w:val="0F360E40"/>
    <w:rsid w:val="0F3C2E8E"/>
    <w:rsid w:val="0F3E0EFE"/>
    <w:rsid w:val="0F3E2D9D"/>
    <w:rsid w:val="0F3E4FBF"/>
    <w:rsid w:val="0F3F040E"/>
    <w:rsid w:val="0F4149A2"/>
    <w:rsid w:val="0F414F0D"/>
    <w:rsid w:val="0F421593"/>
    <w:rsid w:val="0F443D23"/>
    <w:rsid w:val="0F461BB7"/>
    <w:rsid w:val="0F492922"/>
    <w:rsid w:val="0F496543"/>
    <w:rsid w:val="0F497DC6"/>
    <w:rsid w:val="0F4A548B"/>
    <w:rsid w:val="0F4B48EC"/>
    <w:rsid w:val="0F4C5D33"/>
    <w:rsid w:val="0F500E86"/>
    <w:rsid w:val="0F5117D6"/>
    <w:rsid w:val="0F521146"/>
    <w:rsid w:val="0F566DED"/>
    <w:rsid w:val="0F5947B2"/>
    <w:rsid w:val="0F5A0DB5"/>
    <w:rsid w:val="0F5B25BA"/>
    <w:rsid w:val="0F603D5D"/>
    <w:rsid w:val="0F621C35"/>
    <w:rsid w:val="0F62206D"/>
    <w:rsid w:val="0F623C4A"/>
    <w:rsid w:val="0F67724C"/>
    <w:rsid w:val="0F6E05DA"/>
    <w:rsid w:val="0F6E1606"/>
    <w:rsid w:val="0F715790"/>
    <w:rsid w:val="0F7174C8"/>
    <w:rsid w:val="0F735774"/>
    <w:rsid w:val="0F753717"/>
    <w:rsid w:val="0F776D4E"/>
    <w:rsid w:val="0F7C0530"/>
    <w:rsid w:val="0F7C53C2"/>
    <w:rsid w:val="0F7C5655"/>
    <w:rsid w:val="0F7D0405"/>
    <w:rsid w:val="0F7D6A6F"/>
    <w:rsid w:val="0F7F00F1"/>
    <w:rsid w:val="0F825E34"/>
    <w:rsid w:val="0F8518D6"/>
    <w:rsid w:val="0F856214"/>
    <w:rsid w:val="0F86704A"/>
    <w:rsid w:val="0F8D3E0D"/>
    <w:rsid w:val="0F8E03AD"/>
    <w:rsid w:val="0F8E47D8"/>
    <w:rsid w:val="0F9027A7"/>
    <w:rsid w:val="0F916077"/>
    <w:rsid w:val="0F934705"/>
    <w:rsid w:val="0F9400AF"/>
    <w:rsid w:val="0F955633"/>
    <w:rsid w:val="0F9811CC"/>
    <w:rsid w:val="0F9A115E"/>
    <w:rsid w:val="0F9A13CF"/>
    <w:rsid w:val="0F9A1A2E"/>
    <w:rsid w:val="0F9B7DE0"/>
    <w:rsid w:val="0F9C5147"/>
    <w:rsid w:val="0F9C7C1B"/>
    <w:rsid w:val="0F9F39DA"/>
    <w:rsid w:val="0FA00781"/>
    <w:rsid w:val="0FA06C19"/>
    <w:rsid w:val="0FA43FFC"/>
    <w:rsid w:val="0FA45E04"/>
    <w:rsid w:val="0FA8509D"/>
    <w:rsid w:val="0FA9079E"/>
    <w:rsid w:val="0FAB7138"/>
    <w:rsid w:val="0FAC4209"/>
    <w:rsid w:val="0FAC5576"/>
    <w:rsid w:val="0FAE7CD9"/>
    <w:rsid w:val="0FB35201"/>
    <w:rsid w:val="0FB35FED"/>
    <w:rsid w:val="0FB408C2"/>
    <w:rsid w:val="0FB87AA7"/>
    <w:rsid w:val="0FBA737B"/>
    <w:rsid w:val="0FBC10A0"/>
    <w:rsid w:val="0FBD0CBE"/>
    <w:rsid w:val="0FC031FC"/>
    <w:rsid w:val="0FC147F0"/>
    <w:rsid w:val="0FC471E7"/>
    <w:rsid w:val="0FC836F6"/>
    <w:rsid w:val="0FC91CB4"/>
    <w:rsid w:val="0FCB3503"/>
    <w:rsid w:val="0FCE2E27"/>
    <w:rsid w:val="0FCE6B04"/>
    <w:rsid w:val="0FD04DF1"/>
    <w:rsid w:val="0FD06B9F"/>
    <w:rsid w:val="0FD22917"/>
    <w:rsid w:val="0FD8022A"/>
    <w:rsid w:val="0FD91EF8"/>
    <w:rsid w:val="0FDA17CC"/>
    <w:rsid w:val="0FDA5C70"/>
    <w:rsid w:val="0FDB1EA6"/>
    <w:rsid w:val="0FE16FFE"/>
    <w:rsid w:val="0FE17EF3"/>
    <w:rsid w:val="0FE213CA"/>
    <w:rsid w:val="0FE377E8"/>
    <w:rsid w:val="0FE4422D"/>
    <w:rsid w:val="0FE467C4"/>
    <w:rsid w:val="0FE64614"/>
    <w:rsid w:val="0FE97E61"/>
    <w:rsid w:val="0FEA4DE8"/>
    <w:rsid w:val="0FED36FC"/>
    <w:rsid w:val="0FEE1681"/>
    <w:rsid w:val="0FEF7810"/>
    <w:rsid w:val="0FF2513F"/>
    <w:rsid w:val="0FF30225"/>
    <w:rsid w:val="0FF334F9"/>
    <w:rsid w:val="0FF54874"/>
    <w:rsid w:val="0FF56606"/>
    <w:rsid w:val="0FF66235"/>
    <w:rsid w:val="0FF7237E"/>
    <w:rsid w:val="0FF7412C"/>
    <w:rsid w:val="0FF800FD"/>
    <w:rsid w:val="0FF860F6"/>
    <w:rsid w:val="0FFA7511"/>
    <w:rsid w:val="0FFC18E1"/>
    <w:rsid w:val="0FFC5BE6"/>
    <w:rsid w:val="0FFE2CF5"/>
    <w:rsid w:val="0FFF2388"/>
    <w:rsid w:val="0FFF7050"/>
    <w:rsid w:val="0FFF7484"/>
    <w:rsid w:val="100104ED"/>
    <w:rsid w:val="1001396E"/>
    <w:rsid w:val="10015206"/>
    <w:rsid w:val="10016539"/>
    <w:rsid w:val="10032FEE"/>
    <w:rsid w:val="100506A5"/>
    <w:rsid w:val="10052978"/>
    <w:rsid w:val="10057D04"/>
    <w:rsid w:val="100762C1"/>
    <w:rsid w:val="100827DD"/>
    <w:rsid w:val="10086339"/>
    <w:rsid w:val="10090303"/>
    <w:rsid w:val="100A7A22"/>
    <w:rsid w:val="100B7BD7"/>
    <w:rsid w:val="100D2BE2"/>
    <w:rsid w:val="100E1475"/>
    <w:rsid w:val="100E5CAF"/>
    <w:rsid w:val="10113547"/>
    <w:rsid w:val="10140F0B"/>
    <w:rsid w:val="10167D23"/>
    <w:rsid w:val="101B354E"/>
    <w:rsid w:val="101C0036"/>
    <w:rsid w:val="101C3B92"/>
    <w:rsid w:val="101F1A5E"/>
    <w:rsid w:val="102548E5"/>
    <w:rsid w:val="10260EB5"/>
    <w:rsid w:val="102748C3"/>
    <w:rsid w:val="102869DB"/>
    <w:rsid w:val="10294501"/>
    <w:rsid w:val="102B0279"/>
    <w:rsid w:val="102F2BD5"/>
    <w:rsid w:val="1031693D"/>
    <w:rsid w:val="10330A53"/>
    <w:rsid w:val="103C5FE2"/>
    <w:rsid w:val="103E7FAD"/>
    <w:rsid w:val="103F090B"/>
    <w:rsid w:val="10412779"/>
    <w:rsid w:val="104215AD"/>
    <w:rsid w:val="10450A75"/>
    <w:rsid w:val="10451B02"/>
    <w:rsid w:val="1045758D"/>
    <w:rsid w:val="10466E61"/>
    <w:rsid w:val="10472600"/>
    <w:rsid w:val="10480E2B"/>
    <w:rsid w:val="10491124"/>
    <w:rsid w:val="10495088"/>
    <w:rsid w:val="1049764A"/>
    <w:rsid w:val="10501A8E"/>
    <w:rsid w:val="1051426B"/>
    <w:rsid w:val="10531E50"/>
    <w:rsid w:val="1054157E"/>
    <w:rsid w:val="10545757"/>
    <w:rsid w:val="105461B9"/>
    <w:rsid w:val="105552F6"/>
    <w:rsid w:val="10555F6D"/>
    <w:rsid w:val="1057106E"/>
    <w:rsid w:val="10577232"/>
    <w:rsid w:val="1058465E"/>
    <w:rsid w:val="10592753"/>
    <w:rsid w:val="105A290D"/>
    <w:rsid w:val="105A2D8F"/>
    <w:rsid w:val="105D345A"/>
    <w:rsid w:val="105D63F9"/>
    <w:rsid w:val="105E064F"/>
    <w:rsid w:val="1061179A"/>
    <w:rsid w:val="10611EED"/>
    <w:rsid w:val="10614337"/>
    <w:rsid w:val="106317C1"/>
    <w:rsid w:val="10631E54"/>
    <w:rsid w:val="10647BA9"/>
    <w:rsid w:val="10657AB9"/>
    <w:rsid w:val="10680620"/>
    <w:rsid w:val="106A0DA2"/>
    <w:rsid w:val="106A2B50"/>
    <w:rsid w:val="10715F7B"/>
    <w:rsid w:val="10741C20"/>
    <w:rsid w:val="107C283F"/>
    <w:rsid w:val="108005C5"/>
    <w:rsid w:val="10814A04"/>
    <w:rsid w:val="108160EB"/>
    <w:rsid w:val="10832E0B"/>
    <w:rsid w:val="10833164"/>
    <w:rsid w:val="108370C8"/>
    <w:rsid w:val="10875725"/>
    <w:rsid w:val="10883120"/>
    <w:rsid w:val="108911C5"/>
    <w:rsid w:val="108A1444"/>
    <w:rsid w:val="108A4FA0"/>
    <w:rsid w:val="108E6F01"/>
    <w:rsid w:val="10900B1F"/>
    <w:rsid w:val="10913E8C"/>
    <w:rsid w:val="10931F86"/>
    <w:rsid w:val="10947BCD"/>
    <w:rsid w:val="10953945"/>
    <w:rsid w:val="10961B97"/>
    <w:rsid w:val="10974C3A"/>
    <w:rsid w:val="10993435"/>
    <w:rsid w:val="109B55DD"/>
    <w:rsid w:val="109D6C37"/>
    <w:rsid w:val="109D7554"/>
    <w:rsid w:val="109E0A4B"/>
    <w:rsid w:val="10A01446"/>
    <w:rsid w:val="10A06297"/>
    <w:rsid w:val="10A16D44"/>
    <w:rsid w:val="10A342B4"/>
    <w:rsid w:val="10A55D1C"/>
    <w:rsid w:val="10A617F0"/>
    <w:rsid w:val="10A61E7C"/>
    <w:rsid w:val="10A7019F"/>
    <w:rsid w:val="10A8356E"/>
    <w:rsid w:val="10A862A6"/>
    <w:rsid w:val="10AA5642"/>
    <w:rsid w:val="10AA6545"/>
    <w:rsid w:val="10AC44D8"/>
    <w:rsid w:val="10AD5132"/>
    <w:rsid w:val="10AD72AB"/>
    <w:rsid w:val="10AE4D8D"/>
    <w:rsid w:val="10AE7BB6"/>
    <w:rsid w:val="10AF0EAA"/>
    <w:rsid w:val="10B02EBA"/>
    <w:rsid w:val="10B4201D"/>
    <w:rsid w:val="10B60B86"/>
    <w:rsid w:val="10B62239"/>
    <w:rsid w:val="10B63FE7"/>
    <w:rsid w:val="10B71B0D"/>
    <w:rsid w:val="10B72514"/>
    <w:rsid w:val="10B970C0"/>
    <w:rsid w:val="10BA1BAB"/>
    <w:rsid w:val="10BA444E"/>
    <w:rsid w:val="10BB784F"/>
    <w:rsid w:val="10BE2E9B"/>
    <w:rsid w:val="10BF068B"/>
    <w:rsid w:val="10C007C6"/>
    <w:rsid w:val="10C02CE5"/>
    <w:rsid w:val="10C048DB"/>
    <w:rsid w:val="10C20985"/>
    <w:rsid w:val="10C34ADA"/>
    <w:rsid w:val="10CB7F31"/>
    <w:rsid w:val="10CC4618"/>
    <w:rsid w:val="10CC519A"/>
    <w:rsid w:val="10D01EC3"/>
    <w:rsid w:val="10D023F0"/>
    <w:rsid w:val="10D048D2"/>
    <w:rsid w:val="10D55A45"/>
    <w:rsid w:val="10D55DA0"/>
    <w:rsid w:val="10D601E5"/>
    <w:rsid w:val="10D75D0B"/>
    <w:rsid w:val="10D80278"/>
    <w:rsid w:val="10D80401"/>
    <w:rsid w:val="10D80D24"/>
    <w:rsid w:val="10D971F3"/>
    <w:rsid w:val="10DC0F2F"/>
    <w:rsid w:val="10DD79E1"/>
    <w:rsid w:val="10DF235D"/>
    <w:rsid w:val="10E02E12"/>
    <w:rsid w:val="10E040A4"/>
    <w:rsid w:val="10E34E12"/>
    <w:rsid w:val="10E548CC"/>
    <w:rsid w:val="10E5667A"/>
    <w:rsid w:val="10E568E1"/>
    <w:rsid w:val="10E628EC"/>
    <w:rsid w:val="10E84D6D"/>
    <w:rsid w:val="10E943BC"/>
    <w:rsid w:val="10EB7CBC"/>
    <w:rsid w:val="10EE19D3"/>
    <w:rsid w:val="10EE78D4"/>
    <w:rsid w:val="10F16DCD"/>
    <w:rsid w:val="10F3447D"/>
    <w:rsid w:val="10F7015B"/>
    <w:rsid w:val="10F706F1"/>
    <w:rsid w:val="10F845FF"/>
    <w:rsid w:val="10F87F7D"/>
    <w:rsid w:val="10FC371E"/>
    <w:rsid w:val="10FD39C4"/>
    <w:rsid w:val="10FE14EA"/>
    <w:rsid w:val="10FE41CC"/>
    <w:rsid w:val="10FF0BAC"/>
    <w:rsid w:val="11005262"/>
    <w:rsid w:val="11035127"/>
    <w:rsid w:val="11045747"/>
    <w:rsid w:val="11050ACA"/>
    <w:rsid w:val="11072A94"/>
    <w:rsid w:val="110805BA"/>
    <w:rsid w:val="11096BAC"/>
    <w:rsid w:val="110C4E1A"/>
    <w:rsid w:val="110F7B9B"/>
    <w:rsid w:val="111139CF"/>
    <w:rsid w:val="11131439"/>
    <w:rsid w:val="111451B1"/>
    <w:rsid w:val="11154EB9"/>
    <w:rsid w:val="1119245F"/>
    <w:rsid w:val="111927C8"/>
    <w:rsid w:val="11194F2A"/>
    <w:rsid w:val="111A6EFA"/>
    <w:rsid w:val="111B0285"/>
    <w:rsid w:val="111B7213"/>
    <w:rsid w:val="111C73B1"/>
    <w:rsid w:val="111D5E14"/>
    <w:rsid w:val="111E0672"/>
    <w:rsid w:val="111F42F7"/>
    <w:rsid w:val="11204C3B"/>
    <w:rsid w:val="11205904"/>
    <w:rsid w:val="11251AE0"/>
    <w:rsid w:val="11267724"/>
    <w:rsid w:val="11270A41"/>
    <w:rsid w:val="112A5435"/>
    <w:rsid w:val="112C75D4"/>
    <w:rsid w:val="112D1562"/>
    <w:rsid w:val="112D445E"/>
    <w:rsid w:val="112D492C"/>
    <w:rsid w:val="112E5F43"/>
    <w:rsid w:val="11300EBB"/>
    <w:rsid w:val="11317B11"/>
    <w:rsid w:val="11341E4F"/>
    <w:rsid w:val="113806CA"/>
    <w:rsid w:val="113C22C8"/>
    <w:rsid w:val="114204E8"/>
    <w:rsid w:val="11422AFB"/>
    <w:rsid w:val="1143668D"/>
    <w:rsid w:val="1145463D"/>
    <w:rsid w:val="11476CD5"/>
    <w:rsid w:val="11477335"/>
    <w:rsid w:val="114809B7"/>
    <w:rsid w:val="11494E5B"/>
    <w:rsid w:val="114A0A4B"/>
    <w:rsid w:val="114A0BD3"/>
    <w:rsid w:val="114C040B"/>
    <w:rsid w:val="114E4BF6"/>
    <w:rsid w:val="114F7856"/>
    <w:rsid w:val="11511F61"/>
    <w:rsid w:val="11531948"/>
    <w:rsid w:val="11544CCA"/>
    <w:rsid w:val="11570DFF"/>
    <w:rsid w:val="1158509E"/>
    <w:rsid w:val="11590DA4"/>
    <w:rsid w:val="115B693C"/>
    <w:rsid w:val="115D0906"/>
    <w:rsid w:val="115D7105"/>
    <w:rsid w:val="115F2993"/>
    <w:rsid w:val="116018EC"/>
    <w:rsid w:val="1160654C"/>
    <w:rsid w:val="11610C55"/>
    <w:rsid w:val="11641C95"/>
    <w:rsid w:val="11647700"/>
    <w:rsid w:val="11651F8A"/>
    <w:rsid w:val="116539AC"/>
    <w:rsid w:val="11671785"/>
    <w:rsid w:val="116752E1"/>
    <w:rsid w:val="11681CD4"/>
    <w:rsid w:val="116F5455"/>
    <w:rsid w:val="11736D59"/>
    <w:rsid w:val="11737540"/>
    <w:rsid w:val="1174304F"/>
    <w:rsid w:val="11771755"/>
    <w:rsid w:val="11797ED3"/>
    <w:rsid w:val="117C25E5"/>
    <w:rsid w:val="117C7FC7"/>
    <w:rsid w:val="117D7F9E"/>
    <w:rsid w:val="117F289A"/>
    <w:rsid w:val="117F6226"/>
    <w:rsid w:val="1181566E"/>
    <w:rsid w:val="11845E93"/>
    <w:rsid w:val="118474C9"/>
    <w:rsid w:val="11880A5B"/>
    <w:rsid w:val="118B1BAF"/>
    <w:rsid w:val="118E5C45"/>
    <w:rsid w:val="118F004D"/>
    <w:rsid w:val="1191235E"/>
    <w:rsid w:val="119423A3"/>
    <w:rsid w:val="11991213"/>
    <w:rsid w:val="119A56B6"/>
    <w:rsid w:val="119B4F62"/>
    <w:rsid w:val="119D0D03"/>
    <w:rsid w:val="119F267C"/>
    <w:rsid w:val="11A03F81"/>
    <w:rsid w:val="11A30CE1"/>
    <w:rsid w:val="11A42091"/>
    <w:rsid w:val="11A53D33"/>
    <w:rsid w:val="11A66F74"/>
    <w:rsid w:val="11A7392F"/>
    <w:rsid w:val="11A92A77"/>
    <w:rsid w:val="11AD7D50"/>
    <w:rsid w:val="11AE6CFA"/>
    <w:rsid w:val="11AF2784"/>
    <w:rsid w:val="11B00A36"/>
    <w:rsid w:val="11B147AE"/>
    <w:rsid w:val="11B211CD"/>
    <w:rsid w:val="11B85B3D"/>
    <w:rsid w:val="11BA40BE"/>
    <w:rsid w:val="11BD2FE3"/>
    <w:rsid w:val="11BD4718"/>
    <w:rsid w:val="11BD71AA"/>
    <w:rsid w:val="11BE7053"/>
    <w:rsid w:val="11BF2051"/>
    <w:rsid w:val="11BF4B92"/>
    <w:rsid w:val="11C24C0D"/>
    <w:rsid w:val="11C447CC"/>
    <w:rsid w:val="11C72224"/>
    <w:rsid w:val="11C73FD2"/>
    <w:rsid w:val="11C86122"/>
    <w:rsid w:val="11C9307C"/>
    <w:rsid w:val="11C93240"/>
    <w:rsid w:val="11CF4ACE"/>
    <w:rsid w:val="11D010D8"/>
    <w:rsid w:val="11D363A6"/>
    <w:rsid w:val="11D81D3B"/>
    <w:rsid w:val="11D95DB8"/>
    <w:rsid w:val="11DB182B"/>
    <w:rsid w:val="11DD1A47"/>
    <w:rsid w:val="11DF2A95"/>
    <w:rsid w:val="11E06E41"/>
    <w:rsid w:val="11E10391"/>
    <w:rsid w:val="11E30427"/>
    <w:rsid w:val="11E56EAC"/>
    <w:rsid w:val="11E57206"/>
    <w:rsid w:val="11EA02FB"/>
    <w:rsid w:val="11EA48C7"/>
    <w:rsid w:val="11EB2C99"/>
    <w:rsid w:val="11EC128E"/>
    <w:rsid w:val="11EC3A38"/>
    <w:rsid w:val="11F02628"/>
    <w:rsid w:val="11F1243A"/>
    <w:rsid w:val="11F12DFD"/>
    <w:rsid w:val="11F464C5"/>
    <w:rsid w:val="11F52BE8"/>
    <w:rsid w:val="11F53491"/>
    <w:rsid w:val="11F80E04"/>
    <w:rsid w:val="11F96CE6"/>
    <w:rsid w:val="11FA06F0"/>
    <w:rsid w:val="11FA7F03"/>
    <w:rsid w:val="11FB03B8"/>
    <w:rsid w:val="11FD03C7"/>
    <w:rsid w:val="11FD79F3"/>
    <w:rsid w:val="11FF19BD"/>
    <w:rsid w:val="12020AD7"/>
    <w:rsid w:val="120251F6"/>
    <w:rsid w:val="120345BF"/>
    <w:rsid w:val="12056664"/>
    <w:rsid w:val="120622C2"/>
    <w:rsid w:val="12062D04"/>
    <w:rsid w:val="12072620"/>
    <w:rsid w:val="120A1599"/>
    <w:rsid w:val="120B5C57"/>
    <w:rsid w:val="120E2F87"/>
    <w:rsid w:val="120F0021"/>
    <w:rsid w:val="12107727"/>
    <w:rsid w:val="121142F4"/>
    <w:rsid w:val="121216F1"/>
    <w:rsid w:val="121234F1"/>
    <w:rsid w:val="12144E03"/>
    <w:rsid w:val="12144ED1"/>
    <w:rsid w:val="12152F8F"/>
    <w:rsid w:val="12154A9F"/>
    <w:rsid w:val="12161881"/>
    <w:rsid w:val="12174FE8"/>
    <w:rsid w:val="1219538B"/>
    <w:rsid w:val="121F3DB5"/>
    <w:rsid w:val="121F3E0E"/>
    <w:rsid w:val="12220589"/>
    <w:rsid w:val="122333ED"/>
    <w:rsid w:val="1226748E"/>
    <w:rsid w:val="12274A70"/>
    <w:rsid w:val="12283195"/>
    <w:rsid w:val="12296BEB"/>
    <w:rsid w:val="12297024"/>
    <w:rsid w:val="122A4C8C"/>
    <w:rsid w:val="122B307D"/>
    <w:rsid w:val="122E4051"/>
    <w:rsid w:val="122F7DDE"/>
    <w:rsid w:val="1230601B"/>
    <w:rsid w:val="12373AFD"/>
    <w:rsid w:val="123824FF"/>
    <w:rsid w:val="123D743D"/>
    <w:rsid w:val="123E0C41"/>
    <w:rsid w:val="123E2B2B"/>
    <w:rsid w:val="123F4EDF"/>
    <w:rsid w:val="12407925"/>
    <w:rsid w:val="124675EC"/>
    <w:rsid w:val="12491D69"/>
    <w:rsid w:val="124B2917"/>
    <w:rsid w:val="124B4C03"/>
    <w:rsid w:val="124C253A"/>
    <w:rsid w:val="124D242A"/>
    <w:rsid w:val="124E0A92"/>
    <w:rsid w:val="124E5235"/>
    <w:rsid w:val="12501BFC"/>
    <w:rsid w:val="12506E1A"/>
    <w:rsid w:val="125241F9"/>
    <w:rsid w:val="12543481"/>
    <w:rsid w:val="12543AB7"/>
    <w:rsid w:val="125910CE"/>
    <w:rsid w:val="125921E6"/>
    <w:rsid w:val="125A3098"/>
    <w:rsid w:val="125A4B9A"/>
    <w:rsid w:val="125A4E46"/>
    <w:rsid w:val="125B57E2"/>
    <w:rsid w:val="12607852"/>
    <w:rsid w:val="12635AA8"/>
    <w:rsid w:val="12691694"/>
    <w:rsid w:val="126A2646"/>
    <w:rsid w:val="126B5812"/>
    <w:rsid w:val="126C49FB"/>
    <w:rsid w:val="126D2DCB"/>
    <w:rsid w:val="126D4B79"/>
    <w:rsid w:val="126E2F17"/>
    <w:rsid w:val="1274171F"/>
    <w:rsid w:val="1274352D"/>
    <w:rsid w:val="127502EB"/>
    <w:rsid w:val="12751C80"/>
    <w:rsid w:val="12754D7B"/>
    <w:rsid w:val="12754EAA"/>
    <w:rsid w:val="127856F5"/>
    <w:rsid w:val="12791A6F"/>
    <w:rsid w:val="127929E7"/>
    <w:rsid w:val="127A1C25"/>
    <w:rsid w:val="127A27A8"/>
    <w:rsid w:val="127B4651"/>
    <w:rsid w:val="127B54E8"/>
    <w:rsid w:val="127C6B6A"/>
    <w:rsid w:val="127C6D88"/>
    <w:rsid w:val="127E27E2"/>
    <w:rsid w:val="12814A2F"/>
    <w:rsid w:val="12826BC0"/>
    <w:rsid w:val="1283614B"/>
    <w:rsid w:val="12850115"/>
    <w:rsid w:val="12863FF1"/>
    <w:rsid w:val="12886145"/>
    <w:rsid w:val="12887C05"/>
    <w:rsid w:val="128B1C14"/>
    <w:rsid w:val="128C061E"/>
    <w:rsid w:val="128C1F69"/>
    <w:rsid w:val="128C26B2"/>
    <w:rsid w:val="12904621"/>
    <w:rsid w:val="12927FD6"/>
    <w:rsid w:val="1293209E"/>
    <w:rsid w:val="1295492B"/>
    <w:rsid w:val="129739A4"/>
    <w:rsid w:val="1299105F"/>
    <w:rsid w:val="1299424E"/>
    <w:rsid w:val="129B1B35"/>
    <w:rsid w:val="129C5B4C"/>
    <w:rsid w:val="129C6A5A"/>
    <w:rsid w:val="129E2F84"/>
    <w:rsid w:val="12A06CFD"/>
    <w:rsid w:val="12A10CC7"/>
    <w:rsid w:val="12A33949"/>
    <w:rsid w:val="12A37314"/>
    <w:rsid w:val="12A54F01"/>
    <w:rsid w:val="12A81631"/>
    <w:rsid w:val="12AA51F1"/>
    <w:rsid w:val="12AB56A1"/>
    <w:rsid w:val="12AD31C8"/>
    <w:rsid w:val="12AE1DB1"/>
    <w:rsid w:val="12B00086"/>
    <w:rsid w:val="12B02CB8"/>
    <w:rsid w:val="12B74046"/>
    <w:rsid w:val="12B753A4"/>
    <w:rsid w:val="12B772C8"/>
    <w:rsid w:val="12B83E3D"/>
    <w:rsid w:val="12B904A8"/>
    <w:rsid w:val="12BE7183"/>
    <w:rsid w:val="12C02EFB"/>
    <w:rsid w:val="12C2162F"/>
    <w:rsid w:val="12C30C3D"/>
    <w:rsid w:val="12C60907"/>
    <w:rsid w:val="12C624DB"/>
    <w:rsid w:val="12C64289"/>
    <w:rsid w:val="12C915B0"/>
    <w:rsid w:val="12CA3D79"/>
    <w:rsid w:val="12CD1ABC"/>
    <w:rsid w:val="12CF1390"/>
    <w:rsid w:val="12D048D1"/>
    <w:rsid w:val="12D10D68"/>
    <w:rsid w:val="12D1335A"/>
    <w:rsid w:val="12D22C2E"/>
    <w:rsid w:val="12D31AB8"/>
    <w:rsid w:val="12D31B8D"/>
    <w:rsid w:val="12D469A6"/>
    <w:rsid w:val="12D47C35"/>
    <w:rsid w:val="12D5203B"/>
    <w:rsid w:val="12D70244"/>
    <w:rsid w:val="12DB6627"/>
    <w:rsid w:val="12DE7825"/>
    <w:rsid w:val="12E017EF"/>
    <w:rsid w:val="12E0534B"/>
    <w:rsid w:val="12E12E71"/>
    <w:rsid w:val="12E31B6E"/>
    <w:rsid w:val="12E439B5"/>
    <w:rsid w:val="12E50BB3"/>
    <w:rsid w:val="12E51AFC"/>
    <w:rsid w:val="12E56477"/>
    <w:rsid w:val="12EC48F2"/>
    <w:rsid w:val="12EE01F9"/>
    <w:rsid w:val="12EF7EDF"/>
    <w:rsid w:val="12F00390"/>
    <w:rsid w:val="12F033DB"/>
    <w:rsid w:val="12F06B96"/>
    <w:rsid w:val="12F15A54"/>
    <w:rsid w:val="12F232D0"/>
    <w:rsid w:val="12F26E2C"/>
    <w:rsid w:val="12F47048"/>
    <w:rsid w:val="12F47931"/>
    <w:rsid w:val="12F50992"/>
    <w:rsid w:val="12F64B6E"/>
    <w:rsid w:val="12F7621D"/>
    <w:rsid w:val="12FA2F1A"/>
    <w:rsid w:val="12FB5247"/>
    <w:rsid w:val="12FC45AC"/>
    <w:rsid w:val="130152C1"/>
    <w:rsid w:val="1302779F"/>
    <w:rsid w:val="130628D8"/>
    <w:rsid w:val="13080E6E"/>
    <w:rsid w:val="130C43B0"/>
    <w:rsid w:val="130D010A"/>
    <w:rsid w:val="130D3C66"/>
    <w:rsid w:val="130F39D0"/>
    <w:rsid w:val="130F5C30"/>
    <w:rsid w:val="13116B49"/>
    <w:rsid w:val="1312206B"/>
    <w:rsid w:val="131402F6"/>
    <w:rsid w:val="13147C14"/>
    <w:rsid w:val="131904E6"/>
    <w:rsid w:val="13196AAF"/>
    <w:rsid w:val="131A5B19"/>
    <w:rsid w:val="131B2827"/>
    <w:rsid w:val="131B6383"/>
    <w:rsid w:val="131D0CC8"/>
    <w:rsid w:val="13223C89"/>
    <w:rsid w:val="132536A6"/>
    <w:rsid w:val="13263D6D"/>
    <w:rsid w:val="132852EA"/>
    <w:rsid w:val="132A2A6A"/>
    <w:rsid w:val="132B1D7E"/>
    <w:rsid w:val="132D162B"/>
    <w:rsid w:val="132E1A32"/>
    <w:rsid w:val="132F1E2E"/>
    <w:rsid w:val="1331204B"/>
    <w:rsid w:val="133318EB"/>
    <w:rsid w:val="13332C74"/>
    <w:rsid w:val="133438E9"/>
    <w:rsid w:val="13345697"/>
    <w:rsid w:val="13375FA9"/>
    <w:rsid w:val="133A3F94"/>
    <w:rsid w:val="133B6A25"/>
    <w:rsid w:val="133E6103"/>
    <w:rsid w:val="13401307"/>
    <w:rsid w:val="1340228E"/>
    <w:rsid w:val="13433B2C"/>
    <w:rsid w:val="134358DA"/>
    <w:rsid w:val="13444CE1"/>
    <w:rsid w:val="13456BDD"/>
    <w:rsid w:val="1346262E"/>
    <w:rsid w:val="13474DA3"/>
    <w:rsid w:val="13487261"/>
    <w:rsid w:val="13496C47"/>
    <w:rsid w:val="134A4FF3"/>
    <w:rsid w:val="134D0507"/>
    <w:rsid w:val="134E0DB2"/>
    <w:rsid w:val="134F3484"/>
    <w:rsid w:val="135205BD"/>
    <w:rsid w:val="13561AB1"/>
    <w:rsid w:val="13581360"/>
    <w:rsid w:val="135906D5"/>
    <w:rsid w:val="135A6C8F"/>
    <w:rsid w:val="136323FC"/>
    <w:rsid w:val="13653AA2"/>
    <w:rsid w:val="136715C8"/>
    <w:rsid w:val="1367781A"/>
    <w:rsid w:val="13693592"/>
    <w:rsid w:val="136E6DFB"/>
    <w:rsid w:val="137007AA"/>
    <w:rsid w:val="13702065"/>
    <w:rsid w:val="137056D6"/>
    <w:rsid w:val="13743FA9"/>
    <w:rsid w:val="13771CF1"/>
    <w:rsid w:val="13796261"/>
    <w:rsid w:val="137974C8"/>
    <w:rsid w:val="137F010F"/>
    <w:rsid w:val="13806B2E"/>
    <w:rsid w:val="13806E42"/>
    <w:rsid w:val="13812AAD"/>
    <w:rsid w:val="13845A1D"/>
    <w:rsid w:val="13893C35"/>
    <w:rsid w:val="138C54D3"/>
    <w:rsid w:val="138C71CB"/>
    <w:rsid w:val="13907371"/>
    <w:rsid w:val="13912AE9"/>
    <w:rsid w:val="13914897"/>
    <w:rsid w:val="13915236"/>
    <w:rsid w:val="1393588C"/>
    <w:rsid w:val="13946DA6"/>
    <w:rsid w:val="13986B46"/>
    <w:rsid w:val="13992FB0"/>
    <w:rsid w:val="13996910"/>
    <w:rsid w:val="139A132A"/>
    <w:rsid w:val="139A1F16"/>
    <w:rsid w:val="139B74C4"/>
    <w:rsid w:val="139D323C"/>
    <w:rsid w:val="13A167B7"/>
    <w:rsid w:val="13A21811"/>
    <w:rsid w:val="13A22600"/>
    <w:rsid w:val="13A26AA4"/>
    <w:rsid w:val="13A50343"/>
    <w:rsid w:val="13A740BB"/>
    <w:rsid w:val="13A75E69"/>
    <w:rsid w:val="13A81532"/>
    <w:rsid w:val="13AB5303"/>
    <w:rsid w:val="13AB5761"/>
    <w:rsid w:val="13AC16D1"/>
    <w:rsid w:val="13AC60CF"/>
    <w:rsid w:val="13AE5449"/>
    <w:rsid w:val="13B011C1"/>
    <w:rsid w:val="13B9708A"/>
    <w:rsid w:val="13BB1914"/>
    <w:rsid w:val="13BB5622"/>
    <w:rsid w:val="13BC651D"/>
    <w:rsid w:val="13BD637D"/>
    <w:rsid w:val="13BE5A05"/>
    <w:rsid w:val="13BF28A4"/>
    <w:rsid w:val="13C407C9"/>
    <w:rsid w:val="13C40E67"/>
    <w:rsid w:val="13C474D8"/>
    <w:rsid w:val="13C47607"/>
    <w:rsid w:val="13C515D3"/>
    <w:rsid w:val="13C62793"/>
    <w:rsid w:val="13C75C82"/>
    <w:rsid w:val="13C87C57"/>
    <w:rsid w:val="13CB2F65"/>
    <w:rsid w:val="13D36C5E"/>
    <w:rsid w:val="13D4273B"/>
    <w:rsid w:val="13D61764"/>
    <w:rsid w:val="13D720DC"/>
    <w:rsid w:val="13D74118"/>
    <w:rsid w:val="13D81D33"/>
    <w:rsid w:val="13DA0C71"/>
    <w:rsid w:val="13DB4969"/>
    <w:rsid w:val="13DC535B"/>
    <w:rsid w:val="13E02841"/>
    <w:rsid w:val="13E10541"/>
    <w:rsid w:val="13E65394"/>
    <w:rsid w:val="13E7095B"/>
    <w:rsid w:val="13F164FD"/>
    <w:rsid w:val="13F22050"/>
    <w:rsid w:val="13F23698"/>
    <w:rsid w:val="13F442E9"/>
    <w:rsid w:val="13F45A35"/>
    <w:rsid w:val="13F82B68"/>
    <w:rsid w:val="13FA68E0"/>
    <w:rsid w:val="13FB3C0C"/>
    <w:rsid w:val="13FC4E78"/>
    <w:rsid w:val="13FD1F2D"/>
    <w:rsid w:val="13FE11A9"/>
    <w:rsid w:val="13FE719D"/>
    <w:rsid w:val="140004D6"/>
    <w:rsid w:val="14017866"/>
    <w:rsid w:val="14035765"/>
    <w:rsid w:val="14053EF9"/>
    <w:rsid w:val="14064999"/>
    <w:rsid w:val="14065285"/>
    <w:rsid w:val="14096B23"/>
    <w:rsid w:val="140A3B78"/>
    <w:rsid w:val="14107EB2"/>
    <w:rsid w:val="14123C2A"/>
    <w:rsid w:val="14125749"/>
    <w:rsid w:val="14164D9C"/>
    <w:rsid w:val="14164F99"/>
    <w:rsid w:val="14186D67"/>
    <w:rsid w:val="141A7667"/>
    <w:rsid w:val="14210827"/>
    <w:rsid w:val="14237BE5"/>
    <w:rsid w:val="14261143"/>
    <w:rsid w:val="14261483"/>
    <w:rsid w:val="14276796"/>
    <w:rsid w:val="142E0B71"/>
    <w:rsid w:val="142E20E6"/>
    <w:rsid w:val="14333BA0"/>
    <w:rsid w:val="14340ED0"/>
    <w:rsid w:val="14367FF3"/>
    <w:rsid w:val="14374474"/>
    <w:rsid w:val="1437543F"/>
    <w:rsid w:val="143B2EB3"/>
    <w:rsid w:val="143C1861"/>
    <w:rsid w:val="143C4249"/>
    <w:rsid w:val="143D082E"/>
    <w:rsid w:val="143E4A1F"/>
    <w:rsid w:val="143F48CC"/>
    <w:rsid w:val="14435474"/>
    <w:rsid w:val="14441ADA"/>
    <w:rsid w:val="14453BB5"/>
    <w:rsid w:val="14487D3B"/>
    <w:rsid w:val="14493A87"/>
    <w:rsid w:val="144944BA"/>
    <w:rsid w:val="144B713C"/>
    <w:rsid w:val="144B77C1"/>
    <w:rsid w:val="144D5A3D"/>
    <w:rsid w:val="144D67B4"/>
    <w:rsid w:val="144D7327"/>
    <w:rsid w:val="145558C5"/>
    <w:rsid w:val="14567ED3"/>
    <w:rsid w:val="14573DFF"/>
    <w:rsid w:val="145853B5"/>
    <w:rsid w:val="145C237C"/>
    <w:rsid w:val="145E6FE2"/>
    <w:rsid w:val="145F4995"/>
    <w:rsid w:val="145F71BA"/>
    <w:rsid w:val="146124BC"/>
    <w:rsid w:val="146677B2"/>
    <w:rsid w:val="146C4632"/>
    <w:rsid w:val="146D0E60"/>
    <w:rsid w:val="147006BC"/>
    <w:rsid w:val="14722008"/>
    <w:rsid w:val="14726477"/>
    <w:rsid w:val="147321EF"/>
    <w:rsid w:val="14767DB3"/>
    <w:rsid w:val="14771CDF"/>
    <w:rsid w:val="1478371A"/>
    <w:rsid w:val="147A357D"/>
    <w:rsid w:val="147C5E0D"/>
    <w:rsid w:val="147C72F5"/>
    <w:rsid w:val="14812B5E"/>
    <w:rsid w:val="14814E87"/>
    <w:rsid w:val="1487192A"/>
    <w:rsid w:val="1488114E"/>
    <w:rsid w:val="14884633"/>
    <w:rsid w:val="14886D4A"/>
    <w:rsid w:val="148877F6"/>
    <w:rsid w:val="14891E12"/>
    <w:rsid w:val="1489410C"/>
    <w:rsid w:val="148B493D"/>
    <w:rsid w:val="14902DA1"/>
    <w:rsid w:val="14905FBF"/>
    <w:rsid w:val="149102D8"/>
    <w:rsid w:val="149522B6"/>
    <w:rsid w:val="14957002"/>
    <w:rsid w:val="14966A9C"/>
    <w:rsid w:val="14983A6D"/>
    <w:rsid w:val="149A06D1"/>
    <w:rsid w:val="149A2A32"/>
    <w:rsid w:val="149A3A9B"/>
    <w:rsid w:val="149B7425"/>
    <w:rsid w:val="149C4791"/>
    <w:rsid w:val="149D4B1F"/>
    <w:rsid w:val="149F7119"/>
    <w:rsid w:val="14A068F2"/>
    <w:rsid w:val="14A40B9A"/>
    <w:rsid w:val="14A63F8C"/>
    <w:rsid w:val="14A800EA"/>
    <w:rsid w:val="14A874DD"/>
    <w:rsid w:val="14AB1989"/>
    <w:rsid w:val="14AD5701"/>
    <w:rsid w:val="14AF2D63"/>
    <w:rsid w:val="14AF76CB"/>
    <w:rsid w:val="14B619F2"/>
    <w:rsid w:val="14B7032D"/>
    <w:rsid w:val="14B71CEF"/>
    <w:rsid w:val="14B73EEE"/>
    <w:rsid w:val="14B967E8"/>
    <w:rsid w:val="14BB5431"/>
    <w:rsid w:val="14BC76AF"/>
    <w:rsid w:val="14BE0031"/>
    <w:rsid w:val="14BE5E94"/>
    <w:rsid w:val="14BF71E2"/>
    <w:rsid w:val="14C111AC"/>
    <w:rsid w:val="14C323FD"/>
    <w:rsid w:val="14C373D2"/>
    <w:rsid w:val="14C403A8"/>
    <w:rsid w:val="14C5146D"/>
    <w:rsid w:val="14C57350"/>
    <w:rsid w:val="14C75908"/>
    <w:rsid w:val="14CA5355"/>
    <w:rsid w:val="14CF4147"/>
    <w:rsid w:val="14D2240C"/>
    <w:rsid w:val="14D3160D"/>
    <w:rsid w:val="14D52F2D"/>
    <w:rsid w:val="14D540C2"/>
    <w:rsid w:val="14D81394"/>
    <w:rsid w:val="14D964F6"/>
    <w:rsid w:val="14DA132A"/>
    <w:rsid w:val="14DC5F3A"/>
    <w:rsid w:val="14E00C3B"/>
    <w:rsid w:val="14E02C3C"/>
    <w:rsid w:val="14E364F3"/>
    <w:rsid w:val="14E42E54"/>
    <w:rsid w:val="14E629C1"/>
    <w:rsid w:val="14E66F3A"/>
    <w:rsid w:val="14E82BDD"/>
    <w:rsid w:val="14EA027C"/>
    <w:rsid w:val="14EA51C8"/>
    <w:rsid w:val="14EC4CF7"/>
    <w:rsid w:val="14EF3F6B"/>
    <w:rsid w:val="14F06175"/>
    <w:rsid w:val="14F11A91"/>
    <w:rsid w:val="14F43330"/>
    <w:rsid w:val="14F44100"/>
    <w:rsid w:val="14FA7895"/>
    <w:rsid w:val="14FB6286"/>
    <w:rsid w:val="14FC21E4"/>
    <w:rsid w:val="15001CD4"/>
    <w:rsid w:val="15015A4D"/>
    <w:rsid w:val="15057205"/>
    <w:rsid w:val="1507534D"/>
    <w:rsid w:val="15087171"/>
    <w:rsid w:val="150C0679"/>
    <w:rsid w:val="150D495E"/>
    <w:rsid w:val="150F1F18"/>
    <w:rsid w:val="15136657"/>
    <w:rsid w:val="1514752E"/>
    <w:rsid w:val="15147B71"/>
    <w:rsid w:val="151825BD"/>
    <w:rsid w:val="1518611B"/>
    <w:rsid w:val="151969E9"/>
    <w:rsid w:val="151A2EA5"/>
    <w:rsid w:val="152114A6"/>
    <w:rsid w:val="15215E6C"/>
    <w:rsid w:val="15223DDE"/>
    <w:rsid w:val="1525173B"/>
    <w:rsid w:val="15273705"/>
    <w:rsid w:val="1528122B"/>
    <w:rsid w:val="152A215A"/>
    <w:rsid w:val="152A3868"/>
    <w:rsid w:val="152A4FA3"/>
    <w:rsid w:val="152B2E1C"/>
    <w:rsid w:val="152D05F0"/>
    <w:rsid w:val="152D239E"/>
    <w:rsid w:val="152E3DC6"/>
    <w:rsid w:val="152F25BA"/>
    <w:rsid w:val="153100E0"/>
    <w:rsid w:val="15317109"/>
    <w:rsid w:val="1532073D"/>
    <w:rsid w:val="153361F3"/>
    <w:rsid w:val="153A663B"/>
    <w:rsid w:val="153B0F5F"/>
    <w:rsid w:val="153F29D5"/>
    <w:rsid w:val="154222ED"/>
    <w:rsid w:val="1546345F"/>
    <w:rsid w:val="15467D37"/>
    <w:rsid w:val="154A73F4"/>
    <w:rsid w:val="154C590A"/>
    <w:rsid w:val="154F0566"/>
    <w:rsid w:val="15502E9C"/>
    <w:rsid w:val="155316F8"/>
    <w:rsid w:val="1554239A"/>
    <w:rsid w:val="15584B23"/>
    <w:rsid w:val="15594E16"/>
    <w:rsid w:val="15602773"/>
    <w:rsid w:val="15610299"/>
    <w:rsid w:val="15642055"/>
    <w:rsid w:val="15654CC4"/>
    <w:rsid w:val="15671BA9"/>
    <w:rsid w:val="156776DD"/>
    <w:rsid w:val="15681628"/>
    <w:rsid w:val="156A1312"/>
    <w:rsid w:val="156A7CD7"/>
    <w:rsid w:val="156C655D"/>
    <w:rsid w:val="156E30E2"/>
    <w:rsid w:val="156E7F7B"/>
    <w:rsid w:val="156F0B0A"/>
    <w:rsid w:val="156F29B6"/>
    <w:rsid w:val="15700B8E"/>
    <w:rsid w:val="15752408"/>
    <w:rsid w:val="157601E9"/>
    <w:rsid w:val="15776D55"/>
    <w:rsid w:val="157B57FF"/>
    <w:rsid w:val="157B660F"/>
    <w:rsid w:val="1582093B"/>
    <w:rsid w:val="15830BE7"/>
    <w:rsid w:val="15854901"/>
    <w:rsid w:val="158B6083"/>
    <w:rsid w:val="158C022D"/>
    <w:rsid w:val="158C796B"/>
    <w:rsid w:val="158D7CF6"/>
    <w:rsid w:val="15913D5E"/>
    <w:rsid w:val="15917B0B"/>
    <w:rsid w:val="15991D3E"/>
    <w:rsid w:val="159B7C1B"/>
    <w:rsid w:val="159D13B4"/>
    <w:rsid w:val="159E652F"/>
    <w:rsid w:val="159F1159"/>
    <w:rsid w:val="15A03E28"/>
    <w:rsid w:val="15A073EB"/>
    <w:rsid w:val="15A36452"/>
    <w:rsid w:val="15A42600"/>
    <w:rsid w:val="15A47A33"/>
    <w:rsid w:val="15A765F4"/>
    <w:rsid w:val="15A8004B"/>
    <w:rsid w:val="15A92D5D"/>
    <w:rsid w:val="15AA0B1C"/>
    <w:rsid w:val="15AA616B"/>
    <w:rsid w:val="15AC59B8"/>
    <w:rsid w:val="15AE08FE"/>
    <w:rsid w:val="15AF4890"/>
    <w:rsid w:val="15B036FB"/>
    <w:rsid w:val="15B5540F"/>
    <w:rsid w:val="15B64A89"/>
    <w:rsid w:val="15B71D38"/>
    <w:rsid w:val="15B8435D"/>
    <w:rsid w:val="15B91E83"/>
    <w:rsid w:val="15BB5BFB"/>
    <w:rsid w:val="15BC0D3F"/>
    <w:rsid w:val="15BD76EE"/>
    <w:rsid w:val="15CB0E9B"/>
    <w:rsid w:val="15CC1BB7"/>
    <w:rsid w:val="15CC2297"/>
    <w:rsid w:val="15CD18F3"/>
    <w:rsid w:val="15CD33ED"/>
    <w:rsid w:val="15CF59A8"/>
    <w:rsid w:val="15D01FCB"/>
    <w:rsid w:val="15D05B4B"/>
    <w:rsid w:val="15D33DF0"/>
    <w:rsid w:val="15D518E0"/>
    <w:rsid w:val="15D612E1"/>
    <w:rsid w:val="15D62A35"/>
    <w:rsid w:val="15D93CF3"/>
    <w:rsid w:val="15D942D4"/>
    <w:rsid w:val="15DA10F2"/>
    <w:rsid w:val="15DA5B36"/>
    <w:rsid w:val="15DD3DC4"/>
    <w:rsid w:val="15DE33C7"/>
    <w:rsid w:val="15DF3AD4"/>
    <w:rsid w:val="15E4174F"/>
    <w:rsid w:val="15E417EB"/>
    <w:rsid w:val="15E433A4"/>
    <w:rsid w:val="15E909BB"/>
    <w:rsid w:val="15ED3EE1"/>
    <w:rsid w:val="15F005E3"/>
    <w:rsid w:val="15F07F9B"/>
    <w:rsid w:val="15F335E7"/>
    <w:rsid w:val="15F6074F"/>
    <w:rsid w:val="15F76B65"/>
    <w:rsid w:val="15F80BFE"/>
    <w:rsid w:val="15F86AE6"/>
    <w:rsid w:val="15FB249C"/>
    <w:rsid w:val="15FC21C5"/>
    <w:rsid w:val="15FC4B20"/>
    <w:rsid w:val="160038F0"/>
    <w:rsid w:val="16007AB2"/>
    <w:rsid w:val="16027CCE"/>
    <w:rsid w:val="160628EF"/>
    <w:rsid w:val="1606331B"/>
    <w:rsid w:val="16063C4B"/>
    <w:rsid w:val="160752E5"/>
    <w:rsid w:val="16080782"/>
    <w:rsid w:val="160A6A90"/>
    <w:rsid w:val="160B0594"/>
    <w:rsid w:val="160F011E"/>
    <w:rsid w:val="160F1472"/>
    <w:rsid w:val="16130B66"/>
    <w:rsid w:val="1615520D"/>
    <w:rsid w:val="16167430"/>
    <w:rsid w:val="161766B8"/>
    <w:rsid w:val="161C3BFD"/>
    <w:rsid w:val="161E2F6F"/>
    <w:rsid w:val="161F06BD"/>
    <w:rsid w:val="16211750"/>
    <w:rsid w:val="16214EAB"/>
    <w:rsid w:val="162177F5"/>
    <w:rsid w:val="16221D84"/>
    <w:rsid w:val="16227A29"/>
    <w:rsid w:val="1623109C"/>
    <w:rsid w:val="162536DE"/>
    <w:rsid w:val="16296BF7"/>
    <w:rsid w:val="162A27D6"/>
    <w:rsid w:val="162A607A"/>
    <w:rsid w:val="16306855"/>
    <w:rsid w:val="16322361"/>
    <w:rsid w:val="1635211F"/>
    <w:rsid w:val="16353C00"/>
    <w:rsid w:val="16364B6A"/>
    <w:rsid w:val="1638087C"/>
    <w:rsid w:val="163836F0"/>
    <w:rsid w:val="16392A72"/>
    <w:rsid w:val="16393096"/>
    <w:rsid w:val="16396930"/>
    <w:rsid w:val="163C1560"/>
    <w:rsid w:val="163C4F8E"/>
    <w:rsid w:val="16460621"/>
    <w:rsid w:val="164674D0"/>
    <w:rsid w:val="1647748F"/>
    <w:rsid w:val="16491459"/>
    <w:rsid w:val="16497C66"/>
    <w:rsid w:val="164A211F"/>
    <w:rsid w:val="164B51E6"/>
    <w:rsid w:val="164B58D1"/>
    <w:rsid w:val="164C5FD9"/>
    <w:rsid w:val="164C636C"/>
    <w:rsid w:val="164F321D"/>
    <w:rsid w:val="164F5552"/>
    <w:rsid w:val="165027E8"/>
    <w:rsid w:val="16513FE9"/>
    <w:rsid w:val="16523375"/>
    <w:rsid w:val="165263DD"/>
    <w:rsid w:val="16526560"/>
    <w:rsid w:val="16570758"/>
    <w:rsid w:val="1658169C"/>
    <w:rsid w:val="16582B51"/>
    <w:rsid w:val="16591A68"/>
    <w:rsid w:val="165B0A63"/>
    <w:rsid w:val="165D2B8A"/>
    <w:rsid w:val="165D4B86"/>
    <w:rsid w:val="166167A3"/>
    <w:rsid w:val="166B5873"/>
    <w:rsid w:val="166D339A"/>
    <w:rsid w:val="166F1B9D"/>
    <w:rsid w:val="16705A81"/>
    <w:rsid w:val="167117EE"/>
    <w:rsid w:val="16724451"/>
    <w:rsid w:val="16750620"/>
    <w:rsid w:val="1675224E"/>
    <w:rsid w:val="167A5AB7"/>
    <w:rsid w:val="168134EE"/>
    <w:rsid w:val="16821EC8"/>
    <w:rsid w:val="16826719"/>
    <w:rsid w:val="168601C0"/>
    <w:rsid w:val="1686445B"/>
    <w:rsid w:val="16882EBC"/>
    <w:rsid w:val="168A2B34"/>
    <w:rsid w:val="168C1346"/>
    <w:rsid w:val="168D3A3C"/>
    <w:rsid w:val="16903189"/>
    <w:rsid w:val="16905DFB"/>
    <w:rsid w:val="16950164"/>
    <w:rsid w:val="1695469E"/>
    <w:rsid w:val="16970735"/>
    <w:rsid w:val="16977A15"/>
    <w:rsid w:val="169C5A2D"/>
    <w:rsid w:val="169D05A2"/>
    <w:rsid w:val="169E1486"/>
    <w:rsid w:val="169F376F"/>
    <w:rsid w:val="169F7296"/>
    <w:rsid w:val="16A314FE"/>
    <w:rsid w:val="16A3617A"/>
    <w:rsid w:val="16A51398"/>
    <w:rsid w:val="16A60BD0"/>
    <w:rsid w:val="16A80867"/>
    <w:rsid w:val="16A80BEF"/>
    <w:rsid w:val="16A82624"/>
    <w:rsid w:val="16AA38F6"/>
    <w:rsid w:val="16AD60E1"/>
    <w:rsid w:val="16AE456D"/>
    <w:rsid w:val="16AF5D6F"/>
    <w:rsid w:val="16B03286"/>
    <w:rsid w:val="16B3016B"/>
    <w:rsid w:val="16B32D77"/>
    <w:rsid w:val="16B6466B"/>
    <w:rsid w:val="16B70AB9"/>
    <w:rsid w:val="16B73C96"/>
    <w:rsid w:val="16B8296D"/>
    <w:rsid w:val="16BA348C"/>
    <w:rsid w:val="16BC1C2B"/>
    <w:rsid w:val="16BF796D"/>
    <w:rsid w:val="16C1161B"/>
    <w:rsid w:val="16C136E5"/>
    <w:rsid w:val="16C60CFC"/>
    <w:rsid w:val="16CA50E5"/>
    <w:rsid w:val="16CC17ED"/>
    <w:rsid w:val="16CD3E38"/>
    <w:rsid w:val="16CE195E"/>
    <w:rsid w:val="16D03928"/>
    <w:rsid w:val="16D15681"/>
    <w:rsid w:val="16D276A1"/>
    <w:rsid w:val="16D41596"/>
    <w:rsid w:val="16D43419"/>
    <w:rsid w:val="16D639FA"/>
    <w:rsid w:val="16D71542"/>
    <w:rsid w:val="16D81CC1"/>
    <w:rsid w:val="16DB6903"/>
    <w:rsid w:val="16DC407B"/>
    <w:rsid w:val="16E10014"/>
    <w:rsid w:val="16E12EE5"/>
    <w:rsid w:val="16E1344B"/>
    <w:rsid w:val="16E44E30"/>
    <w:rsid w:val="16E5327E"/>
    <w:rsid w:val="16E55626"/>
    <w:rsid w:val="16E565D1"/>
    <w:rsid w:val="16E7668A"/>
    <w:rsid w:val="16E76ECD"/>
    <w:rsid w:val="16E80C72"/>
    <w:rsid w:val="16ED2FBC"/>
    <w:rsid w:val="16EE2C7D"/>
    <w:rsid w:val="16EE59F7"/>
    <w:rsid w:val="16EE6A34"/>
    <w:rsid w:val="16EF0253"/>
    <w:rsid w:val="16F27DDA"/>
    <w:rsid w:val="16F45A93"/>
    <w:rsid w:val="16F8016A"/>
    <w:rsid w:val="16F871C6"/>
    <w:rsid w:val="16FA12F0"/>
    <w:rsid w:val="16FA17B5"/>
    <w:rsid w:val="16FA1DB7"/>
    <w:rsid w:val="16FA5A80"/>
    <w:rsid w:val="16FB7D77"/>
    <w:rsid w:val="16FE58CF"/>
    <w:rsid w:val="17002356"/>
    <w:rsid w:val="17007387"/>
    <w:rsid w:val="17016C98"/>
    <w:rsid w:val="17051824"/>
    <w:rsid w:val="170610F8"/>
    <w:rsid w:val="170827A9"/>
    <w:rsid w:val="170A508C"/>
    <w:rsid w:val="170B670F"/>
    <w:rsid w:val="17113403"/>
    <w:rsid w:val="17116BC2"/>
    <w:rsid w:val="17123F41"/>
    <w:rsid w:val="17141A67"/>
    <w:rsid w:val="17144588"/>
    <w:rsid w:val="17150DEE"/>
    <w:rsid w:val="171764CC"/>
    <w:rsid w:val="171B1048"/>
    <w:rsid w:val="171B3906"/>
    <w:rsid w:val="171C091C"/>
    <w:rsid w:val="171C6B6E"/>
    <w:rsid w:val="171E2F5B"/>
    <w:rsid w:val="17220E0F"/>
    <w:rsid w:val="17237EFC"/>
    <w:rsid w:val="17254BB9"/>
    <w:rsid w:val="172802D1"/>
    <w:rsid w:val="17281284"/>
    <w:rsid w:val="17283764"/>
    <w:rsid w:val="17294E63"/>
    <w:rsid w:val="172B1C37"/>
    <w:rsid w:val="172D0D7B"/>
    <w:rsid w:val="172F5836"/>
    <w:rsid w:val="172F7655"/>
    <w:rsid w:val="1731553B"/>
    <w:rsid w:val="17346FD7"/>
    <w:rsid w:val="17354AD5"/>
    <w:rsid w:val="173572C2"/>
    <w:rsid w:val="17365E81"/>
    <w:rsid w:val="17376E13"/>
    <w:rsid w:val="17391763"/>
    <w:rsid w:val="173B3498"/>
    <w:rsid w:val="173C627E"/>
    <w:rsid w:val="173D5EF1"/>
    <w:rsid w:val="173E2224"/>
    <w:rsid w:val="173E6AE4"/>
    <w:rsid w:val="17424826"/>
    <w:rsid w:val="174340FA"/>
    <w:rsid w:val="17434C37"/>
    <w:rsid w:val="1744435A"/>
    <w:rsid w:val="17457E73"/>
    <w:rsid w:val="17467741"/>
    <w:rsid w:val="17477B2C"/>
    <w:rsid w:val="174877FC"/>
    <w:rsid w:val="174924D7"/>
    <w:rsid w:val="174B6A36"/>
    <w:rsid w:val="17522382"/>
    <w:rsid w:val="1752258F"/>
    <w:rsid w:val="1752433D"/>
    <w:rsid w:val="175975BA"/>
    <w:rsid w:val="175D340D"/>
    <w:rsid w:val="17602EFE"/>
    <w:rsid w:val="17646572"/>
    <w:rsid w:val="17654071"/>
    <w:rsid w:val="17655D76"/>
    <w:rsid w:val="176A0758"/>
    <w:rsid w:val="176E560C"/>
    <w:rsid w:val="176E5F34"/>
    <w:rsid w:val="17702E89"/>
    <w:rsid w:val="17740AA0"/>
    <w:rsid w:val="17756C64"/>
    <w:rsid w:val="17762448"/>
    <w:rsid w:val="17782FDA"/>
    <w:rsid w:val="177B61B5"/>
    <w:rsid w:val="177C142C"/>
    <w:rsid w:val="177D129D"/>
    <w:rsid w:val="17810BC7"/>
    <w:rsid w:val="17866159"/>
    <w:rsid w:val="178664FC"/>
    <w:rsid w:val="17873125"/>
    <w:rsid w:val="178B00C6"/>
    <w:rsid w:val="178D1A71"/>
    <w:rsid w:val="178F2D76"/>
    <w:rsid w:val="178F63EA"/>
    <w:rsid w:val="178F7340"/>
    <w:rsid w:val="17935D4B"/>
    <w:rsid w:val="17942284"/>
    <w:rsid w:val="17964BA4"/>
    <w:rsid w:val="1797236A"/>
    <w:rsid w:val="179744ED"/>
    <w:rsid w:val="17976192"/>
    <w:rsid w:val="17980C19"/>
    <w:rsid w:val="17993F2E"/>
    <w:rsid w:val="17A02020"/>
    <w:rsid w:val="17A05EA7"/>
    <w:rsid w:val="17A43FDC"/>
    <w:rsid w:val="17A57A03"/>
    <w:rsid w:val="17A60298"/>
    <w:rsid w:val="17A70B2D"/>
    <w:rsid w:val="17A878D4"/>
    <w:rsid w:val="17A96FD2"/>
    <w:rsid w:val="17AB634D"/>
    <w:rsid w:val="17AC7EF2"/>
    <w:rsid w:val="17AD0E8A"/>
    <w:rsid w:val="17AD104E"/>
    <w:rsid w:val="17AD3F39"/>
    <w:rsid w:val="17AD77C6"/>
    <w:rsid w:val="17AF790E"/>
    <w:rsid w:val="17B05B3D"/>
    <w:rsid w:val="17B15CD7"/>
    <w:rsid w:val="17B172B6"/>
    <w:rsid w:val="17B24096"/>
    <w:rsid w:val="17B32DCB"/>
    <w:rsid w:val="17B44FF8"/>
    <w:rsid w:val="17B81291"/>
    <w:rsid w:val="17BA6951"/>
    <w:rsid w:val="17BB6B70"/>
    <w:rsid w:val="17BD5C5B"/>
    <w:rsid w:val="17BE7C25"/>
    <w:rsid w:val="17C002C4"/>
    <w:rsid w:val="17C074F9"/>
    <w:rsid w:val="17C4348D"/>
    <w:rsid w:val="17C527F3"/>
    <w:rsid w:val="17C70888"/>
    <w:rsid w:val="17C81174"/>
    <w:rsid w:val="17CA4AB5"/>
    <w:rsid w:val="17CE048C"/>
    <w:rsid w:val="17CE17D4"/>
    <w:rsid w:val="17CE7E68"/>
    <w:rsid w:val="17D07D2D"/>
    <w:rsid w:val="17D631C0"/>
    <w:rsid w:val="17D6727A"/>
    <w:rsid w:val="17D70A93"/>
    <w:rsid w:val="17D82A95"/>
    <w:rsid w:val="17D84A95"/>
    <w:rsid w:val="17D873C9"/>
    <w:rsid w:val="17DB1277"/>
    <w:rsid w:val="17DF0E28"/>
    <w:rsid w:val="17E33C21"/>
    <w:rsid w:val="17E64809"/>
    <w:rsid w:val="17E673A5"/>
    <w:rsid w:val="17E70F2A"/>
    <w:rsid w:val="17E84207"/>
    <w:rsid w:val="17EB6C6C"/>
    <w:rsid w:val="17EE1FDC"/>
    <w:rsid w:val="17EE2998"/>
    <w:rsid w:val="17EF1125"/>
    <w:rsid w:val="17F453F5"/>
    <w:rsid w:val="17F86E44"/>
    <w:rsid w:val="17FA5A6C"/>
    <w:rsid w:val="17FA7792"/>
    <w:rsid w:val="17FB63B3"/>
    <w:rsid w:val="17FB6783"/>
    <w:rsid w:val="17FD0C61"/>
    <w:rsid w:val="17FE3368"/>
    <w:rsid w:val="1801084B"/>
    <w:rsid w:val="18041920"/>
    <w:rsid w:val="180513B0"/>
    <w:rsid w:val="18066AE8"/>
    <w:rsid w:val="180970F2"/>
    <w:rsid w:val="180A2E6A"/>
    <w:rsid w:val="180A4716"/>
    <w:rsid w:val="180B33A1"/>
    <w:rsid w:val="180B77E6"/>
    <w:rsid w:val="180C0990"/>
    <w:rsid w:val="180C3F4F"/>
    <w:rsid w:val="180E496D"/>
    <w:rsid w:val="18107796"/>
    <w:rsid w:val="18133ACD"/>
    <w:rsid w:val="181347CA"/>
    <w:rsid w:val="18137F71"/>
    <w:rsid w:val="1815492F"/>
    <w:rsid w:val="18187335"/>
    <w:rsid w:val="181917F8"/>
    <w:rsid w:val="18193330"/>
    <w:rsid w:val="18196427"/>
    <w:rsid w:val="181A12FF"/>
    <w:rsid w:val="181A3A6B"/>
    <w:rsid w:val="181B1B46"/>
    <w:rsid w:val="181B6E25"/>
    <w:rsid w:val="181C187B"/>
    <w:rsid w:val="181D34EA"/>
    <w:rsid w:val="181D7BA5"/>
    <w:rsid w:val="181E4C5C"/>
    <w:rsid w:val="18200B21"/>
    <w:rsid w:val="182014E8"/>
    <w:rsid w:val="182061EA"/>
    <w:rsid w:val="182109B4"/>
    <w:rsid w:val="1821268E"/>
    <w:rsid w:val="18213BA7"/>
    <w:rsid w:val="18226406"/>
    <w:rsid w:val="1823260B"/>
    <w:rsid w:val="18233ECA"/>
    <w:rsid w:val="18251B27"/>
    <w:rsid w:val="182738D4"/>
    <w:rsid w:val="18291542"/>
    <w:rsid w:val="182949AD"/>
    <w:rsid w:val="182C643A"/>
    <w:rsid w:val="182E46B2"/>
    <w:rsid w:val="182E6B59"/>
    <w:rsid w:val="183063FE"/>
    <w:rsid w:val="18316485"/>
    <w:rsid w:val="18335F1D"/>
    <w:rsid w:val="18341B8B"/>
    <w:rsid w:val="18341D64"/>
    <w:rsid w:val="18371EB1"/>
    <w:rsid w:val="18386326"/>
    <w:rsid w:val="183B3108"/>
    <w:rsid w:val="18424B5E"/>
    <w:rsid w:val="184264A9"/>
    <w:rsid w:val="18455C50"/>
    <w:rsid w:val="184824B4"/>
    <w:rsid w:val="184D35F4"/>
    <w:rsid w:val="184D6047"/>
    <w:rsid w:val="18510763"/>
    <w:rsid w:val="185138FF"/>
    <w:rsid w:val="18516344"/>
    <w:rsid w:val="18527C63"/>
    <w:rsid w:val="18553B5A"/>
    <w:rsid w:val="18561C0B"/>
    <w:rsid w:val="185D3BCE"/>
    <w:rsid w:val="186069F1"/>
    <w:rsid w:val="186407CC"/>
    <w:rsid w:val="18644328"/>
    <w:rsid w:val="18651E9C"/>
    <w:rsid w:val="1867206B"/>
    <w:rsid w:val="18694C95"/>
    <w:rsid w:val="186C4F56"/>
    <w:rsid w:val="186F7922"/>
    <w:rsid w:val="18714330"/>
    <w:rsid w:val="187327BD"/>
    <w:rsid w:val="187369AF"/>
    <w:rsid w:val="187421E4"/>
    <w:rsid w:val="1875599F"/>
    <w:rsid w:val="18784278"/>
    <w:rsid w:val="18786CBA"/>
    <w:rsid w:val="18787E14"/>
    <w:rsid w:val="187A29AF"/>
    <w:rsid w:val="187C528C"/>
    <w:rsid w:val="187D341E"/>
    <w:rsid w:val="187D53EA"/>
    <w:rsid w:val="187F0EA5"/>
    <w:rsid w:val="187F7F68"/>
    <w:rsid w:val="1881498A"/>
    <w:rsid w:val="1886307C"/>
    <w:rsid w:val="18863FA5"/>
    <w:rsid w:val="18864099"/>
    <w:rsid w:val="18872A00"/>
    <w:rsid w:val="18885C3B"/>
    <w:rsid w:val="188A2292"/>
    <w:rsid w:val="188B6067"/>
    <w:rsid w:val="188D743D"/>
    <w:rsid w:val="1890336F"/>
    <w:rsid w:val="18936A06"/>
    <w:rsid w:val="18972950"/>
    <w:rsid w:val="189C7C5A"/>
    <w:rsid w:val="189C7F66"/>
    <w:rsid w:val="189F35B2"/>
    <w:rsid w:val="18A706B9"/>
    <w:rsid w:val="18A767A4"/>
    <w:rsid w:val="18AA5CB6"/>
    <w:rsid w:val="18AB63FB"/>
    <w:rsid w:val="18AD3F21"/>
    <w:rsid w:val="18AE12EE"/>
    <w:rsid w:val="18AE4F1E"/>
    <w:rsid w:val="18B2778A"/>
    <w:rsid w:val="18B43502"/>
    <w:rsid w:val="18B52DD6"/>
    <w:rsid w:val="18B603FD"/>
    <w:rsid w:val="18B83C19"/>
    <w:rsid w:val="18B84DB1"/>
    <w:rsid w:val="18BA2842"/>
    <w:rsid w:val="18BD1115"/>
    <w:rsid w:val="18BE612E"/>
    <w:rsid w:val="18BE7B6B"/>
    <w:rsid w:val="18BF4C88"/>
    <w:rsid w:val="18C4126B"/>
    <w:rsid w:val="18C63235"/>
    <w:rsid w:val="18C67773"/>
    <w:rsid w:val="18CA77F5"/>
    <w:rsid w:val="18CC5B40"/>
    <w:rsid w:val="18CD0120"/>
    <w:rsid w:val="18D17A0D"/>
    <w:rsid w:val="18D54FB8"/>
    <w:rsid w:val="18D56FD4"/>
    <w:rsid w:val="18D771F0"/>
    <w:rsid w:val="18D97890"/>
    <w:rsid w:val="18DA68F2"/>
    <w:rsid w:val="18DB1C64"/>
    <w:rsid w:val="18DE057F"/>
    <w:rsid w:val="18DF3491"/>
    <w:rsid w:val="18E31C09"/>
    <w:rsid w:val="18E3544F"/>
    <w:rsid w:val="18E4108C"/>
    <w:rsid w:val="18E641A6"/>
    <w:rsid w:val="18E71DFF"/>
    <w:rsid w:val="18E8176B"/>
    <w:rsid w:val="18E90CD1"/>
    <w:rsid w:val="18EE48F9"/>
    <w:rsid w:val="18EF2748"/>
    <w:rsid w:val="18F07862"/>
    <w:rsid w:val="18F25DD8"/>
    <w:rsid w:val="18F338FE"/>
    <w:rsid w:val="18F4188C"/>
    <w:rsid w:val="18F4368B"/>
    <w:rsid w:val="18F533AF"/>
    <w:rsid w:val="18F6299A"/>
    <w:rsid w:val="18F92E5C"/>
    <w:rsid w:val="18FC27B3"/>
    <w:rsid w:val="18FD0ED6"/>
    <w:rsid w:val="18FF204A"/>
    <w:rsid w:val="19006747"/>
    <w:rsid w:val="19023E8D"/>
    <w:rsid w:val="190653E0"/>
    <w:rsid w:val="19081158"/>
    <w:rsid w:val="190A1374"/>
    <w:rsid w:val="190A668C"/>
    <w:rsid w:val="190F1A32"/>
    <w:rsid w:val="19102702"/>
    <w:rsid w:val="1913123F"/>
    <w:rsid w:val="1914358B"/>
    <w:rsid w:val="19151AC7"/>
    <w:rsid w:val="19161B44"/>
    <w:rsid w:val="19183373"/>
    <w:rsid w:val="19195CDE"/>
    <w:rsid w:val="191A0E8B"/>
    <w:rsid w:val="191C63D0"/>
    <w:rsid w:val="19204433"/>
    <w:rsid w:val="19220746"/>
    <w:rsid w:val="19254554"/>
    <w:rsid w:val="1928110D"/>
    <w:rsid w:val="192A1B12"/>
    <w:rsid w:val="192D5062"/>
    <w:rsid w:val="192E6D02"/>
    <w:rsid w:val="192F0D5D"/>
    <w:rsid w:val="19333C35"/>
    <w:rsid w:val="19336B8F"/>
    <w:rsid w:val="19337020"/>
    <w:rsid w:val="19343BB6"/>
    <w:rsid w:val="19345EA7"/>
    <w:rsid w:val="19387DC3"/>
    <w:rsid w:val="193A2CAE"/>
    <w:rsid w:val="194128BC"/>
    <w:rsid w:val="19413DEB"/>
    <w:rsid w:val="19422E72"/>
    <w:rsid w:val="194420DD"/>
    <w:rsid w:val="19442CFD"/>
    <w:rsid w:val="194523AC"/>
    <w:rsid w:val="1946707F"/>
    <w:rsid w:val="19467ED2"/>
    <w:rsid w:val="194A0CCC"/>
    <w:rsid w:val="194B39F7"/>
    <w:rsid w:val="194D27A5"/>
    <w:rsid w:val="194D4FCD"/>
    <w:rsid w:val="194D74B2"/>
    <w:rsid w:val="19510093"/>
    <w:rsid w:val="19567268"/>
    <w:rsid w:val="19575C3B"/>
    <w:rsid w:val="195A2179"/>
    <w:rsid w:val="195C14A3"/>
    <w:rsid w:val="195E6FCA"/>
    <w:rsid w:val="196547FC"/>
    <w:rsid w:val="196565AA"/>
    <w:rsid w:val="19683308"/>
    <w:rsid w:val="19687E48"/>
    <w:rsid w:val="196A3BC0"/>
    <w:rsid w:val="196A6FCE"/>
    <w:rsid w:val="196A7274"/>
    <w:rsid w:val="196B4791"/>
    <w:rsid w:val="196F2F37"/>
    <w:rsid w:val="19701D5C"/>
    <w:rsid w:val="1973340F"/>
    <w:rsid w:val="19780DED"/>
    <w:rsid w:val="1978104E"/>
    <w:rsid w:val="197B4D2D"/>
    <w:rsid w:val="197B7748"/>
    <w:rsid w:val="197D24F5"/>
    <w:rsid w:val="197D69F1"/>
    <w:rsid w:val="197E4AE3"/>
    <w:rsid w:val="19805192"/>
    <w:rsid w:val="19816D25"/>
    <w:rsid w:val="19894459"/>
    <w:rsid w:val="198B3B37"/>
    <w:rsid w:val="198E5136"/>
    <w:rsid w:val="198F7B0C"/>
    <w:rsid w:val="19901D39"/>
    <w:rsid w:val="19901E34"/>
    <w:rsid w:val="199119F7"/>
    <w:rsid w:val="19917187"/>
    <w:rsid w:val="19956E48"/>
    <w:rsid w:val="19964CD0"/>
    <w:rsid w:val="19997CF2"/>
    <w:rsid w:val="199A7854"/>
    <w:rsid w:val="199E122E"/>
    <w:rsid w:val="19A20F75"/>
    <w:rsid w:val="19A227FD"/>
    <w:rsid w:val="19A55AD1"/>
    <w:rsid w:val="19A76BC3"/>
    <w:rsid w:val="19A916D8"/>
    <w:rsid w:val="19AB0F29"/>
    <w:rsid w:val="19AE48F2"/>
    <w:rsid w:val="19AF1F1B"/>
    <w:rsid w:val="19B0734C"/>
    <w:rsid w:val="19B11987"/>
    <w:rsid w:val="19B13FAC"/>
    <w:rsid w:val="19B47531"/>
    <w:rsid w:val="19B60BB4"/>
    <w:rsid w:val="19B60ED4"/>
    <w:rsid w:val="19B60EF1"/>
    <w:rsid w:val="19B66901"/>
    <w:rsid w:val="19B94CAF"/>
    <w:rsid w:val="19B968F6"/>
    <w:rsid w:val="19BB266E"/>
    <w:rsid w:val="19BE249C"/>
    <w:rsid w:val="19BE4145"/>
    <w:rsid w:val="19C52B7C"/>
    <w:rsid w:val="19C808E7"/>
    <w:rsid w:val="19CF1C75"/>
    <w:rsid w:val="19D02E0B"/>
    <w:rsid w:val="19D052EF"/>
    <w:rsid w:val="19D35C0A"/>
    <w:rsid w:val="19D91C69"/>
    <w:rsid w:val="19DC3C64"/>
    <w:rsid w:val="19DC4392"/>
    <w:rsid w:val="19DE4CAC"/>
    <w:rsid w:val="19DF37F7"/>
    <w:rsid w:val="19E02396"/>
    <w:rsid w:val="19E03E83"/>
    <w:rsid w:val="19E271CA"/>
    <w:rsid w:val="19E716B5"/>
    <w:rsid w:val="19E73463"/>
    <w:rsid w:val="19EC2827"/>
    <w:rsid w:val="19EE6EA0"/>
    <w:rsid w:val="19EF2318"/>
    <w:rsid w:val="19EF7D71"/>
    <w:rsid w:val="19F119B6"/>
    <w:rsid w:val="19F214D0"/>
    <w:rsid w:val="19F31E08"/>
    <w:rsid w:val="19F75890"/>
    <w:rsid w:val="19F83806"/>
    <w:rsid w:val="19F84D3A"/>
    <w:rsid w:val="19FB2A6A"/>
    <w:rsid w:val="19FB5C71"/>
    <w:rsid w:val="19FE1A99"/>
    <w:rsid w:val="1A06277F"/>
    <w:rsid w:val="1A0A0EFF"/>
    <w:rsid w:val="1A0B170D"/>
    <w:rsid w:val="1A0E09F0"/>
    <w:rsid w:val="1A0F35AE"/>
    <w:rsid w:val="1A0F5248"/>
    <w:rsid w:val="1A111B63"/>
    <w:rsid w:val="1A125617"/>
    <w:rsid w:val="1A16770C"/>
    <w:rsid w:val="1A1678A4"/>
    <w:rsid w:val="1A176AB4"/>
    <w:rsid w:val="1A183D13"/>
    <w:rsid w:val="1A19691B"/>
    <w:rsid w:val="1A1A18FF"/>
    <w:rsid w:val="1A1B0CDE"/>
    <w:rsid w:val="1A1D50D7"/>
    <w:rsid w:val="1A200723"/>
    <w:rsid w:val="1A2040C6"/>
    <w:rsid w:val="1A2308F8"/>
    <w:rsid w:val="1A247305"/>
    <w:rsid w:val="1A264F28"/>
    <w:rsid w:val="1A27346F"/>
    <w:rsid w:val="1A2975D8"/>
    <w:rsid w:val="1A2D3C9E"/>
    <w:rsid w:val="1A2E0468"/>
    <w:rsid w:val="1A2F6BB8"/>
    <w:rsid w:val="1A330456"/>
    <w:rsid w:val="1A335C22"/>
    <w:rsid w:val="1A37306A"/>
    <w:rsid w:val="1A395288"/>
    <w:rsid w:val="1A3A31AA"/>
    <w:rsid w:val="1A3A7B44"/>
    <w:rsid w:val="1A3C3450"/>
    <w:rsid w:val="1A42186A"/>
    <w:rsid w:val="1A423791"/>
    <w:rsid w:val="1A427DCB"/>
    <w:rsid w:val="1A4831E6"/>
    <w:rsid w:val="1A4B3648"/>
    <w:rsid w:val="1A4F2DB6"/>
    <w:rsid w:val="1A5417DA"/>
    <w:rsid w:val="1A564145"/>
    <w:rsid w:val="1A566DEB"/>
    <w:rsid w:val="1A590D07"/>
    <w:rsid w:val="1A5959E3"/>
    <w:rsid w:val="1A5A21CB"/>
    <w:rsid w:val="1A5A3C35"/>
    <w:rsid w:val="1A601C8F"/>
    <w:rsid w:val="1A615739"/>
    <w:rsid w:val="1A6245B8"/>
    <w:rsid w:val="1A643CEB"/>
    <w:rsid w:val="1A653B7C"/>
    <w:rsid w:val="1A677D97"/>
    <w:rsid w:val="1A684E7E"/>
    <w:rsid w:val="1A690D49"/>
    <w:rsid w:val="1A6B220E"/>
    <w:rsid w:val="1A6B3235"/>
    <w:rsid w:val="1A7171D0"/>
    <w:rsid w:val="1A725422"/>
    <w:rsid w:val="1A753702"/>
    <w:rsid w:val="1A762254"/>
    <w:rsid w:val="1A7647E7"/>
    <w:rsid w:val="1A772A39"/>
    <w:rsid w:val="1A782BF7"/>
    <w:rsid w:val="1A7840BB"/>
    <w:rsid w:val="1A7A1971"/>
    <w:rsid w:val="1A7F5A1A"/>
    <w:rsid w:val="1A837966"/>
    <w:rsid w:val="1A8707A2"/>
    <w:rsid w:val="1A882A88"/>
    <w:rsid w:val="1A89451A"/>
    <w:rsid w:val="1A8B187A"/>
    <w:rsid w:val="1A8C400A"/>
    <w:rsid w:val="1A8E0EDC"/>
    <w:rsid w:val="1A8E1B30"/>
    <w:rsid w:val="1A8E38DF"/>
    <w:rsid w:val="1A93071A"/>
    <w:rsid w:val="1A93524F"/>
    <w:rsid w:val="1A9741EC"/>
    <w:rsid w:val="1A974E89"/>
    <w:rsid w:val="1A991CB9"/>
    <w:rsid w:val="1A9B5FFB"/>
    <w:rsid w:val="1A9D59D6"/>
    <w:rsid w:val="1A9D6217"/>
    <w:rsid w:val="1A9D7FC6"/>
    <w:rsid w:val="1A9E3166"/>
    <w:rsid w:val="1A9E53D7"/>
    <w:rsid w:val="1AA02161"/>
    <w:rsid w:val="1AA02F69"/>
    <w:rsid w:val="1AA44EB0"/>
    <w:rsid w:val="1AA47422"/>
    <w:rsid w:val="1AA6537F"/>
    <w:rsid w:val="1AAB436E"/>
    <w:rsid w:val="1AAD7940"/>
    <w:rsid w:val="1AB175CD"/>
    <w:rsid w:val="1AB258BA"/>
    <w:rsid w:val="1AB377E9"/>
    <w:rsid w:val="1AB534FD"/>
    <w:rsid w:val="1AB63D17"/>
    <w:rsid w:val="1AB64B94"/>
    <w:rsid w:val="1AB75F10"/>
    <w:rsid w:val="1AB84DFF"/>
    <w:rsid w:val="1AC3534F"/>
    <w:rsid w:val="1AC35C96"/>
    <w:rsid w:val="1AC66405"/>
    <w:rsid w:val="1AC77C36"/>
    <w:rsid w:val="1ACB40D1"/>
    <w:rsid w:val="1ACC4DB0"/>
    <w:rsid w:val="1ACD7779"/>
    <w:rsid w:val="1ACE0672"/>
    <w:rsid w:val="1ACE57E5"/>
    <w:rsid w:val="1AD03EF7"/>
    <w:rsid w:val="1AD05CA5"/>
    <w:rsid w:val="1AD27C6F"/>
    <w:rsid w:val="1AD31C39"/>
    <w:rsid w:val="1AD5150D"/>
    <w:rsid w:val="1AD65F5E"/>
    <w:rsid w:val="1AD66C2B"/>
    <w:rsid w:val="1AD75285"/>
    <w:rsid w:val="1ADA4D76"/>
    <w:rsid w:val="1ADB7AA4"/>
    <w:rsid w:val="1AE259D8"/>
    <w:rsid w:val="1AE31955"/>
    <w:rsid w:val="1AE348FB"/>
    <w:rsid w:val="1AE41AF9"/>
    <w:rsid w:val="1AE52834"/>
    <w:rsid w:val="1AEB0D31"/>
    <w:rsid w:val="1AED0E46"/>
    <w:rsid w:val="1AEE5FA8"/>
    <w:rsid w:val="1AEE6AD5"/>
    <w:rsid w:val="1AEF1FB6"/>
    <w:rsid w:val="1AEF299D"/>
    <w:rsid w:val="1AF03FC5"/>
    <w:rsid w:val="1AF04DBD"/>
    <w:rsid w:val="1AF20311"/>
    <w:rsid w:val="1AF30245"/>
    <w:rsid w:val="1AF35E37"/>
    <w:rsid w:val="1AF773FE"/>
    <w:rsid w:val="1AFB7223"/>
    <w:rsid w:val="1AFC48F6"/>
    <w:rsid w:val="1B0018B5"/>
    <w:rsid w:val="1B002FCC"/>
    <w:rsid w:val="1B01337C"/>
    <w:rsid w:val="1B041DF3"/>
    <w:rsid w:val="1B043182"/>
    <w:rsid w:val="1B080913"/>
    <w:rsid w:val="1B081C90"/>
    <w:rsid w:val="1B087B35"/>
    <w:rsid w:val="1B096DE9"/>
    <w:rsid w:val="1B097409"/>
    <w:rsid w:val="1B0A4140"/>
    <w:rsid w:val="1B0C2EB1"/>
    <w:rsid w:val="1B0D514B"/>
    <w:rsid w:val="1B155DAE"/>
    <w:rsid w:val="1B157B5C"/>
    <w:rsid w:val="1B162F4B"/>
    <w:rsid w:val="1B164B90"/>
    <w:rsid w:val="1B1738D4"/>
    <w:rsid w:val="1B1C67BD"/>
    <w:rsid w:val="1B1F62F0"/>
    <w:rsid w:val="1B22670C"/>
    <w:rsid w:val="1B236DD8"/>
    <w:rsid w:val="1B267C7F"/>
    <w:rsid w:val="1B267FBB"/>
    <w:rsid w:val="1B270D0E"/>
    <w:rsid w:val="1B2B450C"/>
    <w:rsid w:val="1B2E0796"/>
    <w:rsid w:val="1B313F0C"/>
    <w:rsid w:val="1B3225C0"/>
    <w:rsid w:val="1B3426D8"/>
    <w:rsid w:val="1B3576F2"/>
    <w:rsid w:val="1B3721C8"/>
    <w:rsid w:val="1B375D24"/>
    <w:rsid w:val="1B3A43B1"/>
    <w:rsid w:val="1B3B1CB8"/>
    <w:rsid w:val="1B401446"/>
    <w:rsid w:val="1B4353D4"/>
    <w:rsid w:val="1B437E35"/>
    <w:rsid w:val="1B46065D"/>
    <w:rsid w:val="1B48001A"/>
    <w:rsid w:val="1B4B17D0"/>
    <w:rsid w:val="1B4B5C73"/>
    <w:rsid w:val="1B4C3510"/>
    <w:rsid w:val="1B4E306E"/>
    <w:rsid w:val="1B4F12C0"/>
    <w:rsid w:val="1B5149A7"/>
    <w:rsid w:val="1B524814"/>
    <w:rsid w:val="1B526BF2"/>
    <w:rsid w:val="1B5508A0"/>
    <w:rsid w:val="1B5543FC"/>
    <w:rsid w:val="1B575F3D"/>
    <w:rsid w:val="1B583B08"/>
    <w:rsid w:val="1B5C20CB"/>
    <w:rsid w:val="1B5D1FA9"/>
    <w:rsid w:val="1B614CA9"/>
    <w:rsid w:val="1B636D25"/>
    <w:rsid w:val="1B642891"/>
    <w:rsid w:val="1B670D9F"/>
    <w:rsid w:val="1B6B3FA9"/>
    <w:rsid w:val="1B6D1746"/>
    <w:rsid w:val="1B6D6BAB"/>
    <w:rsid w:val="1B6E4275"/>
    <w:rsid w:val="1B6E61E7"/>
    <w:rsid w:val="1B6F786D"/>
    <w:rsid w:val="1B701236"/>
    <w:rsid w:val="1B716F2D"/>
    <w:rsid w:val="1B7B1CF8"/>
    <w:rsid w:val="1B7C6395"/>
    <w:rsid w:val="1B7C7351"/>
    <w:rsid w:val="1B83540D"/>
    <w:rsid w:val="1B845309"/>
    <w:rsid w:val="1B854CE1"/>
    <w:rsid w:val="1B8D16A1"/>
    <w:rsid w:val="1B8E0DF7"/>
    <w:rsid w:val="1B8F5B60"/>
    <w:rsid w:val="1B9033C2"/>
    <w:rsid w:val="1B9118D8"/>
    <w:rsid w:val="1B917B2A"/>
    <w:rsid w:val="1B945049"/>
    <w:rsid w:val="1B961853"/>
    <w:rsid w:val="1B963810"/>
    <w:rsid w:val="1B9A62B3"/>
    <w:rsid w:val="1B9B25DD"/>
    <w:rsid w:val="1B9B7365"/>
    <w:rsid w:val="1B9C7081"/>
    <w:rsid w:val="1B9E2247"/>
    <w:rsid w:val="1B9F125F"/>
    <w:rsid w:val="1B9F1CCE"/>
    <w:rsid w:val="1B9F3A17"/>
    <w:rsid w:val="1BA17641"/>
    <w:rsid w:val="1BA21BF3"/>
    <w:rsid w:val="1BA9744E"/>
    <w:rsid w:val="1BAA4748"/>
    <w:rsid w:val="1BAF16B4"/>
    <w:rsid w:val="1BAF1D5E"/>
    <w:rsid w:val="1BB11F7A"/>
    <w:rsid w:val="1BB32BFF"/>
    <w:rsid w:val="1BB41073"/>
    <w:rsid w:val="1BB455C7"/>
    <w:rsid w:val="1BB6133F"/>
    <w:rsid w:val="1BB71ADC"/>
    <w:rsid w:val="1BB747A9"/>
    <w:rsid w:val="1BB90E2F"/>
    <w:rsid w:val="1BB9498B"/>
    <w:rsid w:val="1BBA19E9"/>
    <w:rsid w:val="1BBB6955"/>
    <w:rsid w:val="1BC021BE"/>
    <w:rsid w:val="1BC03F6C"/>
    <w:rsid w:val="1BC14746"/>
    <w:rsid w:val="1BC16CEB"/>
    <w:rsid w:val="1BC3290A"/>
    <w:rsid w:val="1BC7354C"/>
    <w:rsid w:val="1BC76B91"/>
    <w:rsid w:val="1BC82E20"/>
    <w:rsid w:val="1BCA1498"/>
    <w:rsid w:val="1BCB29BD"/>
    <w:rsid w:val="1BCB7520"/>
    <w:rsid w:val="1BCB7D03"/>
    <w:rsid w:val="1BCC7695"/>
    <w:rsid w:val="1BCD1019"/>
    <w:rsid w:val="1BCE71A4"/>
    <w:rsid w:val="1BD05F19"/>
    <w:rsid w:val="1BD16179"/>
    <w:rsid w:val="1BD249DA"/>
    <w:rsid w:val="1BD261D6"/>
    <w:rsid w:val="1BD26F2D"/>
    <w:rsid w:val="1BD45C69"/>
    <w:rsid w:val="1BD6259F"/>
    <w:rsid w:val="1BD712B5"/>
    <w:rsid w:val="1BD866B3"/>
    <w:rsid w:val="1BDA08CD"/>
    <w:rsid w:val="1BDC11FD"/>
    <w:rsid w:val="1BE13EE2"/>
    <w:rsid w:val="1BE31EF1"/>
    <w:rsid w:val="1BE429CD"/>
    <w:rsid w:val="1BE64D26"/>
    <w:rsid w:val="1BE95E1D"/>
    <w:rsid w:val="1BE96189"/>
    <w:rsid w:val="1BEA2939"/>
    <w:rsid w:val="1BEA723A"/>
    <w:rsid w:val="1BEF6B77"/>
    <w:rsid w:val="1BF10208"/>
    <w:rsid w:val="1BF12377"/>
    <w:rsid w:val="1BF27E9D"/>
    <w:rsid w:val="1BF34341"/>
    <w:rsid w:val="1BF400B9"/>
    <w:rsid w:val="1BF46F59"/>
    <w:rsid w:val="1BF663D8"/>
    <w:rsid w:val="1BF75ADC"/>
    <w:rsid w:val="1BFB1448"/>
    <w:rsid w:val="1BFF03A6"/>
    <w:rsid w:val="1C034F92"/>
    <w:rsid w:val="1C092BC8"/>
    <w:rsid w:val="1C0B7E01"/>
    <w:rsid w:val="1C0D37E4"/>
    <w:rsid w:val="1C0D4CD7"/>
    <w:rsid w:val="1C0E6E3B"/>
    <w:rsid w:val="1C122ECF"/>
    <w:rsid w:val="1C12380C"/>
    <w:rsid w:val="1C13391F"/>
    <w:rsid w:val="1C136791"/>
    <w:rsid w:val="1C1442B7"/>
    <w:rsid w:val="1C163B8C"/>
    <w:rsid w:val="1C1722F6"/>
    <w:rsid w:val="1C197B20"/>
    <w:rsid w:val="1C1C60B5"/>
    <w:rsid w:val="1C1E6EE4"/>
    <w:rsid w:val="1C200B97"/>
    <w:rsid w:val="1C200EAE"/>
    <w:rsid w:val="1C231ECE"/>
    <w:rsid w:val="1C2362A8"/>
    <w:rsid w:val="1C2459DD"/>
    <w:rsid w:val="1C27223D"/>
    <w:rsid w:val="1C277DA7"/>
    <w:rsid w:val="1C2920A2"/>
    <w:rsid w:val="1C2C1601"/>
    <w:rsid w:val="1C2C45F5"/>
    <w:rsid w:val="1C2C7853"/>
    <w:rsid w:val="1C2D22CB"/>
    <w:rsid w:val="1C2E368E"/>
    <w:rsid w:val="1C3358A9"/>
    <w:rsid w:val="1C3404B6"/>
    <w:rsid w:val="1C357352"/>
    <w:rsid w:val="1C3605A1"/>
    <w:rsid w:val="1C362480"/>
    <w:rsid w:val="1C3D736A"/>
    <w:rsid w:val="1C3E5C55"/>
    <w:rsid w:val="1C3F4E39"/>
    <w:rsid w:val="1C4029A6"/>
    <w:rsid w:val="1C4032FE"/>
    <w:rsid w:val="1C422E57"/>
    <w:rsid w:val="1C4448A7"/>
    <w:rsid w:val="1C447A97"/>
    <w:rsid w:val="1C4526C3"/>
    <w:rsid w:val="1C46001B"/>
    <w:rsid w:val="1C487881"/>
    <w:rsid w:val="1C492750"/>
    <w:rsid w:val="1C4A7FC9"/>
    <w:rsid w:val="1C4C1CA3"/>
    <w:rsid w:val="1C4E611B"/>
    <w:rsid w:val="1C4F0C0D"/>
    <w:rsid w:val="1C4F3129"/>
    <w:rsid w:val="1C51783E"/>
    <w:rsid w:val="1C542906"/>
    <w:rsid w:val="1C5446B4"/>
    <w:rsid w:val="1C5450DB"/>
    <w:rsid w:val="1C56042C"/>
    <w:rsid w:val="1C5641CF"/>
    <w:rsid w:val="1C5763CC"/>
    <w:rsid w:val="1C5860D1"/>
    <w:rsid w:val="1C597F1C"/>
    <w:rsid w:val="1C5A43C0"/>
    <w:rsid w:val="1C5B3ADE"/>
    <w:rsid w:val="1C5D5C5E"/>
    <w:rsid w:val="1C5E0E3F"/>
    <w:rsid w:val="1C5E23F9"/>
    <w:rsid w:val="1C6300B2"/>
    <w:rsid w:val="1C653B55"/>
    <w:rsid w:val="1C694603"/>
    <w:rsid w:val="1C6C773B"/>
    <w:rsid w:val="1C6D3523"/>
    <w:rsid w:val="1C6E5776"/>
    <w:rsid w:val="1C6F0E73"/>
    <w:rsid w:val="1C6F7516"/>
    <w:rsid w:val="1C70094B"/>
    <w:rsid w:val="1C714AB7"/>
    <w:rsid w:val="1C72395A"/>
    <w:rsid w:val="1C737951"/>
    <w:rsid w:val="1C760ACE"/>
    <w:rsid w:val="1C76287C"/>
    <w:rsid w:val="1C794638"/>
    <w:rsid w:val="1C796955"/>
    <w:rsid w:val="1C7A05A4"/>
    <w:rsid w:val="1C7A236C"/>
    <w:rsid w:val="1C7C60E2"/>
    <w:rsid w:val="1C7D7110"/>
    <w:rsid w:val="1C7E7E7F"/>
    <w:rsid w:val="1C821221"/>
    <w:rsid w:val="1C8256C5"/>
    <w:rsid w:val="1C831C49"/>
    <w:rsid w:val="1C832B05"/>
    <w:rsid w:val="1C844F99"/>
    <w:rsid w:val="1C863563"/>
    <w:rsid w:val="1C864835"/>
    <w:rsid w:val="1C890801"/>
    <w:rsid w:val="1C896A53"/>
    <w:rsid w:val="1C8A7128"/>
    <w:rsid w:val="1C8B077A"/>
    <w:rsid w:val="1C8B523A"/>
    <w:rsid w:val="1C8E27E9"/>
    <w:rsid w:val="1C931680"/>
    <w:rsid w:val="1C964CCC"/>
    <w:rsid w:val="1C980E4C"/>
    <w:rsid w:val="1C98348A"/>
    <w:rsid w:val="1C984127"/>
    <w:rsid w:val="1C996EC9"/>
    <w:rsid w:val="1C997028"/>
    <w:rsid w:val="1C9B1929"/>
    <w:rsid w:val="1C9C6787"/>
    <w:rsid w:val="1C9D0174"/>
    <w:rsid w:val="1C9D1543"/>
    <w:rsid w:val="1C9F7DA6"/>
    <w:rsid w:val="1CA06975"/>
    <w:rsid w:val="1CA50ADD"/>
    <w:rsid w:val="1CA91816"/>
    <w:rsid w:val="1CAC2742"/>
    <w:rsid w:val="1CAC2C47"/>
    <w:rsid w:val="1CAE0692"/>
    <w:rsid w:val="1CB11612"/>
    <w:rsid w:val="1CB12121"/>
    <w:rsid w:val="1CB17D58"/>
    <w:rsid w:val="1CB25FAA"/>
    <w:rsid w:val="1CB33AD0"/>
    <w:rsid w:val="1CB3587E"/>
    <w:rsid w:val="1CBA5041"/>
    <w:rsid w:val="1CBB00C5"/>
    <w:rsid w:val="1CBB2F18"/>
    <w:rsid w:val="1CBB48C4"/>
    <w:rsid w:val="1CBF4CBA"/>
    <w:rsid w:val="1CBF5FD1"/>
    <w:rsid w:val="1CC22015"/>
    <w:rsid w:val="1CC407A0"/>
    <w:rsid w:val="1CC7132A"/>
    <w:rsid w:val="1CC7168F"/>
    <w:rsid w:val="1CC777B5"/>
    <w:rsid w:val="1CCB1A61"/>
    <w:rsid w:val="1CCC465A"/>
    <w:rsid w:val="1CD13F56"/>
    <w:rsid w:val="1CD51FDA"/>
    <w:rsid w:val="1CD75A11"/>
    <w:rsid w:val="1CD8593C"/>
    <w:rsid w:val="1CDA4E4B"/>
    <w:rsid w:val="1CDB0E8A"/>
    <w:rsid w:val="1CDB6B83"/>
    <w:rsid w:val="1CDE3B41"/>
    <w:rsid w:val="1CE21C27"/>
    <w:rsid w:val="1CE343B6"/>
    <w:rsid w:val="1CE507B9"/>
    <w:rsid w:val="1CE7377A"/>
    <w:rsid w:val="1CEF3C62"/>
    <w:rsid w:val="1CF24FB3"/>
    <w:rsid w:val="1CF45A93"/>
    <w:rsid w:val="1CF61D0C"/>
    <w:rsid w:val="1CFC382C"/>
    <w:rsid w:val="1CFC7225"/>
    <w:rsid w:val="1CFF0AC4"/>
    <w:rsid w:val="1CFF4EE3"/>
    <w:rsid w:val="1D015033"/>
    <w:rsid w:val="1D0165EA"/>
    <w:rsid w:val="1D0245C4"/>
    <w:rsid w:val="1D061093"/>
    <w:rsid w:val="1D092059"/>
    <w:rsid w:val="1D0F1998"/>
    <w:rsid w:val="1D1059BC"/>
    <w:rsid w:val="1D113591"/>
    <w:rsid w:val="1D114A85"/>
    <w:rsid w:val="1D175D32"/>
    <w:rsid w:val="1D175E0D"/>
    <w:rsid w:val="1D17747C"/>
    <w:rsid w:val="1D1C3424"/>
    <w:rsid w:val="1D2220FF"/>
    <w:rsid w:val="1D24677C"/>
    <w:rsid w:val="1D260771"/>
    <w:rsid w:val="1D266050"/>
    <w:rsid w:val="1D28626C"/>
    <w:rsid w:val="1D296ECC"/>
    <w:rsid w:val="1D2A5816"/>
    <w:rsid w:val="1D2B34E7"/>
    <w:rsid w:val="1D2D73DF"/>
    <w:rsid w:val="1D2F2C7C"/>
    <w:rsid w:val="1D306ECF"/>
    <w:rsid w:val="1D320E99"/>
    <w:rsid w:val="1D322659"/>
    <w:rsid w:val="1D3249F5"/>
    <w:rsid w:val="1D3369BF"/>
    <w:rsid w:val="1D3429E9"/>
    <w:rsid w:val="1D3556E8"/>
    <w:rsid w:val="1D385D84"/>
    <w:rsid w:val="1D3915CA"/>
    <w:rsid w:val="1D3949C2"/>
    <w:rsid w:val="1D3956AF"/>
    <w:rsid w:val="1D3C5874"/>
    <w:rsid w:val="1D3F35B6"/>
    <w:rsid w:val="1D3F7112"/>
    <w:rsid w:val="1D4110DC"/>
    <w:rsid w:val="1D412DAD"/>
    <w:rsid w:val="1D414BFD"/>
    <w:rsid w:val="1D444728"/>
    <w:rsid w:val="1D4473A7"/>
    <w:rsid w:val="1D457320"/>
    <w:rsid w:val="1D4604A0"/>
    <w:rsid w:val="1D4666F2"/>
    <w:rsid w:val="1D472259"/>
    <w:rsid w:val="1D4F1A4B"/>
    <w:rsid w:val="1D5030CD"/>
    <w:rsid w:val="1D523DAE"/>
    <w:rsid w:val="1D532BBD"/>
    <w:rsid w:val="1D54392D"/>
    <w:rsid w:val="1D544CCF"/>
    <w:rsid w:val="1D552F82"/>
    <w:rsid w:val="1D5545E3"/>
    <w:rsid w:val="1D556936"/>
    <w:rsid w:val="1D585F04"/>
    <w:rsid w:val="1D5B2F7F"/>
    <w:rsid w:val="1D5C7CC4"/>
    <w:rsid w:val="1D5F5A06"/>
    <w:rsid w:val="1D602319"/>
    <w:rsid w:val="1D604775"/>
    <w:rsid w:val="1D62641C"/>
    <w:rsid w:val="1D630640"/>
    <w:rsid w:val="1D646B79"/>
    <w:rsid w:val="1D65301C"/>
    <w:rsid w:val="1D6628F1"/>
    <w:rsid w:val="1D682927"/>
    <w:rsid w:val="1D6A69C5"/>
    <w:rsid w:val="1D6D4410"/>
    <w:rsid w:val="1D700370"/>
    <w:rsid w:val="1D7127D2"/>
    <w:rsid w:val="1D721295"/>
    <w:rsid w:val="1D7216DD"/>
    <w:rsid w:val="1D7525A8"/>
    <w:rsid w:val="1D757816"/>
    <w:rsid w:val="1D774AFE"/>
    <w:rsid w:val="1D790876"/>
    <w:rsid w:val="1D792CD5"/>
    <w:rsid w:val="1D7B0794"/>
    <w:rsid w:val="1D7B5625"/>
    <w:rsid w:val="1D7C0366"/>
    <w:rsid w:val="1D7C2114"/>
    <w:rsid w:val="1D7E536E"/>
    <w:rsid w:val="1D7F47E6"/>
    <w:rsid w:val="1D811D78"/>
    <w:rsid w:val="1D8378CE"/>
    <w:rsid w:val="1D884F5D"/>
    <w:rsid w:val="1D8C0E0A"/>
    <w:rsid w:val="1D8E23A2"/>
    <w:rsid w:val="1D920A05"/>
    <w:rsid w:val="1D9C0DEA"/>
    <w:rsid w:val="1D9C27B6"/>
    <w:rsid w:val="1D9E5661"/>
    <w:rsid w:val="1DA07A91"/>
    <w:rsid w:val="1DA1469A"/>
    <w:rsid w:val="1DA41E0D"/>
    <w:rsid w:val="1DA52897"/>
    <w:rsid w:val="1DA54732"/>
    <w:rsid w:val="1DA8186E"/>
    <w:rsid w:val="1DAA4ED3"/>
    <w:rsid w:val="1DB00010"/>
    <w:rsid w:val="1DB16FEA"/>
    <w:rsid w:val="1DB33E2E"/>
    <w:rsid w:val="1DB47E0C"/>
    <w:rsid w:val="1DB51617"/>
    <w:rsid w:val="1DB72D7B"/>
    <w:rsid w:val="1DB7314C"/>
    <w:rsid w:val="1DB87F26"/>
    <w:rsid w:val="1DB96571"/>
    <w:rsid w:val="1DBC4C07"/>
    <w:rsid w:val="1DBD3713"/>
    <w:rsid w:val="1DBE1DF0"/>
    <w:rsid w:val="1DC02374"/>
    <w:rsid w:val="1DC25D24"/>
    <w:rsid w:val="1DC3095F"/>
    <w:rsid w:val="1DC35DD3"/>
    <w:rsid w:val="1DC36B51"/>
    <w:rsid w:val="1DC563C2"/>
    <w:rsid w:val="1DC66F6F"/>
    <w:rsid w:val="1DC835AB"/>
    <w:rsid w:val="1DCA202E"/>
    <w:rsid w:val="1DCA487C"/>
    <w:rsid w:val="1DCB1624"/>
    <w:rsid w:val="1DCB4E4A"/>
    <w:rsid w:val="1DCD09B1"/>
    <w:rsid w:val="1DCD0BC2"/>
    <w:rsid w:val="1DCD2970"/>
    <w:rsid w:val="1DCD5BF3"/>
    <w:rsid w:val="1DCD6DEB"/>
    <w:rsid w:val="1DD1545F"/>
    <w:rsid w:val="1DD25E58"/>
    <w:rsid w:val="1DD473B8"/>
    <w:rsid w:val="1DD70C41"/>
    <w:rsid w:val="1DD81FBA"/>
    <w:rsid w:val="1DD85F79"/>
    <w:rsid w:val="1DD86FE9"/>
    <w:rsid w:val="1DDB16F6"/>
    <w:rsid w:val="1DDC1A4A"/>
    <w:rsid w:val="1DDE4B7D"/>
    <w:rsid w:val="1DE008F5"/>
    <w:rsid w:val="1DE03CEB"/>
    <w:rsid w:val="1DE07B5A"/>
    <w:rsid w:val="1DE11B57"/>
    <w:rsid w:val="1DE469C5"/>
    <w:rsid w:val="1DE721C0"/>
    <w:rsid w:val="1DE83803"/>
    <w:rsid w:val="1DEA3784"/>
    <w:rsid w:val="1DED6B6E"/>
    <w:rsid w:val="1DF61502"/>
    <w:rsid w:val="1DF87EF1"/>
    <w:rsid w:val="1DFB128B"/>
    <w:rsid w:val="1DFC3DAF"/>
    <w:rsid w:val="1DFC544B"/>
    <w:rsid w:val="1DFC6A69"/>
    <w:rsid w:val="1DFD10AB"/>
    <w:rsid w:val="1E041E2B"/>
    <w:rsid w:val="1E0433D8"/>
    <w:rsid w:val="1E047746"/>
    <w:rsid w:val="1E087E4C"/>
    <w:rsid w:val="1E0D0FBE"/>
    <w:rsid w:val="1E0D6357"/>
    <w:rsid w:val="1E101079"/>
    <w:rsid w:val="1E116C8A"/>
    <w:rsid w:val="1E12625F"/>
    <w:rsid w:val="1E13638B"/>
    <w:rsid w:val="1E151644"/>
    <w:rsid w:val="1E183811"/>
    <w:rsid w:val="1E1A1CA3"/>
    <w:rsid w:val="1E216BA7"/>
    <w:rsid w:val="1E2371AF"/>
    <w:rsid w:val="1E237AEF"/>
    <w:rsid w:val="1E2453CA"/>
    <w:rsid w:val="1E246886"/>
    <w:rsid w:val="1E2526F6"/>
    <w:rsid w:val="1E2723C0"/>
    <w:rsid w:val="1E273EA1"/>
    <w:rsid w:val="1E280721"/>
    <w:rsid w:val="1E2D5BE7"/>
    <w:rsid w:val="1E2E1F24"/>
    <w:rsid w:val="1E311151"/>
    <w:rsid w:val="1E316492"/>
    <w:rsid w:val="1E332469"/>
    <w:rsid w:val="1E395516"/>
    <w:rsid w:val="1E3B1CAB"/>
    <w:rsid w:val="1E3D18A3"/>
    <w:rsid w:val="1E3D2556"/>
    <w:rsid w:val="1E3E01B9"/>
    <w:rsid w:val="1E3E386E"/>
    <w:rsid w:val="1E3E73CA"/>
    <w:rsid w:val="1E401394"/>
    <w:rsid w:val="1E4369BF"/>
    <w:rsid w:val="1E4470D6"/>
    <w:rsid w:val="1E4A5D6E"/>
    <w:rsid w:val="1E4C7473"/>
    <w:rsid w:val="1E525165"/>
    <w:rsid w:val="1E5310C7"/>
    <w:rsid w:val="1E5446AB"/>
    <w:rsid w:val="1E550C9F"/>
    <w:rsid w:val="1E555C68"/>
    <w:rsid w:val="1E560BB7"/>
    <w:rsid w:val="1E562522"/>
    <w:rsid w:val="1E577505"/>
    <w:rsid w:val="1E5D3CF4"/>
    <w:rsid w:val="1E5F309F"/>
    <w:rsid w:val="1E621F96"/>
    <w:rsid w:val="1E644F75"/>
    <w:rsid w:val="1E650D36"/>
    <w:rsid w:val="1E663F48"/>
    <w:rsid w:val="1E666C76"/>
    <w:rsid w:val="1E6B5DBA"/>
    <w:rsid w:val="1E6C19BB"/>
    <w:rsid w:val="1E6C3F37"/>
    <w:rsid w:val="1E722BEF"/>
    <w:rsid w:val="1E725E40"/>
    <w:rsid w:val="1E7B7266"/>
    <w:rsid w:val="1E7C244A"/>
    <w:rsid w:val="1E7C3EAD"/>
    <w:rsid w:val="1E851D75"/>
    <w:rsid w:val="1E860B0F"/>
    <w:rsid w:val="1E8B689E"/>
    <w:rsid w:val="1E8C5396"/>
    <w:rsid w:val="1E8D5A58"/>
    <w:rsid w:val="1E8F1619"/>
    <w:rsid w:val="1E90231B"/>
    <w:rsid w:val="1E93077E"/>
    <w:rsid w:val="1E93142D"/>
    <w:rsid w:val="1E933BB9"/>
    <w:rsid w:val="1E964798"/>
    <w:rsid w:val="1E98001E"/>
    <w:rsid w:val="1E9B2A6E"/>
    <w:rsid w:val="1E9C2DDE"/>
    <w:rsid w:val="1E9F57EC"/>
    <w:rsid w:val="1EA01E32"/>
    <w:rsid w:val="1EA03BA2"/>
    <w:rsid w:val="1EA27958"/>
    <w:rsid w:val="1EA81FAC"/>
    <w:rsid w:val="1EAA50B1"/>
    <w:rsid w:val="1EAB1A0F"/>
    <w:rsid w:val="1EAB5E53"/>
    <w:rsid w:val="1EAC40A0"/>
    <w:rsid w:val="1EAD57D3"/>
    <w:rsid w:val="1EAF02C7"/>
    <w:rsid w:val="1EAF6E8A"/>
    <w:rsid w:val="1EB14E6B"/>
    <w:rsid w:val="1EB31B66"/>
    <w:rsid w:val="1EB51D82"/>
    <w:rsid w:val="1EBC5DCE"/>
    <w:rsid w:val="1EBE18C9"/>
    <w:rsid w:val="1EBF0EDC"/>
    <w:rsid w:val="1EBF367A"/>
    <w:rsid w:val="1EBF6CFB"/>
    <w:rsid w:val="1EC16BA1"/>
    <w:rsid w:val="1EC2401E"/>
    <w:rsid w:val="1EC43D73"/>
    <w:rsid w:val="1EC77E0E"/>
    <w:rsid w:val="1EC925F3"/>
    <w:rsid w:val="1ECA648D"/>
    <w:rsid w:val="1ECA7D3B"/>
    <w:rsid w:val="1ECE12B7"/>
    <w:rsid w:val="1ED02718"/>
    <w:rsid w:val="1ED06B06"/>
    <w:rsid w:val="1ED307E2"/>
    <w:rsid w:val="1ED32208"/>
    <w:rsid w:val="1ED41ADC"/>
    <w:rsid w:val="1ED44095"/>
    <w:rsid w:val="1ED53102"/>
    <w:rsid w:val="1ED61CF8"/>
    <w:rsid w:val="1ED76371"/>
    <w:rsid w:val="1ED80598"/>
    <w:rsid w:val="1ED93845"/>
    <w:rsid w:val="1ED94F9F"/>
    <w:rsid w:val="1ED95488"/>
    <w:rsid w:val="1EDA3596"/>
    <w:rsid w:val="1EDA41DB"/>
    <w:rsid w:val="1EDB0454"/>
    <w:rsid w:val="1EDC56AC"/>
    <w:rsid w:val="1EDC730E"/>
    <w:rsid w:val="1EDE1B1D"/>
    <w:rsid w:val="1EDE4D63"/>
    <w:rsid w:val="1EDF5856"/>
    <w:rsid w:val="1EE066D3"/>
    <w:rsid w:val="1EE14925"/>
    <w:rsid w:val="1EE1513C"/>
    <w:rsid w:val="1EE2069D"/>
    <w:rsid w:val="1EE4006D"/>
    <w:rsid w:val="1EE563B2"/>
    <w:rsid w:val="1EE6068B"/>
    <w:rsid w:val="1EE73417"/>
    <w:rsid w:val="1EEB2B1F"/>
    <w:rsid w:val="1EEB7BE2"/>
    <w:rsid w:val="1EF261AF"/>
    <w:rsid w:val="1EF5084D"/>
    <w:rsid w:val="1EF62881"/>
    <w:rsid w:val="1EF630B1"/>
    <w:rsid w:val="1EF671D8"/>
    <w:rsid w:val="1EF761AD"/>
    <w:rsid w:val="1EF7718D"/>
    <w:rsid w:val="1EFC7C2B"/>
    <w:rsid w:val="1EFD07C6"/>
    <w:rsid w:val="1F002AE7"/>
    <w:rsid w:val="1F0125C9"/>
    <w:rsid w:val="1F022AED"/>
    <w:rsid w:val="1F02489B"/>
    <w:rsid w:val="1F0423C1"/>
    <w:rsid w:val="1F05520E"/>
    <w:rsid w:val="1F0625DD"/>
    <w:rsid w:val="1F0844D7"/>
    <w:rsid w:val="1F0913AE"/>
    <w:rsid w:val="1F094EF0"/>
    <w:rsid w:val="1F0A54C5"/>
    <w:rsid w:val="1F0D3824"/>
    <w:rsid w:val="1F0D64C3"/>
    <w:rsid w:val="1F101CBF"/>
    <w:rsid w:val="1F130856"/>
    <w:rsid w:val="1F131398"/>
    <w:rsid w:val="1F176598"/>
    <w:rsid w:val="1F1B1C4A"/>
    <w:rsid w:val="1F1C4610"/>
    <w:rsid w:val="1F1F71FB"/>
    <w:rsid w:val="1F20449D"/>
    <w:rsid w:val="1F220A99"/>
    <w:rsid w:val="1F230CD2"/>
    <w:rsid w:val="1F2313DC"/>
    <w:rsid w:val="1F232C0E"/>
    <w:rsid w:val="1F243A12"/>
    <w:rsid w:val="1F244811"/>
    <w:rsid w:val="1F2512B6"/>
    <w:rsid w:val="1F262338"/>
    <w:rsid w:val="1F282FBC"/>
    <w:rsid w:val="1F283E00"/>
    <w:rsid w:val="1F284227"/>
    <w:rsid w:val="1F2926F4"/>
    <w:rsid w:val="1F2A132B"/>
    <w:rsid w:val="1F2B3DF2"/>
    <w:rsid w:val="1F3031B6"/>
    <w:rsid w:val="1F32177C"/>
    <w:rsid w:val="1F3438EB"/>
    <w:rsid w:val="1F35363C"/>
    <w:rsid w:val="1F393F29"/>
    <w:rsid w:val="1F39575D"/>
    <w:rsid w:val="1F3D376D"/>
    <w:rsid w:val="1F3D3B25"/>
    <w:rsid w:val="1F3E7B0C"/>
    <w:rsid w:val="1F3F26A4"/>
    <w:rsid w:val="1F413615"/>
    <w:rsid w:val="1F4149E1"/>
    <w:rsid w:val="1F42429F"/>
    <w:rsid w:val="1F424692"/>
    <w:rsid w:val="1F470500"/>
    <w:rsid w:val="1F494278"/>
    <w:rsid w:val="1F4B768E"/>
    <w:rsid w:val="1F4B7FF0"/>
    <w:rsid w:val="1F4D25A4"/>
    <w:rsid w:val="1F4E4143"/>
    <w:rsid w:val="1F51312D"/>
    <w:rsid w:val="1F5133EE"/>
    <w:rsid w:val="1F5250B8"/>
    <w:rsid w:val="1F525822"/>
    <w:rsid w:val="1F56147A"/>
    <w:rsid w:val="1F5844BB"/>
    <w:rsid w:val="1F594A2D"/>
    <w:rsid w:val="1F5B7EF1"/>
    <w:rsid w:val="1F5E41C7"/>
    <w:rsid w:val="1F5F3A9B"/>
    <w:rsid w:val="1F6045A9"/>
    <w:rsid w:val="1F617814"/>
    <w:rsid w:val="1F6217E3"/>
    <w:rsid w:val="1F6321CB"/>
    <w:rsid w:val="1F657BBA"/>
    <w:rsid w:val="1F6606CB"/>
    <w:rsid w:val="1F672950"/>
    <w:rsid w:val="1F685BAD"/>
    <w:rsid w:val="1F6B3A4E"/>
    <w:rsid w:val="1F6B41EE"/>
    <w:rsid w:val="1F6C6355"/>
    <w:rsid w:val="1F6F0182"/>
    <w:rsid w:val="1F6F241A"/>
    <w:rsid w:val="1F704FEA"/>
    <w:rsid w:val="1F707A57"/>
    <w:rsid w:val="1F72557D"/>
    <w:rsid w:val="1F731C44"/>
    <w:rsid w:val="1F742C4F"/>
    <w:rsid w:val="1F74550F"/>
    <w:rsid w:val="1F7460F2"/>
    <w:rsid w:val="1F7666B3"/>
    <w:rsid w:val="1F77739B"/>
    <w:rsid w:val="1F7A6B27"/>
    <w:rsid w:val="1F7C63FB"/>
    <w:rsid w:val="1F7C66F4"/>
    <w:rsid w:val="1F7D5C93"/>
    <w:rsid w:val="1F7F413E"/>
    <w:rsid w:val="1F7F5EEC"/>
    <w:rsid w:val="1F820959"/>
    <w:rsid w:val="1F846E16"/>
    <w:rsid w:val="1F860BDB"/>
    <w:rsid w:val="1F877BDE"/>
    <w:rsid w:val="1F881244"/>
    <w:rsid w:val="1F8C74AA"/>
    <w:rsid w:val="1F8E16BD"/>
    <w:rsid w:val="1F901EA7"/>
    <w:rsid w:val="1F90634B"/>
    <w:rsid w:val="1F9178A2"/>
    <w:rsid w:val="1F9574BD"/>
    <w:rsid w:val="1F964FEC"/>
    <w:rsid w:val="1F971487"/>
    <w:rsid w:val="1F99183C"/>
    <w:rsid w:val="1F9A2D26"/>
    <w:rsid w:val="1F9C084C"/>
    <w:rsid w:val="1F9C6A9E"/>
    <w:rsid w:val="1F9D6372"/>
    <w:rsid w:val="1FA0402E"/>
    <w:rsid w:val="1FA15E62"/>
    <w:rsid w:val="1FA16235"/>
    <w:rsid w:val="1FA320CC"/>
    <w:rsid w:val="1FA3669D"/>
    <w:rsid w:val="1FA37A9E"/>
    <w:rsid w:val="1FA616CA"/>
    <w:rsid w:val="1FA660E9"/>
    <w:rsid w:val="1FA67541"/>
    <w:rsid w:val="1FA7732E"/>
    <w:rsid w:val="1FA83694"/>
    <w:rsid w:val="1FAB50E1"/>
    <w:rsid w:val="1FAC1AC4"/>
    <w:rsid w:val="1FAC60B3"/>
    <w:rsid w:val="1FAD2A59"/>
    <w:rsid w:val="1FAE057F"/>
    <w:rsid w:val="1FB02549"/>
    <w:rsid w:val="1FB2062D"/>
    <w:rsid w:val="1FB56610"/>
    <w:rsid w:val="1FB63422"/>
    <w:rsid w:val="1FBB716D"/>
    <w:rsid w:val="1FBC4A4A"/>
    <w:rsid w:val="1FBD0C37"/>
    <w:rsid w:val="1FBD37BF"/>
    <w:rsid w:val="1FBE459C"/>
    <w:rsid w:val="1FBF7F81"/>
    <w:rsid w:val="1FC3402A"/>
    <w:rsid w:val="1FC473C9"/>
    <w:rsid w:val="1FC81641"/>
    <w:rsid w:val="1FC87893"/>
    <w:rsid w:val="1FC91ECF"/>
    <w:rsid w:val="1FC963EC"/>
    <w:rsid w:val="1FCA360B"/>
    <w:rsid w:val="1FCC661E"/>
    <w:rsid w:val="1FCD6C57"/>
    <w:rsid w:val="1FCE0B6C"/>
    <w:rsid w:val="1FD20711"/>
    <w:rsid w:val="1FD3418A"/>
    <w:rsid w:val="1FD35436"/>
    <w:rsid w:val="1FD70114"/>
    <w:rsid w:val="1FD87CD3"/>
    <w:rsid w:val="1FDA7EDB"/>
    <w:rsid w:val="1FDB5753"/>
    <w:rsid w:val="1FDD09AC"/>
    <w:rsid w:val="1FDF13FF"/>
    <w:rsid w:val="1FE01982"/>
    <w:rsid w:val="1FE02DB5"/>
    <w:rsid w:val="1FE12702"/>
    <w:rsid w:val="1FE16BA6"/>
    <w:rsid w:val="1FE4051E"/>
    <w:rsid w:val="1FE418CF"/>
    <w:rsid w:val="1FE47AAA"/>
    <w:rsid w:val="1FE6415A"/>
    <w:rsid w:val="1FE65F6B"/>
    <w:rsid w:val="1FE761FB"/>
    <w:rsid w:val="1FE87787"/>
    <w:rsid w:val="1FE87F35"/>
    <w:rsid w:val="1FEB0C35"/>
    <w:rsid w:val="1FEC2E4C"/>
    <w:rsid w:val="1FED554B"/>
    <w:rsid w:val="1FEF6DDF"/>
    <w:rsid w:val="1FF82DDD"/>
    <w:rsid w:val="1FF95C9E"/>
    <w:rsid w:val="1FFB158D"/>
    <w:rsid w:val="1FFC1A5E"/>
    <w:rsid w:val="1FFC61A2"/>
    <w:rsid w:val="20024461"/>
    <w:rsid w:val="200308CB"/>
    <w:rsid w:val="20085831"/>
    <w:rsid w:val="20085EE1"/>
    <w:rsid w:val="2009582A"/>
    <w:rsid w:val="200F4420"/>
    <w:rsid w:val="201416A6"/>
    <w:rsid w:val="201475F6"/>
    <w:rsid w:val="201523AC"/>
    <w:rsid w:val="20174376"/>
    <w:rsid w:val="20176124"/>
    <w:rsid w:val="20191C21"/>
    <w:rsid w:val="20193767"/>
    <w:rsid w:val="201C1D15"/>
    <w:rsid w:val="201C33F5"/>
    <w:rsid w:val="201D7F75"/>
    <w:rsid w:val="20200184"/>
    <w:rsid w:val="20235429"/>
    <w:rsid w:val="202470C6"/>
    <w:rsid w:val="202507AA"/>
    <w:rsid w:val="2027497A"/>
    <w:rsid w:val="202764B4"/>
    <w:rsid w:val="202A40A9"/>
    <w:rsid w:val="202D76F6"/>
    <w:rsid w:val="202E7D97"/>
    <w:rsid w:val="202F346E"/>
    <w:rsid w:val="2030195E"/>
    <w:rsid w:val="20346CD6"/>
    <w:rsid w:val="20360CA0"/>
    <w:rsid w:val="20361D83"/>
    <w:rsid w:val="203767C6"/>
    <w:rsid w:val="203778E8"/>
    <w:rsid w:val="20390790"/>
    <w:rsid w:val="203B0065"/>
    <w:rsid w:val="203C5035"/>
    <w:rsid w:val="203E0D14"/>
    <w:rsid w:val="20412F1E"/>
    <w:rsid w:val="2042315B"/>
    <w:rsid w:val="204261B0"/>
    <w:rsid w:val="20427645"/>
    <w:rsid w:val="204809D3"/>
    <w:rsid w:val="20482782"/>
    <w:rsid w:val="204A64FA"/>
    <w:rsid w:val="204C44E9"/>
    <w:rsid w:val="20517888"/>
    <w:rsid w:val="205563FD"/>
    <w:rsid w:val="20580C17"/>
    <w:rsid w:val="205823EF"/>
    <w:rsid w:val="205904EB"/>
    <w:rsid w:val="205B1A64"/>
    <w:rsid w:val="205B24B5"/>
    <w:rsid w:val="205C2DFE"/>
    <w:rsid w:val="205C4A49"/>
    <w:rsid w:val="206059C8"/>
    <w:rsid w:val="206318C0"/>
    <w:rsid w:val="20647D92"/>
    <w:rsid w:val="20675088"/>
    <w:rsid w:val="206A26F8"/>
    <w:rsid w:val="206B3938"/>
    <w:rsid w:val="206B3F20"/>
    <w:rsid w:val="206C2914"/>
    <w:rsid w:val="206C4B27"/>
    <w:rsid w:val="206C5373"/>
    <w:rsid w:val="206C6CC9"/>
    <w:rsid w:val="206E59A1"/>
    <w:rsid w:val="206F5F60"/>
    <w:rsid w:val="207008F9"/>
    <w:rsid w:val="20714EB2"/>
    <w:rsid w:val="207204F8"/>
    <w:rsid w:val="20755AF0"/>
    <w:rsid w:val="207769B4"/>
    <w:rsid w:val="20781906"/>
    <w:rsid w:val="20792E07"/>
    <w:rsid w:val="207B136C"/>
    <w:rsid w:val="207B1A83"/>
    <w:rsid w:val="207C7B67"/>
    <w:rsid w:val="207D0CB3"/>
    <w:rsid w:val="207E76C6"/>
    <w:rsid w:val="20803CC9"/>
    <w:rsid w:val="20855784"/>
    <w:rsid w:val="2088305A"/>
    <w:rsid w:val="20887022"/>
    <w:rsid w:val="20895274"/>
    <w:rsid w:val="20895AB1"/>
    <w:rsid w:val="208A0F56"/>
    <w:rsid w:val="208E3513"/>
    <w:rsid w:val="208F6535"/>
    <w:rsid w:val="208F6602"/>
    <w:rsid w:val="20915140"/>
    <w:rsid w:val="2097328E"/>
    <w:rsid w:val="209C5BF9"/>
    <w:rsid w:val="209E23A2"/>
    <w:rsid w:val="209F302F"/>
    <w:rsid w:val="20A03124"/>
    <w:rsid w:val="20A258C7"/>
    <w:rsid w:val="20A83220"/>
    <w:rsid w:val="20AB3471"/>
    <w:rsid w:val="20AD06DC"/>
    <w:rsid w:val="20B054AB"/>
    <w:rsid w:val="20B154F8"/>
    <w:rsid w:val="20B26F68"/>
    <w:rsid w:val="20B3409F"/>
    <w:rsid w:val="20B37014"/>
    <w:rsid w:val="20B4184E"/>
    <w:rsid w:val="20B515F3"/>
    <w:rsid w:val="20B6067F"/>
    <w:rsid w:val="20B60966"/>
    <w:rsid w:val="20B64D72"/>
    <w:rsid w:val="20B67552"/>
    <w:rsid w:val="20B71550"/>
    <w:rsid w:val="20B76605"/>
    <w:rsid w:val="20B83463"/>
    <w:rsid w:val="20B94A97"/>
    <w:rsid w:val="20B971DB"/>
    <w:rsid w:val="20BB2F53"/>
    <w:rsid w:val="20BB49A9"/>
    <w:rsid w:val="20BC06E0"/>
    <w:rsid w:val="20BC2B0B"/>
    <w:rsid w:val="20BC398C"/>
    <w:rsid w:val="20BC54B9"/>
    <w:rsid w:val="20BD316F"/>
    <w:rsid w:val="20C1169B"/>
    <w:rsid w:val="20C124A0"/>
    <w:rsid w:val="20C2459B"/>
    <w:rsid w:val="20C32D0D"/>
    <w:rsid w:val="20C47A36"/>
    <w:rsid w:val="20C91165"/>
    <w:rsid w:val="20C932CD"/>
    <w:rsid w:val="20CA21C5"/>
    <w:rsid w:val="20CC6F0F"/>
    <w:rsid w:val="20CE2C87"/>
    <w:rsid w:val="20D02EA3"/>
    <w:rsid w:val="20D05465"/>
    <w:rsid w:val="20D11EEC"/>
    <w:rsid w:val="20D14909"/>
    <w:rsid w:val="20D25157"/>
    <w:rsid w:val="20D34741"/>
    <w:rsid w:val="20D52267"/>
    <w:rsid w:val="20D73A0A"/>
    <w:rsid w:val="20D9162C"/>
    <w:rsid w:val="20DA037C"/>
    <w:rsid w:val="20DD736E"/>
    <w:rsid w:val="20DF1C2D"/>
    <w:rsid w:val="20DF30E6"/>
    <w:rsid w:val="20E173A4"/>
    <w:rsid w:val="20E26732"/>
    <w:rsid w:val="20E56222"/>
    <w:rsid w:val="20EB550D"/>
    <w:rsid w:val="20EE157B"/>
    <w:rsid w:val="20F052F3"/>
    <w:rsid w:val="20F36B91"/>
    <w:rsid w:val="20F46465"/>
    <w:rsid w:val="20F752AC"/>
    <w:rsid w:val="20F76A41"/>
    <w:rsid w:val="20FA7F20"/>
    <w:rsid w:val="20FB77F4"/>
    <w:rsid w:val="21091F11"/>
    <w:rsid w:val="210B08BC"/>
    <w:rsid w:val="210B72E7"/>
    <w:rsid w:val="210C0B33"/>
    <w:rsid w:val="21102F6B"/>
    <w:rsid w:val="21110DC5"/>
    <w:rsid w:val="21111DA5"/>
    <w:rsid w:val="21115269"/>
    <w:rsid w:val="21154D5A"/>
    <w:rsid w:val="21162BA4"/>
    <w:rsid w:val="21166694"/>
    <w:rsid w:val="2119000D"/>
    <w:rsid w:val="211954DD"/>
    <w:rsid w:val="211B39F2"/>
    <w:rsid w:val="211C265B"/>
    <w:rsid w:val="211C6A44"/>
    <w:rsid w:val="211C7E96"/>
    <w:rsid w:val="211D776A"/>
    <w:rsid w:val="211F1734"/>
    <w:rsid w:val="2120724C"/>
    <w:rsid w:val="212118C4"/>
    <w:rsid w:val="21242EC1"/>
    <w:rsid w:val="21246D4B"/>
    <w:rsid w:val="212651CF"/>
    <w:rsid w:val="21285DCB"/>
    <w:rsid w:val="212B0564"/>
    <w:rsid w:val="212B1CD5"/>
    <w:rsid w:val="212E1977"/>
    <w:rsid w:val="212E5E1B"/>
    <w:rsid w:val="212F7F40"/>
    <w:rsid w:val="21300ADF"/>
    <w:rsid w:val="21311468"/>
    <w:rsid w:val="21351C82"/>
    <w:rsid w:val="21374EF6"/>
    <w:rsid w:val="213A25AC"/>
    <w:rsid w:val="213A656E"/>
    <w:rsid w:val="213E2A7F"/>
    <w:rsid w:val="213E3F40"/>
    <w:rsid w:val="213F3B84"/>
    <w:rsid w:val="21402AE9"/>
    <w:rsid w:val="214116AB"/>
    <w:rsid w:val="21415B4F"/>
    <w:rsid w:val="21423675"/>
    <w:rsid w:val="21436EF8"/>
    <w:rsid w:val="21445C09"/>
    <w:rsid w:val="21452CB3"/>
    <w:rsid w:val="21464F13"/>
    <w:rsid w:val="2147002F"/>
    <w:rsid w:val="21472A39"/>
    <w:rsid w:val="2149055F"/>
    <w:rsid w:val="214A1F0D"/>
    <w:rsid w:val="214B162B"/>
    <w:rsid w:val="214D4226"/>
    <w:rsid w:val="214E5B76"/>
    <w:rsid w:val="21501B09"/>
    <w:rsid w:val="21531703"/>
    <w:rsid w:val="21556ECD"/>
    <w:rsid w:val="21583BAB"/>
    <w:rsid w:val="215A09BE"/>
    <w:rsid w:val="215A276C"/>
    <w:rsid w:val="215B714D"/>
    <w:rsid w:val="215F7D83"/>
    <w:rsid w:val="21611198"/>
    <w:rsid w:val="21627873"/>
    <w:rsid w:val="216551C8"/>
    <w:rsid w:val="216566D2"/>
    <w:rsid w:val="21663C82"/>
    <w:rsid w:val="21674E89"/>
    <w:rsid w:val="216807DC"/>
    <w:rsid w:val="216830DB"/>
    <w:rsid w:val="21684758"/>
    <w:rsid w:val="21695EFF"/>
    <w:rsid w:val="216A78B0"/>
    <w:rsid w:val="216D3F5C"/>
    <w:rsid w:val="216E2106"/>
    <w:rsid w:val="216F510D"/>
    <w:rsid w:val="21722923"/>
    <w:rsid w:val="21723F5A"/>
    <w:rsid w:val="2173382E"/>
    <w:rsid w:val="21744038"/>
    <w:rsid w:val="2178117E"/>
    <w:rsid w:val="217A24BF"/>
    <w:rsid w:val="217C2424"/>
    <w:rsid w:val="217D32FC"/>
    <w:rsid w:val="217D36EE"/>
    <w:rsid w:val="217D645B"/>
    <w:rsid w:val="217D6A14"/>
    <w:rsid w:val="217F21D3"/>
    <w:rsid w:val="217F6677"/>
    <w:rsid w:val="21806E86"/>
    <w:rsid w:val="21815CC2"/>
    <w:rsid w:val="21862C6D"/>
    <w:rsid w:val="218849EB"/>
    <w:rsid w:val="218C611C"/>
    <w:rsid w:val="218D51B0"/>
    <w:rsid w:val="218E68BA"/>
    <w:rsid w:val="21912FA1"/>
    <w:rsid w:val="219137EC"/>
    <w:rsid w:val="219151AB"/>
    <w:rsid w:val="21957C48"/>
    <w:rsid w:val="219739C1"/>
    <w:rsid w:val="2197576F"/>
    <w:rsid w:val="219772A5"/>
    <w:rsid w:val="219C03B2"/>
    <w:rsid w:val="219F2875"/>
    <w:rsid w:val="21A2560F"/>
    <w:rsid w:val="21A41C3A"/>
    <w:rsid w:val="21A457D5"/>
    <w:rsid w:val="21A47EC9"/>
    <w:rsid w:val="21A57D0E"/>
    <w:rsid w:val="21A80EBF"/>
    <w:rsid w:val="21A86C4B"/>
    <w:rsid w:val="21AD1E6A"/>
    <w:rsid w:val="21B0641D"/>
    <w:rsid w:val="21B173E8"/>
    <w:rsid w:val="21B31E7D"/>
    <w:rsid w:val="21B32C62"/>
    <w:rsid w:val="21B52629"/>
    <w:rsid w:val="21B55BF5"/>
    <w:rsid w:val="21B632F8"/>
    <w:rsid w:val="21BA76AF"/>
    <w:rsid w:val="21BF102A"/>
    <w:rsid w:val="21C14C45"/>
    <w:rsid w:val="21C32EBB"/>
    <w:rsid w:val="21C45898"/>
    <w:rsid w:val="21C66054"/>
    <w:rsid w:val="21C74867"/>
    <w:rsid w:val="21C75DD7"/>
    <w:rsid w:val="21C9045E"/>
    <w:rsid w:val="21CD0CA2"/>
    <w:rsid w:val="21CD73E2"/>
    <w:rsid w:val="21D04CF6"/>
    <w:rsid w:val="21D2413D"/>
    <w:rsid w:val="21D249F9"/>
    <w:rsid w:val="21D4251F"/>
    <w:rsid w:val="21D540D1"/>
    <w:rsid w:val="21D555A4"/>
    <w:rsid w:val="21D56297"/>
    <w:rsid w:val="21D708EE"/>
    <w:rsid w:val="21D851FD"/>
    <w:rsid w:val="21D963B6"/>
    <w:rsid w:val="21DC13D3"/>
    <w:rsid w:val="21DF2352"/>
    <w:rsid w:val="21DF40A1"/>
    <w:rsid w:val="21E040F4"/>
    <w:rsid w:val="21E86C69"/>
    <w:rsid w:val="21EE1107"/>
    <w:rsid w:val="21EE715B"/>
    <w:rsid w:val="21EE7E04"/>
    <w:rsid w:val="21EF0664"/>
    <w:rsid w:val="21F03143"/>
    <w:rsid w:val="21F03AB8"/>
    <w:rsid w:val="21F05BE4"/>
    <w:rsid w:val="21F35EBD"/>
    <w:rsid w:val="21F71DD4"/>
    <w:rsid w:val="21FA7AAB"/>
    <w:rsid w:val="21FB1496"/>
    <w:rsid w:val="21FC7971"/>
    <w:rsid w:val="21FC7CC7"/>
    <w:rsid w:val="22053AFD"/>
    <w:rsid w:val="22097CEF"/>
    <w:rsid w:val="220A4A49"/>
    <w:rsid w:val="220B35DA"/>
    <w:rsid w:val="220B3A67"/>
    <w:rsid w:val="220D5A31"/>
    <w:rsid w:val="22107F9A"/>
    <w:rsid w:val="22121299"/>
    <w:rsid w:val="22126253"/>
    <w:rsid w:val="22130C15"/>
    <w:rsid w:val="22151055"/>
    <w:rsid w:val="22161978"/>
    <w:rsid w:val="221665D6"/>
    <w:rsid w:val="221741C0"/>
    <w:rsid w:val="22180F5D"/>
    <w:rsid w:val="22185AC5"/>
    <w:rsid w:val="22193FF2"/>
    <w:rsid w:val="221B0291"/>
    <w:rsid w:val="221B156F"/>
    <w:rsid w:val="221B42C2"/>
    <w:rsid w:val="221E19EC"/>
    <w:rsid w:val="22202E26"/>
    <w:rsid w:val="22205076"/>
    <w:rsid w:val="2220580A"/>
    <w:rsid w:val="222114DC"/>
    <w:rsid w:val="22215D13"/>
    <w:rsid w:val="2224232C"/>
    <w:rsid w:val="222566FF"/>
    <w:rsid w:val="22266AF2"/>
    <w:rsid w:val="22284F8E"/>
    <w:rsid w:val="22294C5B"/>
    <w:rsid w:val="223031BD"/>
    <w:rsid w:val="22313234"/>
    <w:rsid w:val="22335C6E"/>
    <w:rsid w:val="22347461"/>
    <w:rsid w:val="223756AA"/>
    <w:rsid w:val="22390EEA"/>
    <w:rsid w:val="22394377"/>
    <w:rsid w:val="223A2A2F"/>
    <w:rsid w:val="223B259E"/>
    <w:rsid w:val="22407BB4"/>
    <w:rsid w:val="22431907"/>
    <w:rsid w:val="22486A69"/>
    <w:rsid w:val="2248703C"/>
    <w:rsid w:val="224E48A3"/>
    <w:rsid w:val="224F1ADB"/>
    <w:rsid w:val="224F3989"/>
    <w:rsid w:val="224F7DF7"/>
    <w:rsid w:val="22504F86"/>
    <w:rsid w:val="22511DC1"/>
    <w:rsid w:val="2253129D"/>
    <w:rsid w:val="22564F13"/>
    <w:rsid w:val="225E003A"/>
    <w:rsid w:val="2263409F"/>
    <w:rsid w:val="22651518"/>
    <w:rsid w:val="22661E92"/>
    <w:rsid w:val="22665141"/>
    <w:rsid w:val="2267751A"/>
    <w:rsid w:val="226A43FB"/>
    <w:rsid w:val="226A47A4"/>
    <w:rsid w:val="226A69DF"/>
    <w:rsid w:val="226D563E"/>
    <w:rsid w:val="226D64CF"/>
    <w:rsid w:val="226D6F81"/>
    <w:rsid w:val="226E0455"/>
    <w:rsid w:val="226E194C"/>
    <w:rsid w:val="226E521D"/>
    <w:rsid w:val="22720BE8"/>
    <w:rsid w:val="22727C93"/>
    <w:rsid w:val="22757C3D"/>
    <w:rsid w:val="22780970"/>
    <w:rsid w:val="22783AB5"/>
    <w:rsid w:val="227848BA"/>
    <w:rsid w:val="227930C6"/>
    <w:rsid w:val="22797B0E"/>
    <w:rsid w:val="227B0BEC"/>
    <w:rsid w:val="227B6EF9"/>
    <w:rsid w:val="227C4964"/>
    <w:rsid w:val="227E692E"/>
    <w:rsid w:val="227F6529"/>
    <w:rsid w:val="22822FDB"/>
    <w:rsid w:val="22842076"/>
    <w:rsid w:val="228637D6"/>
    <w:rsid w:val="22873B60"/>
    <w:rsid w:val="229121BE"/>
    <w:rsid w:val="22916AA1"/>
    <w:rsid w:val="22925F36"/>
    <w:rsid w:val="22932231"/>
    <w:rsid w:val="2293791C"/>
    <w:rsid w:val="22970125"/>
    <w:rsid w:val="229747DC"/>
    <w:rsid w:val="229765CB"/>
    <w:rsid w:val="229934FF"/>
    <w:rsid w:val="229A3466"/>
    <w:rsid w:val="229C1803"/>
    <w:rsid w:val="229D00D7"/>
    <w:rsid w:val="22A53EBB"/>
    <w:rsid w:val="22AD1BFA"/>
    <w:rsid w:val="22AF4D3A"/>
    <w:rsid w:val="22B660C8"/>
    <w:rsid w:val="22B7245B"/>
    <w:rsid w:val="22B943E7"/>
    <w:rsid w:val="22B963EA"/>
    <w:rsid w:val="22BC0680"/>
    <w:rsid w:val="22BC2211"/>
    <w:rsid w:val="22BD1205"/>
    <w:rsid w:val="22BD2FB3"/>
    <w:rsid w:val="22BD58C1"/>
    <w:rsid w:val="22C04851"/>
    <w:rsid w:val="22C12E16"/>
    <w:rsid w:val="22C71BAF"/>
    <w:rsid w:val="22C7387B"/>
    <w:rsid w:val="22C8309F"/>
    <w:rsid w:val="22C9160B"/>
    <w:rsid w:val="22CA0D58"/>
    <w:rsid w:val="22CB1BF7"/>
    <w:rsid w:val="22CC202F"/>
    <w:rsid w:val="22D16A5E"/>
    <w:rsid w:val="22D24584"/>
    <w:rsid w:val="22D327D6"/>
    <w:rsid w:val="22D706D9"/>
    <w:rsid w:val="22D80AB8"/>
    <w:rsid w:val="22D85841"/>
    <w:rsid w:val="22D95913"/>
    <w:rsid w:val="22DB168B"/>
    <w:rsid w:val="22E06EE9"/>
    <w:rsid w:val="22E10830"/>
    <w:rsid w:val="22E149E0"/>
    <w:rsid w:val="22E91FFA"/>
    <w:rsid w:val="22E947C5"/>
    <w:rsid w:val="22E962FB"/>
    <w:rsid w:val="22E96680"/>
    <w:rsid w:val="22EA5D72"/>
    <w:rsid w:val="22EB5C3B"/>
    <w:rsid w:val="22EE7610"/>
    <w:rsid w:val="22F015DA"/>
    <w:rsid w:val="22F06593"/>
    <w:rsid w:val="22F16D81"/>
    <w:rsid w:val="22F21D52"/>
    <w:rsid w:val="22F22C45"/>
    <w:rsid w:val="22F235E8"/>
    <w:rsid w:val="22F33C7B"/>
    <w:rsid w:val="22F369D5"/>
    <w:rsid w:val="22F7738D"/>
    <w:rsid w:val="22F9183A"/>
    <w:rsid w:val="22F97959"/>
    <w:rsid w:val="22F97D63"/>
    <w:rsid w:val="22FB7F7F"/>
    <w:rsid w:val="22FF520A"/>
    <w:rsid w:val="22FF5842"/>
    <w:rsid w:val="23007E1A"/>
    <w:rsid w:val="23020848"/>
    <w:rsid w:val="23033DBD"/>
    <w:rsid w:val="23040BE2"/>
    <w:rsid w:val="23052BAC"/>
    <w:rsid w:val="230C761F"/>
    <w:rsid w:val="230D6318"/>
    <w:rsid w:val="230E1A60"/>
    <w:rsid w:val="230E241E"/>
    <w:rsid w:val="23104C4D"/>
    <w:rsid w:val="23143D56"/>
    <w:rsid w:val="231C5839"/>
    <w:rsid w:val="231F5A1C"/>
    <w:rsid w:val="231F6890"/>
    <w:rsid w:val="23203542"/>
    <w:rsid w:val="23233C10"/>
    <w:rsid w:val="23244BF9"/>
    <w:rsid w:val="23272B22"/>
    <w:rsid w:val="23273FF5"/>
    <w:rsid w:val="23276A7F"/>
    <w:rsid w:val="23285A49"/>
    <w:rsid w:val="232A0934"/>
    <w:rsid w:val="232D3A5C"/>
    <w:rsid w:val="232D632A"/>
    <w:rsid w:val="233050F5"/>
    <w:rsid w:val="233314C7"/>
    <w:rsid w:val="233745D8"/>
    <w:rsid w:val="233A49FE"/>
    <w:rsid w:val="233B0A78"/>
    <w:rsid w:val="233C0B84"/>
    <w:rsid w:val="233C1B21"/>
    <w:rsid w:val="233C3028"/>
    <w:rsid w:val="234105E1"/>
    <w:rsid w:val="23425337"/>
    <w:rsid w:val="23452FA8"/>
    <w:rsid w:val="234731C4"/>
    <w:rsid w:val="23477785"/>
    <w:rsid w:val="23493AAA"/>
    <w:rsid w:val="234A0AED"/>
    <w:rsid w:val="234A54F1"/>
    <w:rsid w:val="234B4A63"/>
    <w:rsid w:val="234F5BD5"/>
    <w:rsid w:val="235021D1"/>
    <w:rsid w:val="23507EDA"/>
    <w:rsid w:val="23522A29"/>
    <w:rsid w:val="235558E1"/>
    <w:rsid w:val="23563407"/>
    <w:rsid w:val="235651B5"/>
    <w:rsid w:val="23574571"/>
    <w:rsid w:val="2358511C"/>
    <w:rsid w:val="2358717F"/>
    <w:rsid w:val="235B27CC"/>
    <w:rsid w:val="235C0A6C"/>
    <w:rsid w:val="235F050E"/>
    <w:rsid w:val="235F0A76"/>
    <w:rsid w:val="236066C1"/>
    <w:rsid w:val="2362592A"/>
    <w:rsid w:val="23626ADD"/>
    <w:rsid w:val="23641680"/>
    <w:rsid w:val="236D096E"/>
    <w:rsid w:val="236E4F37"/>
    <w:rsid w:val="236E69A3"/>
    <w:rsid w:val="236F7CD9"/>
    <w:rsid w:val="23720904"/>
    <w:rsid w:val="23741F5B"/>
    <w:rsid w:val="2375358E"/>
    <w:rsid w:val="2375388E"/>
    <w:rsid w:val="23770F13"/>
    <w:rsid w:val="23783866"/>
    <w:rsid w:val="23786BBE"/>
    <w:rsid w:val="237C37C8"/>
    <w:rsid w:val="237C4C1C"/>
    <w:rsid w:val="237E524F"/>
    <w:rsid w:val="237F6AAD"/>
    <w:rsid w:val="238009F5"/>
    <w:rsid w:val="2382582D"/>
    <w:rsid w:val="23827D58"/>
    <w:rsid w:val="238367CA"/>
    <w:rsid w:val="238479F7"/>
    <w:rsid w:val="238C06E0"/>
    <w:rsid w:val="238F59DE"/>
    <w:rsid w:val="23902475"/>
    <w:rsid w:val="23914C5B"/>
    <w:rsid w:val="23931F66"/>
    <w:rsid w:val="239652EE"/>
    <w:rsid w:val="239917B5"/>
    <w:rsid w:val="239A07DA"/>
    <w:rsid w:val="239D1036"/>
    <w:rsid w:val="239D1610"/>
    <w:rsid w:val="239D4B92"/>
    <w:rsid w:val="239E174A"/>
    <w:rsid w:val="23A1344B"/>
    <w:rsid w:val="23A940D7"/>
    <w:rsid w:val="23AD1279"/>
    <w:rsid w:val="23AD29DD"/>
    <w:rsid w:val="23AE4FF1"/>
    <w:rsid w:val="23AF3A49"/>
    <w:rsid w:val="23B23D14"/>
    <w:rsid w:val="23B567AE"/>
    <w:rsid w:val="23B720E1"/>
    <w:rsid w:val="23B753E0"/>
    <w:rsid w:val="23BD33A3"/>
    <w:rsid w:val="23BF0FAD"/>
    <w:rsid w:val="23C30A9D"/>
    <w:rsid w:val="23C4012D"/>
    <w:rsid w:val="23C95987"/>
    <w:rsid w:val="23C9752B"/>
    <w:rsid w:val="23CB486D"/>
    <w:rsid w:val="23CB6173"/>
    <w:rsid w:val="23CD36CA"/>
    <w:rsid w:val="23CE5969"/>
    <w:rsid w:val="23CF1F26"/>
    <w:rsid w:val="23D66EDD"/>
    <w:rsid w:val="23D7769B"/>
    <w:rsid w:val="23D779B7"/>
    <w:rsid w:val="23D96DEA"/>
    <w:rsid w:val="23DA1943"/>
    <w:rsid w:val="23DA6AE5"/>
    <w:rsid w:val="23DE7685"/>
    <w:rsid w:val="23DF1229"/>
    <w:rsid w:val="23DF2A7E"/>
    <w:rsid w:val="23E32D20"/>
    <w:rsid w:val="23E629DD"/>
    <w:rsid w:val="23E8105A"/>
    <w:rsid w:val="23E9602A"/>
    <w:rsid w:val="23EA427B"/>
    <w:rsid w:val="23ED2ABD"/>
    <w:rsid w:val="23ED78C8"/>
    <w:rsid w:val="23EF1F4D"/>
    <w:rsid w:val="23F24E28"/>
    <w:rsid w:val="23F431AA"/>
    <w:rsid w:val="23F52C20"/>
    <w:rsid w:val="23FA0779"/>
    <w:rsid w:val="23FA5EFD"/>
    <w:rsid w:val="23FC5038"/>
    <w:rsid w:val="23FF4D42"/>
    <w:rsid w:val="24005615"/>
    <w:rsid w:val="24012D88"/>
    <w:rsid w:val="240157FD"/>
    <w:rsid w:val="2402186F"/>
    <w:rsid w:val="24044C11"/>
    <w:rsid w:val="24067541"/>
    <w:rsid w:val="240719D5"/>
    <w:rsid w:val="240C440D"/>
    <w:rsid w:val="2411353B"/>
    <w:rsid w:val="241412F8"/>
    <w:rsid w:val="241508BB"/>
    <w:rsid w:val="241843A5"/>
    <w:rsid w:val="24184673"/>
    <w:rsid w:val="241877AE"/>
    <w:rsid w:val="24192338"/>
    <w:rsid w:val="241A1B26"/>
    <w:rsid w:val="241A3724"/>
    <w:rsid w:val="241B2E94"/>
    <w:rsid w:val="241B595C"/>
    <w:rsid w:val="241B6D76"/>
    <w:rsid w:val="241C01AD"/>
    <w:rsid w:val="241C5D51"/>
    <w:rsid w:val="241F7012"/>
    <w:rsid w:val="24212294"/>
    <w:rsid w:val="24213A15"/>
    <w:rsid w:val="24261E07"/>
    <w:rsid w:val="24277614"/>
    <w:rsid w:val="242C3FC9"/>
    <w:rsid w:val="242E45B2"/>
    <w:rsid w:val="242F7EE0"/>
    <w:rsid w:val="24303C58"/>
    <w:rsid w:val="24323962"/>
    <w:rsid w:val="243757ED"/>
    <w:rsid w:val="24392B0D"/>
    <w:rsid w:val="243A1E8A"/>
    <w:rsid w:val="243A7591"/>
    <w:rsid w:val="243C0913"/>
    <w:rsid w:val="243E6A46"/>
    <w:rsid w:val="243F5C4A"/>
    <w:rsid w:val="24400B00"/>
    <w:rsid w:val="24431BDE"/>
    <w:rsid w:val="24431E02"/>
    <w:rsid w:val="24433FC0"/>
    <w:rsid w:val="244514B2"/>
    <w:rsid w:val="24490371"/>
    <w:rsid w:val="244A2F6C"/>
    <w:rsid w:val="244D480A"/>
    <w:rsid w:val="24543FEB"/>
    <w:rsid w:val="24544BB1"/>
    <w:rsid w:val="24545B99"/>
    <w:rsid w:val="2456090F"/>
    <w:rsid w:val="24575689"/>
    <w:rsid w:val="2458054E"/>
    <w:rsid w:val="24591635"/>
    <w:rsid w:val="245931AF"/>
    <w:rsid w:val="24596077"/>
    <w:rsid w:val="245E4322"/>
    <w:rsid w:val="24601FCE"/>
    <w:rsid w:val="2460453E"/>
    <w:rsid w:val="246833F2"/>
    <w:rsid w:val="246A53BC"/>
    <w:rsid w:val="246A716A"/>
    <w:rsid w:val="246D22D9"/>
    <w:rsid w:val="246D27B7"/>
    <w:rsid w:val="246E09C7"/>
    <w:rsid w:val="246E5661"/>
    <w:rsid w:val="246F4781"/>
    <w:rsid w:val="246F4EE1"/>
    <w:rsid w:val="24701515"/>
    <w:rsid w:val="24704055"/>
    <w:rsid w:val="24715090"/>
    <w:rsid w:val="2472601F"/>
    <w:rsid w:val="24727DCD"/>
    <w:rsid w:val="24753450"/>
    <w:rsid w:val="24782EBD"/>
    <w:rsid w:val="247A0CB1"/>
    <w:rsid w:val="247C0C4C"/>
    <w:rsid w:val="247D55E8"/>
    <w:rsid w:val="247E1EC3"/>
    <w:rsid w:val="24821232"/>
    <w:rsid w:val="2483035C"/>
    <w:rsid w:val="24845F5C"/>
    <w:rsid w:val="2487090E"/>
    <w:rsid w:val="24885842"/>
    <w:rsid w:val="248B750E"/>
    <w:rsid w:val="248C382E"/>
    <w:rsid w:val="249146F7"/>
    <w:rsid w:val="249266C1"/>
    <w:rsid w:val="24942439"/>
    <w:rsid w:val="249A4821"/>
    <w:rsid w:val="249C309C"/>
    <w:rsid w:val="249C6B50"/>
    <w:rsid w:val="249E6E14"/>
    <w:rsid w:val="24A12C8A"/>
    <w:rsid w:val="24A13792"/>
    <w:rsid w:val="24A3267C"/>
    <w:rsid w:val="24A350BB"/>
    <w:rsid w:val="24A400FD"/>
    <w:rsid w:val="24A45317"/>
    <w:rsid w:val="24A51F50"/>
    <w:rsid w:val="24A54462"/>
    <w:rsid w:val="24A56073"/>
    <w:rsid w:val="24A7216D"/>
    <w:rsid w:val="24A87C93"/>
    <w:rsid w:val="24A87D25"/>
    <w:rsid w:val="24AB32DF"/>
    <w:rsid w:val="24AE34FB"/>
    <w:rsid w:val="24AF4B7D"/>
    <w:rsid w:val="24AF7BD2"/>
    <w:rsid w:val="24B45CF9"/>
    <w:rsid w:val="24B54BD8"/>
    <w:rsid w:val="24B61600"/>
    <w:rsid w:val="24B66D00"/>
    <w:rsid w:val="24B77ED6"/>
    <w:rsid w:val="24B94705"/>
    <w:rsid w:val="24BB79C6"/>
    <w:rsid w:val="24C04FDC"/>
    <w:rsid w:val="24C26FA6"/>
    <w:rsid w:val="24C30629"/>
    <w:rsid w:val="24C41FCB"/>
    <w:rsid w:val="24C525F3"/>
    <w:rsid w:val="24C74DF4"/>
    <w:rsid w:val="24CB3F24"/>
    <w:rsid w:val="24CD14A7"/>
    <w:rsid w:val="24CD4E01"/>
    <w:rsid w:val="24CF2953"/>
    <w:rsid w:val="24D04EAF"/>
    <w:rsid w:val="24D11AED"/>
    <w:rsid w:val="24D1519F"/>
    <w:rsid w:val="24D42836"/>
    <w:rsid w:val="24D665AE"/>
    <w:rsid w:val="24D67B0B"/>
    <w:rsid w:val="24D770C8"/>
    <w:rsid w:val="24D80578"/>
    <w:rsid w:val="24D81381"/>
    <w:rsid w:val="24D9144B"/>
    <w:rsid w:val="24D96DDD"/>
    <w:rsid w:val="24DA20C4"/>
    <w:rsid w:val="24DA2DF4"/>
    <w:rsid w:val="24DA7263"/>
    <w:rsid w:val="24DC1C12"/>
    <w:rsid w:val="24DD3BDE"/>
    <w:rsid w:val="24E30CCB"/>
    <w:rsid w:val="24E46F1D"/>
    <w:rsid w:val="24E47EA7"/>
    <w:rsid w:val="24E53331"/>
    <w:rsid w:val="24E5661D"/>
    <w:rsid w:val="24E72569"/>
    <w:rsid w:val="24E83CB4"/>
    <w:rsid w:val="24EC4023"/>
    <w:rsid w:val="24EE1B49"/>
    <w:rsid w:val="24F02B51"/>
    <w:rsid w:val="24F0593B"/>
    <w:rsid w:val="24F15196"/>
    <w:rsid w:val="24F164AA"/>
    <w:rsid w:val="24F5112A"/>
    <w:rsid w:val="24F53425"/>
    <w:rsid w:val="24F55993"/>
    <w:rsid w:val="24F66C50"/>
    <w:rsid w:val="24F66E18"/>
    <w:rsid w:val="24F71864"/>
    <w:rsid w:val="24F829C8"/>
    <w:rsid w:val="24FB6F86"/>
    <w:rsid w:val="24FD1D8D"/>
    <w:rsid w:val="24FD3B3B"/>
    <w:rsid w:val="24FD76FA"/>
    <w:rsid w:val="24FE307B"/>
    <w:rsid w:val="24FF1F27"/>
    <w:rsid w:val="25021A78"/>
    <w:rsid w:val="25027359"/>
    <w:rsid w:val="250550E5"/>
    <w:rsid w:val="25070E5D"/>
    <w:rsid w:val="25076E99"/>
    <w:rsid w:val="25077A1A"/>
    <w:rsid w:val="250960CA"/>
    <w:rsid w:val="250C0222"/>
    <w:rsid w:val="250D412C"/>
    <w:rsid w:val="25140E84"/>
    <w:rsid w:val="251A0B90"/>
    <w:rsid w:val="251C63CA"/>
    <w:rsid w:val="251C7887"/>
    <w:rsid w:val="25203CCD"/>
    <w:rsid w:val="25230E63"/>
    <w:rsid w:val="2523302D"/>
    <w:rsid w:val="25251165"/>
    <w:rsid w:val="25262DC7"/>
    <w:rsid w:val="2527270A"/>
    <w:rsid w:val="2527505B"/>
    <w:rsid w:val="25277E3C"/>
    <w:rsid w:val="252B4B4C"/>
    <w:rsid w:val="252B5F8E"/>
    <w:rsid w:val="252B640E"/>
    <w:rsid w:val="252C08C4"/>
    <w:rsid w:val="252D28F1"/>
    <w:rsid w:val="25302C53"/>
    <w:rsid w:val="25311A36"/>
    <w:rsid w:val="25341319"/>
    <w:rsid w:val="253608F9"/>
    <w:rsid w:val="25382DC5"/>
    <w:rsid w:val="2539425C"/>
    <w:rsid w:val="253C3AD8"/>
    <w:rsid w:val="253D0E6C"/>
    <w:rsid w:val="253D487F"/>
    <w:rsid w:val="253D5008"/>
    <w:rsid w:val="2540611D"/>
    <w:rsid w:val="25407ECB"/>
    <w:rsid w:val="25424E9F"/>
    <w:rsid w:val="25433D16"/>
    <w:rsid w:val="254462D8"/>
    <w:rsid w:val="25453733"/>
    <w:rsid w:val="2547125A"/>
    <w:rsid w:val="25474DCC"/>
    <w:rsid w:val="254774AC"/>
    <w:rsid w:val="254867B0"/>
    <w:rsid w:val="25494FD2"/>
    <w:rsid w:val="254A0D4A"/>
    <w:rsid w:val="254C4AC2"/>
    <w:rsid w:val="254E4396"/>
    <w:rsid w:val="254F7751"/>
    <w:rsid w:val="255045B2"/>
    <w:rsid w:val="255120D8"/>
    <w:rsid w:val="2555381B"/>
    <w:rsid w:val="255548B1"/>
    <w:rsid w:val="255705C3"/>
    <w:rsid w:val="255778DD"/>
    <w:rsid w:val="25592D3B"/>
    <w:rsid w:val="255C1030"/>
    <w:rsid w:val="255D69F8"/>
    <w:rsid w:val="25601414"/>
    <w:rsid w:val="256046F0"/>
    <w:rsid w:val="256242E5"/>
    <w:rsid w:val="25636251"/>
    <w:rsid w:val="25661F7C"/>
    <w:rsid w:val="2567190E"/>
    <w:rsid w:val="256736AA"/>
    <w:rsid w:val="256737E6"/>
    <w:rsid w:val="25680528"/>
    <w:rsid w:val="25682400"/>
    <w:rsid w:val="256828FA"/>
    <w:rsid w:val="25684650"/>
    <w:rsid w:val="25687640"/>
    <w:rsid w:val="256B1223"/>
    <w:rsid w:val="256B195B"/>
    <w:rsid w:val="256C0CC0"/>
    <w:rsid w:val="256D7955"/>
    <w:rsid w:val="25706A02"/>
    <w:rsid w:val="25727230"/>
    <w:rsid w:val="25743C2B"/>
    <w:rsid w:val="25754019"/>
    <w:rsid w:val="25767984"/>
    <w:rsid w:val="257856C5"/>
    <w:rsid w:val="25787A12"/>
    <w:rsid w:val="25797F62"/>
    <w:rsid w:val="257A3A16"/>
    <w:rsid w:val="257C37F2"/>
    <w:rsid w:val="257E0DAB"/>
    <w:rsid w:val="257F6C45"/>
    <w:rsid w:val="25826736"/>
    <w:rsid w:val="25827C82"/>
    <w:rsid w:val="25861D82"/>
    <w:rsid w:val="25870D1D"/>
    <w:rsid w:val="25875AFA"/>
    <w:rsid w:val="258A3CC2"/>
    <w:rsid w:val="258A6438"/>
    <w:rsid w:val="25916979"/>
    <w:rsid w:val="259176DE"/>
    <w:rsid w:val="25961ED2"/>
    <w:rsid w:val="259961F2"/>
    <w:rsid w:val="259D4D03"/>
    <w:rsid w:val="25A44B62"/>
    <w:rsid w:val="25A57E5C"/>
    <w:rsid w:val="25AA582D"/>
    <w:rsid w:val="25AD6F5A"/>
    <w:rsid w:val="25AE6883"/>
    <w:rsid w:val="25B00A88"/>
    <w:rsid w:val="25B032A3"/>
    <w:rsid w:val="25B32433"/>
    <w:rsid w:val="25B34B41"/>
    <w:rsid w:val="25B6018D"/>
    <w:rsid w:val="25B82157"/>
    <w:rsid w:val="25B83F05"/>
    <w:rsid w:val="25BE275E"/>
    <w:rsid w:val="25BE615C"/>
    <w:rsid w:val="25BF1CF6"/>
    <w:rsid w:val="25BF1F53"/>
    <w:rsid w:val="25C06340"/>
    <w:rsid w:val="25C35A40"/>
    <w:rsid w:val="25C82AB9"/>
    <w:rsid w:val="25C85FC8"/>
    <w:rsid w:val="25C87B41"/>
    <w:rsid w:val="25C966DD"/>
    <w:rsid w:val="25CC02DA"/>
    <w:rsid w:val="25CC175F"/>
    <w:rsid w:val="25CE1E6E"/>
    <w:rsid w:val="25CF53D1"/>
    <w:rsid w:val="25D00DB5"/>
    <w:rsid w:val="25D018E3"/>
    <w:rsid w:val="25D074A1"/>
    <w:rsid w:val="25D1671F"/>
    <w:rsid w:val="25D22441"/>
    <w:rsid w:val="25D40396"/>
    <w:rsid w:val="25D656E6"/>
    <w:rsid w:val="25D81C96"/>
    <w:rsid w:val="25DA0320"/>
    <w:rsid w:val="25DA3E7C"/>
    <w:rsid w:val="25DC4098"/>
    <w:rsid w:val="25E07287"/>
    <w:rsid w:val="25E20BC6"/>
    <w:rsid w:val="25E2667E"/>
    <w:rsid w:val="25E44CFA"/>
    <w:rsid w:val="25E86BBA"/>
    <w:rsid w:val="25EA1484"/>
    <w:rsid w:val="25EB0BB4"/>
    <w:rsid w:val="25EE5B79"/>
    <w:rsid w:val="25EE7927"/>
    <w:rsid w:val="25F02CD7"/>
    <w:rsid w:val="25F211C5"/>
    <w:rsid w:val="25F3318F"/>
    <w:rsid w:val="25F50CB6"/>
    <w:rsid w:val="25F60311"/>
    <w:rsid w:val="25F82554"/>
    <w:rsid w:val="25F83A72"/>
    <w:rsid w:val="25FC0296"/>
    <w:rsid w:val="25FF3E71"/>
    <w:rsid w:val="260061B4"/>
    <w:rsid w:val="26030126"/>
    <w:rsid w:val="2603191A"/>
    <w:rsid w:val="26065E31"/>
    <w:rsid w:val="26091243"/>
    <w:rsid w:val="26094761"/>
    <w:rsid w:val="260B3AF2"/>
    <w:rsid w:val="260D223F"/>
    <w:rsid w:val="260E0D36"/>
    <w:rsid w:val="260E3B25"/>
    <w:rsid w:val="26103DCA"/>
    <w:rsid w:val="2610789E"/>
    <w:rsid w:val="26145F14"/>
    <w:rsid w:val="261469C2"/>
    <w:rsid w:val="26151358"/>
    <w:rsid w:val="26184CC5"/>
    <w:rsid w:val="261851CD"/>
    <w:rsid w:val="26190E48"/>
    <w:rsid w:val="261A5A34"/>
    <w:rsid w:val="261B4D34"/>
    <w:rsid w:val="261D6154"/>
    <w:rsid w:val="261E020C"/>
    <w:rsid w:val="26200113"/>
    <w:rsid w:val="262157A0"/>
    <w:rsid w:val="262204D9"/>
    <w:rsid w:val="26223A32"/>
    <w:rsid w:val="26231917"/>
    <w:rsid w:val="26234031"/>
    <w:rsid w:val="2623406A"/>
    <w:rsid w:val="2624381E"/>
    <w:rsid w:val="262442A3"/>
    <w:rsid w:val="26284BE7"/>
    <w:rsid w:val="262A631E"/>
    <w:rsid w:val="262B27E1"/>
    <w:rsid w:val="262C5006"/>
    <w:rsid w:val="262D00DD"/>
    <w:rsid w:val="262D570E"/>
    <w:rsid w:val="262E0B9E"/>
    <w:rsid w:val="26301CEE"/>
    <w:rsid w:val="26305261"/>
    <w:rsid w:val="26341417"/>
    <w:rsid w:val="26347A30"/>
    <w:rsid w:val="263537A8"/>
    <w:rsid w:val="26356ACD"/>
    <w:rsid w:val="26377520"/>
    <w:rsid w:val="26381B56"/>
    <w:rsid w:val="26393D28"/>
    <w:rsid w:val="26395046"/>
    <w:rsid w:val="263A4DF7"/>
    <w:rsid w:val="263E13FE"/>
    <w:rsid w:val="263F0612"/>
    <w:rsid w:val="263F63D5"/>
    <w:rsid w:val="26404627"/>
    <w:rsid w:val="26405F34"/>
    <w:rsid w:val="26414FD1"/>
    <w:rsid w:val="26431A21"/>
    <w:rsid w:val="26434910"/>
    <w:rsid w:val="264531D8"/>
    <w:rsid w:val="26467763"/>
    <w:rsid w:val="264726B9"/>
    <w:rsid w:val="264C4CF8"/>
    <w:rsid w:val="264E7047"/>
    <w:rsid w:val="264F1CD1"/>
    <w:rsid w:val="264F6635"/>
    <w:rsid w:val="26527EB6"/>
    <w:rsid w:val="26555B2C"/>
    <w:rsid w:val="26584DBA"/>
    <w:rsid w:val="265A69FA"/>
    <w:rsid w:val="265B3977"/>
    <w:rsid w:val="265D1F8F"/>
    <w:rsid w:val="26612BE1"/>
    <w:rsid w:val="26616935"/>
    <w:rsid w:val="26630315"/>
    <w:rsid w:val="26636ED8"/>
    <w:rsid w:val="2665408D"/>
    <w:rsid w:val="266863F9"/>
    <w:rsid w:val="26691E85"/>
    <w:rsid w:val="26697D7C"/>
    <w:rsid w:val="266B27C6"/>
    <w:rsid w:val="266C03B4"/>
    <w:rsid w:val="266E5C3B"/>
    <w:rsid w:val="266F6CBA"/>
    <w:rsid w:val="266F70FA"/>
    <w:rsid w:val="2673656C"/>
    <w:rsid w:val="26761203"/>
    <w:rsid w:val="2676386A"/>
    <w:rsid w:val="26793782"/>
    <w:rsid w:val="267A740D"/>
    <w:rsid w:val="267E6EFD"/>
    <w:rsid w:val="26802C75"/>
    <w:rsid w:val="26812549"/>
    <w:rsid w:val="26815A23"/>
    <w:rsid w:val="268169ED"/>
    <w:rsid w:val="2685203A"/>
    <w:rsid w:val="26864374"/>
    <w:rsid w:val="2687512B"/>
    <w:rsid w:val="268B1763"/>
    <w:rsid w:val="268D1A33"/>
    <w:rsid w:val="268D7140"/>
    <w:rsid w:val="268F3A2F"/>
    <w:rsid w:val="26904504"/>
    <w:rsid w:val="26920BFA"/>
    <w:rsid w:val="26940D8B"/>
    <w:rsid w:val="2695750E"/>
    <w:rsid w:val="26971D6D"/>
    <w:rsid w:val="269811C6"/>
    <w:rsid w:val="269972F1"/>
    <w:rsid w:val="269A3A73"/>
    <w:rsid w:val="269B185D"/>
    <w:rsid w:val="269C1305"/>
    <w:rsid w:val="269C1763"/>
    <w:rsid w:val="269E0E7B"/>
    <w:rsid w:val="269F7958"/>
    <w:rsid w:val="26A0067C"/>
    <w:rsid w:val="26A07441"/>
    <w:rsid w:val="26A61FB0"/>
    <w:rsid w:val="26A83F7A"/>
    <w:rsid w:val="26A85D28"/>
    <w:rsid w:val="26AC391E"/>
    <w:rsid w:val="26AF218C"/>
    <w:rsid w:val="26AF3A2F"/>
    <w:rsid w:val="26B121E9"/>
    <w:rsid w:val="26B30FA6"/>
    <w:rsid w:val="26B326D6"/>
    <w:rsid w:val="26B42C0A"/>
    <w:rsid w:val="26B901ED"/>
    <w:rsid w:val="26BD43E5"/>
    <w:rsid w:val="26C10DD5"/>
    <w:rsid w:val="26C50688"/>
    <w:rsid w:val="26C568DA"/>
    <w:rsid w:val="26C80FDB"/>
    <w:rsid w:val="26CD6F92"/>
    <w:rsid w:val="26CE74AB"/>
    <w:rsid w:val="26D0702D"/>
    <w:rsid w:val="26D073D1"/>
    <w:rsid w:val="26D07FB9"/>
    <w:rsid w:val="26D1301C"/>
    <w:rsid w:val="26D22DA5"/>
    <w:rsid w:val="26D3332C"/>
    <w:rsid w:val="26D97964"/>
    <w:rsid w:val="26DB0DED"/>
    <w:rsid w:val="26DB35CD"/>
    <w:rsid w:val="26DB4E49"/>
    <w:rsid w:val="26DC0EAD"/>
    <w:rsid w:val="26DD2ED3"/>
    <w:rsid w:val="26DE174A"/>
    <w:rsid w:val="26DE24B5"/>
    <w:rsid w:val="26E01966"/>
    <w:rsid w:val="26E03714"/>
    <w:rsid w:val="26E04503"/>
    <w:rsid w:val="26E06303"/>
    <w:rsid w:val="26E2456D"/>
    <w:rsid w:val="26E43BFB"/>
    <w:rsid w:val="26E531D2"/>
    <w:rsid w:val="26E56F7C"/>
    <w:rsid w:val="26E97330"/>
    <w:rsid w:val="26EA3B44"/>
    <w:rsid w:val="26EF2C4E"/>
    <w:rsid w:val="26F05BA3"/>
    <w:rsid w:val="26F11EC3"/>
    <w:rsid w:val="26F149E5"/>
    <w:rsid w:val="26F25866"/>
    <w:rsid w:val="26F45411"/>
    <w:rsid w:val="26F734D6"/>
    <w:rsid w:val="26F777FE"/>
    <w:rsid w:val="26FA288A"/>
    <w:rsid w:val="26FA3134"/>
    <w:rsid w:val="26FD2518"/>
    <w:rsid w:val="26FE3B9A"/>
    <w:rsid w:val="26FE75DF"/>
    <w:rsid w:val="27000EFC"/>
    <w:rsid w:val="270065C5"/>
    <w:rsid w:val="270311B0"/>
    <w:rsid w:val="2706662C"/>
    <w:rsid w:val="27077D94"/>
    <w:rsid w:val="2709461F"/>
    <w:rsid w:val="270A69E3"/>
    <w:rsid w:val="270A6E69"/>
    <w:rsid w:val="270C2C8D"/>
    <w:rsid w:val="270E6088"/>
    <w:rsid w:val="270F4B1E"/>
    <w:rsid w:val="2712017D"/>
    <w:rsid w:val="27127319"/>
    <w:rsid w:val="27167CA1"/>
    <w:rsid w:val="27185170"/>
    <w:rsid w:val="271B0BF0"/>
    <w:rsid w:val="271D04C4"/>
    <w:rsid w:val="271D2DE6"/>
    <w:rsid w:val="2725381D"/>
    <w:rsid w:val="27254F5B"/>
    <w:rsid w:val="272555CB"/>
    <w:rsid w:val="27276F33"/>
    <w:rsid w:val="27282B77"/>
    <w:rsid w:val="272C02F8"/>
    <w:rsid w:val="272D4345"/>
    <w:rsid w:val="272E2587"/>
    <w:rsid w:val="272E26D1"/>
    <w:rsid w:val="272E4C78"/>
    <w:rsid w:val="272E6D31"/>
    <w:rsid w:val="27300E27"/>
    <w:rsid w:val="27303FAC"/>
    <w:rsid w:val="2730532F"/>
    <w:rsid w:val="27321A96"/>
    <w:rsid w:val="273239A6"/>
    <w:rsid w:val="27332A2B"/>
    <w:rsid w:val="273852FE"/>
    <w:rsid w:val="273A225B"/>
    <w:rsid w:val="273A24BC"/>
    <w:rsid w:val="273B3040"/>
    <w:rsid w:val="273B4DEE"/>
    <w:rsid w:val="273E3851"/>
    <w:rsid w:val="273F48DE"/>
    <w:rsid w:val="273F5804"/>
    <w:rsid w:val="27455C7D"/>
    <w:rsid w:val="27504BB3"/>
    <w:rsid w:val="2751016E"/>
    <w:rsid w:val="27514612"/>
    <w:rsid w:val="27524101"/>
    <w:rsid w:val="27524AC3"/>
    <w:rsid w:val="27545D0E"/>
    <w:rsid w:val="27573BCC"/>
    <w:rsid w:val="2758086A"/>
    <w:rsid w:val="275E6BDB"/>
    <w:rsid w:val="275F6D2E"/>
    <w:rsid w:val="276024BF"/>
    <w:rsid w:val="27605703"/>
    <w:rsid w:val="2764239A"/>
    <w:rsid w:val="276460F3"/>
    <w:rsid w:val="276511F9"/>
    <w:rsid w:val="27675BE3"/>
    <w:rsid w:val="2768304F"/>
    <w:rsid w:val="2769195B"/>
    <w:rsid w:val="2769373A"/>
    <w:rsid w:val="276A122F"/>
    <w:rsid w:val="276B06C2"/>
    <w:rsid w:val="276B56D3"/>
    <w:rsid w:val="276E7725"/>
    <w:rsid w:val="27707118"/>
    <w:rsid w:val="27724DDE"/>
    <w:rsid w:val="27747142"/>
    <w:rsid w:val="277A57DD"/>
    <w:rsid w:val="277B343D"/>
    <w:rsid w:val="277B7D2C"/>
    <w:rsid w:val="277E70DA"/>
    <w:rsid w:val="2780018A"/>
    <w:rsid w:val="27800453"/>
    <w:rsid w:val="27812060"/>
    <w:rsid w:val="27817E62"/>
    <w:rsid w:val="2782590A"/>
    <w:rsid w:val="27825A79"/>
    <w:rsid w:val="27827930"/>
    <w:rsid w:val="2783546E"/>
    <w:rsid w:val="27840543"/>
    <w:rsid w:val="27895B59"/>
    <w:rsid w:val="278E2C4A"/>
    <w:rsid w:val="278E4F1E"/>
    <w:rsid w:val="27912E51"/>
    <w:rsid w:val="27985D9D"/>
    <w:rsid w:val="279B763B"/>
    <w:rsid w:val="279C0E6C"/>
    <w:rsid w:val="279C6222"/>
    <w:rsid w:val="27A24E6D"/>
    <w:rsid w:val="27A43DCF"/>
    <w:rsid w:val="27A672D4"/>
    <w:rsid w:val="27A75C39"/>
    <w:rsid w:val="27A87C6B"/>
    <w:rsid w:val="27AC7A9A"/>
    <w:rsid w:val="27AD3BA1"/>
    <w:rsid w:val="27B31352"/>
    <w:rsid w:val="27B357D9"/>
    <w:rsid w:val="27B368C3"/>
    <w:rsid w:val="27B626C7"/>
    <w:rsid w:val="27B70259"/>
    <w:rsid w:val="27B801ED"/>
    <w:rsid w:val="27B84691"/>
    <w:rsid w:val="27B87E7C"/>
    <w:rsid w:val="27BB3043"/>
    <w:rsid w:val="27BF3F2A"/>
    <w:rsid w:val="27C016F8"/>
    <w:rsid w:val="27C052F3"/>
    <w:rsid w:val="27C13545"/>
    <w:rsid w:val="27C25700"/>
    <w:rsid w:val="27C317D7"/>
    <w:rsid w:val="27C41090"/>
    <w:rsid w:val="27C51864"/>
    <w:rsid w:val="27C54000"/>
    <w:rsid w:val="27C9064C"/>
    <w:rsid w:val="27C9309C"/>
    <w:rsid w:val="27CA24E5"/>
    <w:rsid w:val="27CA298E"/>
    <w:rsid w:val="27CB59A7"/>
    <w:rsid w:val="27CC1EEA"/>
    <w:rsid w:val="27CE7A10"/>
    <w:rsid w:val="27D00CDE"/>
    <w:rsid w:val="27D038E3"/>
    <w:rsid w:val="27D0532D"/>
    <w:rsid w:val="27D17500"/>
    <w:rsid w:val="27D25752"/>
    <w:rsid w:val="27D5479C"/>
    <w:rsid w:val="27D627FE"/>
    <w:rsid w:val="27D87DA2"/>
    <w:rsid w:val="27E07D1C"/>
    <w:rsid w:val="27E117EE"/>
    <w:rsid w:val="27E33637"/>
    <w:rsid w:val="27E40FE2"/>
    <w:rsid w:val="27E50111"/>
    <w:rsid w:val="27E54A80"/>
    <w:rsid w:val="27EB2370"/>
    <w:rsid w:val="27ED3096"/>
    <w:rsid w:val="27ED433A"/>
    <w:rsid w:val="27EE00B2"/>
    <w:rsid w:val="27F136FF"/>
    <w:rsid w:val="27F5095F"/>
    <w:rsid w:val="27F54F9D"/>
    <w:rsid w:val="27F87F2A"/>
    <w:rsid w:val="27F91797"/>
    <w:rsid w:val="27FA406D"/>
    <w:rsid w:val="27FD2FEC"/>
    <w:rsid w:val="27FE5883"/>
    <w:rsid w:val="27FF5E1C"/>
    <w:rsid w:val="28012FE4"/>
    <w:rsid w:val="28016611"/>
    <w:rsid w:val="28043432"/>
    <w:rsid w:val="280747C9"/>
    <w:rsid w:val="280C78A3"/>
    <w:rsid w:val="28101DD7"/>
    <w:rsid w:val="28114209"/>
    <w:rsid w:val="28123FE8"/>
    <w:rsid w:val="28125B4F"/>
    <w:rsid w:val="281275BB"/>
    <w:rsid w:val="28131282"/>
    <w:rsid w:val="28144546"/>
    <w:rsid w:val="281562E3"/>
    <w:rsid w:val="28185CCE"/>
    <w:rsid w:val="28187076"/>
    <w:rsid w:val="281A0EA7"/>
    <w:rsid w:val="281C21C4"/>
    <w:rsid w:val="281E7543"/>
    <w:rsid w:val="281F201A"/>
    <w:rsid w:val="28215D92"/>
    <w:rsid w:val="28237981"/>
    <w:rsid w:val="282432CE"/>
    <w:rsid w:val="28243AD4"/>
    <w:rsid w:val="28262860"/>
    <w:rsid w:val="282D0BDB"/>
    <w:rsid w:val="282D3F74"/>
    <w:rsid w:val="2830058D"/>
    <w:rsid w:val="28306E3E"/>
    <w:rsid w:val="28324453"/>
    <w:rsid w:val="28324FB8"/>
    <w:rsid w:val="283362B4"/>
    <w:rsid w:val="28355CE1"/>
    <w:rsid w:val="28372395"/>
    <w:rsid w:val="283B0CFC"/>
    <w:rsid w:val="283E4B96"/>
    <w:rsid w:val="283F0C0A"/>
    <w:rsid w:val="284101E2"/>
    <w:rsid w:val="284113D3"/>
    <w:rsid w:val="2844526D"/>
    <w:rsid w:val="28463A4A"/>
    <w:rsid w:val="28481A61"/>
    <w:rsid w:val="28485A15"/>
    <w:rsid w:val="284956EF"/>
    <w:rsid w:val="284A21B6"/>
    <w:rsid w:val="284A7E27"/>
    <w:rsid w:val="284B72B3"/>
    <w:rsid w:val="284D111B"/>
    <w:rsid w:val="28504E51"/>
    <w:rsid w:val="28514928"/>
    <w:rsid w:val="285223EF"/>
    <w:rsid w:val="28586837"/>
    <w:rsid w:val="285C501C"/>
    <w:rsid w:val="285D2C05"/>
    <w:rsid w:val="285F68BA"/>
    <w:rsid w:val="28616274"/>
    <w:rsid w:val="28616AD6"/>
    <w:rsid w:val="28667C49"/>
    <w:rsid w:val="28681C3D"/>
    <w:rsid w:val="286A598B"/>
    <w:rsid w:val="286C2EFF"/>
    <w:rsid w:val="286C51DA"/>
    <w:rsid w:val="286F59A8"/>
    <w:rsid w:val="28722A91"/>
    <w:rsid w:val="28725CA7"/>
    <w:rsid w:val="287700A8"/>
    <w:rsid w:val="2879797C"/>
    <w:rsid w:val="287A1946"/>
    <w:rsid w:val="287A31FB"/>
    <w:rsid w:val="287B039C"/>
    <w:rsid w:val="287C4661"/>
    <w:rsid w:val="287E6EBD"/>
    <w:rsid w:val="28814A83"/>
    <w:rsid w:val="288822B5"/>
    <w:rsid w:val="288A18A7"/>
    <w:rsid w:val="288C5AAC"/>
    <w:rsid w:val="288D5AE2"/>
    <w:rsid w:val="28920A3E"/>
    <w:rsid w:val="2892440D"/>
    <w:rsid w:val="289447B6"/>
    <w:rsid w:val="28945844"/>
    <w:rsid w:val="28956780"/>
    <w:rsid w:val="2896248B"/>
    <w:rsid w:val="289677D9"/>
    <w:rsid w:val="28991720"/>
    <w:rsid w:val="289A33DE"/>
    <w:rsid w:val="289A78F2"/>
    <w:rsid w:val="289B3D96"/>
    <w:rsid w:val="289C7B0E"/>
    <w:rsid w:val="289D062D"/>
    <w:rsid w:val="289E5635"/>
    <w:rsid w:val="289E73E3"/>
    <w:rsid w:val="28A460DE"/>
    <w:rsid w:val="28A515B6"/>
    <w:rsid w:val="28A67FA1"/>
    <w:rsid w:val="28A7164D"/>
    <w:rsid w:val="28A92EAF"/>
    <w:rsid w:val="28A95D87"/>
    <w:rsid w:val="28A96C43"/>
    <w:rsid w:val="28AA1B11"/>
    <w:rsid w:val="28AB15F7"/>
    <w:rsid w:val="28AB1AFF"/>
    <w:rsid w:val="28AC2239"/>
    <w:rsid w:val="28AF7842"/>
    <w:rsid w:val="28B564EF"/>
    <w:rsid w:val="28B602F7"/>
    <w:rsid w:val="28B906C0"/>
    <w:rsid w:val="28B912A5"/>
    <w:rsid w:val="28B9246E"/>
    <w:rsid w:val="28BB6E00"/>
    <w:rsid w:val="28BC3D0D"/>
    <w:rsid w:val="28BC427E"/>
    <w:rsid w:val="28BE7CD9"/>
    <w:rsid w:val="28BF6807"/>
    <w:rsid w:val="28C17575"/>
    <w:rsid w:val="28C22BF9"/>
    <w:rsid w:val="28C30846"/>
    <w:rsid w:val="28C52F53"/>
    <w:rsid w:val="28C74574"/>
    <w:rsid w:val="28C97A9C"/>
    <w:rsid w:val="28CC2B34"/>
    <w:rsid w:val="28CE5298"/>
    <w:rsid w:val="28CE5AA3"/>
    <w:rsid w:val="28D020C9"/>
    <w:rsid w:val="28D252DE"/>
    <w:rsid w:val="28D42787"/>
    <w:rsid w:val="28D910CE"/>
    <w:rsid w:val="28DB489F"/>
    <w:rsid w:val="28DD5DE7"/>
    <w:rsid w:val="28DE0127"/>
    <w:rsid w:val="28DF4B2C"/>
    <w:rsid w:val="28E3573D"/>
    <w:rsid w:val="28E64644"/>
    <w:rsid w:val="28E76FDC"/>
    <w:rsid w:val="28E836C8"/>
    <w:rsid w:val="28EF7C3E"/>
    <w:rsid w:val="28F214DC"/>
    <w:rsid w:val="28F5551D"/>
    <w:rsid w:val="28F66618"/>
    <w:rsid w:val="28F6721F"/>
    <w:rsid w:val="28FB630A"/>
    <w:rsid w:val="28FB65E3"/>
    <w:rsid w:val="29003BF9"/>
    <w:rsid w:val="290044B4"/>
    <w:rsid w:val="29025E37"/>
    <w:rsid w:val="2903350E"/>
    <w:rsid w:val="290343AE"/>
    <w:rsid w:val="290731DA"/>
    <w:rsid w:val="29080D00"/>
    <w:rsid w:val="29096C59"/>
    <w:rsid w:val="290A71C0"/>
    <w:rsid w:val="290B64C5"/>
    <w:rsid w:val="290D4568"/>
    <w:rsid w:val="2910306E"/>
    <w:rsid w:val="29155606"/>
    <w:rsid w:val="2916264F"/>
    <w:rsid w:val="29171044"/>
    <w:rsid w:val="291B0A33"/>
    <w:rsid w:val="291C5D93"/>
    <w:rsid w:val="291D0DF5"/>
    <w:rsid w:val="291E06B3"/>
    <w:rsid w:val="291E5251"/>
    <w:rsid w:val="2920604A"/>
    <w:rsid w:val="29213C70"/>
    <w:rsid w:val="2923528A"/>
    <w:rsid w:val="2925626B"/>
    <w:rsid w:val="292F20EE"/>
    <w:rsid w:val="292F40A1"/>
    <w:rsid w:val="29312005"/>
    <w:rsid w:val="29337C0D"/>
    <w:rsid w:val="293C30EC"/>
    <w:rsid w:val="293D6423"/>
    <w:rsid w:val="293F112D"/>
    <w:rsid w:val="29403B0B"/>
    <w:rsid w:val="294066EC"/>
    <w:rsid w:val="29416281"/>
    <w:rsid w:val="29477A7A"/>
    <w:rsid w:val="29491A44"/>
    <w:rsid w:val="294A69E4"/>
    <w:rsid w:val="294D067C"/>
    <w:rsid w:val="294E0E09"/>
    <w:rsid w:val="29504EDB"/>
    <w:rsid w:val="29506F1A"/>
    <w:rsid w:val="29533BB0"/>
    <w:rsid w:val="295403E9"/>
    <w:rsid w:val="295757E3"/>
    <w:rsid w:val="29576E8D"/>
    <w:rsid w:val="295773B4"/>
    <w:rsid w:val="29581C87"/>
    <w:rsid w:val="295A4A20"/>
    <w:rsid w:val="295B67B0"/>
    <w:rsid w:val="295B751A"/>
    <w:rsid w:val="295C553B"/>
    <w:rsid w:val="295D104C"/>
    <w:rsid w:val="295D54F0"/>
    <w:rsid w:val="295E5F46"/>
    <w:rsid w:val="2964687E"/>
    <w:rsid w:val="296642D8"/>
    <w:rsid w:val="29672AF6"/>
    <w:rsid w:val="296838B0"/>
    <w:rsid w:val="296918E1"/>
    <w:rsid w:val="296C128F"/>
    <w:rsid w:val="296E1060"/>
    <w:rsid w:val="296E14AB"/>
    <w:rsid w:val="296E1AC3"/>
    <w:rsid w:val="296F5AB1"/>
    <w:rsid w:val="29700180"/>
    <w:rsid w:val="29714D51"/>
    <w:rsid w:val="297414E1"/>
    <w:rsid w:val="29763EBB"/>
    <w:rsid w:val="29771B6A"/>
    <w:rsid w:val="29820806"/>
    <w:rsid w:val="298365D8"/>
    <w:rsid w:val="298751A7"/>
    <w:rsid w:val="298811A5"/>
    <w:rsid w:val="298A6883"/>
    <w:rsid w:val="298A7904"/>
    <w:rsid w:val="298B1F6C"/>
    <w:rsid w:val="298C5369"/>
    <w:rsid w:val="29946A38"/>
    <w:rsid w:val="29974B29"/>
    <w:rsid w:val="29985BEA"/>
    <w:rsid w:val="299B2660"/>
    <w:rsid w:val="299B7DC6"/>
    <w:rsid w:val="299E3901"/>
    <w:rsid w:val="29A118C3"/>
    <w:rsid w:val="29A13FBC"/>
    <w:rsid w:val="29A17576"/>
    <w:rsid w:val="29A30A13"/>
    <w:rsid w:val="29A30A29"/>
    <w:rsid w:val="29A72BFB"/>
    <w:rsid w:val="29A84510"/>
    <w:rsid w:val="29AC3588"/>
    <w:rsid w:val="29AC48D7"/>
    <w:rsid w:val="29AC5B2F"/>
    <w:rsid w:val="29AE7AF9"/>
    <w:rsid w:val="29AF561F"/>
    <w:rsid w:val="29B00C44"/>
    <w:rsid w:val="29B03871"/>
    <w:rsid w:val="29B13146"/>
    <w:rsid w:val="29B37298"/>
    <w:rsid w:val="29B6075C"/>
    <w:rsid w:val="29B92FC4"/>
    <w:rsid w:val="29BB2216"/>
    <w:rsid w:val="29BD0854"/>
    <w:rsid w:val="29C17539"/>
    <w:rsid w:val="29C235A5"/>
    <w:rsid w:val="29C30D4E"/>
    <w:rsid w:val="29C4731D"/>
    <w:rsid w:val="29C64B38"/>
    <w:rsid w:val="29C71781"/>
    <w:rsid w:val="29CC2191"/>
    <w:rsid w:val="29CC61D1"/>
    <w:rsid w:val="29D261E5"/>
    <w:rsid w:val="29D357B2"/>
    <w:rsid w:val="29D6053F"/>
    <w:rsid w:val="29D60E43"/>
    <w:rsid w:val="29D67739"/>
    <w:rsid w:val="29D940EA"/>
    <w:rsid w:val="29DA08EE"/>
    <w:rsid w:val="29DA6CB1"/>
    <w:rsid w:val="29DD3ADE"/>
    <w:rsid w:val="29DE046C"/>
    <w:rsid w:val="29DE64A1"/>
    <w:rsid w:val="29DE7F72"/>
    <w:rsid w:val="29DF4157"/>
    <w:rsid w:val="29E17ECF"/>
    <w:rsid w:val="29E256AC"/>
    <w:rsid w:val="29E31A75"/>
    <w:rsid w:val="29E4351B"/>
    <w:rsid w:val="29E47F3B"/>
    <w:rsid w:val="29E579B6"/>
    <w:rsid w:val="29E6402D"/>
    <w:rsid w:val="29E76F70"/>
    <w:rsid w:val="29EB48A9"/>
    <w:rsid w:val="29EC2B2B"/>
    <w:rsid w:val="29F25CE2"/>
    <w:rsid w:val="29F26D9C"/>
    <w:rsid w:val="29F55399"/>
    <w:rsid w:val="29F574D6"/>
    <w:rsid w:val="29F6324E"/>
    <w:rsid w:val="29F64FB2"/>
    <w:rsid w:val="29F7136F"/>
    <w:rsid w:val="29FC2A8F"/>
    <w:rsid w:val="29FC4209"/>
    <w:rsid w:val="29FD13E0"/>
    <w:rsid w:val="29FD7A27"/>
    <w:rsid w:val="29FE4E85"/>
    <w:rsid w:val="2A02309A"/>
    <w:rsid w:val="2A040CF7"/>
    <w:rsid w:val="2A064596"/>
    <w:rsid w:val="2A067972"/>
    <w:rsid w:val="2A094D42"/>
    <w:rsid w:val="2A0A0A54"/>
    <w:rsid w:val="2A0C2A72"/>
    <w:rsid w:val="2A0E1AF7"/>
    <w:rsid w:val="2A110088"/>
    <w:rsid w:val="2A11353B"/>
    <w:rsid w:val="2A116ACC"/>
    <w:rsid w:val="2A1536D4"/>
    <w:rsid w:val="2A176A5B"/>
    <w:rsid w:val="2A1A0EF5"/>
    <w:rsid w:val="2A1B43AD"/>
    <w:rsid w:val="2A1B4CFD"/>
    <w:rsid w:val="2A1E2438"/>
    <w:rsid w:val="2A1E2567"/>
    <w:rsid w:val="2A225B03"/>
    <w:rsid w:val="2A254209"/>
    <w:rsid w:val="2A2563D0"/>
    <w:rsid w:val="2A257690"/>
    <w:rsid w:val="2A2614BF"/>
    <w:rsid w:val="2A2B4FC0"/>
    <w:rsid w:val="2A2C5572"/>
    <w:rsid w:val="2A2E2606"/>
    <w:rsid w:val="2A2E27C7"/>
    <w:rsid w:val="2A321EFE"/>
    <w:rsid w:val="2A33008A"/>
    <w:rsid w:val="2A333F3D"/>
    <w:rsid w:val="2A337FFE"/>
    <w:rsid w:val="2A36070A"/>
    <w:rsid w:val="2A360DDF"/>
    <w:rsid w:val="2A373623"/>
    <w:rsid w:val="2A3839B5"/>
    <w:rsid w:val="2A391AB9"/>
    <w:rsid w:val="2A3A313B"/>
    <w:rsid w:val="2A3A75DF"/>
    <w:rsid w:val="2A3C498A"/>
    <w:rsid w:val="2A3E05D7"/>
    <w:rsid w:val="2A3E2F4C"/>
    <w:rsid w:val="2A3F6C20"/>
    <w:rsid w:val="2A406DE6"/>
    <w:rsid w:val="2A407DAA"/>
    <w:rsid w:val="2A41096D"/>
    <w:rsid w:val="2A423861"/>
    <w:rsid w:val="2A44045E"/>
    <w:rsid w:val="2A443FBA"/>
    <w:rsid w:val="2A4473CA"/>
    <w:rsid w:val="2A447531"/>
    <w:rsid w:val="2A46128E"/>
    <w:rsid w:val="2A4A09E4"/>
    <w:rsid w:val="2A4B7703"/>
    <w:rsid w:val="2A4C41D9"/>
    <w:rsid w:val="2A4D513A"/>
    <w:rsid w:val="2A5155A0"/>
    <w:rsid w:val="2A5306A1"/>
    <w:rsid w:val="2A5322D3"/>
    <w:rsid w:val="2A53355F"/>
    <w:rsid w:val="2A5702ED"/>
    <w:rsid w:val="2A5969E5"/>
    <w:rsid w:val="2A5A4B3D"/>
    <w:rsid w:val="2A5B0A8E"/>
    <w:rsid w:val="2A5B1F87"/>
    <w:rsid w:val="2A5D507B"/>
    <w:rsid w:val="2A5E32CD"/>
    <w:rsid w:val="2A6114D6"/>
    <w:rsid w:val="2A62029A"/>
    <w:rsid w:val="2A620D7E"/>
    <w:rsid w:val="2A622C39"/>
    <w:rsid w:val="2A663F30"/>
    <w:rsid w:val="2A677481"/>
    <w:rsid w:val="2A677CA8"/>
    <w:rsid w:val="2A683FC8"/>
    <w:rsid w:val="2A693BEA"/>
    <w:rsid w:val="2A6A37C8"/>
    <w:rsid w:val="2A6D3510"/>
    <w:rsid w:val="2A6E3864"/>
    <w:rsid w:val="2A700C35"/>
    <w:rsid w:val="2A767C46"/>
    <w:rsid w:val="2A773B5B"/>
    <w:rsid w:val="2A783289"/>
    <w:rsid w:val="2A7F3155"/>
    <w:rsid w:val="2A8020CA"/>
    <w:rsid w:val="2A805E83"/>
    <w:rsid w:val="2A837506"/>
    <w:rsid w:val="2A886D19"/>
    <w:rsid w:val="2A895E70"/>
    <w:rsid w:val="2A8D32AE"/>
    <w:rsid w:val="2A8D3BB3"/>
    <w:rsid w:val="2A8F46A1"/>
    <w:rsid w:val="2A9014D0"/>
    <w:rsid w:val="2A9120B7"/>
    <w:rsid w:val="2A913D72"/>
    <w:rsid w:val="2A9301C4"/>
    <w:rsid w:val="2A932085"/>
    <w:rsid w:val="2A944F41"/>
    <w:rsid w:val="2A945173"/>
    <w:rsid w:val="2A9468E9"/>
    <w:rsid w:val="2A97058D"/>
    <w:rsid w:val="2A9C788C"/>
    <w:rsid w:val="2A9D50D6"/>
    <w:rsid w:val="2AA12C5D"/>
    <w:rsid w:val="2AA333D6"/>
    <w:rsid w:val="2AA426E7"/>
    <w:rsid w:val="2AA64C74"/>
    <w:rsid w:val="2AA745D8"/>
    <w:rsid w:val="2AA84549"/>
    <w:rsid w:val="2AAA0837"/>
    <w:rsid w:val="2AAA4765"/>
    <w:rsid w:val="2AAA6A06"/>
    <w:rsid w:val="2AAB19BD"/>
    <w:rsid w:val="2AAB70AE"/>
    <w:rsid w:val="2AAF1C3D"/>
    <w:rsid w:val="2AAF1D7B"/>
    <w:rsid w:val="2AB00EC1"/>
    <w:rsid w:val="2AB11212"/>
    <w:rsid w:val="2AB22997"/>
    <w:rsid w:val="2AB70C30"/>
    <w:rsid w:val="2AB7478C"/>
    <w:rsid w:val="2AB92E1A"/>
    <w:rsid w:val="2AC00D6F"/>
    <w:rsid w:val="2AC1465A"/>
    <w:rsid w:val="2AC2480E"/>
    <w:rsid w:val="2AC33130"/>
    <w:rsid w:val="2AC47CDF"/>
    <w:rsid w:val="2AC5140F"/>
    <w:rsid w:val="2AC63350"/>
    <w:rsid w:val="2AC670C5"/>
    <w:rsid w:val="2AC85AC0"/>
    <w:rsid w:val="2ACA10D8"/>
    <w:rsid w:val="2ACA2711"/>
    <w:rsid w:val="2ACB0237"/>
    <w:rsid w:val="2ACD051A"/>
    <w:rsid w:val="2AD00736"/>
    <w:rsid w:val="2AD0692C"/>
    <w:rsid w:val="2AD56FD9"/>
    <w:rsid w:val="2AD5748D"/>
    <w:rsid w:val="2AD73080"/>
    <w:rsid w:val="2ADA2341"/>
    <w:rsid w:val="2ADB3EF0"/>
    <w:rsid w:val="2AE226BA"/>
    <w:rsid w:val="2AE31A25"/>
    <w:rsid w:val="2AE34C22"/>
    <w:rsid w:val="2AE54AEE"/>
    <w:rsid w:val="2AE674AF"/>
    <w:rsid w:val="2AE9690F"/>
    <w:rsid w:val="2AEB08D9"/>
    <w:rsid w:val="2AEB4B29"/>
    <w:rsid w:val="2AED0E21"/>
    <w:rsid w:val="2AEE25DB"/>
    <w:rsid w:val="2AF27EBA"/>
    <w:rsid w:val="2AF43C32"/>
    <w:rsid w:val="2AF467B5"/>
    <w:rsid w:val="2AF578DD"/>
    <w:rsid w:val="2AF872BB"/>
    <w:rsid w:val="2AF903D6"/>
    <w:rsid w:val="2AFC2AE6"/>
    <w:rsid w:val="2B00053E"/>
    <w:rsid w:val="2B01269B"/>
    <w:rsid w:val="2B044D71"/>
    <w:rsid w:val="2B0453D5"/>
    <w:rsid w:val="2B05170C"/>
    <w:rsid w:val="2B070FC7"/>
    <w:rsid w:val="2B083D67"/>
    <w:rsid w:val="2B0C34B7"/>
    <w:rsid w:val="2B0F78EF"/>
    <w:rsid w:val="2B11296F"/>
    <w:rsid w:val="2B113F20"/>
    <w:rsid w:val="2B1208ED"/>
    <w:rsid w:val="2B146082"/>
    <w:rsid w:val="2B163A97"/>
    <w:rsid w:val="2B1737B1"/>
    <w:rsid w:val="2B175A22"/>
    <w:rsid w:val="2B1971F4"/>
    <w:rsid w:val="2B1A08C7"/>
    <w:rsid w:val="2B1C0A93"/>
    <w:rsid w:val="2B1C0B1D"/>
    <w:rsid w:val="2B1C198A"/>
    <w:rsid w:val="2B213097"/>
    <w:rsid w:val="2B236A88"/>
    <w:rsid w:val="2B2374CD"/>
    <w:rsid w:val="2B25127C"/>
    <w:rsid w:val="2B265540"/>
    <w:rsid w:val="2B28102B"/>
    <w:rsid w:val="2B29508C"/>
    <w:rsid w:val="2B2A1C0B"/>
    <w:rsid w:val="2B2A7653"/>
    <w:rsid w:val="2B2B1D25"/>
    <w:rsid w:val="2B2C33CC"/>
    <w:rsid w:val="2B2F6A18"/>
    <w:rsid w:val="2B332350"/>
    <w:rsid w:val="2B345991"/>
    <w:rsid w:val="2B3552AC"/>
    <w:rsid w:val="2B361B54"/>
    <w:rsid w:val="2B376121"/>
    <w:rsid w:val="2B3807AE"/>
    <w:rsid w:val="2B397896"/>
    <w:rsid w:val="2B3A5967"/>
    <w:rsid w:val="2B3B581A"/>
    <w:rsid w:val="2B406E77"/>
    <w:rsid w:val="2B452654"/>
    <w:rsid w:val="2B4529C1"/>
    <w:rsid w:val="2B46128B"/>
    <w:rsid w:val="2B485D2C"/>
    <w:rsid w:val="2B4F2C16"/>
    <w:rsid w:val="2B512E32"/>
    <w:rsid w:val="2B51698E"/>
    <w:rsid w:val="2B5225BA"/>
    <w:rsid w:val="2B524298"/>
    <w:rsid w:val="2B527228"/>
    <w:rsid w:val="2B537A45"/>
    <w:rsid w:val="2B563FA5"/>
    <w:rsid w:val="2B566C7A"/>
    <w:rsid w:val="2B595843"/>
    <w:rsid w:val="2B5B47F7"/>
    <w:rsid w:val="2B5E0BC4"/>
    <w:rsid w:val="2B606BD1"/>
    <w:rsid w:val="2B612467"/>
    <w:rsid w:val="2B64436F"/>
    <w:rsid w:val="2B67084D"/>
    <w:rsid w:val="2B6761B2"/>
    <w:rsid w:val="2B685F43"/>
    <w:rsid w:val="2B6A5CA2"/>
    <w:rsid w:val="2B6A5F15"/>
    <w:rsid w:val="2B6B113D"/>
    <w:rsid w:val="2B6C069D"/>
    <w:rsid w:val="2B6D16F0"/>
    <w:rsid w:val="2B6D7540"/>
    <w:rsid w:val="2B6F150A"/>
    <w:rsid w:val="2B6F4C50"/>
    <w:rsid w:val="2B701BD8"/>
    <w:rsid w:val="2B7037B2"/>
    <w:rsid w:val="2B710DB7"/>
    <w:rsid w:val="2B715282"/>
    <w:rsid w:val="2B77111E"/>
    <w:rsid w:val="2B77216D"/>
    <w:rsid w:val="2B7C0D28"/>
    <w:rsid w:val="2B815A19"/>
    <w:rsid w:val="2B822FEC"/>
    <w:rsid w:val="2B844556"/>
    <w:rsid w:val="2B870602"/>
    <w:rsid w:val="2B876820"/>
    <w:rsid w:val="2B886F38"/>
    <w:rsid w:val="2B8925CC"/>
    <w:rsid w:val="2B8F311A"/>
    <w:rsid w:val="2B8F5708"/>
    <w:rsid w:val="2B904767"/>
    <w:rsid w:val="2B905592"/>
    <w:rsid w:val="2B960845"/>
    <w:rsid w:val="2B97559C"/>
    <w:rsid w:val="2B97636B"/>
    <w:rsid w:val="2B986A10"/>
    <w:rsid w:val="2B991507"/>
    <w:rsid w:val="2B9920E3"/>
    <w:rsid w:val="2B993229"/>
    <w:rsid w:val="2B9B40AD"/>
    <w:rsid w:val="2B9D6B5E"/>
    <w:rsid w:val="2BA6386D"/>
    <w:rsid w:val="2BA6462E"/>
    <w:rsid w:val="2BA94A1C"/>
    <w:rsid w:val="2BAC0255"/>
    <w:rsid w:val="2BAD07CB"/>
    <w:rsid w:val="2BAE2033"/>
    <w:rsid w:val="2BB26C24"/>
    <w:rsid w:val="2BB33B1D"/>
    <w:rsid w:val="2BB51F43"/>
    <w:rsid w:val="2BB67139"/>
    <w:rsid w:val="2BB74C7C"/>
    <w:rsid w:val="2BB8360E"/>
    <w:rsid w:val="2BBD08A1"/>
    <w:rsid w:val="2BBD0B55"/>
    <w:rsid w:val="2BBE0FA4"/>
    <w:rsid w:val="2BBE5B76"/>
    <w:rsid w:val="2BC2085A"/>
    <w:rsid w:val="2BC90C1A"/>
    <w:rsid w:val="2BC94A5E"/>
    <w:rsid w:val="2BCC4267"/>
    <w:rsid w:val="2BCD4968"/>
    <w:rsid w:val="2BCD6679"/>
    <w:rsid w:val="2BCE783B"/>
    <w:rsid w:val="2BD3639E"/>
    <w:rsid w:val="2BD5582B"/>
    <w:rsid w:val="2BDD6474"/>
    <w:rsid w:val="2BDE6521"/>
    <w:rsid w:val="2BE615AB"/>
    <w:rsid w:val="2BE710A1"/>
    <w:rsid w:val="2BE83CB6"/>
    <w:rsid w:val="2BEA2945"/>
    <w:rsid w:val="2BEB60AC"/>
    <w:rsid w:val="2BEC2B5B"/>
    <w:rsid w:val="2BF20EB2"/>
    <w:rsid w:val="2BF91240"/>
    <w:rsid w:val="2BFA049D"/>
    <w:rsid w:val="2BFA5278"/>
    <w:rsid w:val="2BFB0EC8"/>
    <w:rsid w:val="2BFC6CF3"/>
    <w:rsid w:val="2BFC6FA0"/>
    <w:rsid w:val="2BFD08C4"/>
    <w:rsid w:val="2BFD6B16"/>
    <w:rsid w:val="2C016968"/>
    <w:rsid w:val="2C024075"/>
    <w:rsid w:val="2C027778"/>
    <w:rsid w:val="2C030322"/>
    <w:rsid w:val="2C030F3C"/>
    <w:rsid w:val="2C0670B8"/>
    <w:rsid w:val="2C071743"/>
    <w:rsid w:val="2C073E78"/>
    <w:rsid w:val="2C0A32A6"/>
    <w:rsid w:val="2C0D6920"/>
    <w:rsid w:val="2C11611D"/>
    <w:rsid w:val="2C1407EA"/>
    <w:rsid w:val="2C155C0E"/>
    <w:rsid w:val="2C183584"/>
    <w:rsid w:val="2C1A41F9"/>
    <w:rsid w:val="2C1C153B"/>
    <w:rsid w:val="2C1C5471"/>
    <w:rsid w:val="2C1E484D"/>
    <w:rsid w:val="2C1F4CDE"/>
    <w:rsid w:val="2C200FA1"/>
    <w:rsid w:val="2C24092D"/>
    <w:rsid w:val="2C2452AC"/>
    <w:rsid w:val="2C253BD8"/>
    <w:rsid w:val="2C2559A8"/>
    <w:rsid w:val="2C266D22"/>
    <w:rsid w:val="2C280912"/>
    <w:rsid w:val="2C293467"/>
    <w:rsid w:val="2C29452E"/>
    <w:rsid w:val="2C2E6CCF"/>
    <w:rsid w:val="2C315349"/>
    <w:rsid w:val="2C33015D"/>
    <w:rsid w:val="2C345B9A"/>
    <w:rsid w:val="2C3619B9"/>
    <w:rsid w:val="2C372028"/>
    <w:rsid w:val="2C393977"/>
    <w:rsid w:val="2C397DBE"/>
    <w:rsid w:val="2C3A7CE2"/>
    <w:rsid w:val="2C3C4F9C"/>
    <w:rsid w:val="2C3D492C"/>
    <w:rsid w:val="2C3E5A5D"/>
    <w:rsid w:val="2C404A97"/>
    <w:rsid w:val="2C414C98"/>
    <w:rsid w:val="2C424529"/>
    <w:rsid w:val="2C431AF1"/>
    <w:rsid w:val="2C46158D"/>
    <w:rsid w:val="2C496B41"/>
    <w:rsid w:val="2C4B5AD3"/>
    <w:rsid w:val="2C4C00C9"/>
    <w:rsid w:val="2C4E2ECE"/>
    <w:rsid w:val="2C5002AE"/>
    <w:rsid w:val="2C532A59"/>
    <w:rsid w:val="2C5576A5"/>
    <w:rsid w:val="2C5809F2"/>
    <w:rsid w:val="2C581F9E"/>
    <w:rsid w:val="2C585940"/>
    <w:rsid w:val="2C586E39"/>
    <w:rsid w:val="2C59301E"/>
    <w:rsid w:val="2C5D225F"/>
    <w:rsid w:val="2C5E1E42"/>
    <w:rsid w:val="2C611110"/>
    <w:rsid w:val="2C636005"/>
    <w:rsid w:val="2C695F59"/>
    <w:rsid w:val="2C6B318C"/>
    <w:rsid w:val="2C6C722F"/>
    <w:rsid w:val="2C6C777C"/>
    <w:rsid w:val="2C6D1A4B"/>
    <w:rsid w:val="2C6D5A4A"/>
    <w:rsid w:val="2C6E3570"/>
    <w:rsid w:val="2C703D1C"/>
    <w:rsid w:val="2C713675"/>
    <w:rsid w:val="2C720871"/>
    <w:rsid w:val="2C721392"/>
    <w:rsid w:val="2C7548FE"/>
    <w:rsid w:val="2C7768C8"/>
    <w:rsid w:val="2C7D1A05"/>
    <w:rsid w:val="2C7D4B5C"/>
    <w:rsid w:val="2C7E2C1C"/>
    <w:rsid w:val="2C7F0EF3"/>
    <w:rsid w:val="2C7F39CF"/>
    <w:rsid w:val="2C806959"/>
    <w:rsid w:val="2C8132A3"/>
    <w:rsid w:val="2C81332A"/>
    <w:rsid w:val="2C815051"/>
    <w:rsid w:val="2C8247AD"/>
    <w:rsid w:val="2C82701B"/>
    <w:rsid w:val="2C840D23"/>
    <w:rsid w:val="2C840FE5"/>
    <w:rsid w:val="2C851911"/>
    <w:rsid w:val="2C8608B9"/>
    <w:rsid w:val="2C870B22"/>
    <w:rsid w:val="2C8B5ED0"/>
    <w:rsid w:val="2C8C39F6"/>
    <w:rsid w:val="2C8E3C12"/>
    <w:rsid w:val="2C9213A9"/>
    <w:rsid w:val="2C932FD6"/>
    <w:rsid w:val="2C950AFD"/>
    <w:rsid w:val="2C953A72"/>
    <w:rsid w:val="2C976F3D"/>
    <w:rsid w:val="2C9B3AE8"/>
    <w:rsid w:val="2C9D20B4"/>
    <w:rsid w:val="2C9E20A7"/>
    <w:rsid w:val="2CA043E2"/>
    <w:rsid w:val="2CA376BD"/>
    <w:rsid w:val="2CA60F5C"/>
    <w:rsid w:val="2CA9202C"/>
    <w:rsid w:val="2CAA5A5C"/>
    <w:rsid w:val="2CAC0E64"/>
    <w:rsid w:val="2CAD067A"/>
    <w:rsid w:val="2CAE3F05"/>
    <w:rsid w:val="2CAF5A31"/>
    <w:rsid w:val="2CB07278"/>
    <w:rsid w:val="2CB119DD"/>
    <w:rsid w:val="2CB17563"/>
    <w:rsid w:val="2CB25B52"/>
    <w:rsid w:val="2CB35719"/>
    <w:rsid w:val="2CB35B9C"/>
    <w:rsid w:val="2CBA31BF"/>
    <w:rsid w:val="2CBB054C"/>
    <w:rsid w:val="2CBC5A01"/>
    <w:rsid w:val="2CC10FB3"/>
    <w:rsid w:val="2CC15086"/>
    <w:rsid w:val="2CC31363"/>
    <w:rsid w:val="2CC31B0E"/>
    <w:rsid w:val="2CC3408A"/>
    <w:rsid w:val="2CC57348"/>
    <w:rsid w:val="2CC66F08"/>
    <w:rsid w:val="2CC82C80"/>
    <w:rsid w:val="2CC87124"/>
    <w:rsid w:val="2CCA6938"/>
    <w:rsid w:val="2CCB09C2"/>
    <w:rsid w:val="2CCC0A22"/>
    <w:rsid w:val="2CCD48A6"/>
    <w:rsid w:val="2CD04065"/>
    <w:rsid w:val="2CD07536"/>
    <w:rsid w:val="2CD271CF"/>
    <w:rsid w:val="2CD37479"/>
    <w:rsid w:val="2CD4352B"/>
    <w:rsid w:val="2CD6417D"/>
    <w:rsid w:val="2CDA39F7"/>
    <w:rsid w:val="2CDA40A8"/>
    <w:rsid w:val="2CDC0CFE"/>
    <w:rsid w:val="2CDD565F"/>
    <w:rsid w:val="2CDF383C"/>
    <w:rsid w:val="2CDF621C"/>
    <w:rsid w:val="2CE051EE"/>
    <w:rsid w:val="2CE1615C"/>
    <w:rsid w:val="2CE427A3"/>
    <w:rsid w:val="2CE451F3"/>
    <w:rsid w:val="2CE50B3E"/>
    <w:rsid w:val="2CE51A84"/>
    <w:rsid w:val="2CE65022"/>
    <w:rsid w:val="2CE67062"/>
    <w:rsid w:val="2CE71401"/>
    <w:rsid w:val="2CE867E7"/>
    <w:rsid w:val="2CEA709A"/>
    <w:rsid w:val="2CEC58BD"/>
    <w:rsid w:val="2CF55A62"/>
    <w:rsid w:val="2CF57AD6"/>
    <w:rsid w:val="2CF63C91"/>
    <w:rsid w:val="2CF92EB9"/>
    <w:rsid w:val="2CF972DD"/>
    <w:rsid w:val="2CFA6FEC"/>
    <w:rsid w:val="2CFA798D"/>
    <w:rsid w:val="2CFC5020"/>
    <w:rsid w:val="2D0068BE"/>
    <w:rsid w:val="2D014764"/>
    <w:rsid w:val="2D0255EC"/>
    <w:rsid w:val="2D031F0A"/>
    <w:rsid w:val="2D0440C7"/>
    <w:rsid w:val="2D0624BE"/>
    <w:rsid w:val="2D071E99"/>
    <w:rsid w:val="2D077A96"/>
    <w:rsid w:val="2D0845B8"/>
    <w:rsid w:val="2D0976FA"/>
    <w:rsid w:val="2D0B5263"/>
    <w:rsid w:val="2D0D4B37"/>
    <w:rsid w:val="2D0D76EE"/>
    <w:rsid w:val="2D100C15"/>
    <w:rsid w:val="2D1063D5"/>
    <w:rsid w:val="2D151C65"/>
    <w:rsid w:val="2D1739C2"/>
    <w:rsid w:val="2D1740C3"/>
    <w:rsid w:val="2D1760B4"/>
    <w:rsid w:val="2D190025"/>
    <w:rsid w:val="2D197980"/>
    <w:rsid w:val="2D1A685D"/>
    <w:rsid w:val="2D1E34D5"/>
    <w:rsid w:val="2D225486"/>
    <w:rsid w:val="2D2718B8"/>
    <w:rsid w:val="2D2B1461"/>
    <w:rsid w:val="2D2D2A3B"/>
    <w:rsid w:val="2D2D342B"/>
    <w:rsid w:val="2D300825"/>
    <w:rsid w:val="2D30115D"/>
    <w:rsid w:val="2D321847"/>
    <w:rsid w:val="2D3227EF"/>
    <w:rsid w:val="2D367008"/>
    <w:rsid w:val="2D375343"/>
    <w:rsid w:val="2D376058"/>
    <w:rsid w:val="2D380879"/>
    <w:rsid w:val="2D3809AB"/>
    <w:rsid w:val="2D3A16A4"/>
    <w:rsid w:val="2D3A58D6"/>
    <w:rsid w:val="2D3B0E3F"/>
    <w:rsid w:val="2D3E66D4"/>
    <w:rsid w:val="2D3F5FA4"/>
    <w:rsid w:val="2D40315E"/>
    <w:rsid w:val="2D4365B8"/>
    <w:rsid w:val="2D441559"/>
    <w:rsid w:val="2D4469D7"/>
    <w:rsid w:val="2D450775"/>
    <w:rsid w:val="2D461F0D"/>
    <w:rsid w:val="2D4A53CB"/>
    <w:rsid w:val="2D4C62CA"/>
    <w:rsid w:val="2D4D294B"/>
    <w:rsid w:val="2D4F28A0"/>
    <w:rsid w:val="2D51573C"/>
    <w:rsid w:val="2D54324C"/>
    <w:rsid w:val="2D55028C"/>
    <w:rsid w:val="2D5554F7"/>
    <w:rsid w:val="2D574CAB"/>
    <w:rsid w:val="2D58408C"/>
    <w:rsid w:val="2D59351D"/>
    <w:rsid w:val="2D595FCE"/>
    <w:rsid w:val="2D5B5FD2"/>
    <w:rsid w:val="2D5C2A96"/>
    <w:rsid w:val="2D5E1836"/>
    <w:rsid w:val="2D5F2EE6"/>
    <w:rsid w:val="2D62411D"/>
    <w:rsid w:val="2D6304C4"/>
    <w:rsid w:val="2D652BC5"/>
    <w:rsid w:val="2D656721"/>
    <w:rsid w:val="2D665942"/>
    <w:rsid w:val="2D696742"/>
    <w:rsid w:val="2D6B6EEC"/>
    <w:rsid w:val="2D6C16A6"/>
    <w:rsid w:val="2D6E2885"/>
    <w:rsid w:val="2D7050C6"/>
    <w:rsid w:val="2D720814"/>
    <w:rsid w:val="2D723D74"/>
    <w:rsid w:val="2D7569D2"/>
    <w:rsid w:val="2D757973"/>
    <w:rsid w:val="2D796273"/>
    <w:rsid w:val="2D796670"/>
    <w:rsid w:val="2D7C1CBC"/>
    <w:rsid w:val="2D7C61DF"/>
    <w:rsid w:val="2D7D0E36"/>
    <w:rsid w:val="2D7E3C87"/>
    <w:rsid w:val="2D83424F"/>
    <w:rsid w:val="2D834DF9"/>
    <w:rsid w:val="2D885FB0"/>
    <w:rsid w:val="2D8C14F0"/>
    <w:rsid w:val="2D92046E"/>
    <w:rsid w:val="2D937732"/>
    <w:rsid w:val="2D984D48"/>
    <w:rsid w:val="2D99656C"/>
    <w:rsid w:val="2D9A67E7"/>
    <w:rsid w:val="2D9D0658"/>
    <w:rsid w:val="2DA1242F"/>
    <w:rsid w:val="2DA44895"/>
    <w:rsid w:val="2DA71653"/>
    <w:rsid w:val="2DA8195A"/>
    <w:rsid w:val="2DA84860"/>
    <w:rsid w:val="2DAA0022"/>
    <w:rsid w:val="2DAA05D8"/>
    <w:rsid w:val="2DAA0F92"/>
    <w:rsid w:val="2DAB4466"/>
    <w:rsid w:val="2DAC071B"/>
    <w:rsid w:val="2DAC65BF"/>
    <w:rsid w:val="2DAD00C8"/>
    <w:rsid w:val="2DAE5282"/>
    <w:rsid w:val="2DAE631A"/>
    <w:rsid w:val="2DAE7A3C"/>
    <w:rsid w:val="2DAF054E"/>
    <w:rsid w:val="2DB31412"/>
    <w:rsid w:val="2DB31B82"/>
    <w:rsid w:val="2DB37640"/>
    <w:rsid w:val="2DB476A8"/>
    <w:rsid w:val="2DB66F7C"/>
    <w:rsid w:val="2DB7028E"/>
    <w:rsid w:val="2DB71FAA"/>
    <w:rsid w:val="2DB84824"/>
    <w:rsid w:val="2DB96A6D"/>
    <w:rsid w:val="2DBB0A37"/>
    <w:rsid w:val="2DBC4200"/>
    <w:rsid w:val="2DC21A6E"/>
    <w:rsid w:val="2DC23B73"/>
    <w:rsid w:val="2DC72800"/>
    <w:rsid w:val="2DC9254F"/>
    <w:rsid w:val="2DCB3B74"/>
    <w:rsid w:val="2DCC0E4C"/>
    <w:rsid w:val="2DCF0B35"/>
    <w:rsid w:val="2DD03966"/>
    <w:rsid w:val="2DD33014"/>
    <w:rsid w:val="2DD613CD"/>
    <w:rsid w:val="2DD6761F"/>
    <w:rsid w:val="2DD83397"/>
    <w:rsid w:val="2DDA3856"/>
    <w:rsid w:val="2DDC00FC"/>
    <w:rsid w:val="2DDD0D8D"/>
    <w:rsid w:val="2DDD44FF"/>
    <w:rsid w:val="2DDE7293"/>
    <w:rsid w:val="2DE0224B"/>
    <w:rsid w:val="2DE071B6"/>
    <w:rsid w:val="2DE168F5"/>
    <w:rsid w:val="2DE1734E"/>
    <w:rsid w:val="2DE24215"/>
    <w:rsid w:val="2DE55E43"/>
    <w:rsid w:val="2DE56725"/>
    <w:rsid w:val="2DE84963"/>
    <w:rsid w:val="2DE955A4"/>
    <w:rsid w:val="2DEA1220"/>
    <w:rsid w:val="2DEA7E75"/>
    <w:rsid w:val="2DED3F18"/>
    <w:rsid w:val="2DF03A4F"/>
    <w:rsid w:val="2DF40A42"/>
    <w:rsid w:val="2DF47AA5"/>
    <w:rsid w:val="2DF8162E"/>
    <w:rsid w:val="2DF857E7"/>
    <w:rsid w:val="2DF90FEB"/>
    <w:rsid w:val="2DFB08FB"/>
    <w:rsid w:val="2DFB305E"/>
    <w:rsid w:val="2DFD2DFD"/>
    <w:rsid w:val="2E0051DB"/>
    <w:rsid w:val="2E054E33"/>
    <w:rsid w:val="2E072455"/>
    <w:rsid w:val="2E0929AB"/>
    <w:rsid w:val="2E0B2029"/>
    <w:rsid w:val="2E0B32FB"/>
    <w:rsid w:val="2E0B376C"/>
    <w:rsid w:val="2E0E0CDE"/>
    <w:rsid w:val="2E11032A"/>
    <w:rsid w:val="2E127415"/>
    <w:rsid w:val="2E1371BD"/>
    <w:rsid w:val="2E144E4C"/>
    <w:rsid w:val="2E166456"/>
    <w:rsid w:val="2E1771FA"/>
    <w:rsid w:val="2E185E96"/>
    <w:rsid w:val="2E1B3283"/>
    <w:rsid w:val="2E1D5404"/>
    <w:rsid w:val="2E1F56D0"/>
    <w:rsid w:val="2E1F6A2B"/>
    <w:rsid w:val="2E211217"/>
    <w:rsid w:val="2E224EB5"/>
    <w:rsid w:val="2E227519"/>
    <w:rsid w:val="2E232A5B"/>
    <w:rsid w:val="2E271C28"/>
    <w:rsid w:val="2E283EF2"/>
    <w:rsid w:val="2E2A1718"/>
    <w:rsid w:val="2E2C0044"/>
    <w:rsid w:val="2E2F6D2F"/>
    <w:rsid w:val="2E310F70"/>
    <w:rsid w:val="2E314CBC"/>
    <w:rsid w:val="2E322EC5"/>
    <w:rsid w:val="2E36167A"/>
    <w:rsid w:val="2E3743D5"/>
    <w:rsid w:val="2E3C35F8"/>
    <w:rsid w:val="2E436B23"/>
    <w:rsid w:val="2E440A2C"/>
    <w:rsid w:val="2E4439CA"/>
    <w:rsid w:val="2E4461C1"/>
    <w:rsid w:val="2E456552"/>
    <w:rsid w:val="2E4631CC"/>
    <w:rsid w:val="2E47362A"/>
    <w:rsid w:val="2E494CD8"/>
    <w:rsid w:val="2E497DF1"/>
    <w:rsid w:val="2E4C78E1"/>
    <w:rsid w:val="2E4F105C"/>
    <w:rsid w:val="2E513149"/>
    <w:rsid w:val="2E56075F"/>
    <w:rsid w:val="2E596DC9"/>
    <w:rsid w:val="2E5D14B6"/>
    <w:rsid w:val="2E5F3CDF"/>
    <w:rsid w:val="2E600CE3"/>
    <w:rsid w:val="2E60513A"/>
    <w:rsid w:val="2E6115DE"/>
    <w:rsid w:val="2E617F36"/>
    <w:rsid w:val="2E625356"/>
    <w:rsid w:val="2E6266B9"/>
    <w:rsid w:val="2E645BA3"/>
    <w:rsid w:val="2E6469D8"/>
    <w:rsid w:val="2E6603BE"/>
    <w:rsid w:val="2E67005E"/>
    <w:rsid w:val="2E68560F"/>
    <w:rsid w:val="2E696FFE"/>
    <w:rsid w:val="2E6C0A17"/>
    <w:rsid w:val="2E6D56AF"/>
    <w:rsid w:val="2E6E5AA9"/>
    <w:rsid w:val="2E701821"/>
    <w:rsid w:val="2E70710A"/>
    <w:rsid w:val="2E717347"/>
    <w:rsid w:val="2E7339E9"/>
    <w:rsid w:val="2E792813"/>
    <w:rsid w:val="2E7A0AB1"/>
    <w:rsid w:val="2E7A33C0"/>
    <w:rsid w:val="2E807DB3"/>
    <w:rsid w:val="2E8375CF"/>
    <w:rsid w:val="2E877BA9"/>
    <w:rsid w:val="2E894691"/>
    <w:rsid w:val="2E8C3A17"/>
    <w:rsid w:val="2E8C7F4A"/>
    <w:rsid w:val="2E8D0030"/>
    <w:rsid w:val="2E8D15D3"/>
    <w:rsid w:val="2E8E614B"/>
    <w:rsid w:val="2E8E6D74"/>
    <w:rsid w:val="2E8F32F0"/>
    <w:rsid w:val="2E903C71"/>
    <w:rsid w:val="2E905510"/>
    <w:rsid w:val="2E9128A2"/>
    <w:rsid w:val="2E9229F1"/>
    <w:rsid w:val="2E925005"/>
    <w:rsid w:val="2E945DCC"/>
    <w:rsid w:val="2E950688"/>
    <w:rsid w:val="2E9A6AC4"/>
    <w:rsid w:val="2E9C2472"/>
    <w:rsid w:val="2E9D2C24"/>
    <w:rsid w:val="2E9D638E"/>
    <w:rsid w:val="2E9F3EB4"/>
    <w:rsid w:val="2EA23086"/>
    <w:rsid w:val="2EA414CB"/>
    <w:rsid w:val="2EA6182F"/>
    <w:rsid w:val="2EAA668B"/>
    <w:rsid w:val="2EAB2859"/>
    <w:rsid w:val="2EAB4607"/>
    <w:rsid w:val="2EAC536B"/>
    <w:rsid w:val="2EAE2349"/>
    <w:rsid w:val="2EAE5EA6"/>
    <w:rsid w:val="2EAF0C20"/>
    <w:rsid w:val="2EB07E70"/>
    <w:rsid w:val="2EB67F0B"/>
    <w:rsid w:val="2EB72D4B"/>
    <w:rsid w:val="2EB74053"/>
    <w:rsid w:val="2EB7553C"/>
    <w:rsid w:val="2EC03AEE"/>
    <w:rsid w:val="2EC048F9"/>
    <w:rsid w:val="2EC27BA3"/>
    <w:rsid w:val="2EC35DF5"/>
    <w:rsid w:val="2EC46EA1"/>
    <w:rsid w:val="2EC658A2"/>
    <w:rsid w:val="2EC865C7"/>
    <w:rsid w:val="2ECA3823"/>
    <w:rsid w:val="2ECC4A19"/>
    <w:rsid w:val="2ECD65F4"/>
    <w:rsid w:val="2ECD73D8"/>
    <w:rsid w:val="2ECE670F"/>
    <w:rsid w:val="2ECF326A"/>
    <w:rsid w:val="2ED00512"/>
    <w:rsid w:val="2ED02B90"/>
    <w:rsid w:val="2ED0406E"/>
    <w:rsid w:val="2ED07D68"/>
    <w:rsid w:val="2ED5090E"/>
    <w:rsid w:val="2ED605FB"/>
    <w:rsid w:val="2ED86003"/>
    <w:rsid w:val="2ED9496F"/>
    <w:rsid w:val="2EDD678B"/>
    <w:rsid w:val="2EDD6E8B"/>
    <w:rsid w:val="2EDF69A7"/>
    <w:rsid w:val="2EE05E59"/>
    <w:rsid w:val="2EE428DE"/>
    <w:rsid w:val="2EEA6D6F"/>
    <w:rsid w:val="2EEB2B34"/>
    <w:rsid w:val="2EEB4802"/>
    <w:rsid w:val="2EED2E72"/>
    <w:rsid w:val="2EED59B3"/>
    <w:rsid w:val="2EEF67A6"/>
    <w:rsid w:val="2EF04710"/>
    <w:rsid w:val="2EF16A2B"/>
    <w:rsid w:val="2EF26AE5"/>
    <w:rsid w:val="2EF304A4"/>
    <w:rsid w:val="2EF426E3"/>
    <w:rsid w:val="2EF53AD4"/>
    <w:rsid w:val="2EF57F78"/>
    <w:rsid w:val="2EF6737A"/>
    <w:rsid w:val="2EF7351F"/>
    <w:rsid w:val="2EFA402E"/>
    <w:rsid w:val="2EFA558F"/>
    <w:rsid w:val="2EFC4E63"/>
    <w:rsid w:val="2EFC5204"/>
    <w:rsid w:val="2EFD1057"/>
    <w:rsid w:val="2EFD7C36"/>
    <w:rsid w:val="2EFF3625"/>
    <w:rsid w:val="2F00385E"/>
    <w:rsid w:val="2F034443"/>
    <w:rsid w:val="2F067A90"/>
    <w:rsid w:val="2F086A5B"/>
    <w:rsid w:val="2F0B154A"/>
    <w:rsid w:val="2F0C00F5"/>
    <w:rsid w:val="2F0D2033"/>
    <w:rsid w:val="2F0E7DE7"/>
    <w:rsid w:val="2F106B60"/>
    <w:rsid w:val="2F11306E"/>
    <w:rsid w:val="2F1137AB"/>
    <w:rsid w:val="2F114C6D"/>
    <w:rsid w:val="2F116787"/>
    <w:rsid w:val="2F11754B"/>
    <w:rsid w:val="2F13640E"/>
    <w:rsid w:val="2F137233"/>
    <w:rsid w:val="2F144C70"/>
    <w:rsid w:val="2F15605E"/>
    <w:rsid w:val="2F191579"/>
    <w:rsid w:val="2F1C4C94"/>
    <w:rsid w:val="2F1D760E"/>
    <w:rsid w:val="2F1E302B"/>
    <w:rsid w:val="2F1F0594"/>
    <w:rsid w:val="2F1F6E53"/>
    <w:rsid w:val="2F212B1B"/>
    <w:rsid w:val="2F22078C"/>
    <w:rsid w:val="2F222DF5"/>
    <w:rsid w:val="2F230642"/>
    <w:rsid w:val="2F245316"/>
    <w:rsid w:val="2F261EE0"/>
    <w:rsid w:val="2F28019D"/>
    <w:rsid w:val="2F282E04"/>
    <w:rsid w:val="2F286907"/>
    <w:rsid w:val="2F2977E3"/>
    <w:rsid w:val="2F2B2B3F"/>
    <w:rsid w:val="2F2E09DA"/>
    <w:rsid w:val="2F2F0AD3"/>
    <w:rsid w:val="2F2F5238"/>
    <w:rsid w:val="2F31264E"/>
    <w:rsid w:val="2F33251B"/>
    <w:rsid w:val="2F34207F"/>
    <w:rsid w:val="2F3878B6"/>
    <w:rsid w:val="2F391C13"/>
    <w:rsid w:val="2F3A0257"/>
    <w:rsid w:val="2F3A3BDD"/>
    <w:rsid w:val="2F415097"/>
    <w:rsid w:val="2F4170CB"/>
    <w:rsid w:val="2F423EC2"/>
    <w:rsid w:val="2F443299"/>
    <w:rsid w:val="2F453D1A"/>
    <w:rsid w:val="2F454B1C"/>
    <w:rsid w:val="2F4773E5"/>
    <w:rsid w:val="2F4D3910"/>
    <w:rsid w:val="2F4D56BE"/>
    <w:rsid w:val="2F4E6A12"/>
    <w:rsid w:val="2F5355C1"/>
    <w:rsid w:val="2F553D4D"/>
    <w:rsid w:val="2F57191D"/>
    <w:rsid w:val="2F58246F"/>
    <w:rsid w:val="2F5D351B"/>
    <w:rsid w:val="2F653794"/>
    <w:rsid w:val="2F671E9A"/>
    <w:rsid w:val="2F68074A"/>
    <w:rsid w:val="2F692618"/>
    <w:rsid w:val="2F6A2B3A"/>
    <w:rsid w:val="2F6B1FE9"/>
    <w:rsid w:val="2F6B40C6"/>
    <w:rsid w:val="2F6C68EA"/>
    <w:rsid w:val="2F6D5D61"/>
    <w:rsid w:val="2F6D7B0F"/>
    <w:rsid w:val="2F715AC7"/>
    <w:rsid w:val="2F762E67"/>
    <w:rsid w:val="2F776BDF"/>
    <w:rsid w:val="2F7A2F94"/>
    <w:rsid w:val="2F7A533A"/>
    <w:rsid w:val="2F807842"/>
    <w:rsid w:val="2F827680"/>
    <w:rsid w:val="2F835584"/>
    <w:rsid w:val="2F854E58"/>
    <w:rsid w:val="2F88238C"/>
    <w:rsid w:val="2F8A246F"/>
    <w:rsid w:val="2F8B11D7"/>
    <w:rsid w:val="2F8F217B"/>
    <w:rsid w:val="2F903A7C"/>
    <w:rsid w:val="2F920605"/>
    <w:rsid w:val="2F936344"/>
    <w:rsid w:val="2F950E14"/>
    <w:rsid w:val="2F961698"/>
    <w:rsid w:val="2F9C34AA"/>
    <w:rsid w:val="2F9E416C"/>
    <w:rsid w:val="2F9E5F1A"/>
    <w:rsid w:val="2F9F22F4"/>
    <w:rsid w:val="2F9F4747"/>
    <w:rsid w:val="2FA14AFE"/>
    <w:rsid w:val="2FA32000"/>
    <w:rsid w:val="2FA826BD"/>
    <w:rsid w:val="2FAA425F"/>
    <w:rsid w:val="2FAD0853"/>
    <w:rsid w:val="2FAD7538"/>
    <w:rsid w:val="2FB16008"/>
    <w:rsid w:val="2FB5773D"/>
    <w:rsid w:val="2FB83EA1"/>
    <w:rsid w:val="2FBA3096"/>
    <w:rsid w:val="2FBE4D59"/>
    <w:rsid w:val="2FC02334"/>
    <w:rsid w:val="2FC028AD"/>
    <w:rsid w:val="2FC25B50"/>
    <w:rsid w:val="2FC33BD3"/>
    <w:rsid w:val="2FC75471"/>
    <w:rsid w:val="2FC8743B"/>
    <w:rsid w:val="2FCC2ECF"/>
    <w:rsid w:val="2FCF4325"/>
    <w:rsid w:val="2FD04F64"/>
    <w:rsid w:val="2FD162F0"/>
    <w:rsid w:val="2FD85881"/>
    <w:rsid w:val="2FD95D51"/>
    <w:rsid w:val="2FD960EE"/>
    <w:rsid w:val="2FDA51E6"/>
    <w:rsid w:val="2FDB53AC"/>
    <w:rsid w:val="2FDD171B"/>
    <w:rsid w:val="2FDD4C94"/>
    <w:rsid w:val="2FDE6C5E"/>
    <w:rsid w:val="2FE34B63"/>
    <w:rsid w:val="2FE4457B"/>
    <w:rsid w:val="2FE67C71"/>
    <w:rsid w:val="2FE73D65"/>
    <w:rsid w:val="2FE74788"/>
    <w:rsid w:val="2FEA115F"/>
    <w:rsid w:val="2FEB727A"/>
    <w:rsid w:val="2FF01D68"/>
    <w:rsid w:val="2FF10740"/>
    <w:rsid w:val="2FF160E1"/>
    <w:rsid w:val="2FF41BF8"/>
    <w:rsid w:val="2FF44BA7"/>
    <w:rsid w:val="2FF534A8"/>
    <w:rsid w:val="2FF566C2"/>
    <w:rsid w:val="2FF67B04"/>
    <w:rsid w:val="2FFA0368"/>
    <w:rsid w:val="2FFA7214"/>
    <w:rsid w:val="2FFD0E93"/>
    <w:rsid w:val="2FFD4544"/>
    <w:rsid w:val="30006BD5"/>
    <w:rsid w:val="3002134C"/>
    <w:rsid w:val="300264AA"/>
    <w:rsid w:val="30053B94"/>
    <w:rsid w:val="30061B3B"/>
    <w:rsid w:val="300719D5"/>
    <w:rsid w:val="30085A89"/>
    <w:rsid w:val="300B4039"/>
    <w:rsid w:val="300C7328"/>
    <w:rsid w:val="300E1A75"/>
    <w:rsid w:val="300F506A"/>
    <w:rsid w:val="30112B90"/>
    <w:rsid w:val="301148C2"/>
    <w:rsid w:val="30117500"/>
    <w:rsid w:val="30134B5A"/>
    <w:rsid w:val="30161F54"/>
    <w:rsid w:val="30170813"/>
    <w:rsid w:val="301B0E96"/>
    <w:rsid w:val="301B428D"/>
    <w:rsid w:val="301C571D"/>
    <w:rsid w:val="301E120A"/>
    <w:rsid w:val="301F4281"/>
    <w:rsid w:val="30201025"/>
    <w:rsid w:val="30226B4B"/>
    <w:rsid w:val="30235EC1"/>
    <w:rsid w:val="30237F0D"/>
    <w:rsid w:val="3025488F"/>
    <w:rsid w:val="30281944"/>
    <w:rsid w:val="302904B1"/>
    <w:rsid w:val="30297150"/>
    <w:rsid w:val="302B4448"/>
    <w:rsid w:val="30304CB1"/>
    <w:rsid w:val="30313232"/>
    <w:rsid w:val="303228CC"/>
    <w:rsid w:val="30322C32"/>
    <w:rsid w:val="30332B06"/>
    <w:rsid w:val="30336652"/>
    <w:rsid w:val="303462C9"/>
    <w:rsid w:val="3034687E"/>
    <w:rsid w:val="30360848"/>
    <w:rsid w:val="303625F7"/>
    <w:rsid w:val="303B6DBF"/>
    <w:rsid w:val="303B7445"/>
    <w:rsid w:val="303C4D07"/>
    <w:rsid w:val="303D2E50"/>
    <w:rsid w:val="303D3985"/>
    <w:rsid w:val="303D5733"/>
    <w:rsid w:val="303D73BA"/>
    <w:rsid w:val="303E0AB7"/>
    <w:rsid w:val="303E1B42"/>
    <w:rsid w:val="304256B0"/>
    <w:rsid w:val="30441682"/>
    <w:rsid w:val="30446AC1"/>
    <w:rsid w:val="304548B8"/>
    <w:rsid w:val="30464221"/>
    <w:rsid w:val="30490818"/>
    <w:rsid w:val="304A3DC1"/>
    <w:rsid w:val="304D3CD4"/>
    <w:rsid w:val="304D45AB"/>
    <w:rsid w:val="304F3C12"/>
    <w:rsid w:val="3056130A"/>
    <w:rsid w:val="305807BF"/>
    <w:rsid w:val="305B3E0B"/>
    <w:rsid w:val="305C2A1B"/>
    <w:rsid w:val="305C2C5A"/>
    <w:rsid w:val="305D4027"/>
    <w:rsid w:val="305D7C43"/>
    <w:rsid w:val="30607F8D"/>
    <w:rsid w:val="30620BA0"/>
    <w:rsid w:val="30627EF3"/>
    <w:rsid w:val="3063763C"/>
    <w:rsid w:val="30671C31"/>
    <w:rsid w:val="30696528"/>
    <w:rsid w:val="306B04F2"/>
    <w:rsid w:val="306E576B"/>
    <w:rsid w:val="306E760D"/>
    <w:rsid w:val="30710DF3"/>
    <w:rsid w:val="3071362F"/>
    <w:rsid w:val="30745693"/>
    <w:rsid w:val="3075311F"/>
    <w:rsid w:val="30766E97"/>
    <w:rsid w:val="307A0735"/>
    <w:rsid w:val="307B625B"/>
    <w:rsid w:val="307B7010"/>
    <w:rsid w:val="307E48CD"/>
    <w:rsid w:val="307F65C9"/>
    <w:rsid w:val="308266DF"/>
    <w:rsid w:val="30870017"/>
    <w:rsid w:val="308710A4"/>
    <w:rsid w:val="308B0B94"/>
    <w:rsid w:val="308C0EBF"/>
    <w:rsid w:val="308E2433"/>
    <w:rsid w:val="30907F59"/>
    <w:rsid w:val="30913CD1"/>
    <w:rsid w:val="3092192D"/>
    <w:rsid w:val="30925351"/>
    <w:rsid w:val="3093399A"/>
    <w:rsid w:val="3095731D"/>
    <w:rsid w:val="30980BBB"/>
    <w:rsid w:val="309A0123"/>
    <w:rsid w:val="309A3E0B"/>
    <w:rsid w:val="309A7190"/>
    <w:rsid w:val="309B06AC"/>
    <w:rsid w:val="309E2963"/>
    <w:rsid w:val="30A3150D"/>
    <w:rsid w:val="30A9101A"/>
    <w:rsid w:val="30A97B06"/>
    <w:rsid w:val="30AA08EF"/>
    <w:rsid w:val="30AB6B41"/>
    <w:rsid w:val="30AE4883"/>
    <w:rsid w:val="30AE6631"/>
    <w:rsid w:val="30B05F05"/>
    <w:rsid w:val="30B11567"/>
    <w:rsid w:val="30B12533"/>
    <w:rsid w:val="30B332C8"/>
    <w:rsid w:val="30B362CA"/>
    <w:rsid w:val="30B50CAF"/>
    <w:rsid w:val="30B654E5"/>
    <w:rsid w:val="30BC54AF"/>
    <w:rsid w:val="30BE2F3E"/>
    <w:rsid w:val="30C06241"/>
    <w:rsid w:val="30C1734F"/>
    <w:rsid w:val="30C23E8A"/>
    <w:rsid w:val="30C36F47"/>
    <w:rsid w:val="30C419B0"/>
    <w:rsid w:val="30C42D6B"/>
    <w:rsid w:val="30C45E54"/>
    <w:rsid w:val="30C570D6"/>
    <w:rsid w:val="30C63697"/>
    <w:rsid w:val="30C84E54"/>
    <w:rsid w:val="30C96FC7"/>
    <w:rsid w:val="30CB0F91"/>
    <w:rsid w:val="30CB71E3"/>
    <w:rsid w:val="30D14CD1"/>
    <w:rsid w:val="30D576BD"/>
    <w:rsid w:val="30D64EEE"/>
    <w:rsid w:val="30D84719"/>
    <w:rsid w:val="30DA11D4"/>
    <w:rsid w:val="30DB2905"/>
    <w:rsid w:val="30DF797C"/>
    <w:rsid w:val="30E107B4"/>
    <w:rsid w:val="30E10C27"/>
    <w:rsid w:val="30E262DA"/>
    <w:rsid w:val="30E42053"/>
    <w:rsid w:val="30E71763"/>
    <w:rsid w:val="30E81B43"/>
    <w:rsid w:val="30E97669"/>
    <w:rsid w:val="30EB30C8"/>
    <w:rsid w:val="30EC7E00"/>
    <w:rsid w:val="30F0423D"/>
    <w:rsid w:val="30F06C49"/>
    <w:rsid w:val="30F10F10"/>
    <w:rsid w:val="30F46589"/>
    <w:rsid w:val="30F718A2"/>
    <w:rsid w:val="30F71D86"/>
    <w:rsid w:val="30F80378"/>
    <w:rsid w:val="30F834F7"/>
    <w:rsid w:val="30FA3813"/>
    <w:rsid w:val="30FB2775"/>
    <w:rsid w:val="30FC794F"/>
    <w:rsid w:val="30FF50DE"/>
    <w:rsid w:val="31010993"/>
    <w:rsid w:val="310339E2"/>
    <w:rsid w:val="3103697D"/>
    <w:rsid w:val="3106021B"/>
    <w:rsid w:val="31062E01"/>
    <w:rsid w:val="31073926"/>
    <w:rsid w:val="3108289E"/>
    <w:rsid w:val="31083F93"/>
    <w:rsid w:val="310D47A7"/>
    <w:rsid w:val="310E1C15"/>
    <w:rsid w:val="311013F3"/>
    <w:rsid w:val="31113292"/>
    <w:rsid w:val="311235C2"/>
    <w:rsid w:val="311326D4"/>
    <w:rsid w:val="311478A9"/>
    <w:rsid w:val="31172428"/>
    <w:rsid w:val="31197231"/>
    <w:rsid w:val="311D67C5"/>
    <w:rsid w:val="31201C34"/>
    <w:rsid w:val="312132A7"/>
    <w:rsid w:val="31215055"/>
    <w:rsid w:val="31215BB0"/>
    <w:rsid w:val="31226A0D"/>
    <w:rsid w:val="31232B7B"/>
    <w:rsid w:val="3126266B"/>
    <w:rsid w:val="31266BBE"/>
    <w:rsid w:val="31283C96"/>
    <w:rsid w:val="31293F09"/>
    <w:rsid w:val="312944F1"/>
    <w:rsid w:val="312A77C6"/>
    <w:rsid w:val="312B41D4"/>
    <w:rsid w:val="312D38EE"/>
    <w:rsid w:val="312D57A8"/>
    <w:rsid w:val="312E32CE"/>
    <w:rsid w:val="31302CCF"/>
    <w:rsid w:val="31307303"/>
    <w:rsid w:val="3131617C"/>
    <w:rsid w:val="313308E4"/>
    <w:rsid w:val="31332BA8"/>
    <w:rsid w:val="31342FDA"/>
    <w:rsid w:val="31350B00"/>
    <w:rsid w:val="3136601F"/>
    <w:rsid w:val="31374878"/>
    <w:rsid w:val="31396843"/>
    <w:rsid w:val="313A39D9"/>
    <w:rsid w:val="313A6116"/>
    <w:rsid w:val="313C32E9"/>
    <w:rsid w:val="313E5C07"/>
    <w:rsid w:val="313F272D"/>
    <w:rsid w:val="313F3D6A"/>
    <w:rsid w:val="31413B7F"/>
    <w:rsid w:val="31465C09"/>
    <w:rsid w:val="3148067E"/>
    <w:rsid w:val="31480833"/>
    <w:rsid w:val="314B20D2"/>
    <w:rsid w:val="314B237D"/>
    <w:rsid w:val="314C24B7"/>
    <w:rsid w:val="314D409C"/>
    <w:rsid w:val="314E01A0"/>
    <w:rsid w:val="3153611A"/>
    <w:rsid w:val="31557F29"/>
    <w:rsid w:val="31561C14"/>
    <w:rsid w:val="31570A76"/>
    <w:rsid w:val="31571B87"/>
    <w:rsid w:val="31587230"/>
    <w:rsid w:val="315B10A0"/>
    <w:rsid w:val="315C7DFC"/>
    <w:rsid w:val="315D774B"/>
    <w:rsid w:val="315F370A"/>
    <w:rsid w:val="31605B7D"/>
    <w:rsid w:val="3161278C"/>
    <w:rsid w:val="316136A3"/>
    <w:rsid w:val="31623C2D"/>
    <w:rsid w:val="31661F91"/>
    <w:rsid w:val="31675326"/>
    <w:rsid w:val="31675B13"/>
    <w:rsid w:val="316A07AA"/>
    <w:rsid w:val="316B102A"/>
    <w:rsid w:val="316E7B6E"/>
    <w:rsid w:val="316F06D4"/>
    <w:rsid w:val="31700539"/>
    <w:rsid w:val="31701DE8"/>
    <w:rsid w:val="317023F4"/>
    <w:rsid w:val="31741FF3"/>
    <w:rsid w:val="31742518"/>
    <w:rsid w:val="31761EDF"/>
    <w:rsid w:val="317732F4"/>
    <w:rsid w:val="317909ED"/>
    <w:rsid w:val="317C228B"/>
    <w:rsid w:val="317E24A7"/>
    <w:rsid w:val="317E57E2"/>
    <w:rsid w:val="3180273B"/>
    <w:rsid w:val="31855316"/>
    <w:rsid w:val="318555E4"/>
    <w:rsid w:val="31861A2B"/>
    <w:rsid w:val="318643C3"/>
    <w:rsid w:val="318E6932"/>
    <w:rsid w:val="318F1FBE"/>
    <w:rsid w:val="318F205C"/>
    <w:rsid w:val="318F34C2"/>
    <w:rsid w:val="319215DE"/>
    <w:rsid w:val="31943A79"/>
    <w:rsid w:val="31945827"/>
    <w:rsid w:val="31960DA0"/>
    <w:rsid w:val="31975317"/>
    <w:rsid w:val="31981CA6"/>
    <w:rsid w:val="31982981"/>
    <w:rsid w:val="31983647"/>
    <w:rsid w:val="319865B0"/>
    <w:rsid w:val="319B4E07"/>
    <w:rsid w:val="319B572A"/>
    <w:rsid w:val="31A173D2"/>
    <w:rsid w:val="31A17F44"/>
    <w:rsid w:val="31A35A6A"/>
    <w:rsid w:val="31A70C6B"/>
    <w:rsid w:val="31AB365F"/>
    <w:rsid w:val="31AC7198"/>
    <w:rsid w:val="31AC744B"/>
    <w:rsid w:val="31AD298A"/>
    <w:rsid w:val="31AE19DD"/>
    <w:rsid w:val="31AF08B2"/>
    <w:rsid w:val="31AF27A8"/>
    <w:rsid w:val="31AF3B87"/>
    <w:rsid w:val="31B01993"/>
    <w:rsid w:val="31B048DD"/>
    <w:rsid w:val="31B1462B"/>
    <w:rsid w:val="31B22151"/>
    <w:rsid w:val="31B51857"/>
    <w:rsid w:val="31B56222"/>
    <w:rsid w:val="31B7561D"/>
    <w:rsid w:val="31BA6D51"/>
    <w:rsid w:val="31BB1569"/>
    <w:rsid w:val="31BD4506"/>
    <w:rsid w:val="31BE7198"/>
    <w:rsid w:val="31BF20C0"/>
    <w:rsid w:val="31C01052"/>
    <w:rsid w:val="31C0486E"/>
    <w:rsid w:val="31C068DF"/>
    <w:rsid w:val="31C143D8"/>
    <w:rsid w:val="31C33D1A"/>
    <w:rsid w:val="31C34BA0"/>
    <w:rsid w:val="31C47EAE"/>
    <w:rsid w:val="31C559E0"/>
    <w:rsid w:val="31C600A2"/>
    <w:rsid w:val="31C60F39"/>
    <w:rsid w:val="31C63FC3"/>
    <w:rsid w:val="31C775A2"/>
    <w:rsid w:val="31C80651"/>
    <w:rsid w:val="31C80A7E"/>
    <w:rsid w:val="31C81974"/>
    <w:rsid w:val="31CA2859"/>
    <w:rsid w:val="31CA573B"/>
    <w:rsid w:val="31CA5B3D"/>
    <w:rsid w:val="31D010A8"/>
    <w:rsid w:val="31D9111C"/>
    <w:rsid w:val="31D9148B"/>
    <w:rsid w:val="31DC44A9"/>
    <w:rsid w:val="31DD4A48"/>
    <w:rsid w:val="31DE4368"/>
    <w:rsid w:val="31DE4CF4"/>
    <w:rsid w:val="31DE5041"/>
    <w:rsid w:val="31DF2B98"/>
    <w:rsid w:val="31DF690A"/>
    <w:rsid w:val="31E0281A"/>
    <w:rsid w:val="31E06CBE"/>
    <w:rsid w:val="31E27043"/>
    <w:rsid w:val="31E50C02"/>
    <w:rsid w:val="31E53BD8"/>
    <w:rsid w:val="31E61B3F"/>
    <w:rsid w:val="31E77834"/>
    <w:rsid w:val="31EC7411"/>
    <w:rsid w:val="31F0596C"/>
    <w:rsid w:val="31F24E38"/>
    <w:rsid w:val="31F3708A"/>
    <w:rsid w:val="31F40FCF"/>
    <w:rsid w:val="31F42375"/>
    <w:rsid w:val="31F47553"/>
    <w:rsid w:val="31F664E1"/>
    <w:rsid w:val="31F733F4"/>
    <w:rsid w:val="31F80179"/>
    <w:rsid w:val="31F84007"/>
    <w:rsid w:val="31F91B2E"/>
    <w:rsid w:val="31FB2F3F"/>
    <w:rsid w:val="31FB3DE2"/>
    <w:rsid w:val="31FB4882"/>
    <w:rsid w:val="31FD161E"/>
    <w:rsid w:val="31FD709B"/>
    <w:rsid w:val="3200100F"/>
    <w:rsid w:val="32026A50"/>
    <w:rsid w:val="32026C34"/>
    <w:rsid w:val="32044370"/>
    <w:rsid w:val="32066622"/>
    <w:rsid w:val="32071DE5"/>
    <w:rsid w:val="320727B2"/>
    <w:rsid w:val="320C7AB3"/>
    <w:rsid w:val="320F30FF"/>
    <w:rsid w:val="32157CE1"/>
    <w:rsid w:val="32174226"/>
    <w:rsid w:val="32175C5E"/>
    <w:rsid w:val="321A3B53"/>
    <w:rsid w:val="321B32EF"/>
    <w:rsid w:val="321C073E"/>
    <w:rsid w:val="321D14E6"/>
    <w:rsid w:val="321D5DD7"/>
    <w:rsid w:val="321F4D82"/>
    <w:rsid w:val="322017CB"/>
    <w:rsid w:val="3220530C"/>
    <w:rsid w:val="32236BAB"/>
    <w:rsid w:val="32270794"/>
    <w:rsid w:val="322748ED"/>
    <w:rsid w:val="32290665"/>
    <w:rsid w:val="32291770"/>
    <w:rsid w:val="322C2664"/>
    <w:rsid w:val="322F554F"/>
    <w:rsid w:val="322F67F1"/>
    <w:rsid w:val="3233668B"/>
    <w:rsid w:val="32346352"/>
    <w:rsid w:val="32346ED3"/>
    <w:rsid w:val="323A4620"/>
    <w:rsid w:val="323E67D5"/>
    <w:rsid w:val="324004DE"/>
    <w:rsid w:val="32407A98"/>
    <w:rsid w:val="32430FFB"/>
    <w:rsid w:val="324669F9"/>
    <w:rsid w:val="32472899"/>
    <w:rsid w:val="324A1575"/>
    <w:rsid w:val="324A35B4"/>
    <w:rsid w:val="324B7D60"/>
    <w:rsid w:val="324C6402"/>
    <w:rsid w:val="324C6E6A"/>
    <w:rsid w:val="324C7EAF"/>
    <w:rsid w:val="32510076"/>
    <w:rsid w:val="3253239A"/>
    <w:rsid w:val="325551DF"/>
    <w:rsid w:val="32566F80"/>
    <w:rsid w:val="32567169"/>
    <w:rsid w:val="3258650A"/>
    <w:rsid w:val="325A4E54"/>
    <w:rsid w:val="325B2E3F"/>
    <w:rsid w:val="325D7CF0"/>
    <w:rsid w:val="325F4035"/>
    <w:rsid w:val="32601BAD"/>
    <w:rsid w:val="3260318F"/>
    <w:rsid w:val="3260700B"/>
    <w:rsid w:val="326141BF"/>
    <w:rsid w:val="32643B50"/>
    <w:rsid w:val="3265194F"/>
    <w:rsid w:val="32662C65"/>
    <w:rsid w:val="32687F08"/>
    <w:rsid w:val="32691986"/>
    <w:rsid w:val="326919DF"/>
    <w:rsid w:val="326B5E2E"/>
    <w:rsid w:val="326E4CA4"/>
    <w:rsid w:val="326F486D"/>
    <w:rsid w:val="32701D87"/>
    <w:rsid w:val="32744548"/>
    <w:rsid w:val="32773E7D"/>
    <w:rsid w:val="32774029"/>
    <w:rsid w:val="32783E56"/>
    <w:rsid w:val="327A0EC0"/>
    <w:rsid w:val="327B1B2C"/>
    <w:rsid w:val="327B2543"/>
    <w:rsid w:val="327C7CE4"/>
    <w:rsid w:val="327D3C24"/>
    <w:rsid w:val="328073FA"/>
    <w:rsid w:val="3281224F"/>
    <w:rsid w:val="32850F44"/>
    <w:rsid w:val="32857DB4"/>
    <w:rsid w:val="32861CD7"/>
    <w:rsid w:val="32862139"/>
    <w:rsid w:val="3286248A"/>
    <w:rsid w:val="32870E70"/>
    <w:rsid w:val="328C0BF4"/>
    <w:rsid w:val="328D62A3"/>
    <w:rsid w:val="328F5FEE"/>
    <w:rsid w:val="32904120"/>
    <w:rsid w:val="32904B81"/>
    <w:rsid w:val="32937FCD"/>
    <w:rsid w:val="32951856"/>
    <w:rsid w:val="329A2BAC"/>
    <w:rsid w:val="329B4993"/>
    <w:rsid w:val="329B6DD2"/>
    <w:rsid w:val="329D070B"/>
    <w:rsid w:val="329D4BAF"/>
    <w:rsid w:val="329E27EB"/>
    <w:rsid w:val="32A001FB"/>
    <w:rsid w:val="32A01FA9"/>
    <w:rsid w:val="32A538E0"/>
    <w:rsid w:val="32A61CB5"/>
    <w:rsid w:val="32A707C5"/>
    <w:rsid w:val="32A813DE"/>
    <w:rsid w:val="32A838C3"/>
    <w:rsid w:val="32AB72CC"/>
    <w:rsid w:val="32AE5FFD"/>
    <w:rsid w:val="32B32F36"/>
    <w:rsid w:val="32B3444F"/>
    <w:rsid w:val="32B35014"/>
    <w:rsid w:val="32B55A55"/>
    <w:rsid w:val="32B67923"/>
    <w:rsid w:val="32BA306B"/>
    <w:rsid w:val="32BB7597"/>
    <w:rsid w:val="32BF3A34"/>
    <w:rsid w:val="32C0264B"/>
    <w:rsid w:val="32C034B7"/>
    <w:rsid w:val="32C263C3"/>
    <w:rsid w:val="32C46021"/>
    <w:rsid w:val="32C61A89"/>
    <w:rsid w:val="32C71566"/>
    <w:rsid w:val="32CC0FF0"/>
    <w:rsid w:val="32CE2B25"/>
    <w:rsid w:val="32D103B5"/>
    <w:rsid w:val="32D111F0"/>
    <w:rsid w:val="32D13D23"/>
    <w:rsid w:val="32D14858"/>
    <w:rsid w:val="32D261F3"/>
    <w:rsid w:val="32D700C1"/>
    <w:rsid w:val="32D753E8"/>
    <w:rsid w:val="32D83E39"/>
    <w:rsid w:val="32DB0A77"/>
    <w:rsid w:val="32DB227A"/>
    <w:rsid w:val="32DC2F67"/>
    <w:rsid w:val="32DD144F"/>
    <w:rsid w:val="32DD3701"/>
    <w:rsid w:val="32DD6748"/>
    <w:rsid w:val="32DD6D45"/>
    <w:rsid w:val="32E12CEE"/>
    <w:rsid w:val="32E41BE2"/>
    <w:rsid w:val="32E4458C"/>
    <w:rsid w:val="32E529CF"/>
    <w:rsid w:val="32E60304"/>
    <w:rsid w:val="32E71EAF"/>
    <w:rsid w:val="32EA6061"/>
    <w:rsid w:val="32EB54A8"/>
    <w:rsid w:val="32EB7029"/>
    <w:rsid w:val="32ED31DF"/>
    <w:rsid w:val="32EE1910"/>
    <w:rsid w:val="32EF6643"/>
    <w:rsid w:val="32F01183"/>
    <w:rsid w:val="32F15B31"/>
    <w:rsid w:val="32F272C1"/>
    <w:rsid w:val="32F32A21"/>
    <w:rsid w:val="32F522F5"/>
    <w:rsid w:val="32F81EED"/>
    <w:rsid w:val="32FA4271"/>
    <w:rsid w:val="32FA4D55"/>
    <w:rsid w:val="32FA5B5D"/>
    <w:rsid w:val="32FB7AE9"/>
    <w:rsid w:val="32FD73FC"/>
    <w:rsid w:val="33011E5E"/>
    <w:rsid w:val="3301795F"/>
    <w:rsid w:val="33022C64"/>
    <w:rsid w:val="33025C98"/>
    <w:rsid w:val="33034FD3"/>
    <w:rsid w:val="3304048E"/>
    <w:rsid w:val="3304078A"/>
    <w:rsid w:val="33044C2E"/>
    <w:rsid w:val="330469DC"/>
    <w:rsid w:val="33056D0A"/>
    <w:rsid w:val="33064502"/>
    <w:rsid w:val="3309443C"/>
    <w:rsid w:val="33094FEF"/>
    <w:rsid w:val="330A66D8"/>
    <w:rsid w:val="330B1B18"/>
    <w:rsid w:val="330E1D5C"/>
    <w:rsid w:val="33125997"/>
    <w:rsid w:val="33145A00"/>
    <w:rsid w:val="3316094E"/>
    <w:rsid w:val="331B7AA4"/>
    <w:rsid w:val="331D4B4E"/>
    <w:rsid w:val="331E4B10"/>
    <w:rsid w:val="33203FDB"/>
    <w:rsid w:val="33214B74"/>
    <w:rsid w:val="332210A4"/>
    <w:rsid w:val="33237855"/>
    <w:rsid w:val="33244988"/>
    <w:rsid w:val="332608D8"/>
    <w:rsid w:val="332731BF"/>
    <w:rsid w:val="33275599"/>
    <w:rsid w:val="33294694"/>
    <w:rsid w:val="332C67D2"/>
    <w:rsid w:val="332D3731"/>
    <w:rsid w:val="332F33AF"/>
    <w:rsid w:val="33305A23"/>
    <w:rsid w:val="33307983"/>
    <w:rsid w:val="333472C1"/>
    <w:rsid w:val="333742CB"/>
    <w:rsid w:val="33380434"/>
    <w:rsid w:val="33380544"/>
    <w:rsid w:val="333A41AC"/>
    <w:rsid w:val="333C7F24"/>
    <w:rsid w:val="333C7F38"/>
    <w:rsid w:val="333D030A"/>
    <w:rsid w:val="333D678E"/>
    <w:rsid w:val="333E1EEE"/>
    <w:rsid w:val="333F7A14"/>
    <w:rsid w:val="33407C2F"/>
    <w:rsid w:val="3341061E"/>
    <w:rsid w:val="33410934"/>
    <w:rsid w:val="3344143A"/>
    <w:rsid w:val="334566FF"/>
    <w:rsid w:val="33490893"/>
    <w:rsid w:val="33496E63"/>
    <w:rsid w:val="334C7751"/>
    <w:rsid w:val="334E5EA9"/>
    <w:rsid w:val="334E7020"/>
    <w:rsid w:val="334E7C57"/>
    <w:rsid w:val="33522F1E"/>
    <w:rsid w:val="33552964"/>
    <w:rsid w:val="3355548A"/>
    <w:rsid w:val="33586271"/>
    <w:rsid w:val="335A3A4F"/>
    <w:rsid w:val="335A578A"/>
    <w:rsid w:val="335C7BD7"/>
    <w:rsid w:val="335E6178"/>
    <w:rsid w:val="335F00B6"/>
    <w:rsid w:val="335F56CA"/>
    <w:rsid w:val="33603EDD"/>
    <w:rsid w:val="3361379C"/>
    <w:rsid w:val="33613C01"/>
    <w:rsid w:val="33625779"/>
    <w:rsid w:val="33642472"/>
    <w:rsid w:val="336458B3"/>
    <w:rsid w:val="336735FC"/>
    <w:rsid w:val="33691F40"/>
    <w:rsid w:val="336A4A6E"/>
    <w:rsid w:val="33713745"/>
    <w:rsid w:val="33727DEA"/>
    <w:rsid w:val="33761F11"/>
    <w:rsid w:val="337A0C85"/>
    <w:rsid w:val="337B0E24"/>
    <w:rsid w:val="337C1F8A"/>
    <w:rsid w:val="337D4BCE"/>
    <w:rsid w:val="338131E1"/>
    <w:rsid w:val="338144A7"/>
    <w:rsid w:val="33814854"/>
    <w:rsid w:val="3382118E"/>
    <w:rsid w:val="33835B53"/>
    <w:rsid w:val="33871323"/>
    <w:rsid w:val="338D210F"/>
    <w:rsid w:val="3390201E"/>
    <w:rsid w:val="339044E6"/>
    <w:rsid w:val="33911452"/>
    <w:rsid w:val="3392223A"/>
    <w:rsid w:val="33925CF8"/>
    <w:rsid w:val="339306A0"/>
    <w:rsid w:val="33931B27"/>
    <w:rsid w:val="3398728B"/>
    <w:rsid w:val="339935C8"/>
    <w:rsid w:val="339A5A99"/>
    <w:rsid w:val="339C4E66"/>
    <w:rsid w:val="339D1C5F"/>
    <w:rsid w:val="339D60DA"/>
    <w:rsid w:val="33A06092"/>
    <w:rsid w:val="33A31D51"/>
    <w:rsid w:val="33A361F5"/>
    <w:rsid w:val="33A51F6D"/>
    <w:rsid w:val="33A65CE5"/>
    <w:rsid w:val="33A80394"/>
    <w:rsid w:val="33AD0E22"/>
    <w:rsid w:val="33AD497E"/>
    <w:rsid w:val="33B05C8C"/>
    <w:rsid w:val="33B421B0"/>
    <w:rsid w:val="33B62BBC"/>
    <w:rsid w:val="33BA46E0"/>
    <w:rsid w:val="33BC640B"/>
    <w:rsid w:val="33BE130B"/>
    <w:rsid w:val="33BF0BDB"/>
    <w:rsid w:val="33C1667B"/>
    <w:rsid w:val="33C374C9"/>
    <w:rsid w:val="33C638E7"/>
    <w:rsid w:val="33C967B2"/>
    <w:rsid w:val="33C967C6"/>
    <w:rsid w:val="33CC574C"/>
    <w:rsid w:val="33CD24E7"/>
    <w:rsid w:val="33CD6DCE"/>
    <w:rsid w:val="33CE6C30"/>
    <w:rsid w:val="33D01A94"/>
    <w:rsid w:val="33D049F3"/>
    <w:rsid w:val="33D12808"/>
    <w:rsid w:val="33D23E7E"/>
    <w:rsid w:val="33D255E5"/>
    <w:rsid w:val="33D4015C"/>
    <w:rsid w:val="33D44600"/>
    <w:rsid w:val="33D60378"/>
    <w:rsid w:val="33D71BA0"/>
    <w:rsid w:val="33D907D3"/>
    <w:rsid w:val="33D952A4"/>
    <w:rsid w:val="33DE382C"/>
    <w:rsid w:val="33E22E17"/>
    <w:rsid w:val="33E31994"/>
    <w:rsid w:val="33E365F1"/>
    <w:rsid w:val="33E46DFA"/>
    <w:rsid w:val="33E52369"/>
    <w:rsid w:val="33E83C08"/>
    <w:rsid w:val="33E86ECF"/>
    <w:rsid w:val="33ED42EB"/>
    <w:rsid w:val="33EF4F96"/>
    <w:rsid w:val="33EF7240"/>
    <w:rsid w:val="33F0187E"/>
    <w:rsid w:val="33F1700A"/>
    <w:rsid w:val="33F23CB8"/>
    <w:rsid w:val="33F26834"/>
    <w:rsid w:val="33F500AF"/>
    <w:rsid w:val="33F56179"/>
    <w:rsid w:val="33F64B96"/>
    <w:rsid w:val="33F713B7"/>
    <w:rsid w:val="33F87B28"/>
    <w:rsid w:val="33F907DB"/>
    <w:rsid w:val="33F94067"/>
    <w:rsid w:val="33F97BC3"/>
    <w:rsid w:val="33FD0B01"/>
    <w:rsid w:val="33FE342B"/>
    <w:rsid w:val="33FF3F42"/>
    <w:rsid w:val="340071A3"/>
    <w:rsid w:val="34036CA5"/>
    <w:rsid w:val="340439BA"/>
    <w:rsid w:val="34047E98"/>
    <w:rsid w:val="34052A0C"/>
    <w:rsid w:val="34055485"/>
    <w:rsid w:val="34063B13"/>
    <w:rsid w:val="340844B9"/>
    <w:rsid w:val="3409107B"/>
    <w:rsid w:val="340D33F3"/>
    <w:rsid w:val="340D7B12"/>
    <w:rsid w:val="34103925"/>
    <w:rsid w:val="341057C2"/>
    <w:rsid w:val="341101CD"/>
    <w:rsid w:val="3412037B"/>
    <w:rsid w:val="34125129"/>
    <w:rsid w:val="34140EA1"/>
    <w:rsid w:val="341471F8"/>
    <w:rsid w:val="34160775"/>
    <w:rsid w:val="34164BFB"/>
    <w:rsid w:val="3419330F"/>
    <w:rsid w:val="341C5D39"/>
    <w:rsid w:val="341E0F66"/>
    <w:rsid w:val="34216FDA"/>
    <w:rsid w:val="34217E91"/>
    <w:rsid w:val="34222022"/>
    <w:rsid w:val="342232A9"/>
    <w:rsid w:val="3422427A"/>
    <w:rsid w:val="34231DA6"/>
    <w:rsid w:val="342455C4"/>
    <w:rsid w:val="342528E1"/>
    <w:rsid w:val="34256C0A"/>
    <w:rsid w:val="342832B6"/>
    <w:rsid w:val="34294E6A"/>
    <w:rsid w:val="342B17CD"/>
    <w:rsid w:val="342B1D46"/>
    <w:rsid w:val="342B6231"/>
    <w:rsid w:val="342C40ED"/>
    <w:rsid w:val="342C493A"/>
    <w:rsid w:val="34335D23"/>
    <w:rsid w:val="3434509F"/>
    <w:rsid w:val="34366080"/>
    <w:rsid w:val="34367069"/>
    <w:rsid w:val="343E5C22"/>
    <w:rsid w:val="3444161B"/>
    <w:rsid w:val="344423B0"/>
    <w:rsid w:val="344470DB"/>
    <w:rsid w:val="34452E08"/>
    <w:rsid w:val="344A25E1"/>
    <w:rsid w:val="344B3CB7"/>
    <w:rsid w:val="344E5614"/>
    <w:rsid w:val="344F050A"/>
    <w:rsid w:val="344F544F"/>
    <w:rsid w:val="34533777"/>
    <w:rsid w:val="34534CBB"/>
    <w:rsid w:val="3454129D"/>
    <w:rsid w:val="345614B9"/>
    <w:rsid w:val="345621EA"/>
    <w:rsid w:val="34565F53"/>
    <w:rsid w:val="34582826"/>
    <w:rsid w:val="3459310A"/>
    <w:rsid w:val="34594B05"/>
    <w:rsid w:val="345E036E"/>
    <w:rsid w:val="345E6848"/>
    <w:rsid w:val="346040E6"/>
    <w:rsid w:val="3462768A"/>
    <w:rsid w:val="3468682B"/>
    <w:rsid w:val="346911EC"/>
    <w:rsid w:val="346965D2"/>
    <w:rsid w:val="346A6D13"/>
    <w:rsid w:val="346B44E5"/>
    <w:rsid w:val="346D235F"/>
    <w:rsid w:val="346E6803"/>
    <w:rsid w:val="346F435F"/>
    <w:rsid w:val="347061AA"/>
    <w:rsid w:val="34733E19"/>
    <w:rsid w:val="34740351"/>
    <w:rsid w:val="34744DFA"/>
    <w:rsid w:val="347656B7"/>
    <w:rsid w:val="347714C9"/>
    <w:rsid w:val="34784F8C"/>
    <w:rsid w:val="347A51A8"/>
    <w:rsid w:val="347B0F20"/>
    <w:rsid w:val="347B3D14"/>
    <w:rsid w:val="347C5A95"/>
    <w:rsid w:val="34842C2E"/>
    <w:rsid w:val="34851691"/>
    <w:rsid w:val="348558FB"/>
    <w:rsid w:val="3486105C"/>
    <w:rsid w:val="34866AC2"/>
    <w:rsid w:val="34870792"/>
    <w:rsid w:val="348C7337"/>
    <w:rsid w:val="348C7AC7"/>
    <w:rsid w:val="34901D20"/>
    <w:rsid w:val="34944361"/>
    <w:rsid w:val="34945433"/>
    <w:rsid w:val="34945B3E"/>
    <w:rsid w:val="3498562E"/>
    <w:rsid w:val="34996513"/>
    <w:rsid w:val="349A13A6"/>
    <w:rsid w:val="349A7640"/>
    <w:rsid w:val="349B71CE"/>
    <w:rsid w:val="349D2C44"/>
    <w:rsid w:val="349E360C"/>
    <w:rsid w:val="34A3335B"/>
    <w:rsid w:val="34A915E9"/>
    <w:rsid w:val="34A94914"/>
    <w:rsid w:val="34AA710F"/>
    <w:rsid w:val="34AB4B60"/>
    <w:rsid w:val="34AC10D9"/>
    <w:rsid w:val="34AF40D2"/>
    <w:rsid w:val="34B00BC9"/>
    <w:rsid w:val="34B47F8E"/>
    <w:rsid w:val="34B82001"/>
    <w:rsid w:val="34B873A0"/>
    <w:rsid w:val="34B955A4"/>
    <w:rsid w:val="34BC5E70"/>
    <w:rsid w:val="34BD6E42"/>
    <w:rsid w:val="34BF705E"/>
    <w:rsid w:val="34BF7BAA"/>
    <w:rsid w:val="34C12DD7"/>
    <w:rsid w:val="34C16BFD"/>
    <w:rsid w:val="34C178FF"/>
    <w:rsid w:val="34C6228E"/>
    <w:rsid w:val="34C64818"/>
    <w:rsid w:val="34C87A25"/>
    <w:rsid w:val="34C92B40"/>
    <w:rsid w:val="34CC7A5F"/>
    <w:rsid w:val="34D128EE"/>
    <w:rsid w:val="34D523DE"/>
    <w:rsid w:val="34D67A66"/>
    <w:rsid w:val="34D67F04"/>
    <w:rsid w:val="34D83C7C"/>
    <w:rsid w:val="34D96657"/>
    <w:rsid w:val="34DB0272"/>
    <w:rsid w:val="34DD36A0"/>
    <w:rsid w:val="34DD555C"/>
    <w:rsid w:val="34DD5737"/>
    <w:rsid w:val="34DD6F81"/>
    <w:rsid w:val="34DD74E5"/>
    <w:rsid w:val="34DF5162"/>
    <w:rsid w:val="34DF7F7B"/>
    <w:rsid w:val="34E138DE"/>
    <w:rsid w:val="34E24AFB"/>
    <w:rsid w:val="34E268A9"/>
    <w:rsid w:val="34E645EB"/>
    <w:rsid w:val="34E70363"/>
    <w:rsid w:val="34E8696B"/>
    <w:rsid w:val="34E95E89"/>
    <w:rsid w:val="34EA3253"/>
    <w:rsid w:val="34EB7512"/>
    <w:rsid w:val="34ED6394"/>
    <w:rsid w:val="34EE2553"/>
    <w:rsid w:val="34EF0FC6"/>
    <w:rsid w:val="34F07218"/>
    <w:rsid w:val="34F30EFF"/>
    <w:rsid w:val="34F474CC"/>
    <w:rsid w:val="34F64C9A"/>
    <w:rsid w:val="34F71BA2"/>
    <w:rsid w:val="34FA0097"/>
    <w:rsid w:val="34FC3E0F"/>
    <w:rsid w:val="34FD22A6"/>
    <w:rsid w:val="34FD6C84"/>
    <w:rsid w:val="34FE73FD"/>
    <w:rsid w:val="34FF1EDA"/>
    <w:rsid w:val="34FF6E94"/>
    <w:rsid w:val="350051E9"/>
    <w:rsid w:val="3501400D"/>
    <w:rsid w:val="3505041E"/>
    <w:rsid w:val="35063D3B"/>
    <w:rsid w:val="35082370"/>
    <w:rsid w:val="350B22A4"/>
    <w:rsid w:val="35117C30"/>
    <w:rsid w:val="35133AD1"/>
    <w:rsid w:val="35145C22"/>
    <w:rsid w:val="351739D3"/>
    <w:rsid w:val="35181A32"/>
    <w:rsid w:val="35186438"/>
    <w:rsid w:val="3518676F"/>
    <w:rsid w:val="35195302"/>
    <w:rsid w:val="351A11F7"/>
    <w:rsid w:val="35204032"/>
    <w:rsid w:val="35216B3A"/>
    <w:rsid w:val="35225C7F"/>
    <w:rsid w:val="3523351F"/>
    <w:rsid w:val="35251994"/>
    <w:rsid w:val="35263FFB"/>
    <w:rsid w:val="352769B2"/>
    <w:rsid w:val="35286868"/>
    <w:rsid w:val="35291555"/>
    <w:rsid w:val="3529272A"/>
    <w:rsid w:val="352B0C6C"/>
    <w:rsid w:val="352C502F"/>
    <w:rsid w:val="352D3F09"/>
    <w:rsid w:val="352D46FF"/>
    <w:rsid w:val="352F068F"/>
    <w:rsid w:val="352F0C11"/>
    <w:rsid w:val="352F4543"/>
    <w:rsid w:val="35301161"/>
    <w:rsid w:val="35303AB8"/>
    <w:rsid w:val="353115DE"/>
    <w:rsid w:val="35335357"/>
    <w:rsid w:val="35342B1E"/>
    <w:rsid w:val="35343516"/>
    <w:rsid w:val="35353041"/>
    <w:rsid w:val="35373099"/>
    <w:rsid w:val="35375B9E"/>
    <w:rsid w:val="353764CC"/>
    <w:rsid w:val="353D4912"/>
    <w:rsid w:val="353F6BC9"/>
    <w:rsid w:val="354018C4"/>
    <w:rsid w:val="354057CB"/>
    <w:rsid w:val="35410385"/>
    <w:rsid w:val="3542559A"/>
    <w:rsid w:val="35447564"/>
    <w:rsid w:val="35492DCC"/>
    <w:rsid w:val="354C6305"/>
    <w:rsid w:val="354D466A"/>
    <w:rsid w:val="354E4347"/>
    <w:rsid w:val="355201DF"/>
    <w:rsid w:val="35522B48"/>
    <w:rsid w:val="3552707E"/>
    <w:rsid w:val="355605CB"/>
    <w:rsid w:val="35586391"/>
    <w:rsid w:val="35593710"/>
    <w:rsid w:val="355C3FAF"/>
    <w:rsid w:val="355C67D3"/>
    <w:rsid w:val="355D13D7"/>
    <w:rsid w:val="355E1655"/>
    <w:rsid w:val="355F439E"/>
    <w:rsid w:val="356419B4"/>
    <w:rsid w:val="35646334"/>
    <w:rsid w:val="35647C06"/>
    <w:rsid w:val="35672959"/>
    <w:rsid w:val="3567475C"/>
    <w:rsid w:val="35697E4A"/>
    <w:rsid w:val="356A1FA3"/>
    <w:rsid w:val="356C2BB5"/>
    <w:rsid w:val="356E52B8"/>
    <w:rsid w:val="35700A71"/>
    <w:rsid w:val="35725C97"/>
    <w:rsid w:val="35753BC1"/>
    <w:rsid w:val="35781ECF"/>
    <w:rsid w:val="357A11D7"/>
    <w:rsid w:val="357A4D33"/>
    <w:rsid w:val="357A5672"/>
    <w:rsid w:val="357B00F4"/>
    <w:rsid w:val="357C4F4F"/>
    <w:rsid w:val="357D04B0"/>
    <w:rsid w:val="357D4D88"/>
    <w:rsid w:val="357E2A76"/>
    <w:rsid w:val="3580410C"/>
    <w:rsid w:val="35817384"/>
    <w:rsid w:val="3582238B"/>
    <w:rsid w:val="35856A0B"/>
    <w:rsid w:val="35873AFB"/>
    <w:rsid w:val="35887450"/>
    <w:rsid w:val="358931C8"/>
    <w:rsid w:val="358D3456"/>
    <w:rsid w:val="358E6A31"/>
    <w:rsid w:val="358F38F8"/>
    <w:rsid w:val="358F4C83"/>
    <w:rsid w:val="35913D3F"/>
    <w:rsid w:val="359158A6"/>
    <w:rsid w:val="359252EF"/>
    <w:rsid w:val="35935DF5"/>
    <w:rsid w:val="35973B37"/>
    <w:rsid w:val="359A4DD9"/>
    <w:rsid w:val="359D6381"/>
    <w:rsid w:val="35A149B6"/>
    <w:rsid w:val="35A40002"/>
    <w:rsid w:val="35A62CAD"/>
    <w:rsid w:val="35A90699"/>
    <w:rsid w:val="35AB1391"/>
    <w:rsid w:val="35AB56E5"/>
    <w:rsid w:val="35AC6ADA"/>
    <w:rsid w:val="35AD6EB7"/>
    <w:rsid w:val="35AE2B6D"/>
    <w:rsid w:val="35AF05E5"/>
    <w:rsid w:val="35AF0864"/>
    <w:rsid w:val="35AF2AE8"/>
    <w:rsid w:val="35B16B13"/>
    <w:rsid w:val="35B30245"/>
    <w:rsid w:val="35B47F5D"/>
    <w:rsid w:val="35B520F5"/>
    <w:rsid w:val="35B67BD5"/>
    <w:rsid w:val="35BA7826"/>
    <w:rsid w:val="35BB0F84"/>
    <w:rsid w:val="35BB563F"/>
    <w:rsid w:val="35BC534C"/>
    <w:rsid w:val="35BE10C4"/>
    <w:rsid w:val="35BF3FE2"/>
    <w:rsid w:val="35C52889"/>
    <w:rsid w:val="35C53754"/>
    <w:rsid w:val="35C6441D"/>
    <w:rsid w:val="35C90DA0"/>
    <w:rsid w:val="35C97A69"/>
    <w:rsid w:val="35CA2FE3"/>
    <w:rsid w:val="35CC324F"/>
    <w:rsid w:val="35CD2429"/>
    <w:rsid w:val="35D1498A"/>
    <w:rsid w:val="35D24B6F"/>
    <w:rsid w:val="35D34AE7"/>
    <w:rsid w:val="35D62C79"/>
    <w:rsid w:val="35D74690"/>
    <w:rsid w:val="35DA54E6"/>
    <w:rsid w:val="35DC59EE"/>
    <w:rsid w:val="35E054DE"/>
    <w:rsid w:val="35E07858"/>
    <w:rsid w:val="35E2109F"/>
    <w:rsid w:val="35E825E5"/>
    <w:rsid w:val="35EA1EB9"/>
    <w:rsid w:val="35EE2FB0"/>
    <w:rsid w:val="35F1149A"/>
    <w:rsid w:val="35F256BD"/>
    <w:rsid w:val="35F40F8A"/>
    <w:rsid w:val="35F44AE6"/>
    <w:rsid w:val="35F46518"/>
    <w:rsid w:val="35F65277"/>
    <w:rsid w:val="35FC08C5"/>
    <w:rsid w:val="35FC1151"/>
    <w:rsid w:val="35FE5964"/>
    <w:rsid w:val="35FF00CF"/>
    <w:rsid w:val="36010FB1"/>
    <w:rsid w:val="36021E86"/>
    <w:rsid w:val="360272FE"/>
    <w:rsid w:val="36032F7B"/>
    <w:rsid w:val="36073126"/>
    <w:rsid w:val="360A255B"/>
    <w:rsid w:val="360C4B6A"/>
    <w:rsid w:val="360E7C3F"/>
    <w:rsid w:val="360F62B5"/>
    <w:rsid w:val="36157046"/>
    <w:rsid w:val="36184C4B"/>
    <w:rsid w:val="3619343D"/>
    <w:rsid w:val="3619512E"/>
    <w:rsid w:val="361A67F4"/>
    <w:rsid w:val="361C5DEB"/>
    <w:rsid w:val="361E6007"/>
    <w:rsid w:val="361E6AB1"/>
    <w:rsid w:val="36200AE6"/>
    <w:rsid w:val="36235485"/>
    <w:rsid w:val="36253C2E"/>
    <w:rsid w:val="36272672"/>
    <w:rsid w:val="36277E9D"/>
    <w:rsid w:val="362A0508"/>
    <w:rsid w:val="362A32FC"/>
    <w:rsid w:val="362A49AB"/>
    <w:rsid w:val="362B4280"/>
    <w:rsid w:val="362C13B6"/>
    <w:rsid w:val="362E1FEF"/>
    <w:rsid w:val="362E7A13"/>
    <w:rsid w:val="362F5B1E"/>
    <w:rsid w:val="36364FDF"/>
    <w:rsid w:val="363914A2"/>
    <w:rsid w:val="36392E40"/>
    <w:rsid w:val="363B5D10"/>
    <w:rsid w:val="363E6BBB"/>
    <w:rsid w:val="363F0E3D"/>
    <w:rsid w:val="363F12F9"/>
    <w:rsid w:val="3641005C"/>
    <w:rsid w:val="3642157C"/>
    <w:rsid w:val="36471545"/>
    <w:rsid w:val="3647730B"/>
    <w:rsid w:val="36492540"/>
    <w:rsid w:val="364A5C0A"/>
    <w:rsid w:val="364A6DFC"/>
    <w:rsid w:val="364C66D0"/>
    <w:rsid w:val="364D41F6"/>
    <w:rsid w:val="364E6B82"/>
    <w:rsid w:val="364F15D1"/>
    <w:rsid w:val="36502DAD"/>
    <w:rsid w:val="365363AD"/>
    <w:rsid w:val="36597923"/>
    <w:rsid w:val="365B4010"/>
    <w:rsid w:val="365B407F"/>
    <w:rsid w:val="365D2E38"/>
    <w:rsid w:val="365D3F21"/>
    <w:rsid w:val="36611385"/>
    <w:rsid w:val="36617CA1"/>
    <w:rsid w:val="36631C6B"/>
    <w:rsid w:val="36632192"/>
    <w:rsid w:val="366616CA"/>
    <w:rsid w:val="36666714"/>
    <w:rsid w:val="3667028F"/>
    <w:rsid w:val="36673317"/>
    <w:rsid w:val="3667350A"/>
    <w:rsid w:val="36683C05"/>
    <w:rsid w:val="366B0ACC"/>
    <w:rsid w:val="366C4167"/>
    <w:rsid w:val="366F0610"/>
    <w:rsid w:val="36701FEB"/>
    <w:rsid w:val="36751CCA"/>
    <w:rsid w:val="36753AD1"/>
    <w:rsid w:val="36766998"/>
    <w:rsid w:val="36775F58"/>
    <w:rsid w:val="3679323D"/>
    <w:rsid w:val="36794E0B"/>
    <w:rsid w:val="367A24FE"/>
    <w:rsid w:val="367E470D"/>
    <w:rsid w:val="367E5003"/>
    <w:rsid w:val="367F3028"/>
    <w:rsid w:val="36804685"/>
    <w:rsid w:val="36820165"/>
    <w:rsid w:val="36841D4C"/>
    <w:rsid w:val="36865542"/>
    <w:rsid w:val="368713FE"/>
    <w:rsid w:val="36874DFF"/>
    <w:rsid w:val="36875B44"/>
    <w:rsid w:val="368A71F8"/>
    <w:rsid w:val="368D673C"/>
    <w:rsid w:val="36932551"/>
    <w:rsid w:val="369342FF"/>
    <w:rsid w:val="36944F42"/>
    <w:rsid w:val="3697549D"/>
    <w:rsid w:val="369879AE"/>
    <w:rsid w:val="369A3C7D"/>
    <w:rsid w:val="369E0BFD"/>
    <w:rsid w:val="369F2018"/>
    <w:rsid w:val="36A07657"/>
    <w:rsid w:val="36A42673"/>
    <w:rsid w:val="36A55DE0"/>
    <w:rsid w:val="36A56505"/>
    <w:rsid w:val="36A75037"/>
    <w:rsid w:val="36A90577"/>
    <w:rsid w:val="36AC5CC3"/>
    <w:rsid w:val="36AF0BB8"/>
    <w:rsid w:val="36B05048"/>
    <w:rsid w:val="36B17EDD"/>
    <w:rsid w:val="36B31A04"/>
    <w:rsid w:val="36B45BEF"/>
    <w:rsid w:val="36B81FB7"/>
    <w:rsid w:val="36B97296"/>
    <w:rsid w:val="36BA76ED"/>
    <w:rsid w:val="36BA7B9E"/>
    <w:rsid w:val="36BB5604"/>
    <w:rsid w:val="36BD4D28"/>
    <w:rsid w:val="36BE1F72"/>
    <w:rsid w:val="36BE50F4"/>
    <w:rsid w:val="36BE5F97"/>
    <w:rsid w:val="36C07C5B"/>
    <w:rsid w:val="36C22E36"/>
    <w:rsid w:val="36C25C79"/>
    <w:rsid w:val="36C4095C"/>
    <w:rsid w:val="36C721FA"/>
    <w:rsid w:val="36C824A0"/>
    <w:rsid w:val="36CB4323"/>
    <w:rsid w:val="36CE3589"/>
    <w:rsid w:val="36CF63C3"/>
    <w:rsid w:val="36D1718D"/>
    <w:rsid w:val="36D30B9F"/>
    <w:rsid w:val="36D348F5"/>
    <w:rsid w:val="36D369BC"/>
    <w:rsid w:val="36D607C3"/>
    <w:rsid w:val="36D64CAB"/>
    <w:rsid w:val="36D87F64"/>
    <w:rsid w:val="36D9006E"/>
    <w:rsid w:val="36D92094"/>
    <w:rsid w:val="36D93CDC"/>
    <w:rsid w:val="36DA6AA3"/>
    <w:rsid w:val="36DB0F0F"/>
    <w:rsid w:val="36E06F5E"/>
    <w:rsid w:val="36E24DAC"/>
    <w:rsid w:val="36E45A8A"/>
    <w:rsid w:val="36E56443"/>
    <w:rsid w:val="36E61B18"/>
    <w:rsid w:val="36E8442D"/>
    <w:rsid w:val="36EB4FA2"/>
    <w:rsid w:val="36ED144F"/>
    <w:rsid w:val="36EE0043"/>
    <w:rsid w:val="36F32FEF"/>
    <w:rsid w:val="36F56D67"/>
    <w:rsid w:val="36F57346"/>
    <w:rsid w:val="36F61D3F"/>
    <w:rsid w:val="36F61FA4"/>
    <w:rsid w:val="36F6619E"/>
    <w:rsid w:val="36F66807"/>
    <w:rsid w:val="36F82831"/>
    <w:rsid w:val="36F940DC"/>
    <w:rsid w:val="36FA1021"/>
    <w:rsid w:val="36FB4ACB"/>
    <w:rsid w:val="3700570C"/>
    <w:rsid w:val="37023232"/>
    <w:rsid w:val="37052D23"/>
    <w:rsid w:val="370A20E7"/>
    <w:rsid w:val="370E607B"/>
    <w:rsid w:val="370E7F35"/>
    <w:rsid w:val="37113404"/>
    <w:rsid w:val="37147DA6"/>
    <w:rsid w:val="371511B8"/>
    <w:rsid w:val="37152D00"/>
    <w:rsid w:val="37192287"/>
    <w:rsid w:val="371A1742"/>
    <w:rsid w:val="371A5564"/>
    <w:rsid w:val="371B3CC7"/>
    <w:rsid w:val="371E31ED"/>
    <w:rsid w:val="371E4990"/>
    <w:rsid w:val="371F2036"/>
    <w:rsid w:val="371F3DE4"/>
    <w:rsid w:val="372151CA"/>
    <w:rsid w:val="3721531B"/>
    <w:rsid w:val="37215DAE"/>
    <w:rsid w:val="37237555"/>
    <w:rsid w:val="37296A11"/>
    <w:rsid w:val="37296D30"/>
    <w:rsid w:val="372E04CB"/>
    <w:rsid w:val="372F5DD9"/>
    <w:rsid w:val="37317A9B"/>
    <w:rsid w:val="37345A39"/>
    <w:rsid w:val="37357164"/>
    <w:rsid w:val="37367638"/>
    <w:rsid w:val="373A5C22"/>
    <w:rsid w:val="373A6E70"/>
    <w:rsid w:val="373A7EE8"/>
    <w:rsid w:val="373C11F1"/>
    <w:rsid w:val="373C431A"/>
    <w:rsid w:val="373D24BC"/>
    <w:rsid w:val="37405B09"/>
    <w:rsid w:val="37415715"/>
    <w:rsid w:val="37427AD3"/>
    <w:rsid w:val="37433287"/>
    <w:rsid w:val="374342B4"/>
    <w:rsid w:val="374455F9"/>
    <w:rsid w:val="374534D2"/>
    <w:rsid w:val="3747333B"/>
    <w:rsid w:val="374743A8"/>
    <w:rsid w:val="37477A8B"/>
    <w:rsid w:val="374828D4"/>
    <w:rsid w:val="3748414B"/>
    <w:rsid w:val="37491E9C"/>
    <w:rsid w:val="374A3D10"/>
    <w:rsid w:val="374C0952"/>
    <w:rsid w:val="375008B2"/>
    <w:rsid w:val="37517A09"/>
    <w:rsid w:val="37533A8E"/>
    <w:rsid w:val="37537F32"/>
    <w:rsid w:val="3756118E"/>
    <w:rsid w:val="375804E6"/>
    <w:rsid w:val="375C1CE0"/>
    <w:rsid w:val="375E5CAC"/>
    <w:rsid w:val="376143FD"/>
    <w:rsid w:val="37630FE7"/>
    <w:rsid w:val="3763389D"/>
    <w:rsid w:val="37647A49"/>
    <w:rsid w:val="3767129F"/>
    <w:rsid w:val="376932B2"/>
    <w:rsid w:val="376B6F4E"/>
    <w:rsid w:val="376C68FE"/>
    <w:rsid w:val="376E5BA5"/>
    <w:rsid w:val="377258F0"/>
    <w:rsid w:val="37734060"/>
    <w:rsid w:val="37734130"/>
    <w:rsid w:val="37742229"/>
    <w:rsid w:val="37763D09"/>
    <w:rsid w:val="377744A8"/>
    <w:rsid w:val="377A6E5D"/>
    <w:rsid w:val="377D0B0B"/>
    <w:rsid w:val="377E1E3B"/>
    <w:rsid w:val="378105FB"/>
    <w:rsid w:val="378177C9"/>
    <w:rsid w:val="378325C5"/>
    <w:rsid w:val="378400EB"/>
    <w:rsid w:val="378535E8"/>
    <w:rsid w:val="378D51F2"/>
    <w:rsid w:val="378E55B4"/>
    <w:rsid w:val="378F1991"/>
    <w:rsid w:val="378F6A89"/>
    <w:rsid w:val="37927FDF"/>
    <w:rsid w:val="37945201"/>
    <w:rsid w:val="37985945"/>
    <w:rsid w:val="379C71E3"/>
    <w:rsid w:val="379D6A4B"/>
    <w:rsid w:val="379E6D05"/>
    <w:rsid w:val="379F366F"/>
    <w:rsid w:val="379F7755"/>
    <w:rsid w:val="37A10C9D"/>
    <w:rsid w:val="37A34A15"/>
    <w:rsid w:val="37A7012D"/>
    <w:rsid w:val="37A8451F"/>
    <w:rsid w:val="37A95F39"/>
    <w:rsid w:val="37AA4774"/>
    <w:rsid w:val="37AE6F16"/>
    <w:rsid w:val="37B212AB"/>
    <w:rsid w:val="37B3277F"/>
    <w:rsid w:val="37B41CB5"/>
    <w:rsid w:val="37B502A5"/>
    <w:rsid w:val="37B671A6"/>
    <w:rsid w:val="37B918FC"/>
    <w:rsid w:val="37BB02FF"/>
    <w:rsid w:val="37BD1DA7"/>
    <w:rsid w:val="37BD6E81"/>
    <w:rsid w:val="37BE55FA"/>
    <w:rsid w:val="37C027D7"/>
    <w:rsid w:val="37C55B6D"/>
    <w:rsid w:val="37C60704"/>
    <w:rsid w:val="37C8005C"/>
    <w:rsid w:val="37C8447C"/>
    <w:rsid w:val="37C92351"/>
    <w:rsid w:val="37CB1054"/>
    <w:rsid w:val="37CB4FB3"/>
    <w:rsid w:val="37CC0B95"/>
    <w:rsid w:val="37CC41B2"/>
    <w:rsid w:val="37CD1A92"/>
    <w:rsid w:val="37CD3AE7"/>
    <w:rsid w:val="37D118E7"/>
    <w:rsid w:val="37D16D98"/>
    <w:rsid w:val="37D33786"/>
    <w:rsid w:val="37D45CEA"/>
    <w:rsid w:val="37D46077"/>
    <w:rsid w:val="37D47BF4"/>
    <w:rsid w:val="37D50FEE"/>
    <w:rsid w:val="37DB6F22"/>
    <w:rsid w:val="37DC0A65"/>
    <w:rsid w:val="37DC109F"/>
    <w:rsid w:val="37DE3C9F"/>
    <w:rsid w:val="37E172EC"/>
    <w:rsid w:val="37E275AF"/>
    <w:rsid w:val="37E4601A"/>
    <w:rsid w:val="37E54B33"/>
    <w:rsid w:val="37E620A2"/>
    <w:rsid w:val="37E85139"/>
    <w:rsid w:val="37ED5138"/>
    <w:rsid w:val="37F1460F"/>
    <w:rsid w:val="37F7266B"/>
    <w:rsid w:val="37F937BB"/>
    <w:rsid w:val="37F97871"/>
    <w:rsid w:val="37FC2378"/>
    <w:rsid w:val="37FF14F7"/>
    <w:rsid w:val="38026D75"/>
    <w:rsid w:val="380354B4"/>
    <w:rsid w:val="3807691E"/>
    <w:rsid w:val="38090DB7"/>
    <w:rsid w:val="380A2A7F"/>
    <w:rsid w:val="381059C0"/>
    <w:rsid w:val="3814146F"/>
    <w:rsid w:val="38156F95"/>
    <w:rsid w:val="3816475C"/>
    <w:rsid w:val="38167F46"/>
    <w:rsid w:val="381A06B4"/>
    <w:rsid w:val="381A4D34"/>
    <w:rsid w:val="381B45C3"/>
    <w:rsid w:val="381C4374"/>
    <w:rsid w:val="381E5E4A"/>
    <w:rsid w:val="382001F7"/>
    <w:rsid w:val="38206066"/>
    <w:rsid w:val="38211DDE"/>
    <w:rsid w:val="3827593C"/>
    <w:rsid w:val="38276897"/>
    <w:rsid w:val="38276E1B"/>
    <w:rsid w:val="38284A65"/>
    <w:rsid w:val="38293E3C"/>
    <w:rsid w:val="382A0DC8"/>
    <w:rsid w:val="382D42DF"/>
    <w:rsid w:val="382F62A9"/>
    <w:rsid w:val="383438BF"/>
    <w:rsid w:val="38355BA5"/>
    <w:rsid w:val="38360D60"/>
    <w:rsid w:val="3836588A"/>
    <w:rsid w:val="383815DF"/>
    <w:rsid w:val="38390ED6"/>
    <w:rsid w:val="383C7F75"/>
    <w:rsid w:val="383D3538"/>
    <w:rsid w:val="38400CED"/>
    <w:rsid w:val="384026BC"/>
    <w:rsid w:val="384077F3"/>
    <w:rsid w:val="38417D8A"/>
    <w:rsid w:val="3844156F"/>
    <w:rsid w:val="38494CA3"/>
    <w:rsid w:val="384D0444"/>
    <w:rsid w:val="38511CCE"/>
    <w:rsid w:val="38513ED8"/>
    <w:rsid w:val="385775AE"/>
    <w:rsid w:val="38581994"/>
    <w:rsid w:val="38593897"/>
    <w:rsid w:val="385B709E"/>
    <w:rsid w:val="385C7F9A"/>
    <w:rsid w:val="385D6109"/>
    <w:rsid w:val="385E1861"/>
    <w:rsid w:val="386135F8"/>
    <w:rsid w:val="38632DD9"/>
    <w:rsid w:val="38642FCE"/>
    <w:rsid w:val="38644B76"/>
    <w:rsid w:val="38655670"/>
    <w:rsid w:val="38673C95"/>
    <w:rsid w:val="386A7299"/>
    <w:rsid w:val="386C12AB"/>
    <w:rsid w:val="386D5023"/>
    <w:rsid w:val="386D560E"/>
    <w:rsid w:val="386E5F37"/>
    <w:rsid w:val="386F20A0"/>
    <w:rsid w:val="387271A6"/>
    <w:rsid w:val="38746B20"/>
    <w:rsid w:val="38752E7D"/>
    <w:rsid w:val="38753442"/>
    <w:rsid w:val="38765C56"/>
    <w:rsid w:val="3877144D"/>
    <w:rsid w:val="38790125"/>
    <w:rsid w:val="38793EDB"/>
    <w:rsid w:val="387B14EE"/>
    <w:rsid w:val="387B504A"/>
    <w:rsid w:val="387F33D9"/>
    <w:rsid w:val="38804D57"/>
    <w:rsid w:val="38820BE6"/>
    <w:rsid w:val="38821270"/>
    <w:rsid w:val="38832151"/>
    <w:rsid w:val="38861214"/>
    <w:rsid w:val="3889775F"/>
    <w:rsid w:val="388E27F0"/>
    <w:rsid w:val="38901EB5"/>
    <w:rsid w:val="38902581"/>
    <w:rsid w:val="3894435E"/>
    <w:rsid w:val="38951D3F"/>
    <w:rsid w:val="389538CD"/>
    <w:rsid w:val="389557E5"/>
    <w:rsid w:val="389600D6"/>
    <w:rsid w:val="38960E58"/>
    <w:rsid w:val="38990A96"/>
    <w:rsid w:val="38A071E1"/>
    <w:rsid w:val="38A10829"/>
    <w:rsid w:val="38A2575A"/>
    <w:rsid w:val="38A26DC7"/>
    <w:rsid w:val="38A327F3"/>
    <w:rsid w:val="38A574B8"/>
    <w:rsid w:val="38A86421"/>
    <w:rsid w:val="38A909E2"/>
    <w:rsid w:val="38AA33C5"/>
    <w:rsid w:val="38AA3B82"/>
    <w:rsid w:val="38AB4138"/>
    <w:rsid w:val="38AF562E"/>
    <w:rsid w:val="38B2760C"/>
    <w:rsid w:val="38B30C88"/>
    <w:rsid w:val="38B31BB4"/>
    <w:rsid w:val="38B34524"/>
    <w:rsid w:val="38B44A00"/>
    <w:rsid w:val="38B4694E"/>
    <w:rsid w:val="38B55CF5"/>
    <w:rsid w:val="38B6039A"/>
    <w:rsid w:val="38B62526"/>
    <w:rsid w:val="38B94421"/>
    <w:rsid w:val="38BD0D34"/>
    <w:rsid w:val="38BD38B5"/>
    <w:rsid w:val="38BF2E9F"/>
    <w:rsid w:val="38BF50C7"/>
    <w:rsid w:val="38C21505"/>
    <w:rsid w:val="38C40957"/>
    <w:rsid w:val="38C42C6E"/>
    <w:rsid w:val="38C55774"/>
    <w:rsid w:val="38C70290"/>
    <w:rsid w:val="38C8225A"/>
    <w:rsid w:val="38C933AF"/>
    <w:rsid w:val="38C95DFB"/>
    <w:rsid w:val="38CA7D80"/>
    <w:rsid w:val="38CB4FC6"/>
    <w:rsid w:val="38CB5299"/>
    <w:rsid w:val="38CD4CAC"/>
    <w:rsid w:val="38D144C9"/>
    <w:rsid w:val="38D155B2"/>
    <w:rsid w:val="38D23D3A"/>
    <w:rsid w:val="38D33C1D"/>
    <w:rsid w:val="38D41EC4"/>
    <w:rsid w:val="38D429AD"/>
    <w:rsid w:val="38D5539E"/>
    <w:rsid w:val="38D56464"/>
    <w:rsid w:val="38D62BC9"/>
    <w:rsid w:val="38D64977"/>
    <w:rsid w:val="38DB01DF"/>
    <w:rsid w:val="38E2156D"/>
    <w:rsid w:val="38E5040E"/>
    <w:rsid w:val="38E53505"/>
    <w:rsid w:val="38E671BE"/>
    <w:rsid w:val="38E76414"/>
    <w:rsid w:val="38E91B3F"/>
    <w:rsid w:val="38E93DCC"/>
    <w:rsid w:val="38EB7FB8"/>
    <w:rsid w:val="38EC44D2"/>
    <w:rsid w:val="38F01E7C"/>
    <w:rsid w:val="38F27909"/>
    <w:rsid w:val="38F52B04"/>
    <w:rsid w:val="38F80D91"/>
    <w:rsid w:val="38F85BFF"/>
    <w:rsid w:val="38F8669B"/>
    <w:rsid w:val="38F86CBD"/>
    <w:rsid w:val="38FB012F"/>
    <w:rsid w:val="38FD6CDC"/>
    <w:rsid w:val="390019F4"/>
    <w:rsid w:val="390037A2"/>
    <w:rsid w:val="390239BE"/>
    <w:rsid w:val="39056565"/>
    <w:rsid w:val="39077C38"/>
    <w:rsid w:val="39092558"/>
    <w:rsid w:val="390A2872"/>
    <w:rsid w:val="390C2146"/>
    <w:rsid w:val="390D1200"/>
    <w:rsid w:val="390F45CB"/>
    <w:rsid w:val="390F751E"/>
    <w:rsid w:val="391049E2"/>
    <w:rsid w:val="391060DB"/>
    <w:rsid w:val="3910785A"/>
    <w:rsid w:val="39140FDA"/>
    <w:rsid w:val="391536F1"/>
    <w:rsid w:val="391542F2"/>
    <w:rsid w:val="39167603"/>
    <w:rsid w:val="39174448"/>
    <w:rsid w:val="39183C4A"/>
    <w:rsid w:val="39192E2A"/>
    <w:rsid w:val="39194863"/>
    <w:rsid w:val="391A6BCE"/>
    <w:rsid w:val="391C7AA7"/>
    <w:rsid w:val="391D07F7"/>
    <w:rsid w:val="391D5E29"/>
    <w:rsid w:val="391E4C3B"/>
    <w:rsid w:val="392130EC"/>
    <w:rsid w:val="39216B39"/>
    <w:rsid w:val="39240688"/>
    <w:rsid w:val="39251756"/>
    <w:rsid w:val="39253208"/>
    <w:rsid w:val="39256365"/>
    <w:rsid w:val="392C0A3B"/>
    <w:rsid w:val="392D4398"/>
    <w:rsid w:val="392D5268"/>
    <w:rsid w:val="39304E28"/>
    <w:rsid w:val="39313C3A"/>
    <w:rsid w:val="39316051"/>
    <w:rsid w:val="39340620"/>
    <w:rsid w:val="3934169D"/>
    <w:rsid w:val="39361575"/>
    <w:rsid w:val="39380943"/>
    <w:rsid w:val="393A4F06"/>
    <w:rsid w:val="393D0D51"/>
    <w:rsid w:val="39407AA0"/>
    <w:rsid w:val="394136E3"/>
    <w:rsid w:val="39422366"/>
    <w:rsid w:val="39481B98"/>
    <w:rsid w:val="394B0965"/>
    <w:rsid w:val="394B27E7"/>
    <w:rsid w:val="394B7113"/>
    <w:rsid w:val="394C2E8B"/>
    <w:rsid w:val="394E09B1"/>
    <w:rsid w:val="3951224F"/>
    <w:rsid w:val="39533ABD"/>
    <w:rsid w:val="3954783F"/>
    <w:rsid w:val="39547857"/>
    <w:rsid w:val="39553AED"/>
    <w:rsid w:val="39565C38"/>
    <w:rsid w:val="39576736"/>
    <w:rsid w:val="39582D80"/>
    <w:rsid w:val="3958592E"/>
    <w:rsid w:val="395A2E98"/>
    <w:rsid w:val="395A5561"/>
    <w:rsid w:val="395C1320"/>
    <w:rsid w:val="395F496C"/>
    <w:rsid w:val="395F71FE"/>
    <w:rsid w:val="396106E4"/>
    <w:rsid w:val="39611C41"/>
    <w:rsid w:val="396316B2"/>
    <w:rsid w:val="39657AA9"/>
    <w:rsid w:val="39693679"/>
    <w:rsid w:val="396B0045"/>
    <w:rsid w:val="396C1C28"/>
    <w:rsid w:val="396C2B78"/>
    <w:rsid w:val="396E1053"/>
    <w:rsid w:val="396F3BD4"/>
    <w:rsid w:val="39704F49"/>
    <w:rsid w:val="39706B79"/>
    <w:rsid w:val="397B72CC"/>
    <w:rsid w:val="397D3710"/>
    <w:rsid w:val="397E1ADB"/>
    <w:rsid w:val="397F77EA"/>
    <w:rsid w:val="39817692"/>
    <w:rsid w:val="39824AB4"/>
    <w:rsid w:val="39830B6E"/>
    <w:rsid w:val="39841027"/>
    <w:rsid w:val="39846181"/>
    <w:rsid w:val="3986639D"/>
    <w:rsid w:val="39866CC1"/>
    <w:rsid w:val="398734EC"/>
    <w:rsid w:val="39874BF4"/>
    <w:rsid w:val="39875C71"/>
    <w:rsid w:val="39877E8B"/>
    <w:rsid w:val="39882115"/>
    <w:rsid w:val="39893797"/>
    <w:rsid w:val="398F1E93"/>
    <w:rsid w:val="3991089E"/>
    <w:rsid w:val="39927CE9"/>
    <w:rsid w:val="399348D8"/>
    <w:rsid w:val="39970111"/>
    <w:rsid w:val="39972358"/>
    <w:rsid w:val="3998792C"/>
    <w:rsid w:val="399C70CE"/>
    <w:rsid w:val="399D05FF"/>
    <w:rsid w:val="399D7242"/>
    <w:rsid w:val="39A27F0D"/>
    <w:rsid w:val="39A41A86"/>
    <w:rsid w:val="39A6259B"/>
    <w:rsid w:val="39A700C1"/>
    <w:rsid w:val="39A85936"/>
    <w:rsid w:val="39A86DA9"/>
    <w:rsid w:val="39A95BE7"/>
    <w:rsid w:val="39AB195F"/>
    <w:rsid w:val="39AB7BB1"/>
    <w:rsid w:val="39AE1450"/>
    <w:rsid w:val="39B21AF3"/>
    <w:rsid w:val="39B37119"/>
    <w:rsid w:val="39B5458C"/>
    <w:rsid w:val="39B63922"/>
    <w:rsid w:val="39B66F57"/>
    <w:rsid w:val="39B8407C"/>
    <w:rsid w:val="39B966FD"/>
    <w:rsid w:val="39BA3A42"/>
    <w:rsid w:val="39BB5699"/>
    <w:rsid w:val="39BD1395"/>
    <w:rsid w:val="39BF365D"/>
    <w:rsid w:val="39C1270B"/>
    <w:rsid w:val="39C26093"/>
    <w:rsid w:val="39C50DBF"/>
    <w:rsid w:val="39C8711A"/>
    <w:rsid w:val="39C94EA0"/>
    <w:rsid w:val="39C96289"/>
    <w:rsid w:val="39CA5EDD"/>
    <w:rsid w:val="39CB3DB0"/>
    <w:rsid w:val="39CD5384"/>
    <w:rsid w:val="39D8471E"/>
    <w:rsid w:val="39DB2E19"/>
    <w:rsid w:val="39DC420F"/>
    <w:rsid w:val="39DE5C81"/>
    <w:rsid w:val="39DE723D"/>
    <w:rsid w:val="39E07CEE"/>
    <w:rsid w:val="39E3559D"/>
    <w:rsid w:val="39E515FF"/>
    <w:rsid w:val="39E60BE9"/>
    <w:rsid w:val="39E82BB3"/>
    <w:rsid w:val="39E9473D"/>
    <w:rsid w:val="39EA08A8"/>
    <w:rsid w:val="39EC181D"/>
    <w:rsid w:val="39ED01CA"/>
    <w:rsid w:val="39EF52A2"/>
    <w:rsid w:val="39F06BFD"/>
    <w:rsid w:val="39F0774D"/>
    <w:rsid w:val="39F72C5B"/>
    <w:rsid w:val="39F855B4"/>
    <w:rsid w:val="39FB25CF"/>
    <w:rsid w:val="39FB4F63"/>
    <w:rsid w:val="39FC040D"/>
    <w:rsid w:val="39FC7BE4"/>
    <w:rsid w:val="39FD0E06"/>
    <w:rsid w:val="39FE23D7"/>
    <w:rsid w:val="39FE3DB7"/>
    <w:rsid w:val="39FE7F6C"/>
    <w:rsid w:val="3A015DE3"/>
    <w:rsid w:val="3A041D40"/>
    <w:rsid w:val="3A044349"/>
    <w:rsid w:val="3A047CF4"/>
    <w:rsid w:val="3A06128C"/>
    <w:rsid w:val="3A06276C"/>
    <w:rsid w:val="3A065319"/>
    <w:rsid w:val="3A076742"/>
    <w:rsid w:val="3A086DB2"/>
    <w:rsid w:val="3A09167A"/>
    <w:rsid w:val="3A0942AD"/>
    <w:rsid w:val="3A0A0611"/>
    <w:rsid w:val="3A0A0D7C"/>
    <w:rsid w:val="3A0A1657"/>
    <w:rsid w:val="3A0B4402"/>
    <w:rsid w:val="3A0B64F3"/>
    <w:rsid w:val="3A0C42B0"/>
    <w:rsid w:val="3A0E1EEE"/>
    <w:rsid w:val="3A1101C8"/>
    <w:rsid w:val="3A141953"/>
    <w:rsid w:val="3A14753F"/>
    <w:rsid w:val="3A156427"/>
    <w:rsid w:val="3A16465C"/>
    <w:rsid w:val="3A167BF9"/>
    <w:rsid w:val="3A18307F"/>
    <w:rsid w:val="3A1C71C2"/>
    <w:rsid w:val="3A1E3CCC"/>
    <w:rsid w:val="3A1F00D2"/>
    <w:rsid w:val="3A1F5EA9"/>
    <w:rsid w:val="3A22314E"/>
    <w:rsid w:val="3A23021F"/>
    <w:rsid w:val="3A25359B"/>
    <w:rsid w:val="3A253FFE"/>
    <w:rsid w:val="3A257964"/>
    <w:rsid w:val="3A2656AC"/>
    <w:rsid w:val="3A291BB5"/>
    <w:rsid w:val="3A2B6F44"/>
    <w:rsid w:val="3A2C58F0"/>
    <w:rsid w:val="3A2D6C50"/>
    <w:rsid w:val="3A301313"/>
    <w:rsid w:val="3A30294F"/>
    <w:rsid w:val="3A303670"/>
    <w:rsid w:val="3A335962"/>
    <w:rsid w:val="3A351B1C"/>
    <w:rsid w:val="3A367732"/>
    <w:rsid w:val="3A375FAE"/>
    <w:rsid w:val="3A397127"/>
    <w:rsid w:val="3A3A4B15"/>
    <w:rsid w:val="3A3D12DE"/>
    <w:rsid w:val="3A3D2B11"/>
    <w:rsid w:val="3A4342E7"/>
    <w:rsid w:val="3A4623F7"/>
    <w:rsid w:val="3A480176"/>
    <w:rsid w:val="3A487694"/>
    <w:rsid w:val="3A4931D0"/>
    <w:rsid w:val="3A4D72AF"/>
    <w:rsid w:val="3A4F1468"/>
    <w:rsid w:val="3A4F4D7F"/>
    <w:rsid w:val="3A512365"/>
    <w:rsid w:val="3A52627F"/>
    <w:rsid w:val="3A557B1D"/>
    <w:rsid w:val="3A571973"/>
    <w:rsid w:val="3A583E3C"/>
    <w:rsid w:val="3A5918BD"/>
    <w:rsid w:val="3A591F05"/>
    <w:rsid w:val="3A59585F"/>
    <w:rsid w:val="3A5A1C12"/>
    <w:rsid w:val="3A6164C2"/>
    <w:rsid w:val="3A63048C"/>
    <w:rsid w:val="3A6A35C8"/>
    <w:rsid w:val="3A6D30B9"/>
    <w:rsid w:val="3A6E1C09"/>
    <w:rsid w:val="3A6E5053"/>
    <w:rsid w:val="3A6F5AC3"/>
    <w:rsid w:val="3A707107"/>
    <w:rsid w:val="3A730739"/>
    <w:rsid w:val="3A751F6D"/>
    <w:rsid w:val="3A7E0E22"/>
    <w:rsid w:val="3A7E52C6"/>
    <w:rsid w:val="3A7F4065"/>
    <w:rsid w:val="3A8145A8"/>
    <w:rsid w:val="3A8161B0"/>
    <w:rsid w:val="3A824DB6"/>
    <w:rsid w:val="3A850402"/>
    <w:rsid w:val="3A860C43"/>
    <w:rsid w:val="3A8754B2"/>
    <w:rsid w:val="3A890988"/>
    <w:rsid w:val="3A895B2F"/>
    <w:rsid w:val="3A896D9A"/>
    <w:rsid w:val="3A8A77C7"/>
    <w:rsid w:val="3A8B10E1"/>
    <w:rsid w:val="3A8C047A"/>
    <w:rsid w:val="3A8E0B3B"/>
    <w:rsid w:val="3A903DFB"/>
    <w:rsid w:val="3A922B1F"/>
    <w:rsid w:val="3A983DBB"/>
    <w:rsid w:val="3A992100"/>
    <w:rsid w:val="3A9B7C26"/>
    <w:rsid w:val="3A9E6670"/>
    <w:rsid w:val="3AA20EF1"/>
    <w:rsid w:val="3AA261FC"/>
    <w:rsid w:val="3AA27206"/>
    <w:rsid w:val="3AA54C74"/>
    <w:rsid w:val="3AA75652"/>
    <w:rsid w:val="3AA76B00"/>
    <w:rsid w:val="3AA97F72"/>
    <w:rsid w:val="3AAD7959"/>
    <w:rsid w:val="3AAF722D"/>
    <w:rsid w:val="3AB05FB0"/>
    <w:rsid w:val="3AB17449"/>
    <w:rsid w:val="3AB810A3"/>
    <w:rsid w:val="3ABC6DC3"/>
    <w:rsid w:val="3AC058DE"/>
    <w:rsid w:val="3AC151B3"/>
    <w:rsid w:val="3AC16F61"/>
    <w:rsid w:val="3AC2440D"/>
    <w:rsid w:val="3AC34C3D"/>
    <w:rsid w:val="3AC86541"/>
    <w:rsid w:val="3ACC3DC6"/>
    <w:rsid w:val="3ACD20AD"/>
    <w:rsid w:val="3ACE024F"/>
    <w:rsid w:val="3ACF101E"/>
    <w:rsid w:val="3ACF5B0F"/>
    <w:rsid w:val="3ACF72D3"/>
    <w:rsid w:val="3ADD023E"/>
    <w:rsid w:val="3ADD1C6B"/>
    <w:rsid w:val="3ADE5D64"/>
    <w:rsid w:val="3ADF65EB"/>
    <w:rsid w:val="3AE3337B"/>
    <w:rsid w:val="3AEC45EC"/>
    <w:rsid w:val="3AF21E72"/>
    <w:rsid w:val="3AF42953"/>
    <w:rsid w:val="3AF53ED1"/>
    <w:rsid w:val="3AF55428"/>
    <w:rsid w:val="3AF70BEE"/>
    <w:rsid w:val="3AFC09D7"/>
    <w:rsid w:val="3AFD223E"/>
    <w:rsid w:val="3AFD443D"/>
    <w:rsid w:val="3AFE2F68"/>
    <w:rsid w:val="3B00472C"/>
    <w:rsid w:val="3B00798A"/>
    <w:rsid w:val="3B06606E"/>
    <w:rsid w:val="3B08296F"/>
    <w:rsid w:val="3B084917"/>
    <w:rsid w:val="3B084B8F"/>
    <w:rsid w:val="3B0A4DAB"/>
    <w:rsid w:val="3B0B5B25"/>
    <w:rsid w:val="3B0D3878"/>
    <w:rsid w:val="3B101D84"/>
    <w:rsid w:val="3B111C96"/>
    <w:rsid w:val="3B126F98"/>
    <w:rsid w:val="3B135A0E"/>
    <w:rsid w:val="3B1479D8"/>
    <w:rsid w:val="3B19105E"/>
    <w:rsid w:val="3B20012B"/>
    <w:rsid w:val="3B2220F5"/>
    <w:rsid w:val="3B243B8B"/>
    <w:rsid w:val="3B295A75"/>
    <w:rsid w:val="3B2E1833"/>
    <w:rsid w:val="3B2F6145"/>
    <w:rsid w:val="3B2F65C0"/>
    <w:rsid w:val="3B304812"/>
    <w:rsid w:val="3B3435F2"/>
    <w:rsid w:val="3B347141"/>
    <w:rsid w:val="3B366B80"/>
    <w:rsid w:val="3B377D99"/>
    <w:rsid w:val="3B385475"/>
    <w:rsid w:val="3B3B361A"/>
    <w:rsid w:val="3B3B4F65"/>
    <w:rsid w:val="3B40134A"/>
    <w:rsid w:val="3B4073AC"/>
    <w:rsid w:val="3B4220E8"/>
    <w:rsid w:val="3B456FBD"/>
    <w:rsid w:val="3B47390A"/>
    <w:rsid w:val="3B494C13"/>
    <w:rsid w:val="3B4B1EBF"/>
    <w:rsid w:val="3B4C0F20"/>
    <w:rsid w:val="3B4E14F1"/>
    <w:rsid w:val="3B4E6A46"/>
    <w:rsid w:val="3B4F2C16"/>
    <w:rsid w:val="3B5365FC"/>
    <w:rsid w:val="3B554279"/>
    <w:rsid w:val="3B562D38"/>
    <w:rsid w:val="3B5907B0"/>
    <w:rsid w:val="3B5A188F"/>
    <w:rsid w:val="3B5A37C3"/>
    <w:rsid w:val="3B5F29F3"/>
    <w:rsid w:val="3B5F355F"/>
    <w:rsid w:val="3B5F50F7"/>
    <w:rsid w:val="3B605CFC"/>
    <w:rsid w:val="3B610025"/>
    <w:rsid w:val="3B626996"/>
    <w:rsid w:val="3B6637FF"/>
    <w:rsid w:val="3B675D5A"/>
    <w:rsid w:val="3B68689B"/>
    <w:rsid w:val="3B69599B"/>
    <w:rsid w:val="3B6A428B"/>
    <w:rsid w:val="3B6E23BE"/>
    <w:rsid w:val="3B712735"/>
    <w:rsid w:val="3B754E7B"/>
    <w:rsid w:val="3B7934F0"/>
    <w:rsid w:val="3B794DC8"/>
    <w:rsid w:val="3B795155"/>
    <w:rsid w:val="3B7A3FC4"/>
    <w:rsid w:val="3B7C29AF"/>
    <w:rsid w:val="3B7D4870"/>
    <w:rsid w:val="3B842468"/>
    <w:rsid w:val="3B8561E0"/>
    <w:rsid w:val="3B871562"/>
    <w:rsid w:val="3B872B11"/>
    <w:rsid w:val="3B8742C3"/>
    <w:rsid w:val="3B8763FC"/>
    <w:rsid w:val="3B893F22"/>
    <w:rsid w:val="3B8A1674"/>
    <w:rsid w:val="3B8B04F4"/>
    <w:rsid w:val="3B8C756F"/>
    <w:rsid w:val="3B8E32E7"/>
    <w:rsid w:val="3B90275B"/>
    <w:rsid w:val="3B920758"/>
    <w:rsid w:val="3B92408D"/>
    <w:rsid w:val="3B950415"/>
    <w:rsid w:val="3B970F63"/>
    <w:rsid w:val="3B98055E"/>
    <w:rsid w:val="3B9D2FEC"/>
    <w:rsid w:val="3B9D6BD2"/>
    <w:rsid w:val="3BA1126C"/>
    <w:rsid w:val="3BA25355"/>
    <w:rsid w:val="3BA85B22"/>
    <w:rsid w:val="3BAB2CC1"/>
    <w:rsid w:val="3BAB69FF"/>
    <w:rsid w:val="3BAD1C8A"/>
    <w:rsid w:val="3BAE3989"/>
    <w:rsid w:val="3BB13950"/>
    <w:rsid w:val="3BB70A8F"/>
    <w:rsid w:val="3BB713CE"/>
    <w:rsid w:val="3BB8604C"/>
    <w:rsid w:val="3BBA3572"/>
    <w:rsid w:val="3BBA78F3"/>
    <w:rsid w:val="3BBC0A63"/>
    <w:rsid w:val="3BBD394E"/>
    <w:rsid w:val="3BBF1BC8"/>
    <w:rsid w:val="3BBF537C"/>
    <w:rsid w:val="3BBF5C38"/>
    <w:rsid w:val="3BBF733B"/>
    <w:rsid w:val="3BC00AA4"/>
    <w:rsid w:val="3BC14BEA"/>
    <w:rsid w:val="3BC46D08"/>
    <w:rsid w:val="3BC82C9D"/>
    <w:rsid w:val="3BC86D6F"/>
    <w:rsid w:val="3BC929DD"/>
    <w:rsid w:val="3BC9502C"/>
    <w:rsid w:val="3BCA7132"/>
    <w:rsid w:val="3BD11425"/>
    <w:rsid w:val="3BD25904"/>
    <w:rsid w:val="3BD2783C"/>
    <w:rsid w:val="3BD57AD2"/>
    <w:rsid w:val="3BD66A3C"/>
    <w:rsid w:val="3BDD601C"/>
    <w:rsid w:val="3BDF71F6"/>
    <w:rsid w:val="3BE23C47"/>
    <w:rsid w:val="3BE3627E"/>
    <w:rsid w:val="3BE43DDE"/>
    <w:rsid w:val="3BE474B9"/>
    <w:rsid w:val="3BE545B8"/>
    <w:rsid w:val="3BE5643A"/>
    <w:rsid w:val="3BE56A31"/>
    <w:rsid w:val="3BE850ED"/>
    <w:rsid w:val="3BEB0739"/>
    <w:rsid w:val="3BEC625F"/>
    <w:rsid w:val="3BEF4AD6"/>
    <w:rsid w:val="3BF06D78"/>
    <w:rsid w:val="3BF27D19"/>
    <w:rsid w:val="3BF47C3C"/>
    <w:rsid w:val="3BF515B8"/>
    <w:rsid w:val="3BF770DE"/>
    <w:rsid w:val="3BF93853"/>
    <w:rsid w:val="3BFB0CD9"/>
    <w:rsid w:val="3BFF2436"/>
    <w:rsid w:val="3BFF41E4"/>
    <w:rsid w:val="3BFF5F92"/>
    <w:rsid w:val="3C025234"/>
    <w:rsid w:val="3C03292F"/>
    <w:rsid w:val="3C034DD1"/>
    <w:rsid w:val="3C036611"/>
    <w:rsid w:val="3C0435A9"/>
    <w:rsid w:val="3C08110D"/>
    <w:rsid w:val="3C0D06AF"/>
    <w:rsid w:val="3C0F3374"/>
    <w:rsid w:val="3C1002E8"/>
    <w:rsid w:val="3C11114C"/>
    <w:rsid w:val="3C14083F"/>
    <w:rsid w:val="3C142CE5"/>
    <w:rsid w:val="3C1557B6"/>
    <w:rsid w:val="3C177780"/>
    <w:rsid w:val="3C1842C0"/>
    <w:rsid w:val="3C1C4514"/>
    <w:rsid w:val="3C2111CE"/>
    <w:rsid w:val="3C2437FA"/>
    <w:rsid w:val="3C2459F9"/>
    <w:rsid w:val="3C275C95"/>
    <w:rsid w:val="3C27713A"/>
    <w:rsid w:val="3C2841A6"/>
    <w:rsid w:val="3C2854E9"/>
    <w:rsid w:val="3C286B8B"/>
    <w:rsid w:val="3C2C6EFE"/>
    <w:rsid w:val="3C2D2305"/>
    <w:rsid w:val="3C2E0626"/>
    <w:rsid w:val="3C310AE2"/>
    <w:rsid w:val="3C327781"/>
    <w:rsid w:val="3C332422"/>
    <w:rsid w:val="3C371BD0"/>
    <w:rsid w:val="3C3A346E"/>
    <w:rsid w:val="3C3A6FCB"/>
    <w:rsid w:val="3C3C2D43"/>
    <w:rsid w:val="3C3D5718"/>
    <w:rsid w:val="3C3E7624"/>
    <w:rsid w:val="3C4165AB"/>
    <w:rsid w:val="3C430BD7"/>
    <w:rsid w:val="3C433056"/>
    <w:rsid w:val="3C451BA2"/>
    <w:rsid w:val="3C460890"/>
    <w:rsid w:val="3C4A4D0E"/>
    <w:rsid w:val="3C506122"/>
    <w:rsid w:val="3C523866"/>
    <w:rsid w:val="3C547D85"/>
    <w:rsid w:val="3C552056"/>
    <w:rsid w:val="3C555136"/>
    <w:rsid w:val="3C562138"/>
    <w:rsid w:val="3C5652D4"/>
    <w:rsid w:val="3C5A58BF"/>
    <w:rsid w:val="3C5B39F9"/>
    <w:rsid w:val="3C5E53AF"/>
    <w:rsid w:val="3C601C11"/>
    <w:rsid w:val="3C6127A9"/>
    <w:rsid w:val="3C6336BC"/>
    <w:rsid w:val="3C6374F6"/>
    <w:rsid w:val="3C637AD3"/>
    <w:rsid w:val="3C646B46"/>
    <w:rsid w:val="3C655BD2"/>
    <w:rsid w:val="3C6632A3"/>
    <w:rsid w:val="3C674A01"/>
    <w:rsid w:val="3C67757D"/>
    <w:rsid w:val="3C6A736A"/>
    <w:rsid w:val="3C6E4EC6"/>
    <w:rsid w:val="3C730323"/>
    <w:rsid w:val="3C776471"/>
    <w:rsid w:val="3C7A36C0"/>
    <w:rsid w:val="3C7C3A0C"/>
    <w:rsid w:val="3C7C75E3"/>
    <w:rsid w:val="3C7E2A31"/>
    <w:rsid w:val="3C7E461E"/>
    <w:rsid w:val="3C801294"/>
    <w:rsid w:val="3C814BF9"/>
    <w:rsid w:val="3C8152FA"/>
    <w:rsid w:val="3C860462"/>
    <w:rsid w:val="3C89142A"/>
    <w:rsid w:val="3C8A67B7"/>
    <w:rsid w:val="3C8C7AFF"/>
    <w:rsid w:val="3C8D17A0"/>
    <w:rsid w:val="3C9166CE"/>
    <w:rsid w:val="3C920BB5"/>
    <w:rsid w:val="3C93513E"/>
    <w:rsid w:val="3C94542C"/>
    <w:rsid w:val="3C972D59"/>
    <w:rsid w:val="3C9A5184"/>
    <w:rsid w:val="3C9B40A8"/>
    <w:rsid w:val="3C9D5021"/>
    <w:rsid w:val="3C9E1C4F"/>
    <w:rsid w:val="3C9E5995"/>
    <w:rsid w:val="3C9F3376"/>
    <w:rsid w:val="3CA10368"/>
    <w:rsid w:val="3CA42E9C"/>
    <w:rsid w:val="3CA4693B"/>
    <w:rsid w:val="3CA60B04"/>
    <w:rsid w:val="3CA6142D"/>
    <w:rsid w:val="3CA74F4F"/>
    <w:rsid w:val="3CA97C3E"/>
    <w:rsid w:val="3CAC5F43"/>
    <w:rsid w:val="3CAD59EE"/>
    <w:rsid w:val="3CAF2EB0"/>
    <w:rsid w:val="3CAF55B9"/>
    <w:rsid w:val="3CB00891"/>
    <w:rsid w:val="3CB82D3D"/>
    <w:rsid w:val="3CB90837"/>
    <w:rsid w:val="3CBC677A"/>
    <w:rsid w:val="3CBD743F"/>
    <w:rsid w:val="3CBE4825"/>
    <w:rsid w:val="3CBE7081"/>
    <w:rsid w:val="3CC044ED"/>
    <w:rsid w:val="3CC1149A"/>
    <w:rsid w:val="3CC133D5"/>
    <w:rsid w:val="3CC47935"/>
    <w:rsid w:val="3CC64D02"/>
    <w:rsid w:val="3CC72DC1"/>
    <w:rsid w:val="3CC86CCC"/>
    <w:rsid w:val="3CCA47F2"/>
    <w:rsid w:val="3CCC6B2B"/>
    <w:rsid w:val="3CCD239C"/>
    <w:rsid w:val="3CD01A34"/>
    <w:rsid w:val="3CD221EF"/>
    <w:rsid w:val="3CD45A7E"/>
    <w:rsid w:val="3CD613E9"/>
    <w:rsid w:val="3CD72A6B"/>
    <w:rsid w:val="3CD73CCA"/>
    <w:rsid w:val="3CD8352B"/>
    <w:rsid w:val="3CDB255C"/>
    <w:rsid w:val="3CDE204C"/>
    <w:rsid w:val="3CDE3DFA"/>
    <w:rsid w:val="3CDE76CE"/>
    <w:rsid w:val="3CDF46E5"/>
    <w:rsid w:val="3CE05DC4"/>
    <w:rsid w:val="3CE3221B"/>
    <w:rsid w:val="3CE33B06"/>
    <w:rsid w:val="3CE36990"/>
    <w:rsid w:val="3CE37662"/>
    <w:rsid w:val="3CE60E43"/>
    <w:rsid w:val="3CE745E5"/>
    <w:rsid w:val="3CE746FB"/>
    <w:rsid w:val="3CE954AF"/>
    <w:rsid w:val="3CEB786D"/>
    <w:rsid w:val="3CED5DB8"/>
    <w:rsid w:val="3CED78F5"/>
    <w:rsid w:val="3CF029F2"/>
    <w:rsid w:val="3CF079DA"/>
    <w:rsid w:val="3CF40DBB"/>
    <w:rsid w:val="3CF52045"/>
    <w:rsid w:val="3CF67395"/>
    <w:rsid w:val="3CF679A3"/>
    <w:rsid w:val="3CFA7491"/>
    <w:rsid w:val="3CFB58EB"/>
    <w:rsid w:val="3CFD4BC8"/>
    <w:rsid w:val="3D001FC2"/>
    <w:rsid w:val="3D043CAD"/>
    <w:rsid w:val="3D0575D8"/>
    <w:rsid w:val="3D061B12"/>
    <w:rsid w:val="3D066527"/>
    <w:rsid w:val="3D0752FB"/>
    <w:rsid w:val="3D09782B"/>
    <w:rsid w:val="3D0F0CAC"/>
    <w:rsid w:val="3D0F69E6"/>
    <w:rsid w:val="3D112421"/>
    <w:rsid w:val="3D1409DD"/>
    <w:rsid w:val="3D1516AC"/>
    <w:rsid w:val="3D162CDF"/>
    <w:rsid w:val="3D1811D9"/>
    <w:rsid w:val="3D181C2D"/>
    <w:rsid w:val="3D1A71EF"/>
    <w:rsid w:val="3D1E0253"/>
    <w:rsid w:val="3D246B5E"/>
    <w:rsid w:val="3D251A29"/>
    <w:rsid w:val="3D255ECD"/>
    <w:rsid w:val="3D2673B2"/>
    <w:rsid w:val="3D2730B2"/>
    <w:rsid w:val="3D2743CE"/>
    <w:rsid w:val="3D2758F8"/>
    <w:rsid w:val="3D293AEB"/>
    <w:rsid w:val="3D2959BD"/>
    <w:rsid w:val="3D2C2DB7"/>
    <w:rsid w:val="3D2D1EE7"/>
    <w:rsid w:val="3D2D7315"/>
    <w:rsid w:val="3D2F3C5C"/>
    <w:rsid w:val="3D2F4FDD"/>
    <w:rsid w:val="3D3103CE"/>
    <w:rsid w:val="3D3157B2"/>
    <w:rsid w:val="3D324146"/>
    <w:rsid w:val="3D3512E4"/>
    <w:rsid w:val="3D390006"/>
    <w:rsid w:val="3D3B749E"/>
    <w:rsid w:val="3D3C464A"/>
    <w:rsid w:val="3D3D304E"/>
    <w:rsid w:val="3D3D4FD0"/>
    <w:rsid w:val="3D3E4784"/>
    <w:rsid w:val="3D3E6B38"/>
    <w:rsid w:val="3D402D06"/>
    <w:rsid w:val="3D410840"/>
    <w:rsid w:val="3D421A7D"/>
    <w:rsid w:val="3D451042"/>
    <w:rsid w:val="3D476424"/>
    <w:rsid w:val="3D4855F3"/>
    <w:rsid w:val="3D496840"/>
    <w:rsid w:val="3D4B74D0"/>
    <w:rsid w:val="3D4C3CD6"/>
    <w:rsid w:val="3D4D2D2E"/>
    <w:rsid w:val="3D4E6003"/>
    <w:rsid w:val="3D4F6AA6"/>
    <w:rsid w:val="3D51482A"/>
    <w:rsid w:val="3D535E9E"/>
    <w:rsid w:val="3D553F0D"/>
    <w:rsid w:val="3D557546"/>
    <w:rsid w:val="3D580050"/>
    <w:rsid w:val="3D5A70C4"/>
    <w:rsid w:val="3D5C342A"/>
    <w:rsid w:val="3D5D7AD4"/>
    <w:rsid w:val="3D5E514C"/>
    <w:rsid w:val="3D5E6FFE"/>
    <w:rsid w:val="3D61628D"/>
    <w:rsid w:val="3D632551"/>
    <w:rsid w:val="3D6469F5"/>
    <w:rsid w:val="3D65276D"/>
    <w:rsid w:val="3D663F8F"/>
    <w:rsid w:val="3D690E8A"/>
    <w:rsid w:val="3D6934B6"/>
    <w:rsid w:val="3D6A1B31"/>
    <w:rsid w:val="3D6C3AFB"/>
    <w:rsid w:val="3D6E7EA5"/>
    <w:rsid w:val="3D6F0EF6"/>
    <w:rsid w:val="3D6F76D8"/>
    <w:rsid w:val="3D707816"/>
    <w:rsid w:val="3D711112"/>
    <w:rsid w:val="3D74475E"/>
    <w:rsid w:val="3D74650C"/>
    <w:rsid w:val="3D7824A0"/>
    <w:rsid w:val="3D784A95"/>
    <w:rsid w:val="3D795FFC"/>
    <w:rsid w:val="3D7F1137"/>
    <w:rsid w:val="3D7F55DD"/>
    <w:rsid w:val="3D7F6D74"/>
    <w:rsid w:val="3D8017AD"/>
    <w:rsid w:val="3D811AD5"/>
    <w:rsid w:val="3D8175A7"/>
    <w:rsid w:val="3D836E6E"/>
    <w:rsid w:val="3D873628"/>
    <w:rsid w:val="3D89645B"/>
    <w:rsid w:val="3D8B6100"/>
    <w:rsid w:val="3D8E0E1C"/>
    <w:rsid w:val="3D904B4E"/>
    <w:rsid w:val="3D906586"/>
    <w:rsid w:val="3D924D56"/>
    <w:rsid w:val="3D944D0C"/>
    <w:rsid w:val="3D954E00"/>
    <w:rsid w:val="3D98669F"/>
    <w:rsid w:val="3D990D1B"/>
    <w:rsid w:val="3D995F73"/>
    <w:rsid w:val="3D9A6AAE"/>
    <w:rsid w:val="3D9E3BC7"/>
    <w:rsid w:val="3DA40F62"/>
    <w:rsid w:val="3DA74B34"/>
    <w:rsid w:val="3DA75C71"/>
    <w:rsid w:val="3DA75D91"/>
    <w:rsid w:val="3DAF51BC"/>
    <w:rsid w:val="3DB061A2"/>
    <w:rsid w:val="3DB122E7"/>
    <w:rsid w:val="3DB159B2"/>
    <w:rsid w:val="3DB203FA"/>
    <w:rsid w:val="3DB334D8"/>
    <w:rsid w:val="3DB37A16"/>
    <w:rsid w:val="3DB42DAD"/>
    <w:rsid w:val="3DB64D77"/>
    <w:rsid w:val="3DB93961"/>
    <w:rsid w:val="3DB97EE6"/>
    <w:rsid w:val="3DBD7EB3"/>
    <w:rsid w:val="3DBF59D9"/>
    <w:rsid w:val="3DC40C41"/>
    <w:rsid w:val="3DC47F4A"/>
    <w:rsid w:val="3DC72AE0"/>
    <w:rsid w:val="3DC93D93"/>
    <w:rsid w:val="3DCB464C"/>
    <w:rsid w:val="3DCB7ED7"/>
    <w:rsid w:val="3DCC6348"/>
    <w:rsid w:val="3DD11700"/>
    <w:rsid w:val="3DD15F36"/>
    <w:rsid w:val="3DDA0A65"/>
    <w:rsid w:val="3DDB4777"/>
    <w:rsid w:val="3DDC1999"/>
    <w:rsid w:val="3DDC1DD6"/>
    <w:rsid w:val="3DDC304B"/>
    <w:rsid w:val="3DDE269B"/>
    <w:rsid w:val="3DDE792A"/>
    <w:rsid w:val="3DE03BA2"/>
    <w:rsid w:val="3DE11DF4"/>
    <w:rsid w:val="3DE15271"/>
    <w:rsid w:val="3DE4563D"/>
    <w:rsid w:val="3DE53017"/>
    <w:rsid w:val="3DEA4334"/>
    <w:rsid w:val="3DEC0798"/>
    <w:rsid w:val="3DED0A98"/>
    <w:rsid w:val="3DEE144B"/>
    <w:rsid w:val="3DEF5813"/>
    <w:rsid w:val="3DF14F82"/>
    <w:rsid w:val="3DF37D79"/>
    <w:rsid w:val="3DF411F3"/>
    <w:rsid w:val="3DF439C9"/>
    <w:rsid w:val="3DF53AF1"/>
    <w:rsid w:val="3DF55BC7"/>
    <w:rsid w:val="3DF67904"/>
    <w:rsid w:val="3DF80281"/>
    <w:rsid w:val="3DFD547E"/>
    <w:rsid w:val="3DFE0E76"/>
    <w:rsid w:val="3DFF227A"/>
    <w:rsid w:val="3DFF671E"/>
    <w:rsid w:val="3E000FFB"/>
    <w:rsid w:val="3E0042A1"/>
    <w:rsid w:val="3E012496"/>
    <w:rsid w:val="3E027FBC"/>
    <w:rsid w:val="3E077380"/>
    <w:rsid w:val="3E0851FC"/>
    <w:rsid w:val="3E087F36"/>
    <w:rsid w:val="3E0A3EC6"/>
    <w:rsid w:val="3E0E69B8"/>
    <w:rsid w:val="3E116017"/>
    <w:rsid w:val="3E1201FF"/>
    <w:rsid w:val="3E171CB9"/>
    <w:rsid w:val="3E173A3F"/>
    <w:rsid w:val="3E1877DF"/>
    <w:rsid w:val="3E195577"/>
    <w:rsid w:val="3E1A4D32"/>
    <w:rsid w:val="3E1C72D0"/>
    <w:rsid w:val="3E1D6BA4"/>
    <w:rsid w:val="3E203975"/>
    <w:rsid w:val="3E204BB6"/>
    <w:rsid w:val="3E210442"/>
    <w:rsid w:val="3E223B42"/>
    <w:rsid w:val="3E22474B"/>
    <w:rsid w:val="3E243E15"/>
    <w:rsid w:val="3E2712B3"/>
    <w:rsid w:val="3E2717D1"/>
    <w:rsid w:val="3E283AB3"/>
    <w:rsid w:val="3E29147C"/>
    <w:rsid w:val="3E295549"/>
    <w:rsid w:val="3E2C12E8"/>
    <w:rsid w:val="3E2D45E9"/>
    <w:rsid w:val="3E2E2AFA"/>
    <w:rsid w:val="3E3068D7"/>
    <w:rsid w:val="3E357D66"/>
    <w:rsid w:val="3E377984"/>
    <w:rsid w:val="3E377C66"/>
    <w:rsid w:val="3E377CF5"/>
    <w:rsid w:val="3E3826A5"/>
    <w:rsid w:val="3E3839DE"/>
    <w:rsid w:val="3E3A1504"/>
    <w:rsid w:val="3E3B0C15"/>
    <w:rsid w:val="3E3B0DE6"/>
    <w:rsid w:val="3E3C34CE"/>
    <w:rsid w:val="3E3E6FB0"/>
    <w:rsid w:val="3E3F2FBE"/>
    <w:rsid w:val="3E3F6B1A"/>
    <w:rsid w:val="3E41259D"/>
    <w:rsid w:val="3E434F30"/>
    <w:rsid w:val="3E4351E6"/>
    <w:rsid w:val="3E45709B"/>
    <w:rsid w:val="3E461E46"/>
    <w:rsid w:val="3E477D61"/>
    <w:rsid w:val="3E4800C5"/>
    <w:rsid w:val="3E4857BF"/>
    <w:rsid w:val="3E4B3711"/>
    <w:rsid w:val="3E4D2A76"/>
    <w:rsid w:val="3E4E4C04"/>
    <w:rsid w:val="3E502AD5"/>
    <w:rsid w:val="3E503850"/>
    <w:rsid w:val="3E510E13"/>
    <w:rsid w:val="3E5224E5"/>
    <w:rsid w:val="3E52684D"/>
    <w:rsid w:val="3E530817"/>
    <w:rsid w:val="3E554788"/>
    <w:rsid w:val="3E570FD5"/>
    <w:rsid w:val="3E57744B"/>
    <w:rsid w:val="3E5822ED"/>
    <w:rsid w:val="3E5A1689"/>
    <w:rsid w:val="3E5A3954"/>
    <w:rsid w:val="3E5D51F2"/>
    <w:rsid w:val="3E5E1696"/>
    <w:rsid w:val="3E600908"/>
    <w:rsid w:val="3E611186"/>
    <w:rsid w:val="3E636CAD"/>
    <w:rsid w:val="3E6415CD"/>
    <w:rsid w:val="3E66054B"/>
    <w:rsid w:val="3E6A158B"/>
    <w:rsid w:val="3E6B790F"/>
    <w:rsid w:val="3E7013C9"/>
    <w:rsid w:val="3E703177"/>
    <w:rsid w:val="3E716001"/>
    <w:rsid w:val="3E726CBF"/>
    <w:rsid w:val="3E7358EE"/>
    <w:rsid w:val="3E742B38"/>
    <w:rsid w:val="3E75154C"/>
    <w:rsid w:val="3E75253C"/>
    <w:rsid w:val="3E784FAE"/>
    <w:rsid w:val="3E7A6E5F"/>
    <w:rsid w:val="3E7A71F8"/>
    <w:rsid w:val="3E7C38CA"/>
    <w:rsid w:val="3E7C5B43"/>
    <w:rsid w:val="3E7C7A35"/>
    <w:rsid w:val="3E7D063E"/>
    <w:rsid w:val="3E8233C6"/>
    <w:rsid w:val="3E846873"/>
    <w:rsid w:val="3E846C23"/>
    <w:rsid w:val="3E8619E8"/>
    <w:rsid w:val="3E86299B"/>
    <w:rsid w:val="3E87002C"/>
    <w:rsid w:val="3E8804C1"/>
    <w:rsid w:val="3E88123B"/>
    <w:rsid w:val="3E8B1CE5"/>
    <w:rsid w:val="3E8B1D5F"/>
    <w:rsid w:val="3E8B6203"/>
    <w:rsid w:val="3E8E24F6"/>
    <w:rsid w:val="3E907577"/>
    <w:rsid w:val="3E907F9B"/>
    <w:rsid w:val="3E911B48"/>
    <w:rsid w:val="3E927736"/>
    <w:rsid w:val="3E96786D"/>
    <w:rsid w:val="3E9A36DD"/>
    <w:rsid w:val="3E9C21BE"/>
    <w:rsid w:val="3E9E240D"/>
    <w:rsid w:val="3E9E594F"/>
    <w:rsid w:val="3E9F46A9"/>
    <w:rsid w:val="3EA006FD"/>
    <w:rsid w:val="3EA13782"/>
    <w:rsid w:val="3EA177D5"/>
    <w:rsid w:val="3EA43309"/>
    <w:rsid w:val="3EA572C5"/>
    <w:rsid w:val="3EA97469"/>
    <w:rsid w:val="3EAC237D"/>
    <w:rsid w:val="3EB14CFC"/>
    <w:rsid w:val="3EB2553E"/>
    <w:rsid w:val="3EB37CCD"/>
    <w:rsid w:val="3EB76FF8"/>
    <w:rsid w:val="3EB773F5"/>
    <w:rsid w:val="3EB855F1"/>
    <w:rsid w:val="3EBB346D"/>
    <w:rsid w:val="3EBF5433"/>
    <w:rsid w:val="3EC0210C"/>
    <w:rsid w:val="3EC04DE7"/>
    <w:rsid w:val="3EC3099B"/>
    <w:rsid w:val="3EC314F9"/>
    <w:rsid w:val="3EC43826"/>
    <w:rsid w:val="3ECA6F40"/>
    <w:rsid w:val="3ECB5ED8"/>
    <w:rsid w:val="3ECD4DB7"/>
    <w:rsid w:val="3ED037F2"/>
    <w:rsid w:val="3ED5122D"/>
    <w:rsid w:val="3ED8553D"/>
    <w:rsid w:val="3EDA0A4D"/>
    <w:rsid w:val="3EDA1C11"/>
    <w:rsid w:val="3EDC3852"/>
    <w:rsid w:val="3EDC59BC"/>
    <w:rsid w:val="3EDC6806"/>
    <w:rsid w:val="3EDD37D0"/>
    <w:rsid w:val="3EDF3E9A"/>
    <w:rsid w:val="3EE028DC"/>
    <w:rsid w:val="3EE1322D"/>
    <w:rsid w:val="3EE3071E"/>
    <w:rsid w:val="3EE35646"/>
    <w:rsid w:val="3EE57E9A"/>
    <w:rsid w:val="3EE871B2"/>
    <w:rsid w:val="3EEA117C"/>
    <w:rsid w:val="3EEB7EF6"/>
    <w:rsid w:val="3EED1208"/>
    <w:rsid w:val="3EED47C8"/>
    <w:rsid w:val="3EF42872"/>
    <w:rsid w:val="3EF436B9"/>
    <w:rsid w:val="3EF67B21"/>
    <w:rsid w:val="3EF73140"/>
    <w:rsid w:val="3EF91786"/>
    <w:rsid w:val="3EFC3411"/>
    <w:rsid w:val="3EFD0EAF"/>
    <w:rsid w:val="3EFE30C1"/>
    <w:rsid w:val="3EFF0F6C"/>
    <w:rsid w:val="3EFF2175"/>
    <w:rsid w:val="3F013857"/>
    <w:rsid w:val="3F024716"/>
    <w:rsid w:val="3F0264C5"/>
    <w:rsid w:val="3F0538C0"/>
    <w:rsid w:val="3F067638"/>
    <w:rsid w:val="3F0A0915"/>
    <w:rsid w:val="3F0A50D0"/>
    <w:rsid w:val="3F0F473E"/>
    <w:rsid w:val="3F125FDD"/>
    <w:rsid w:val="3F126B08"/>
    <w:rsid w:val="3F1307C3"/>
    <w:rsid w:val="3F141D55"/>
    <w:rsid w:val="3F1510EC"/>
    <w:rsid w:val="3F177A97"/>
    <w:rsid w:val="3F1B682E"/>
    <w:rsid w:val="3F226145"/>
    <w:rsid w:val="3F23468E"/>
    <w:rsid w:val="3F262A3D"/>
    <w:rsid w:val="3F2C0F94"/>
    <w:rsid w:val="3F3362F3"/>
    <w:rsid w:val="3F352F78"/>
    <w:rsid w:val="3F3634D9"/>
    <w:rsid w:val="3F367F1D"/>
    <w:rsid w:val="3F3734BF"/>
    <w:rsid w:val="3F387676"/>
    <w:rsid w:val="3F3A66E4"/>
    <w:rsid w:val="3F3B5533"/>
    <w:rsid w:val="3F3C330D"/>
    <w:rsid w:val="3F3D056D"/>
    <w:rsid w:val="3F4104B3"/>
    <w:rsid w:val="3F424441"/>
    <w:rsid w:val="3F4A39C9"/>
    <w:rsid w:val="3F4F2A01"/>
    <w:rsid w:val="3F4F2DF9"/>
    <w:rsid w:val="3F516B05"/>
    <w:rsid w:val="3F516CF5"/>
    <w:rsid w:val="3F532D31"/>
    <w:rsid w:val="3F542E8D"/>
    <w:rsid w:val="3F5465F5"/>
    <w:rsid w:val="3F561475"/>
    <w:rsid w:val="3F573360"/>
    <w:rsid w:val="3F583794"/>
    <w:rsid w:val="3F591E5E"/>
    <w:rsid w:val="3F5940B6"/>
    <w:rsid w:val="3F5C3B17"/>
    <w:rsid w:val="3F5D3D56"/>
    <w:rsid w:val="3F5D78D0"/>
    <w:rsid w:val="3F5E56C6"/>
    <w:rsid w:val="3F6031EC"/>
    <w:rsid w:val="3F642BDA"/>
    <w:rsid w:val="3F656135"/>
    <w:rsid w:val="3F656A54"/>
    <w:rsid w:val="3F667F65"/>
    <w:rsid w:val="3F67686C"/>
    <w:rsid w:val="3F697A12"/>
    <w:rsid w:val="3F6A6C05"/>
    <w:rsid w:val="3F6B1D26"/>
    <w:rsid w:val="3F6D1E87"/>
    <w:rsid w:val="3F7942AE"/>
    <w:rsid w:val="3F79605C"/>
    <w:rsid w:val="3F7C69CC"/>
    <w:rsid w:val="3F7F23D0"/>
    <w:rsid w:val="3F80563C"/>
    <w:rsid w:val="3F847CC0"/>
    <w:rsid w:val="3F87243F"/>
    <w:rsid w:val="3F883E94"/>
    <w:rsid w:val="3F8C6EB1"/>
    <w:rsid w:val="3F90636A"/>
    <w:rsid w:val="3F930BD7"/>
    <w:rsid w:val="3F961D15"/>
    <w:rsid w:val="3F9D1A94"/>
    <w:rsid w:val="3FA01C3B"/>
    <w:rsid w:val="3FA06968"/>
    <w:rsid w:val="3FA7706D"/>
    <w:rsid w:val="3FAA26B9"/>
    <w:rsid w:val="3FAE21A9"/>
    <w:rsid w:val="3FB125B5"/>
    <w:rsid w:val="3FB22BFA"/>
    <w:rsid w:val="3FB24967"/>
    <w:rsid w:val="3FB31758"/>
    <w:rsid w:val="3FB36478"/>
    <w:rsid w:val="3FB6105E"/>
    <w:rsid w:val="3FB74FFD"/>
    <w:rsid w:val="3FBD063E"/>
    <w:rsid w:val="3FBD1935"/>
    <w:rsid w:val="3FBD24C7"/>
    <w:rsid w:val="3FBD645E"/>
    <w:rsid w:val="3FC07E35"/>
    <w:rsid w:val="3FC127A9"/>
    <w:rsid w:val="3FC22985"/>
    <w:rsid w:val="3FC43893"/>
    <w:rsid w:val="3FC45529"/>
    <w:rsid w:val="3FC76DC7"/>
    <w:rsid w:val="3FC77B59"/>
    <w:rsid w:val="3FC931AC"/>
    <w:rsid w:val="3FCA0A00"/>
    <w:rsid w:val="3FCB6C71"/>
    <w:rsid w:val="3FCF3ECE"/>
    <w:rsid w:val="3FD3401C"/>
    <w:rsid w:val="3FD768E8"/>
    <w:rsid w:val="3FDA2F9E"/>
    <w:rsid w:val="3FDD2A8F"/>
    <w:rsid w:val="3FDD3AA0"/>
    <w:rsid w:val="3FDE5C0F"/>
    <w:rsid w:val="3FE027B8"/>
    <w:rsid w:val="3FE07E64"/>
    <w:rsid w:val="3FE93A4B"/>
    <w:rsid w:val="3FEC1474"/>
    <w:rsid w:val="3FEC3D0C"/>
    <w:rsid w:val="3FEE07F8"/>
    <w:rsid w:val="3FEE1932"/>
    <w:rsid w:val="3FEF4FC8"/>
    <w:rsid w:val="3FEF631E"/>
    <w:rsid w:val="3FF01F20"/>
    <w:rsid w:val="3FF12096"/>
    <w:rsid w:val="3FF14290"/>
    <w:rsid w:val="3FF27612"/>
    <w:rsid w:val="3FF316C7"/>
    <w:rsid w:val="3FF4464A"/>
    <w:rsid w:val="3FF81676"/>
    <w:rsid w:val="3FFB1579"/>
    <w:rsid w:val="3FFB3BF1"/>
    <w:rsid w:val="3FFD4EDF"/>
    <w:rsid w:val="3FFD6511"/>
    <w:rsid w:val="3FFD7367"/>
    <w:rsid w:val="3FFF7ED8"/>
    <w:rsid w:val="400007C3"/>
    <w:rsid w:val="40021E86"/>
    <w:rsid w:val="40022383"/>
    <w:rsid w:val="400224F5"/>
    <w:rsid w:val="40037BFA"/>
    <w:rsid w:val="40063610"/>
    <w:rsid w:val="40077655"/>
    <w:rsid w:val="400973E0"/>
    <w:rsid w:val="400C3BCA"/>
    <w:rsid w:val="400D3374"/>
    <w:rsid w:val="4013578A"/>
    <w:rsid w:val="401778B2"/>
    <w:rsid w:val="401A15ED"/>
    <w:rsid w:val="401F30A7"/>
    <w:rsid w:val="402410FA"/>
    <w:rsid w:val="4029386D"/>
    <w:rsid w:val="402A2F22"/>
    <w:rsid w:val="402E0298"/>
    <w:rsid w:val="402E37DA"/>
    <w:rsid w:val="402E5098"/>
    <w:rsid w:val="40304F25"/>
    <w:rsid w:val="40307062"/>
    <w:rsid w:val="40324D0B"/>
    <w:rsid w:val="403345DE"/>
    <w:rsid w:val="40337D20"/>
    <w:rsid w:val="403569B3"/>
    <w:rsid w:val="40362758"/>
    <w:rsid w:val="403726CB"/>
    <w:rsid w:val="40374AC6"/>
    <w:rsid w:val="4038621E"/>
    <w:rsid w:val="403B39D1"/>
    <w:rsid w:val="403C5A07"/>
    <w:rsid w:val="403D52DB"/>
    <w:rsid w:val="403D77FE"/>
    <w:rsid w:val="403E749C"/>
    <w:rsid w:val="403F1053"/>
    <w:rsid w:val="403F3379"/>
    <w:rsid w:val="403F78A0"/>
    <w:rsid w:val="40420B44"/>
    <w:rsid w:val="404448BC"/>
    <w:rsid w:val="40454A14"/>
    <w:rsid w:val="40472D20"/>
    <w:rsid w:val="4048407B"/>
    <w:rsid w:val="404843AC"/>
    <w:rsid w:val="404C7084"/>
    <w:rsid w:val="404E770A"/>
    <w:rsid w:val="404F5607"/>
    <w:rsid w:val="40533347"/>
    <w:rsid w:val="4053616E"/>
    <w:rsid w:val="40537FC5"/>
    <w:rsid w:val="405463AE"/>
    <w:rsid w:val="40564E89"/>
    <w:rsid w:val="4057639D"/>
    <w:rsid w:val="40580367"/>
    <w:rsid w:val="4058086B"/>
    <w:rsid w:val="405B51F2"/>
    <w:rsid w:val="405C03BC"/>
    <w:rsid w:val="405D597D"/>
    <w:rsid w:val="405D668A"/>
    <w:rsid w:val="405F5D7E"/>
    <w:rsid w:val="406070C6"/>
    <w:rsid w:val="40612E19"/>
    <w:rsid w:val="40624D42"/>
    <w:rsid w:val="406311E6"/>
    <w:rsid w:val="40640ABA"/>
    <w:rsid w:val="40660C52"/>
    <w:rsid w:val="40672358"/>
    <w:rsid w:val="40675B9E"/>
    <w:rsid w:val="40691D0E"/>
    <w:rsid w:val="40695913"/>
    <w:rsid w:val="40696866"/>
    <w:rsid w:val="406B009A"/>
    <w:rsid w:val="406C796F"/>
    <w:rsid w:val="406E69AA"/>
    <w:rsid w:val="406F4A6B"/>
    <w:rsid w:val="407927B7"/>
    <w:rsid w:val="407B1AA4"/>
    <w:rsid w:val="407C1D78"/>
    <w:rsid w:val="407D1421"/>
    <w:rsid w:val="407D1B7C"/>
    <w:rsid w:val="407E0A5E"/>
    <w:rsid w:val="4080278E"/>
    <w:rsid w:val="40802E5F"/>
    <w:rsid w:val="4081258C"/>
    <w:rsid w:val="40827192"/>
    <w:rsid w:val="408331AB"/>
    <w:rsid w:val="40836969"/>
    <w:rsid w:val="408472AD"/>
    <w:rsid w:val="408505DD"/>
    <w:rsid w:val="40870703"/>
    <w:rsid w:val="40875841"/>
    <w:rsid w:val="40896772"/>
    <w:rsid w:val="408B09FF"/>
    <w:rsid w:val="408B6B29"/>
    <w:rsid w:val="4090365D"/>
    <w:rsid w:val="4092627D"/>
    <w:rsid w:val="409475F1"/>
    <w:rsid w:val="409A44DC"/>
    <w:rsid w:val="409C3DBF"/>
    <w:rsid w:val="409D52A2"/>
    <w:rsid w:val="409F5F96"/>
    <w:rsid w:val="40A06A86"/>
    <w:rsid w:val="40A308C0"/>
    <w:rsid w:val="40A315E2"/>
    <w:rsid w:val="40A44DAF"/>
    <w:rsid w:val="40A70FBE"/>
    <w:rsid w:val="40A7381B"/>
    <w:rsid w:val="40AA5A1B"/>
    <w:rsid w:val="40AD0D0C"/>
    <w:rsid w:val="40B206C8"/>
    <w:rsid w:val="40B27A77"/>
    <w:rsid w:val="40B33F29"/>
    <w:rsid w:val="40B341AB"/>
    <w:rsid w:val="40B44FF1"/>
    <w:rsid w:val="40B67886"/>
    <w:rsid w:val="40B70FD3"/>
    <w:rsid w:val="40B7508E"/>
    <w:rsid w:val="40B85803"/>
    <w:rsid w:val="40B87599"/>
    <w:rsid w:val="40BB6C9A"/>
    <w:rsid w:val="40BC08F6"/>
    <w:rsid w:val="40BE0DB2"/>
    <w:rsid w:val="40BE754D"/>
    <w:rsid w:val="40C56BF0"/>
    <w:rsid w:val="40C7232D"/>
    <w:rsid w:val="40C94DC1"/>
    <w:rsid w:val="40CB28E7"/>
    <w:rsid w:val="40CB6D8B"/>
    <w:rsid w:val="40CD48B1"/>
    <w:rsid w:val="40CD70E2"/>
    <w:rsid w:val="40CF0356"/>
    <w:rsid w:val="40CF4DE4"/>
    <w:rsid w:val="40CF7D5A"/>
    <w:rsid w:val="40D043A1"/>
    <w:rsid w:val="40D229D7"/>
    <w:rsid w:val="40D57D8C"/>
    <w:rsid w:val="40D9322A"/>
    <w:rsid w:val="40DA1946"/>
    <w:rsid w:val="40DA1B87"/>
    <w:rsid w:val="40DB4857"/>
    <w:rsid w:val="40DB70FB"/>
    <w:rsid w:val="40E025F3"/>
    <w:rsid w:val="40E165AE"/>
    <w:rsid w:val="40E251AB"/>
    <w:rsid w:val="40E45720"/>
    <w:rsid w:val="40E63BC5"/>
    <w:rsid w:val="40E81285"/>
    <w:rsid w:val="40E83369"/>
    <w:rsid w:val="40E85247"/>
    <w:rsid w:val="40ED4F53"/>
    <w:rsid w:val="40EF2A79"/>
    <w:rsid w:val="40F260C6"/>
    <w:rsid w:val="40F462E2"/>
    <w:rsid w:val="40F67CAF"/>
    <w:rsid w:val="40F736DC"/>
    <w:rsid w:val="40F7503B"/>
    <w:rsid w:val="40FC6F44"/>
    <w:rsid w:val="40FF07E3"/>
    <w:rsid w:val="410165AA"/>
    <w:rsid w:val="41020029"/>
    <w:rsid w:val="41043273"/>
    <w:rsid w:val="4105701A"/>
    <w:rsid w:val="41090391"/>
    <w:rsid w:val="41093E39"/>
    <w:rsid w:val="410B1343"/>
    <w:rsid w:val="410C57E3"/>
    <w:rsid w:val="410D2F00"/>
    <w:rsid w:val="410F40AF"/>
    <w:rsid w:val="41123FC3"/>
    <w:rsid w:val="41130BDE"/>
    <w:rsid w:val="411403DC"/>
    <w:rsid w:val="411403E5"/>
    <w:rsid w:val="4116051D"/>
    <w:rsid w:val="41166258"/>
    <w:rsid w:val="41184B0D"/>
    <w:rsid w:val="411A2F4B"/>
    <w:rsid w:val="411A59DF"/>
    <w:rsid w:val="411C525B"/>
    <w:rsid w:val="411E02DF"/>
    <w:rsid w:val="41217CE9"/>
    <w:rsid w:val="41226D83"/>
    <w:rsid w:val="41230026"/>
    <w:rsid w:val="4123488E"/>
    <w:rsid w:val="4125633D"/>
    <w:rsid w:val="412C4AD9"/>
    <w:rsid w:val="412C6529"/>
    <w:rsid w:val="412D397D"/>
    <w:rsid w:val="412E04E8"/>
    <w:rsid w:val="4131099B"/>
    <w:rsid w:val="41315AE7"/>
    <w:rsid w:val="4139107D"/>
    <w:rsid w:val="413964F7"/>
    <w:rsid w:val="413D1A37"/>
    <w:rsid w:val="4142665A"/>
    <w:rsid w:val="41434EE6"/>
    <w:rsid w:val="414405D5"/>
    <w:rsid w:val="41442580"/>
    <w:rsid w:val="41443AE3"/>
    <w:rsid w:val="41452EE7"/>
    <w:rsid w:val="4147319F"/>
    <w:rsid w:val="414845C1"/>
    <w:rsid w:val="41486290"/>
    <w:rsid w:val="4149055F"/>
    <w:rsid w:val="414A0178"/>
    <w:rsid w:val="414A2990"/>
    <w:rsid w:val="414C74BB"/>
    <w:rsid w:val="414D750C"/>
    <w:rsid w:val="415328DB"/>
    <w:rsid w:val="41546D80"/>
    <w:rsid w:val="415816BB"/>
    <w:rsid w:val="41586871"/>
    <w:rsid w:val="41591E99"/>
    <w:rsid w:val="415A3649"/>
    <w:rsid w:val="415B010F"/>
    <w:rsid w:val="415E19AD"/>
    <w:rsid w:val="416074D3"/>
    <w:rsid w:val="416105D9"/>
    <w:rsid w:val="41627247"/>
    <w:rsid w:val="41636FC4"/>
    <w:rsid w:val="41673C9E"/>
    <w:rsid w:val="416751FF"/>
    <w:rsid w:val="41682AEE"/>
    <w:rsid w:val="416A2100"/>
    <w:rsid w:val="416B3457"/>
    <w:rsid w:val="416C3C7B"/>
    <w:rsid w:val="416C567E"/>
    <w:rsid w:val="417051D2"/>
    <w:rsid w:val="41714583"/>
    <w:rsid w:val="417259B2"/>
    <w:rsid w:val="41747F7A"/>
    <w:rsid w:val="417B255F"/>
    <w:rsid w:val="417D62D7"/>
    <w:rsid w:val="41803457"/>
    <w:rsid w:val="418307B3"/>
    <w:rsid w:val="4185327E"/>
    <w:rsid w:val="41873D54"/>
    <w:rsid w:val="418954A8"/>
    <w:rsid w:val="418F4D90"/>
    <w:rsid w:val="41922D8E"/>
    <w:rsid w:val="41931657"/>
    <w:rsid w:val="41932E0F"/>
    <w:rsid w:val="419332FC"/>
    <w:rsid w:val="41935254"/>
    <w:rsid w:val="41967399"/>
    <w:rsid w:val="41970A1B"/>
    <w:rsid w:val="4197742D"/>
    <w:rsid w:val="41980C38"/>
    <w:rsid w:val="419D0766"/>
    <w:rsid w:val="419F160D"/>
    <w:rsid w:val="41A05B22"/>
    <w:rsid w:val="41A17105"/>
    <w:rsid w:val="41A2189A"/>
    <w:rsid w:val="41A3419D"/>
    <w:rsid w:val="41A60F4A"/>
    <w:rsid w:val="41A87F5E"/>
    <w:rsid w:val="41A97BDE"/>
    <w:rsid w:val="41AA6B55"/>
    <w:rsid w:val="41AB07E2"/>
    <w:rsid w:val="41AB3A0F"/>
    <w:rsid w:val="41AC2423"/>
    <w:rsid w:val="41AD66C4"/>
    <w:rsid w:val="41AE376E"/>
    <w:rsid w:val="41B04591"/>
    <w:rsid w:val="41B063A8"/>
    <w:rsid w:val="41B1585B"/>
    <w:rsid w:val="41B31CF9"/>
    <w:rsid w:val="41B45A71"/>
    <w:rsid w:val="41BA21D5"/>
    <w:rsid w:val="41BB04ED"/>
    <w:rsid w:val="41BD0482"/>
    <w:rsid w:val="41BE244C"/>
    <w:rsid w:val="41C07A84"/>
    <w:rsid w:val="41C37A62"/>
    <w:rsid w:val="41C51A2C"/>
    <w:rsid w:val="41C85D6C"/>
    <w:rsid w:val="41C932CA"/>
    <w:rsid w:val="41CD277C"/>
    <w:rsid w:val="41CD297A"/>
    <w:rsid w:val="41CE3A06"/>
    <w:rsid w:val="41CF1D69"/>
    <w:rsid w:val="41D103D1"/>
    <w:rsid w:val="41D1217F"/>
    <w:rsid w:val="41D21718"/>
    <w:rsid w:val="41D26E20"/>
    <w:rsid w:val="41D34149"/>
    <w:rsid w:val="41D45D15"/>
    <w:rsid w:val="41D71358"/>
    <w:rsid w:val="41DA46BC"/>
    <w:rsid w:val="41DA7286"/>
    <w:rsid w:val="41DD5310"/>
    <w:rsid w:val="41DE664A"/>
    <w:rsid w:val="41DE66D7"/>
    <w:rsid w:val="41DF2AEE"/>
    <w:rsid w:val="41DF489C"/>
    <w:rsid w:val="41E023C2"/>
    <w:rsid w:val="41E17206"/>
    <w:rsid w:val="41E2613A"/>
    <w:rsid w:val="41E27378"/>
    <w:rsid w:val="41E33C60"/>
    <w:rsid w:val="41E63EC9"/>
    <w:rsid w:val="41E73B8B"/>
    <w:rsid w:val="41E80F84"/>
    <w:rsid w:val="41EB2280"/>
    <w:rsid w:val="41EB4E51"/>
    <w:rsid w:val="41ED4A7E"/>
    <w:rsid w:val="41EE0733"/>
    <w:rsid w:val="41EF6FDD"/>
    <w:rsid w:val="41F033AF"/>
    <w:rsid w:val="41F06AA9"/>
    <w:rsid w:val="41F1099F"/>
    <w:rsid w:val="41F12821"/>
    <w:rsid w:val="41F12A49"/>
    <w:rsid w:val="41F136B2"/>
    <w:rsid w:val="41F36599"/>
    <w:rsid w:val="41F423E7"/>
    <w:rsid w:val="41F836BE"/>
    <w:rsid w:val="41FE4D2F"/>
    <w:rsid w:val="41FE5AE8"/>
    <w:rsid w:val="41FF0A9A"/>
    <w:rsid w:val="41FF6551"/>
    <w:rsid w:val="42040327"/>
    <w:rsid w:val="42055688"/>
    <w:rsid w:val="420577CD"/>
    <w:rsid w:val="42061A59"/>
    <w:rsid w:val="42072045"/>
    <w:rsid w:val="420A743F"/>
    <w:rsid w:val="420C1A64"/>
    <w:rsid w:val="420E5181"/>
    <w:rsid w:val="420E6A3E"/>
    <w:rsid w:val="420F4A55"/>
    <w:rsid w:val="421358B6"/>
    <w:rsid w:val="42165B70"/>
    <w:rsid w:val="42174FEC"/>
    <w:rsid w:val="4219153F"/>
    <w:rsid w:val="421B789E"/>
    <w:rsid w:val="421D3963"/>
    <w:rsid w:val="421F16CF"/>
    <w:rsid w:val="42210EF7"/>
    <w:rsid w:val="42226EC9"/>
    <w:rsid w:val="422624CB"/>
    <w:rsid w:val="422B5D33"/>
    <w:rsid w:val="422E5823"/>
    <w:rsid w:val="422E737E"/>
    <w:rsid w:val="422E75D1"/>
    <w:rsid w:val="422F5252"/>
    <w:rsid w:val="422F6EA6"/>
    <w:rsid w:val="423050F8"/>
    <w:rsid w:val="42343684"/>
    <w:rsid w:val="42366486"/>
    <w:rsid w:val="42370234"/>
    <w:rsid w:val="42371129"/>
    <w:rsid w:val="42371E44"/>
    <w:rsid w:val="42380450"/>
    <w:rsid w:val="42391506"/>
    <w:rsid w:val="423A5F76"/>
    <w:rsid w:val="423E4AB7"/>
    <w:rsid w:val="42426FFB"/>
    <w:rsid w:val="42470693"/>
    <w:rsid w:val="424741EF"/>
    <w:rsid w:val="42493C4E"/>
    <w:rsid w:val="424A2550"/>
    <w:rsid w:val="424C5CAA"/>
    <w:rsid w:val="424E15C8"/>
    <w:rsid w:val="425200AE"/>
    <w:rsid w:val="42537038"/>
    <w:rsid w:val="42576B28"/>
    <w:rsid w:val="425828A0"/>
    <w:rsid w:val="42583F7F"/>
    <w:rsid w:val="425A2175"/>
    <w:rsid w:val="425C6A31"/>
    <w:rsid w:val="425C6D6C"/>
    <w:rsid w:val="425C7997"/>
    <w:rsid w:val="425F63FC"/>
    <w:rsid w:val="425F778B"/>
    <w:rsid w:val="42642D99"/>
    <w:rsid w:val="42643A55"/>
    <w:rsid w:val="42650F9F"/>
    <w:rsid w:val="42663439"/>
    <w:rsid w:val="42674891"/>
    <w:rsid w:val="4268268D"/>
    <w:rsid w:val="42706AF6"/>
    <w:rsid w:val="427104C1"/>
    <w:rsid w:val="42740D38"/>
    <w:rsid w:val="42750EA7"/>
    <w:rsid w:val="42750EDF"/>
    <w:rsid w:val="427511B9"/>
    <w:rsid w:val="4275368E"/>
    <w:rsid w:val="42756FAE"/>
    <w:rsid w:val="42764AD5"/>
    <w:rsid w:val="42770F78"/>
    <w:rsid w:val="427A67A8"/>
    <w:rsid w:val="427B00C4"/>
    <w:rsid w:val="427C2E16"/>
    <w:rsid w:val="427C5D7B"/>
    <w:rsid w:val="427C7EAA"/>
    <w:rsid w:val="427D6F5C"/>
    <w:rsid w:val="42801A02"/>
    <w:rsid w:val="42846B37"/>
    <w:rsid w:val="4288481D"/>
    <w:rsid w:val="428958A3"/>
    <w:rsid w:val="428D4F27"/>
    <w:rsid w:val="428D76D7"/>
    <w:rsid w:val="4292190E"/>
    <w:rsid w:val="42927B60"/>
    <w:rsid w:val="42977683"/>
    <w:rsid w:val="4298213F"/>
    <w:rsid w:val="42982C9D"/>
    <w:rsid w:val="429A6A15"/>
    <w:rsid w:val="429F1126"/>
    <w:rsid w:val="429F348E"/>
    <w:rsid w:val="42A05C1D"/>
    <w:rsid w:val="42A31708"/>
    <w:rsid w:val="42A32E75"/>
    <w:rsid w:val="42A47A9C"/>
    <w:rsid w:val="42A54850"/>
    <w:rsid w:val="42A65EBE"/>
    <w:rsid w:val="42A96999"/>
    <w:rsid w:val="42AA1E94"/>
    <w:rsid w:val="42AD26D7"/>
    <w:rsid w:val="42AD64A1"/>
    <w:rsid w:val="42AE426E"/>
    <w:rsid w:val="42B460BC"/>
    <w:rsid w:val="42B555FD"/>
    <w:rsid w:val="42B65E61"/>
    <w:rsid w:val="42B74563"/>
    <w:rsid w:val="42BA4205"/>
    <w:rsid w:val="42BB3D21"/>
    <w:rsid w:val="42BB6964"/>
    <w:rsid w:val="42BD5318"/>
    <w:rsid w:val="42C0746E"/>
    <w:rsid w:val="42C34B3C"/>
    <w:rsid w:val="42C6096C"/>
    <w:rsid w:val="42C703EC"/>
    <w:rsid w:val="42C817D4"/>
    <w:rsid w:val="42C9298F"/>
    <w:rsid w:val="42C955C2"/>
    <w:rsid w:val="42C966CF"/>
    <w:rsid w:val="42CA5A26"/>
    <w:rsid w:val="42CB4DCE"/>
    <w:rsid w:val="42CD1D8D"/>
    <w:rsid w:val="42CE7E9D"/>
    <w:rsid w:val="42CF2B62"/>
    <w:rsid w:val="42CF3A00"/>
    <w:rsid w:val="42D1749B"/>
    <w:rsid w:val="42D67871"/>
    <w:rsid w:val="42D737C5"/>
    <w:rsid w:val="42DA61F1"/>
    <w:rsid w:val="42DC702D"/>
    <w:rsid w:val="42DD22F7"/>
    <w:rsid w:val="42DE4B54"/>
    <w:rsid w:val="42DE6A4D"/>
    <w:rsid w:val="42E163F2"/>
    <w:rsid w:val="42E460AF"/>
    <w:rsid w:val="42E52643"/>
    <w:rsid w:val="42EA174A"/>
    <w:rsid w:val="42EA4D5F"/>
    <w:rsid w:val="42EB54C2"/>
    <w:rsid w:val="42EC1CFD"/>
    <w:rsid w:val="42EC55FB"/>
    <w:rsid w:val="42ED123B"/>
    <w:rsid w:val="42F078E0"/>
    <w:rsid w:val="42F205FF"/>
    <w:rsid w:val="42F44377"/>
    <w:rsid w:val="42F61DB6"/>
    <w:rsid w:val="42F63550"/>
    <w:rsid w:val="42F66C7A"/>
    <w:rsid w:val="42F67800"/>
    <w:rsid w:val="42F8373B"/>
    <w:rsid w:val="42FD17C6"/>
    <w:rsid w:val="42FD5892"/>
    <w:rsid w:val="42FE6FA4"/>
    <w:rsid w:val="42FF2D1C"/>
    <w:rsid w:val="42FF4413"/>
    <w:rsid w:val="43014CE6"/>
    <w:rsid w:val="430671E9"/>
    <w:rsid w:val="43081BD1"/>
    <w:rsid w:val="4309545F"/>
    <w:rsid w:val="43095949"/>
    <w:rsid w:val="430A6F86"/>
    <w:rsid w:val="430A7932"/>
    <w:rsid w:val="430B1D7C"/>
    <w:rsid w:val="430C0EA1"/>
    <w:rsid w:val="430F74F9"/>
    <w:rsid w:val="43140575"/>
    <w:rsid w:val="43196262"/>
    <w:rsid w:val="431A14DA"/>
    <w:rsid w:val="431B6E67"/>
    <w:rsid w:val="431D2455"/>
    <w:rsid w:val="432033BE"/>
    <w:rsid w:val="43210EE4"/>
    <w:rsid w:val="43225894"/>
    <w:rsid w:val="43244EEC"/>
    <w:rsid w:val="432664FB"/>
    <w:rsid w:val="432D2784"/>
    <w:rsid w:val="432F7550"/>
    <w:rsid w:val="43302FCE"/>
    <w:rsid w:val="4334449F"/>
    <w:rsid w:val="43353FDF"/>
    <w:rsid w:val="43397357"/>
    <w:rsid w:val="433B6764"/>
    <w:rsid w:val="433C2B75"/>
    <w:rsid w:val="43400B79"/>
    <w:rsid w:val="43407B80"/>
    <w:rsid w:val="43413334"/>
    <w:rsid w:val="43420010"/>
    <w:rsid w:val="43426F25"/>
    <w:rsid w:val="43456981"/>
    <w:rsid w:val="43487954"/>
    <w:rsid w:val="43496D78"/>
    <w:rsid w:val="434A043B"/>
    <w:rsid w:val="434A0948"/>
    <w:rsid w:val="434D27D6"/>
    <w:rsid w:val="434F15AD"/>
    <w:rsid w:val="434F77FF"/>
    <w:rsid w:val="43503E1A"/>
    <w:rsid w:val="43505326"/>
    <w:rsid w:val="4352439B"/>
    <w:rsid w:val="4355293C"/>
    <w:rsid w:val="43584CC6"/>
    <w:rsid w:val="43585C67"/>
    <w:rsid w:val="435C20A1"/>
    <w:rsid w:val="435E5C94"/>
    <w:rsid w:val="435E785D"/>
    <w:rsid w:val="436211CD"/>
    <w:rsid w:val="43623255"/>
    <w:rsid w:val="436332AB"/>
    <w:rsid w:val="43635689"/>
    <w:rsid w:val="436424C6"/>
    <w:rsid w:val="43655275"/>
    <w:rsid w:val="4368266F"/>
    <w:rsid w:val="43686CEE"/>
    <w:rsid w:val="43692C92"/>
    <w:rsid w:val="436A29C3"/>
    <w:rsid w:val="436A5F0F"/>
    <w:rsid w:val="436B5974"/>
    <w:rsid w:val="436D0657"/>
    <w:rsid w:val="436D4129"/>
    <w:rsid w:val="436F7031"/>
    <w:rsid w:val="43702DE4"/>
    <w:rsid w:val="43714730"/>
    <w:rsid w:val="43721C50"/>
    <w:rsid w:val="437234EE"/>
    <w:rsid w:val="43724AC1"/>
    <w:rsid w:val="43737705"/>
    <w:rsid w:val="43737B67"/>
    <w:rsid w:val="43741014"/>
    <w:rsid w:val="43776D56"/>
    <w:rsid w:val="43782D70"/>
    <w:rsid w:val="43782F65"/>
    <w:rsid w:val="437835CC"/>
    <w:rsid w:val="43790D20"/>
    <w:rsid w:val="43792967"/>
    <w:rsid w:val="437C555D"/>
    <w:rsid w:val="437D4942"/>
    <w:rsid w:val="43805F9E"/>
    <w:rsid w:val="43827010"/>
    <w:rsid w:val="43830D55"/>
    <w:rsid w:val="438356FB"/>
    <w:rsid w:val="4384412A"/>
    <w:rsid w:val="4384726E"/>
    <w:rsid w:val="438F4038"/>
    <w:rsid w:val="439014A0"/>
    <w:rsid w:val="43920268"/>
    <w:rsid w:val="43931AD8"/>
    <w:rsid w:val="439849C2"/>
    <w:rsid w:val="439870BB"/>
    <w:rsid w:val="439B0507"/>
    <w:rsid w:val="439E3FBA"/>
    <w:rsid w:val="439E72BE"/>
    <w:rsid w:val="43A03B7C"/>
    <w:rsid w:val="43A10BC2"/>
    <w:rsid w:val="43A27E4C"/>
    <w:rsid w:val="43A35D9D"/>
    <w:rsid w:val="43A55C18"/>
    <w:rsid w:val="43A77473"/>
    <w:rsid w:val="43A82FDE"/>
    <w:rsid w:val="43A85162"/>
    <w:rsid w:val="43AA0EDA"/>
    <w:rsid w:val="43AB20C9"/>
    <w:rsid w:val="43AC030C"/>
    <w:rsid w:val="43AC0F56"/>
    <w:rsid w:val="43AC4DB2"/>
    <w:rsid w:val="43AE4585"/>
    <w:rsid w:val="43AF4742"/>
    <w:rsid w:val="43B00E6E"/>
    <w:rsid w:val="43B0609F"/>
    <w:rsid w:val="43B15273"/>
    <w:rsid w:val="43B42C66"/>
    <w:rsid w:val="43BA2D18"/>
    <w:rsid w:val="43BB6C43"/>
    <w:rsid w:val="43BE4985"/>
    <w:rsid w:val="43BE7C30"/>
    <w:rsid w:val="43C04259"/>
    <w:rsid w:val="43C07627"/>
    <w:rsid w:val="43C2424B"/>
    <w:rsid w:val="43C26223"/>
    <w:rsid w:val="43C30CE9"/>
    <w:rsid w:val="43C334D4"/>
    <w:rsid w:val="43C76900"/>
    <w:rsid w:val="43C87E01"/>
    <w:rsid w:val="43C93C6E"/>
    <w:rsid w:val="43CA157C"/>
    <w:rsid w:val="43CB44F8"/>
    <w:rsid w:val="43CC70A2"/>
    <w:rsid w:val="43CD0277"/>
    <w:rsid w:val="43CE1F27"/>
    <w:rsid w:val="43CE2E1A"/>
    <w:rsid w:val="43CE57D0"/>
    <w:rsid w:val="43CF0940"/>
    <w:rsid w:val="43D024F0"/>
    <w:rsid w:val="43D15E27"/>
    <w:rsid w:val="43D441A9"/>
    <w:rsid w:val="43D614A3"/>
    <w:rsid w:val="43DC38C5"/>
    <w:rsid w:val="43DE243F"/>
    <w:rsid w:val="43DE33A9"/>
    <w:rsid w:val="43E20A78"/>
    <w:rsid w:val="43E26A0A"/>
    <w:rsid w:val="43E30E9C"/>
    <w:rsid w:val="43E45352"/>
    <w:rsid w:val="43E5235F"/>
    <w:rsid w:val="43E5284B"/>
    <w:rsid w:val="43E52DF0"/>
    <w:rsid w:val="43E73EDC"/>
    <w:rsid w:val="43E87853"/>
    <w:rsid w:val="43EC52F4"/>
    <w:rsid w:val="43EF0FE2"/>
    <w:rsid w:val="43F359E6"/>
    <w:rsid w:val="43F36D39"/>
    <w:rsid w:val="43F64843"/>
    <w:rsid w:val="43F71AB2"/>
    <w:rsid w:val="43F81C45"/>
    <w:rsid w:val="43F91594"/>
    <w:rsid w:val="43FA35BC"/>
    <w:rsid w:val="43FD36FF"/>
    <w:rsid w:val="440122E9"/>
    <w:rsid w:val="44022668"/>
    <w:rsid w:val="44024872"/>
    <w:rsid w:val="44033358"/>
    <w:rsid w:val="440444A7"/>
    <w:rsid w:val="4407783A"/>
    <w:rsid w:val="44093E52"/>
    <w:rsid w:val="440957D1"/>
    <w:rsid w:val="440A7BCA"/>
    <w:rsid w:val="440B25C0"/>
    <w:rsid w:val="440C0D4E"/>
    <w:rsid w:val="440C4017"/>
    <w:rsid w:val="440C56F0"/>
    <w:rsid w:val="440D4B2D"/>
    <w:rsid w:val="440F50B5"/>
    <w:rsid w:val="44111AB3"/>
    <w:rsid w:val="44134CD1"/>
    <w:rsid w:val="44173C19"/>
    <w:rsid w:val="441822E7"/>
    <w:rsid w:val="441A605F"/>
    <w:rsid w:val="441B1DD7"/>
    <w:rsid w:val="441B74E4"/>
    <w:rsid w:val="441D4B3E"/>
    <w:rsid w:val="441D5B50"/>
    <w:rsid w:val="441F7EFA"/>
    <w:rsid w:val="442044B3"/>
    <w:rsid w:val="44206890"/>
    <w:rsid w:val="44224F14"/>
    <w:rsid w:val="44226CC2"/>
    <w:rsid w:val="44240C8C"/>
    <w:rsid w:val="4424592D"/>
    <w:rsid w:val="442760A0"/>
    <w:rsid w:val="44291A5D"/>
    <w:rsid w:val="442A568F"/>
    <w:rsid w:val="442A5AAE"/>
    <w:rsid w:val="442D39E5"/>
    <w:rsid w:val="442E3D66"/>
    <w:rsid w:val="442E43F8"/>
    <w:rsid w:val="44356EFA"/>
    <w:rsid w:val="443601F3"/>
    <w:rsid w:val="44366188"/>
    <w:rsid w:val="443873C7"/>
    <w:rsid w:val="44393F95"/>
    <w:rsid w:val="443A04B0"/>
    <w:rsid w:val="443C1505"/>
    <w:rsid w:val="443C3453"/>
    <w:rsid w:val="443D3FBF"/>
    <w:rsid w:val="443F06A5"/>
    <w:rsid w:val="443F233E"/>
    <w:rsid w:val="44413DD0"/>
    <w:rsid w:val="444247B5"/>
    <w:rsid w:val="44450C02"/>
    <w:rsid w:val="44451E18"/>
    <w:rsid w:val="4446064F"/>
    <w:rsid w:val="4446477B"/>
    <w:rsid w:val="444A193E"/>
    <w:rsid w:val="444A7FC7"/>
    <w:rsid w:val="444B4592"/>
    <w:rsid w:val="444C3D3F"/>
    <w:rsid w:val="444D12A5"/>
    <w:rsid w:val="444E0879"/>
    <w:rsid w:val="444E3F5B"/>
    <w:rsid w:val="444E78A1"/>
    <w:rsid w:val="444E7AE4"/>
    <w:rsid w:val="44501A81"/>
    <w:rsid w:val="44506817"/>
    <w:rsid w:val="445360C4"/>
    <w:rsid w:val="44542F94"/>
    <w:rsid w:val="44557097"/>
    <w:rsid w:val="4456461F"/>
    <w:rsid w:val="44567075"/>
    <w:rsid w:val="44586B88"/>
    <w:rsid w:val="445A2900"/>
    <w:rsid w:val="445B4CC7"/>
    <w:rsid w:val="445D7297"/>
    <w:rsid w:val="445F3A72"/>
    <w:rsid w:val="445F7F16"/>
    <w:rsid w:val="4460009D"/>
    <w:rsid w:val="44610147"/>
    <w:rsid w:val="446237FE"/>
    <w:rsid w:val="44632FF8"/>
    <w:rsid w:val="44634A97"/>
    <w:rsid w:val="4464552C"/>
    <w:rsid w:val="44664FE7"/>
    <w:rsid w:val="446A12BF"/>
    <w:rsid w:val="446B68BB"/>
    <w:rsid w:val="446C350F"/>
    <w:rsid w:val="44713A44"/>
    <w:rsid w:val="447340B0"/>
    <w:rsid w:val="44745027"/>
    <w:rsid w:val="44780FD8"/>
    <w:rsid w:val="44781ACB"/>
    <w:rsid w:val="44782D86"/>
    <w:rsid w:val="44790648"/>
    <w:rsid w:val="44794383"/>
    <w:rsid w:val="447B7530"/>
    <w:rsid w:val="447C2BE9"/>
    <w:rsid w:val="447D039C"/>
    <w:rsid w:val="44807CC1"/>
    <w:rsid w:val="44823C05"/>
    <w:rsid w:val="44847437"/>
    <w:rsid w:val="4484797D"/>
    <w:rsid w:val="448653EB"/>
    <w:rsid w:val="44867916"/>
    <w:rsid w:val="448B22FD"/>
    <w:rsid w:val="448B2EF0"/>
    <w:rsid w:val="448C4C93"/>
    <w:rsid w:val="449000D0"/>
    <w:rsid w:val="44930CB2"/>
    <w:rsid w:val="4493196E"/>
    <w:rsid w:val="44937BC0"/>
    <w:rsid w:val="44942B0E"/>
    <w:rsid w:val="44974A0B"/>
    <w:rsid w:val="44975D16"/>
    <w:rsid w:val="44996AA9"/>
    <w:rsid w:val="449C6EDC"/>
    <w:rsid w:val="449F0B81"/>
    <w:rsid w:val="44A1052F"/>
    <w:rsid w:val="44A21D28"/>
    <w:rsid w:val="44A26055"/>
    <w:rsid w:val="44A45929"/>
    <w:rsid w:val="44A547A1"/>
    <w:rsid w:val="44A91191"/>
    <w:rsid w:val="44AF2C40"/>
    <w:rsid w:val="44B10046"/>
    <w:rsid w:val="44B25B94"/>
    <w:rsid w:val="44B66DC7"/>
    <w:rsid w:val="44B81E3F"/>
    <w:rsid w:val="44B86EAA"/>
    <w:rsid w:val="44BC7116"/>
    <w:rsid w:val="44BD3D13"/>
    <w:rsid w:val="44BE10AE"/>
    <w:rsid w:val="44C07E4F"/>
    <w:rsid w:val="44C2264E"/>
    <w:rsid w:val="44C36528"/>
    <w:rsid w:val="44C46C29"/>
    <w:rsid w:val="44C53896"/>
    <w:rsid w:val="44C71A09"/>
    <w:rsid w:val="44C7491A"/>
    <w:rsid w:val="44CB2272"/>
    <w:rsid w:val="44CB4618"/>
    <w:rsid w:val="44CB6914"/>
    <w:rsid w:val="44CC0150"/>
    <w:rsid w:val="44CC4A68"/>
    <w:rsid w:val="44CE29A6"/>
    <w:rsid w:val="44CF32C3"/>
    <w:rsid w:val="44D063A7"/>
    <w:rsid w:val="44D205B6"/>
    <w:rsid w:val="44D23AE5"/>
    <w:rsid w:val="44D51F86"/>
    <w:rsid w:val="44D855AA"/>
    <w:rsid w:val="44DA759D"/>
    <w:rsid w:val="44DE52DF"/>
    <w:rsid w:val="44E07299"/>
    <w:rsid w:val="44E22291"/>
    <w:rsid w:val="44E3318D"/>
    <w:rsid w:val="44EB79FC"/>
    <w:rsid w:val="44EC5372"/>
    <w:rsid w:val="44ED72D0"/>
    <w:rsid w:val="44F06F47"/>
    <w:rsid w:val="44F5247C"/>
    <w:rsid w:val="44F56185"/>
    <w:rsid w:val="44F66C63"/>
    <w:rsid w:val="44FA3F82"/>
    <w:rsid w:val="44FC39B7"/>
    <w:rsid w:val="44FF5255"/>
    <w:rsid w:val="45006849"/>
    <w:rsid w:val="45017BF0"/>
    <w:rsid w:val="4502438F"/>
    <w:rsid w:val="45062501"/>
    <w:rsid w:val="45065135"/>
    <w:rsid w:val="4506785B"/>
    <w:rsid w:val="45086A38"/>
    <w:rsid w:val="45097E82"/>
    <w:rsid w:val="450A12DE"/>
    <w:rsid w:val="450A5DF2"/>
    <w:rsid w:val="450C0B21"/>
    <w:rsid w:val="450E09E1"/>
    <w:rsid w:val="450E1570"/>
    <w:rsid w:val="45102CB2"/>
    <w:rsid w:val="45120AE5"/>
    <w:rsid w:val="451249E0"/>
    <w:rsid w:val="45131AFB"/>
    <w:rsid w:val="451505D5"/>
    <w:rsid w:val="451A208F"/>
    <w:rsid w:val="451A5BEB"/>
    <w:rsid w:val="451C1963"/>
    <w:rsid w:val="451C5120"/>
    <w:rsid w:val="451C7940"/>
    <w:rsid w:val="451E0CB6"/>
    <w:rsid w:val="45210145"/>
    <w:rsid w:val="45212594"/>
    <w:rsid w:val="45217B44"/>
    <w:rsid w:val="45221A31"/>
    <w:rsid w:val="452260AA"/>
    <w:rsid w:val="452339B0"/>
    <w:rsid w:val="45234C15"/>
    <w:rsid w:val="45237196"/>
    <w:rsid w:val="4524142E"/>
    <w:rsid w:val="45261C57"/>
    <w:rsid w:val="45267A33"/>
    <w:rsid w:val="45272062"/>
    <w:rsid w:val="45274413"/>
    <w:rsid w:val="452814AA"/>
    <w:rsid w:val="45286AE6"/>
    <w:rsid w:val="452A0524"/>
    <w:rsid w:val="452A22D2"/>
    <w:rsid w:val="452E7FD4"/>
    <w:rsid w:val="4532272F"/>
    <w:rsid w:val="45352A25"/>
    <w:rsid w:val="45365EE8"/>
    <w:rsid w:val="45397BC4"/>
    <w:rsid w:val="453C3DB3"/>
    <w:rsid w:val="454175E7"/>
    <w:rsid w:val="45466DE3"/>
    <w:rsid w:val="45486BFC"/>
    <w:rsid w:val="454B492C"/>
    <w:rsid w:val="454F1D39"/>
    <w:rsid w:val="4550160D"/>
    <w:rsid w:val="45525385"/>
    <w:rsid w:val="455455A1"/>
    <w:rsid w:val="4557519A"/>
    <w:rsid w:val="45576E3F"/>
    <w:rsid w:val="455A45B2"/>
    <w:rsid w:val="455A6FF1"/>
    <w:rsid w:val="455E01CE"/>
    <w:rsid w:val="455E356A"/>
    <w:rsid w:val="45600B2D"/>
    <w:rsid w:val="45622F31"/>
    <w:rsid w:val="456358CE"/>
    <w:rsid w:val="4563689D"/>
    <w:rsid w:val="45637592"/>
    <w:rsid w:val="45642AE6"/>
    <w:rsid w:val="45652AAD"/>
    <w:rsid w:val="45660E30"/>
    <w:rsid w:val="456652D4"/>
    <w:rsid w:val="456A5BC0"/>
    <w:rsid w:val="456B4699"/>
    <w:rsid w:val="456C2437"/>
    <w:rsid w:val="456D0411"/>
    <w:rsid w:val="456D30D1"/>
    <w:rsid w:val="456E5307"/>
    <w:rsid w:val="4571352B"/>
    <w:rsid w:val="45724FB4"/>
    <w:rsid w:val="45727474"/>
    <w:rsid w:val="457556F4"/>
    <w:rsid w:val="4576376F"/>
    <w:rsid w:val="457674B0"/>
    <w:rsid w:val="4577128F"/>
    <w:rsid w:val="45780B36"/>
    <w:rsid w:val="45793E0E"/>
    <w:rsid w:val="45795008"/>
    <w:rsid w:val="457B1973"/>
    <w:rsid w:val="457C2261"/>
    <w:rsid w:val="45806396"/>
    <w:rsid w:val="45835E86"/>
    <w:rsid w:val="45847EC6"/>
    <w:rsid w:val="4585233F"/>
    <w:rsid w:val="4585533A"/>
    <w:rsid w:val="458621C0"/>
    <w:rsid w:val="45863281"/>
    <w:rsid w:val="4586748D"/>
    <w:rsid w:val="45883E1B"/>
    <w:rsid w:val="458A0FC3"/>
    <w:rsid w:val="458A2D71"/>
    <w:rsid w:val="458A34FF"/>
    <w:rsid w:val="458A3DF0"/>
    <w:rsid w:val="458B6AE9"/>
    <w:rsid w:val="458D460F"/>
    <w:rsid w:val="45900801"/>
    <w:rsid w:val="45901726"/>
    <w:rsid w:val="45931586"/>
    <w:rsid w:val="45935E5B"/>
    <w:rsid w:val="45957EB5"/>
    <w:rsid w:val="459908E9"/>
    <w:rsid w:val="4599359C"/>
    <w:rsid w:val="459A1CED"/>
    <w:rsid w:val="459B4382"/>
    <w:rsid w:val="459C0726"/>
    <w:rsid w:val="459C6F06"/>
    <w:rsid w:val="459C72E5"/>
    <w:rsid w:val="459F42D2"/>
    <w:rsid w:val="45A100BA"/>
    <w:rsid w:val="45A12BA2"/>
    <w:rsid w:val="45A50949"/>
    <w:rsid w:val="45A63626"/>
    <w:rsid w:val="45A76BED"/>
    <w:rsid w:val="45AA51C1"/>
    <w:rsid w:val="45AF0A29"/>
    <w:rsid w:val="45AF6961"/>
    <w:rsid w:val="45B139FB"/>
    <w:rsid w:val="45B43CEB"/>
    <w:rsid w:val="45B53D7B"/>
    <w:rsid w:val="45B549B8"/>
    <w:rsid w:val="45B55914"/>
    <w:rsid w:val="45BA3F42"/>
    <w:rsid w:val="45BA4EBF"/>
    <w:rsid w:val="45BD6B39"/>
    <w:rsid w:val="45BE0C6C"/>
    <w:rsid w:val="45C02C36"/>
    <w:rsid w:val="45C1250B"/>
    <w:rsid w:val="45C310CB"/>
    <w:rsid w:val="45C4468F"/>
    <w:rsid w:val="45C53EF8"/>
    <w:rsid w:val="45C81AEB"/>
    <w:rsid w:val="45C953D0"/>
    <w:rsid w:val="45CB2CCC"/>
    <w:rsid w:val="45CE5353"/>
    <w:rsid w:val="45D34887"/>
    <w:rsid w:val="45D64208"/>
    <w:rsid w:val="45D93CF8"/>
    <w:rsid w:val="45DD5596"/>
    <w:rsid w:val="45DE01FB"/>
    <w:rsid w:val="45DE2F1A"/>
    <w:rsid w:val="45DE30BD"/>
    <w:rsid w:val="45DF72D0"/>
    <w:rsid w:val="45E11CE9"/>
    <w:rsid w:val="45E22BAD"/>
    <w:rsid w:val="45E4679F"/>
    <w:rsid w:val="45E5269D"/>
    <w:rsid w:val="45E53B71"/>
    <w:rsid w:val="45E711F1"/>
    <w:rsid w:val="45E71F71"/>
    <w:rsid w:val="45E72A5E"/>
    <w:rsid w:val="45E912EA"/>
    <w:rsid w:val="45E956A5"/>
    <w:rsid w:val="45EA47F8"/>
    <w:rsid w:val="45EA7CB3"/>
    <w:rsid w:val="45ED0357"/>
    <w:rsid w:val="45EF3EF1"/>
    <w:rsid w:val="45EF585C"/>
    <w:rsid w:val="45F24F78"/>
    <w:rsid w:val="45F4468E"/>
    <w:rsid w:val="45F55A6B"/>
    <w:rsid w:val="45F621B4"/>
    <w:rsid w:val="45F95A1D"/>
    <w:rsid w:val="45F96148"/>
    <w:rsid w:val="45FA2F16"/>
    <w:rsid w:val="45FA3E1F"/>
    <w:rsid w:val="45FB76ED"/>
    <w:rsid w:val="46003E73"/>
    <w:rsid w:val="460371F6"/>
    <w:rsid w:val="46050F98"/>
    <w:rsid w:val="4605368A"/>
    <w:rsid w:val="46054AED"/>
    <w:rsid w:val="46085AE7"/>
    <w:rsid w:val="460B2876"/>
    <w:rsid w:val="460B593D"/>
    <w:rsid w:val="460D04D4"/>
    <w:rsid w:val="460F49D8"/>
    <w:rsid w:val="460F771A"/>
    <w:rsid w:val="46115240"/>
    <w:rsid w:val="46115B2B"/>
    <w:rsid w:val="461468EA"/>
    <w:rsid w:val="46160AA8"/>
    <w:rsid w:val="46166C6B"/>
    <w:rsid w:val="46171BD8"/>
    <w:rsid w:val="46175ED9"/>
    <w:rsid w:val="46182559"/>
    <w:rsid w:val="461A4B16"/>
    <w:rsid w:val="461B278A"/>
    <w:rsid w:val="461B4533"/>
    <w:rsid w:val="461E5424"/>
    <w:rsid w:val="46250F62"/>
    <w:rsid w:val="46274A64"/>
    <w:rsid w:val="46276812"/>
    <w:rsid w:val="4629119D"/>
    <w:rsid w:val="46293F7E"/>
    <w:rsid w:val="46320BAC"/>
    <w:rsid w:val="46321292"/>
    <w:rsid w:val="46344A72"/>
    <w:rsid w:val="46361A61"/>
    <w:rsid w:val="463628AC"/>
    <w:rsid w:val="4637123E"/>
    <w:rsid w:val="463E0714"/>
    <w:rsid w:val="463E6A05"/>
    <w:rsid w:val="463E767E"/>
    <w:rsid w:val="46404256"/>
    <w:rsid w:val="46416AD6"/>
    <w:rsid w:val="46421956"/>
    <w:rsid w:val="46422CBC"/>
    <w:rsid w:val="46431172"/>
    <w:rsid w:val="46442BF4"/>
    <w:rsid w:val="46495084"/>
    <w:rsid w:val="46496788"/>
    <w:rsid w:val="464B279F"/>
    <w:rsid w:val="464D50AA"/>
    <w:rsid w:val="464E0E77"/>
    <w:rsid w:val="46517D32"/>
    <w:rsid w:val="46535859"/>
    <w:rsid w:val="4655490B"/>
    <w:rsid w:val="46560EA5"/>
    <w:rsid w:val="465644E0"/>
    <w:rsid w:val="465670F7"/>
    <w:rsid w:val="4659209E"/>
    <w:rsid w:val="465B470D"/>
    <w:rsid w:val="465F5FAB"/>
    <w:rsid w:val="46601D24"/>
    <w:rsid w:val="46603AD2"/>
    <w:rsid w:val="46621C69"/>
    <w:rsid w:val="46626BC1"/>
    <w:rsid w:val="466435C2"/>
    <w:rsid w:val="46650E0B"/>
    <w:rsid w:val="466856BB"/>
    <w:rsid w:val="4669507C"/>
    <w:rsid w:val="466955FE"/>
    <w:rsid w:val="466B5F06"/>
    <w:rsid w:val="467017CB"/>
    <w:rsid w:val="467278B3"/>
    <w:rsid w:val="467311F7"/>
    <w:rsid w:val="467659D7"/>
    <w:rsid w:val="46785418"/>
    <w:rsid w:val="467A753A"/>
    <w:rsid w:val="467B090B"/>
    <w:rsid w:val="467D5F2D"/>
    <w:rsid w:val="467E2CDB"/>
    <w:rsid w:val="467F6297"/>
    <w:rsid w:val="46833EA0"/>
    <w:rsid w:val="4684193D"/>
    <w:rsid w:val="4684212B"/>
    <w:rsid w:val="46853538"/>
    <w:rsid w:val="46882F96"/>
    <w:rsid w:val="468E3412"/>
    <w:rsid w:val="4694466A"/>
    <w:rsid w:val="469513BA"/>
    <w:rsid w:val="4696255F"/>
    <w:rsid w:val="46981D4D"/>
    <w:rsid w:val="4698770F"/>
    <w:rsid w:val="469B2D5C"/>
    <w:rsid w:val="469C1594"/>
    <w:rsid w:val="469C56FE"/>
    <w:rsid w:val="469E2CD4"/>
    <w:rsid w:val="469F14E0"/>
    <w:rsid w:val="46A14816"/>
    <w:rsid w:val="46A34D54"/>
    <w:rsid w:val="46A35ADB"/>
    <w:rsid w:val="46A55457"/>
    <w:rsid w:val="46A814C3"/>
    <w:rsid w:val="46A95FA6"/>
    <w:rsid w:val="46AA1B2D"/>
    <w:rsid w:val="46AA7D34"/>
    <w:rsid w:val="46AB2654"/>
    <w:rsid w:val="46AD5289"/>
    <w:rsid w:val="46B0053D"/>
    <w:rsid w:val="46B02CAB"/>
    <w:rsid w:val="46B1257F"/>
    <w:rsid w:val="46B1432D"/>
    <w:rsid w:val="46B31223"/>
    <w:rsid w:val="46B4538A"/>
    <w:rsid w:val="46B60877"/>
    <w:rsid w:val="46BA58D8"/>
    <w:rsid w:val="46BC33FE"/>
    <w:rsid w:val="46BD7176"/>
    <w:rsid w:val="46BF2EEE"/>
    <w:rsid w:val="46C07C8E"/>
    <w:rsid w:val="46C15E39"/>
    <w:rsid w:val="46C20737"/>
    <w:rsid w:val="46C2478C"/>
    <w:rsid w:val="46C55DCC"/>
    <w:rsid w:val="46C6427C"/>
    <w:rsid w:val="46C6550B"/>
    <w:rsid w:val="46C67DD9"/>
    <w:rsid w:val="46C92DA7"/>
    <w:rsid w:val="46C95BA1"/>
    <w:rsid w:val="46CC4EFA"/>
    <w:rsid w:val="46CC741E"/>
    <w:rsid w:val="46CD59E4"/>
    <w:rsid w:val="46CE1383"/>
    <w:rsid w:val="46D13DA2"/>
    <w:rsid w:val="46D153BA"/>
    <w:rsid w:val="46D17977"/>
    <w:rsid w:val="46D46408"/>
    <w:rsid w:val="46D544C0"/>
    <w:rsid w:val="46D95D16"/>
    <w:rsid w:val="46DB6AB3"/>
    <w:rsid w:val="46DC75FC"/>
    <w:rsid w:val="46DD37FD"/>
    <w:rsid w:val="46DE29B8"/>
    <w:rsid w:val="46DF08AF"/>
    <w:rsid w:val="46DF0E9A"/>
    <w:rsid w:val="46E14BDC"/>
    <w:rsid w:val="46E16B58"/>
    <w:rsid w:val="46E37EC5"/>
    <w:rsid w:val="46E7209C"/>
    <w:rsid w:val="46E86595"/>
    <w:rsid w:val="46EB442E"/>
    <w:rsid w:val="46EC2208"/>
    <w:rsid w:val="46ED30DB"/>
    <w:rsid w:val="46EE15E5"/>
    <w:rsid w:val="46EE37D3"/>
    <w:rsid w:val="46EF7152"/>
    <w:rsid w:val="46F673CE"/>
    <w:rsid w:val="46F72688"/>
    <w:rsid w:val="46F7788D"/>
    <w:rsid w:val="46F92614"/>
    <w:rsid w:val="46F947D9"/>
    <w:rsid w:val="46FC19F6"/>
    <w:rsid w:val="46FD4D04"/>
    <w:rsid w:val="46FF7403"/>
    <w:rsid w:val="4701087D"/>
    <w:rsid w:val="470152B5"/>
    <w:rsid w:val="47046B53"/>
    <w:rsid w:val="4707219F"/>
    <w:rsid w:val="470B2267"/>
    <w:rsid w:val="470F5224"/>
    <w:rsid w:val="47106EE2"/>
    <w:rsid w:val="471C10B2"/>
    <w:rsid w:val="471E6440"/>
    <w:rsid w:val="471F1BDF"/>
    <w:rsid w:val="47213261"/>
    <w:rsid w:val="47221EF5"/>
    <w:rsid w:val="47226FD9"/>
    <w:rsid w:val="47235FD3"/>
    <w:rsid w:val="47240FA3"/>
    <w:rsid w:val="47241E52"/>
    <w:rsid w:val="47262F6D"/>
    <w:rsid w:val="47280A93"/>
    <w:rsid w:val="472969B1"/>
    <w:rsid w:val="472B2331"/>
    <w:rsid w:val="472B2F33"/>
    <w:rsid w:val="472C2C45"/>
    <w:rsid w:val="472F38FB"/>
    <w:rsid w:val="47301003"/>
    <w:rsid w:val="47302C4B"/>
    <w:rsid w:val="473067D7"/>
    <w:rsid w:val="473162D4"/>
    <w:rsid w:val="47320EEB"/>
    <w:rsid w:val="47351311"/>
    <w:rsid w:val="4735647D"/>
    <w:rsid w:val="4736171A"/>
    <w:rsid w:val="473726E1"/>
    <w:rsid w:val="473802E7"/>
    <w:rsid w:val="473805AA"/>
    <w:rsid w:val="47392CA0"/>
    <w:rsid w:val="473D2A98"/>
    <w:rsid w:val="473E02B7"/>
    <w:rsid w:val="473F33F0"/>
    <w:rsid w:val="47413C1E"/>
    <w:rsid w:val="47462CC7"/>
    <w:rsid w:val="47486A40"/>
    <w:rsid w:val="474B4782"/>
    <w:rsid w:val="474C68B7"/>
    <w:rsid w:val="47506B00"/>
    <w:rsid w:val="47553D01"/>
    <w:rsid w:val="47575D29"/>
    <w:rsid w:val="475950F1"/>
    <w:rsid w:val="47596E9F"/>
    <w:rsid w:val="475C073D"/>
    <w:rsid w:val="475C698F"/>
    <w:rsid w:val="475E44B5"/>
    <w:rsid w:val="475F0F41"/>
    <w:rsid w:val="4765017E"/>
    <w:rsid w:val="47662ECA"/>
    <w:rsid w:val="47665118"/>
    <w:rsid w:val="476A1867"/>
    <w:rsid w:val="476B6BD2"/>
    <w:rsid w:val="476D294A"/>
    <w:rsid w:val="476F0559"/>
    <w:rsid w:val="47707B40"/>
    <w:rsid w:val="47712C8E"/>
    <w:rsid w:val="47721D0E"/>
    <w:rsid w:val="4772784C"/>
    <w:rsid w:val="47743CD8"/>
    <w:rsid w:val="477517FF"/>
    <w:rsid w:val="47756DB4"/>
    <w:rsid w:val="477626C0"/>
    <w:rsid w:val="477827B0"/>
    <w:rsid w:val="47794A11"/>
    <w:rsid w:val="47794E4B"/>
    <w:rsid w:val="477A6E15"/>
    <w:rsid w:val="477E4505"/>
    <w:rsid w:val="477E4B57"/>
    <w:rsid w:val="478101A3"/>
    <w:rsid w:val="47815614"/>
    <w:rsid w:val="4782061D"/>
    <w:rsid w:val="47835CCA"/>
    <w:rsid w:val="478704A5"/>
    <w:rsid w:val="478C4F78"/>
    <w:rsid w:val="478D4D9A"/>
    <w:rsid w:val="47903266"/>
    <w:rsid w:val="47910D84"/>
    <w:rsid w:val="47912713"/>
    <w:rsid w:val="479172BB"/>
    <w:rsid w:val="47920859"/>
    <w:rsid w:val="47934B3D"/>
    <w:rsid w:val="47947ED7"/>
    <w:rsid w:val="47953C4F"/>
    <w:rsid w:val="4795587C"/>
    <w:rsid w:val="47961EA1"/>
    <w:rsid w:val="47965B1F"/>
    <w:rsid w:val="479C4FDD"/>
    <w:rsid w:val="479D0290"/>
    <w:rsid w:val="479F2FA9"/>
    <w:rsid w:val="479F6487"/>
    <w:rsid w:val="47A042E4"/>
    <w:rsid w:val="47A04ACD"/>
    <w:rsid w:val="47A0687C"/>
    <w:rsid w:val="47A37864"/>
    <w:rsid w:val="47A51CF5"/>
    <w:rsid w:val="47A614EC"/>
    <w:rsid w:val="47A73CBB"/>
    <w:rsid w:val="47A83982"/>
    <w:rsid w:val="47AA015F"/>
    <w:rsid w:val="47AC2540"/>
    <w:rsid w:val="47AD0F98"/>
    <w:rsid w:val="47AD50DD"/>
    <w:rsid w:val="47AD75EE"/>
    <w:rsid w:val="47AF6ABF"/>
    <w:rsid w:val="47B265AF"/>
    <w:rsid w:val="47B37163"/>
    <w:rsid w:val="47B61DE1"/>
    <w:rsid w:val="47B80465"/>
    <w:rsid w:val="47BB36B5"/>
    <w:rsid w:val="47BD4729"/>
    <w:rsid w:val="47BE50D3"/>
    <w:rsid w:val="47BE6D02"/>
    <w:rsid w:val="47BF1D46"/>
    <w:rsid w:val="47BF3533"/>
    <w:rsid w:val="47C167F2"/>
    <w:rsid w:val="47C17A7A"/>
    <w:rsid w:val="47C427D8"/>
    <w:rsid w:val="47C5486A"/>
    <w:rsid w:val="47C72D66"/>
    <w:rsid w:val="47CB141F"/>
    <w:rsid w:val="47CC43BC"/>
    <w:rsid w:val="47CD0D99"/>
    <w:rsid w:val="47D14C87"/>
    <w:rsid w:val="47D31E1A"/>
    <w:rsid w:val="47D427BB"/>
    <w:rsid w:val="47D429C9"/>
    <w:rsid w:val="47D51DD5"/>
    <w:rsid w:val="47D70E37"/>
    <w:rsid w:val="47D74267"/>
    <w:rsid w:val="47D84305"/>
    <w:rsid w:val="47DA343B"/>
    <w:rsid w:val="47DA727C"/>
    <w:rsid w:val="47DB266C"/>
    <w:rsid w:val="47DB3D58"/>
    <w:rsid w:val="47DC0C04"/>
    <w:rsid w:val="47DC13BC"/>
    <w:rsid w:val="47DC2465"/>
    <w:rsid w:val="47DC6F6B"/>
    <w:rsid w:val="47DE6BC3"/>
    <w:rsid w:val="47DE73A4"/>
    <w:rsid w:val="47E23F21"/>
    <w:rsid w:val="47E6234B"/>
    <w:rsid w:val="47E94DD0"/>
    <w:rsid w:val="47EB0D8B"/>
    <w:rsid w:val="47EC2C92"/>
    <w:rsid w:val="47F03ACE"/>
    <w:rsid w:val="47F840DF"/>
    <w:rsid w:val="47FA27BC"/>
    <w:rsid w:val="48003E5C"/>
    <w:rsid w:val="4806272C"/>
    <w:rsid w:val="480916A9"/>
    <w:rsid w:val="480A0199"/>
    <w:rsid w:val="480D37B0"/>
    <w:rsid w:val="48111527"/>
    <w:rsid w:val="48184F65"/>
    <w:rsid w:val="4819662E"/>
    <w:rsid w:val="481D611E"/>
    <w:rsid w:val="481E59F2"/>
    <w:rsid w:val="481F74E4"/>
    <w:rsid w:val="48205C0E"/>
    <w:rsid w:val="48216C75"/>
    <w:rsid w:val="482202A7"/>
    <w:rsid w:val="4823347E"/>
    <w:rsid w:val="48252C33"/>
    <w:rsid w:val="48254FD3"/>
    <w:rsid w:val="48256D81"/>
    <w:rsid w:val="48272AF9"/>
    <w:rsid w:val="48280263"/>
    <w:rsid w:val="48284AC3"/>
    <w:rsid w:val="482936AF"/>
    <w:rsid w:val="4829542D"/>
    <w:rsid w:val="482A2606"/>
    <w:rsid w:val="482B73A4"/>
    <w:rsid w:val="482C45B3"/>
    <w:rsid w:val="482D70C9"/>
    <w:rsid w:val="482E032B"/>
    <w:rsid w:val="482E3A5F"/>
    <w:rsid w:val="482E7B3D"/>
    <w:rsid w:val="482F5E51"/>
    <w:rsid w:val="482F7405"/>
    <w:rsid w:val="483006A1"/>
    <w:rsid w:val="48313978"/>
    <w:rsid w:val="4833172D"/>
    <w:rsid w:val="4833584C"/>
    <w:rsid w:val="48343468"/>
    <w:rsid w:val="483544C3"/>
    <w:rsid w:val="48362AAE"/>
    <w:rsid w:val="48367BDF"/>
    <w:rsid w:val="48387027"/>
    <w:rsid w:val="48391EBB"/>
    <w:rsid w:val="483E6094"/>
    <w:rsid w:val="4841620A"/>
    <w:rsid w:val="48427933"/>
    <w:rsid w:val="484336AB"/>
    <w:rsid w:val="4843434A"/>
    <w:rsid w:val="484418FD"/>
    <w:rsid w:val="48444011"/>
    <w:rsid w:val="48470074"/>
    <w:rsid w:val="48496717"/>
    <w:rsid w:val="484D0086"/>
    <w:rsid w:val="484E53A6"/>
    <w:rsid w:val="484F0149"/>
    <w:rsid w:val="484F57D3"/>
    <w:rsid w:val="48506B76"/>
    <w:rsid w:val="485215F2"/>
    <w:rsid w:val="48531B40"/>
    <w:rsid w:val="4855652F"/>
    <w:rsid w:val="48564296"/>
    <w:rsid w:val="48566CF1"/>
    <w:rsid w:val="48570756"/>
    <w:rsid w:val="48571BF2"/>
    <w:rsid w:val="48580F04"/>
    <w:rsid w:val="485844ED"/>
    <w:rsid w:val="48594C7C"/>
    <w:rsid w:val="48597CDA"/>
    <w:rsid w:val="485B27A2"/>
    <w:rsid w:val="485D29BF"/>
    <w:rsid w:val="485D54DD"/>
    <w:rsid w:val="485D651B"/>
    <w:rsid w:val="485E2293"/>
    <w:rsid w:val="48604DA3"/>
    <w:rsid w:val="486173AD"/>
    <w:rsid w:val="48643D4D"/>
    <w:rsid w:val="48651873"/>
    <w:rsid w:val="48673F72"/>
    <w:rsid w:val="486755EB"/>
    <w:rsid w:val="48677B6A"/>
    <w:rsid w:val="48691DD4"/>
    <w:rsid w:val="48692167"/>
    <w:rsid w:val="486F45FB"/>
    <w:rsid w:val="48705AA1"/>
    <w:rsid w:val="48737C42"/>
    <w:rsid w:val="48743864"/>
    <w:rsid w:val="48743BB1"/>
    <w:rsid w:val="48793BD6"/>
    <w:rsid w:val="487B4BF3"/>
    <w:rsid w:val="487B51EB"/>
    <w:rsid w:val="487D6494"/>
    <w:rsid w:val="487D7573"/>
    <w:rsid w:val="487F0B87"/>
    <w:rsid w:val="487F438D"/>
    <w:rsid w:val="48825F81"/>
    <w:rsid w:val="48831CF9"/>
    <w:rsid w:val="48834C9A"/>
    <w:rsid w:val="4885763C"/>
    <w:rsid w:val="4885796D"/>
    <w:rsid w:val="488A12DA"/>
    <w:rsid w:val="488A3971"/>
    <w:rsid w:val="48916DF3"/>
    <w:rsid w:val="48961184"/>
    <w:rsid w:val="48967C7F"/>
    <w:rsid w:val="48981C49"/>
    <w:rsid w:val="489B34E7"/>
    <w:rsid w:val="489B7043"/>
    <w:rsid w:val="489D53B3"/>
    <w:rsid w:val="489F7293"/>
    <w:rsid w:val="48A00AFD"/>
    <w:rsid w:val="48A04659"/>
    <w:rsid w:val="48A05CDF"/>
    <w:rsid w:val="48A27A7E"/>
    <w:rsid w:val="48A5161B"/>
    <w:rsid w:val="48A72CF0"/>
    <w:rsid w:val="48AC350E"/>
    <w:rsid w:val="48AD2692"/>
    <w:rsid w:val="48AE0361"/>
    <w:rsid w:val="48AF2AEE"/>
    <w:rsid w:val="48B057C4"/>
    <w:rsid w:val="48B05B10"/>
    <w:rsid w:val="48B3438D"/>
    <w:rsid w:val="48B52DB5"/>
    <w:rsid w:val="48B8194D"/>
    <w:rsid w:val="48BB52D0"/>
    <w:rsid w:val="48BD1D7D"/>
    <w:rsid w:val="48C0749C"/>
    <w:rsid w:val="48C12F4D"/>
    <w:rsid w:val="48C1377B"/>
    <w:rsid w:val="48C33453"/>
    <w:rsid w:val="48C53BE5"/>
    <w:rsid w:val="48CD2A62"/>
    <w:rsid w:val="48D2515B"/>
    <w:rsid w:val="48D45F55"/>
    <w:rsid w:val="48D75559"/>
    <w:rsid w:val="48D95262"/>
    <w:rsid w:val="48DA7B6B"/>
    <w:rsid w:val="48DD572E"/>
    <w:rsid w:val="48DE0A14"/>
    <w:rsid w:val="48DF1625"/>
    <w:rsid w:val="48DF7B56"/>
    <w:rsid w:val="48E140E8"/>
    <w:rsid w:val="48E14C01"/>
    <w:rsid w:val="48E24C72"/>
    <w:rsid w:val="48E31F89"/>
    <w:rsid w:val="48E33DA6"/>
    <w:rsid w:val="48EC3D42"/>
    <w:rsid w:val="48EF520E"/>
    <w:rsid w:val="48F02D11"/>
    <w:rsid w:val="48F21359"/>
    <w:rsid w:val="48F33285"/>
    <w:rsid w:val="48F536E8"/>
    <w:rsid w:val="48F6071D"/>
    <w:rsid w:val="48F6215F"/>
    <w:rsid w:val="48F651B1"/>
    <w:rsid w:val="48F7696F"/>
    <w:rsid w:val="48F86FBD"/>
    <w:rsid w:val="48FE43BF"/>
    <w:rsid w:val="49033566"/>
    <w:rsid w:val="4905123C"/>
    <w:rsid w:val="4907292A"/>
    <w:rsid w:val="49091E35"/>
    <w:rsid w:val="490B60F0"/>
    <w:rsid w:val="490C1190"/>
    <w:rsid w:val="490C41A1"/>
    <w:rsid w:val="490E06DA"/>
    <w:rsid w:val="490E1F0B"/>
    <w:rsid w:val="49117305"/>
    <w:rsid w:val="491327C5"/>
    <w:rsid w:val="49143163"/>
    <w:rsid w:val="49143FE3"/>
    <w:rsid w:val="491D00C2"/>
    <w:rsid w:val="492003A7"/>
    <w:rsid w:val="4923585E"/>
    <w:rsid w:val="4924528A"/>
    <w:rsid w:val="49247038"/>
    <w:rsid w:val="492534CD"/>
    <w:rsid w:val="4929464F"/>
    <w:rsid w:val="492A6746"/>
    <w:rsid w:val="492B486B"/>
    <w:rsid w:val="492C38B9"/>
    <w:rsid w:val="493302C4"/>
    <w:rsid w:val="4933778C"/>
    <w:rsid w:val="49342470"/>
    <w:rsid w:val="493431B8"/>
    <w:rsid w:val="493515CD"/>
    <w:rsid w:val="4935233D"/>
    <w:rsid w:val="49370211"/>
    <w:rsid w:val="49374FBE"/>
    <w:rsid w:val="49390FFA"/>
    <w:rsid w:val="49393194"/>
    <w:rsid w:val="493A4AAE"/>
    <w:rsid w:val="493C72B8"/>
    <w:rsid w:val="493F1574"/>
    <w:rsid w:val="49411F61"/>
    <w:rsid w:val="494468D3"/>
    <w:rsid w:val="49450A8F"/>
    <w:rsid w:val="49452DA3"/>
    <w:rsid w:val="49496203"/>
    <w:rsid w:val="494A6F05"/>
    <w:rsid w:val="494D658F"/>
    <w:rsid w:val="494E2307"/>
    <w:rsid w:val="494E5765"/>
    <w:rsid w:val="494F4B9E"/>
    <w:rsid w:val="494F558F"/>
    <w:rsid w:val="495042D1"/>
    <w:rsid w:val="49504D57"/>
    <w:rsid w:val="49511492"/>
    <w:rsid w:val="49521DF7"/>
    <w:rsid w:val="49535B70"/>
    <w:rsid w:val="4953791E"/>
    <w:rsid w:val="4954138F"/>
    <w:rsid w:val="495A5150"/>
    <w:rsid w:val="495D6FC3"/>
    <w:rsid w:val="495F4EBC"/>
    <w:rsid w:val="49603EAB"/>
    <w:rsid w:val="4960403A"/>
    <w:rsid w:val="49641441"/>
    <w:rsid w:val="49650E56"/>
    <w:rsid w:val="4968161B"/>
    <w:rsid w:val="496C3700"/>
    <w:rsid w:val="496E0FC1"/>
    <w:rsid w:val="496E774B"/>
    <w:rsid w:val="497434E2"/>
    <w:rsid w:val="49752D84"/>
    <w:rsid w:val="49757894"/>
    <w:rsid w:val="49761144"/>
    <w:rsid w:val="49770A16"/>
    <w:rsid w:val="497955D6"/>
    <w:rsid w:val="497A3D4B"/>
    <w:rsid w:val="497C6E74"/>
    <w:rsid w:val="497C7721"/>
    <w:rsid w:val="497D1CB2"/>
    <w:rsid w:val="497E1DB7"/>
    <w:rsid w:val="497E4037"/>
    <w:rsid w:val="498143E7"/>
    <w:rsid w:val="4981448B"/>
    <w:rsid w:val="49821377"/>
    <w:rsid w:val="4982523B"/>
    <w:rsid w:val="49830203"/>
    <w:rsid w:val="49833ADE"/>
    <w:rsid w:val="498371C2"/>
    <w:rsid w:val="49873EEC"/>
    <w:rsid w:val="49877AA0"/>
    <w:rsid w:val="49880B1D"/>
    <w:rsid w:val="49882A75"/>
    <w:rsid w:val="498850C9"/>
    <w:rsid w:val="498A082A"/>
    <w:rsid w:val="498B235C"/>
    <w:rsid w:val="498B5309"/>
    <w:rsid w:val="498E2673"/>
    <w:rsid w:val="498E34CE"/>
    <w:rsid w:val="498F09DC"/>
    <w:rsid w:val="49980C25"/>
    <w:rsid w:val="49985566"/>
    <w:rsid w:val="4998616F"/>
    <w:rsid w:val="499B2082"/>
    <w:rsid w:val="499C37ED"/>
    <w:rsid w:val="499C7517"/>
    <w:rsid w:val="499E0464"/>
    <w:rsid w:val="499F3404"/>
    <w:rsid w:val="49A06627"/>
    <w:rsid w:val="49A10C1C"/>
    <w:rsid w:val="49A12920"/>
    <w:rsid w:val="49A130E6"/>
    <w:rsid w:val="49A14B2D"/>
    <w:rsid w:val="49A35582"/>
    <w:rsid w:val="49A578A4"/>
    <w:rsid w:val="49A86E44"/>
    <w:rsid w:val="49AA39E1"/>
    <w:rsid w:val="49AB09D0"/>
    <w:rsid w:val="49AC7F5A"/>
    <w:rsid w:val="49AD34D2"/>
    <w:rsid w:val="49B2260A"/>
    <w:rsid w:val="49B30805"/>
    <w:rsid w:val="49B327E3"/>
    <w:rsid w:val="49B361E0"/>
    <w:rsid w:val="49B52386"/>
    <w:rsid w:val="49B7279E"/>
    <w:rsid w:val="49B760FE"/>
    <w:rsid w:val="49B97C28"/>
    <w:rsid w:val="49BC52E7"/>
    <w:rsid w:val="49BC54C3"/>
    <w:rsid w:val="49BD03E9"/>
    <w:rsid w:val="49BE3DA3"/>
    <w:rsid w:val="49BF1701"/>
    <w:rsid w:val="49BF4FB3"/>
    <w:rsid w:val="49C349BA"/>
    <w:rsid w:val="49C42F84"/>
    <w:rsid w:val="49C71B1D"/>
    <w:rsid w:val="49C72C58"/>
    <w:rsid w:val="49C746D5"/>
    <w:rsid w:val="49C85CE1"/>
    <w:rsid w:val="49CA1D65"/>
    <w:rsid w:val="49CB3958"/>
    <w:rsid w:val="49CE23D3"/>
    <w:rsid w:val="49CE717A"/>
    <w:rsid w:val="49CE7B02"/>
    <w:rsid w:val="49CF3448"/>
    <w:rsid w:val="49D00F07"/>
    <w:rsid w:val="49D2118A"/>
    <w:rsid w:val="49D24CE6"/>
    <w:rsid w:val="49D44C30"/>
    <w:rsid w:val="49D56585"/>
    <w:rsid w:val="49D62A28"/>
    <w:rsid w:val="49D72121"/>
    <w:rsid w:val="49DA246F"/>
    <w:rsid w:val="49DC5046"/>
    <w:rsid w:val="49DD4262"/>
    <w:rsid w:val="49DE1F71"/>
    <w:rsid w:val="49E750DB"/>
    <w:rsid w:val="49E82183"/>
    <w:rsid w:val="49E8450A"/>
    <w:rsid w:val="49EA0D7A"/>
    <w:rsid w:val="49EA1CB8"/>
    <w:rsid w:val="49EC3FFA"/>
    <w:rsid w:val="49ED692E"/>
    <w:rsid w:val="49F27FFB"/>
    <w:rsid w:val="49F37157"/>
    <w:rsid w:val="49F9667A"/>
    <w:rsid w:val="49FC25C6"/>
    <w:rsid w:val="49FC2E18"/>
    <w:rsid w:val="49FE2B2D"/>
    <w:rsid w:val="49FE5ADB"/>
    <w:rsid w:val="4A021E4C"/>
    <w:rsid w:val="4A021F26"/>
    <w:rsid w:val="4A0757FD"/>
    <w:rsid w:val="4A080708"/>
    <w:rsid w:val="4A0A0924"/>
    <w:rsid w:val="4A0A4DA4"/>
    <w:rsid w:val="4A0B01F8"/>
    <w:rsid w:val="4A0D425E"/>
    <w:rsid w:val="4A0F7CE8"/>
    <w:rsid w:val="4A1159EC"/>
    <w:rsid w:val="4A1452FF"/>
    <w:rsid w:val="4A160EDA"/>
    <w:rsid w:val="4A1A472F"/>
    <w:rsid w:val="4A1D0657"/>
    <w:rsid w:val="4A1D483E"/>
    <w:rsid w:val="4A1D7F2B"/>
    <w:rsid w:val="4A1E01AE"/>
    <w:rsid w:val="4A1E0ED1"/>
    <w:rsid w:val="4A2029AD"/>
    <w:rsid w:val="4A2319E6"/>
    <w:rsid w:val="4A2512BA"/>
    <w:rsid w:val="4A280DAA"/>
    <w:rsid w:val="4A2D016F"/>
    <w:rsid w:val="4A2D061E"/>
    <w:rsid w:val="4A2E69CA"/>
    <w:rsid w:val="4A2F3EE7"/>
    <w:rsid w:val="4A2F7F06"/>
    <w:rsid w:val="4A306955"/>
    <w:rsid w:val="4A315EB1"/>
    <w:rsid w:val="4A354945"/>
    <w:rsid w:val="4A363BCE"/>
    <w:rsid w:val="4A372D9B"/>
    <w:rsid w:val="4A38723F"/>
    <w:rsid w:val="4A3F01C3"/>
    <w:rsid w:val="4A3F14B3"/>
    <w:rsid w:val="4A4055E7"/>
    <w:rsid w:val="4A413C1A"/>
    <w:rsid w:val="4A43432C"/>
    <w:rsid w:val="4A45195C"/>
    <w:rsid w:val="4A4554B8"/>
    <w:rsid w:val="4A471230"/>
    <w:rsid w:val="4A4B1ACD"/>
    <w:rsid w:val="4A4C6C98"/>
    <w:rsid w:val="4A4D0DC4"/>
    <w:rsid w:val="4A4E219E"/>
    <w:rsid w:val="4A4F5593"/>
    <w:rsid w:val="4A55270C"/>
    <w:rsid w:val="4A5617AC"/>
    <w:rsid w:val="4A5738F9"/>
    <w:rsid w:val="4A575ACA"/>
    <w:rsid w:val="4A5C478F"/>
    <w:rsid w:val="4A5D0A54"/>
    <w:rsid w:val="4A5E4B22"/>
    <w:rsid w:val="4A6036F8"/>
    <w:rsid w:val="4A62250E"/>
    <w:rsid w:val="4A6507F2"/>
    <w:rsid w:val="4A653DAC"/>
    <w:rsid w:val="4A66166D"/>
    <w:rsid w:val="4A6701FD"/>
    <w:rsid w:val="4A672BB6"/>
    <w:rsid w:val="4A673681"/>
    <w:rsid w:val="4A6869C6"/>
    <w:rsid w:val="4A6954D5"/>
    <w:rsid w:val="4A6A13C3"/>
    <w:rsid w:val="4A6A24C9"/>
    <w:rsid w:val="4A6A4F1F"/>
    <w:rsid w:val="4A6D4A0F"/>
    <w:rsid w:val="4A6F707C"/>
    <w:rsid w:val="4A714964"/>
    <w:rsid w:val="4A7453FF"/>
    <w:rsid w:val="4A751205"/>
    <w:rsid w:val="4A771446"/>
    <w:rsid w:val="4A791606"/>
    <w:rsid w:val="4A7A7858"/>
    <w:rsid w:val="4A7F1455"/>
    <w:rsid w:val="4A815EC3"/>
    <w:rsid w:val="4A824357"/>
    <w:rsid w:val="4A833A63"/>
    <w:rsid w:val="4A837E4F"/>
    <w:rsid w:val="4A8561FD"/>
    <w:rsid w:val="4A862E5C"/>
    <w:rsid w:val="4A86307E"/>
    <w:rsid w:val="4A871F75"/>
    <w:rsid w:val="4A8D54D5"/>
    <w:rsid w:val="4A8E3303"/>
    <w:rsid w:val="4A8F4985"/>
    <w:rsid w:val="4A907B50"/>
    <w:rsid w:val="4A9326C8"/>
    <w:rsid w:val="4A944E5F"/>
    <w:rsid w:val="4A946440"/>
    <w:rsid w:val="4A9621B8"/>
    <w:rsid w:val="4A965D14"/>
    <w:rsid w:val="4A9975FA"/>
    <w:rsid w:val="4A9B332A"/>
    <w:rsid w:val="4A9B50B1"/>
    <w:rsid w:val="4A9B5A20"/>
    <w:rsid w:val="4A9C408D"/>
    <w:rsid w:val="4AA14855"/>
    <w:rsid w:val="4AA20B5D"/>
    <w:rsid w:val="4AA30431"/>
    <w:rsid w:val="4AA405A2"/>
    <w:rsid w:val="4AA51DFF"/>
    <w:rsid w:val="4AA52F02"/>
    <w:rsid w:val="4AA541A9"/>
    <w:rsid w:val="4AA743C5"/>
    <w:rsid w:val="4AA77F21"/>
    <w:rsid w:val="4AA8171D"/>
    <w:rsid w:val="4AA97CC9"/>
    <w:rsid w:val="4AAD305D"/>
    <w:rsid w:val="4AAE558F"/>
    <w:rsid w:val="4AAF1E10"/>
    <w:rsid w:val="4AB50890"/>
    <w:rsid w:val="4AB73652"/>
    <w:rsid w:val="4AB94DC4"/>
    <w:rsid w:val="4ABA3306"/>
    <w:rsid w:val="4AC07676"/>
    <w:rsid w:val="4AC53717"/>
    <w:rsid w:val="4AC93F80"/>
    <w:rsid w:val="4ACA494B"/>
    <w:rsid w:val="4ACD0506"/>
    <w:rsid w:val="4ACE1952"/>
    <w:rsid w:val="4AD35C4C"/>
    <w:rsid w:val="4AD52CE0"/>
    <w:rsid w:val="4AD617B6"/>
    <w:rsid w:val="4AD827D0"/>
    <w:rsid w:val="4ADC55DA"/>
    <w:rsid w:val="4ADE5AFE"/>
    <w:rsid w:val="4ADF6F8E"/>
    <w:rsid w:val="4AE07B66"/>
    <w:rsid w:val="4AE20473"/>
    <w:rsid w:val="4AE566DB"/>
    <w:rsid w:val="4AE64EED"/>
    <w:rsid w:val="4AE6726F"/>
    <w:rsid w:val="4AE762D9"/>
    <w:rsid w:val="4AE77CB3"/>
    <w:rsid w:val="4AF33B4C"/>
    <w:rsid w:val="4AF65B94"/>
    <w:rsid w:val="4AF825ED"/>
    <w:rsid w:val="4AFA44F5"/>
    <w:rsid w:val="4AFD0BAD"/>
    <w:rsid w:val="4AFD5D93"/>
    <w:rsid w:val="4AFE0D50"/>
    <w:rsid w:val="4B012A07"/>
    <w:rsid w:val="4B013028"/>
    <w:rsid w:val="4B015F26"/>
    <w:rsid w:val="4B0613F2"/>
    <w:rsid w:val="4B0657CC"/>
    <w:rsid w:val="4B0825D7"/>
    <w:rsid w:val="4B08477A"/>
    <w:rsid w:val="4B0A54E2"/>
    <w:rsid w:val="4B0B503C"/>
    <w:rsid w:val="4B0C6606"/>
    <w:rsid w:val="4B0E162C"/>
    <w:rsid w:val="4B0F118C"/>
    <w:rsid w:val="4B0F6B99"/>
    <w:rsid w:val="4B111845"/>
    <w:rsid w:val="4B1331B6"/>
    <w:rsid w:val="4B137E78"/>
    <w:rsid w:val="4B147F61"/>
    <w:rsid w:val="4B185F49"/>
    <w:rsid w:val="4B187593"/>
    <w:rsid w:val="4B215F25"/>
    <w:rsid w:val="4B223A4B"/>
    <w:rsid w:val="4B2477C4"/>
    <w:rsid w:val="4B25798A"/>
    <w:rsid w:val="4B277276"/>
    <w:rsid w:val="4B294897"/>
    <w:rsid w:val="4B294DDA"/>
    <w:rsid w:val="4B2A1534"/>
    <w:rsid w:val="4B2B6DA4"/>
    <w:rsid w:val="4B2C128D"/>
    <w:rsid w:val="4B2C6678"/>
    <w:rsid w:val="4B2D2C28"/>
    <w:rsid w:val="4B3043BA"/>
    <w:rsid w:val="4B311703"/>
    <w:rsid w:val="4B320132"/>
    <w:rsid w:val="4B321136"/>
    <w:rsid w:val="4B321EE0"/>
    <w:rsid w:val="4B3375F1"/>
    <w:rsid w:val="4B3774F7"/>
    <w:rsid w:val="4B390678"/>
    <w:rsid w:val="4B3A0D95"/>
    <w:rsid w:val="4B3B68BB"/>
    <w:rsid w:val="4B3D651A"/>
    <w:rsid w:val="4B3F45FD"/>
    <w:rsid w:val="4B452F6D"/>
    <w:rsid w:val="4B474412"/>
    <w:rsid w:val="4B4B6156"/>
    <w:rsid w:val="4B4F64A7"/>
    <w:rsid w:val="4B505E72"/>
    <w:rsid w:val="4B523FA3"/>
    <w:rsid w:val="4B553E21"/>
    <w:rsid w:val="4B564475"/>
    <w:rsid w:val="4B5A0954"/>
    <w:rsid w:val="4B5A595C"/>
    <w:rsid w:val="4B5A5A42"/>
    <w:rsid w:val="4B5B29E2"/>
    <w:rsid w:val="4B62398B"/>
    <w:rsid w:val="4B654DD1"/>
    <w:rsid w:val="4B664237"/>
    <w:rsid w:val="4B667DDC"/>
    <w:rsid w:val="4B673D0F"/>
    <w:rsid w:val="4B685902"/>
    <w:rsid w:val="4B68689B"/>
    <w:rsid w:val="4B693F85"/>
    <w:rsid w:val="4B694683"/>
    <w:rsid w:val="4B6978CC"/>
    <w:rsid w:val="4B6A179D"/>
    <w:rsid w:val="4B6A49ED"/>
    <w:rsid w:val="4B6A596F"/>
    <w:rsid w:val="4B6B0F4E"/>
    <w:rsid w:val="4B6B1382"/>
    <w:rsid w:val="4B6C12E7"/>
    <w:rsid w:val="4B6C3EA3"/>
    <w:rsid w:val="4B6E29F5"/>
    <w:rsid w:val="4B6F080A"/>
    <w:rsid w:val="4B773D97"/>
    <w:rsid w:val="4B786A41"/>
    <w:rsid w:val="4B7C13AE"/>
    <w:rsid w:val="4B7D0C82"/>
    <w:rsid w:val="4B7F2C4C"/>
    <w:rsid w:val="4B822BC6"/>
    <w:rsid w:val="4B826C48"/>
    <w:rsid w:val="4B834E98"/>
    <w:rsid w:val="4B85339D"/>
    <w:rsid w:val="4B8643C7"/>
    <w:rsid w:val="4B892EA5"/>
    <w:rsid w:val="4B8D2AFB"/>
    <w:rsid w:val="4B9C6FEE"/>
    <w:rsid w:val="4B9E7BEE"/>
    <w:rsid w:val="4BA21302"/>
    <w:rsid w:val="4BA24BCE"/>
    <w:rsid w:val="4BA44460"/>
    <w:rsid w:val="4BA6467C"/>
    <w:rsid w:val="4BA91A77"/>
    <w:rsid w:val="4BA95F1B"/>
    <w:rsid w:val="4BAA2268"/>
    <w:rsid w:val="4BAE129E"/>
    <w:rsid w:val="4BAE5061"/>
    <w:rsid w:val="4BAE5AEA"/>
    <w:rsid w:val="4BB2424E"/>
    <w:rsid w:val="4BB24DCF"/>
    <w:rsid w:val="4BB40087"/>
    <w:rsid w:val="4BB550B7"/>
    <w:rsid w:val="4BB557D3"/>
    <w:rsid w:val="4BB70638"/>
    <w:rsid w:val="4BB74194"/>
    <w:rsid w:val="4BB773DF"/>
    <w:rsid w:val="4BBC5EF3"/>
    <w:rsid w:val="4BBF129A"/>
    <w:rsid w:val="4BC230A6"/>
    <w:rsid w:val="4BC45F63"/>
    <w:rsid w:val="4BC67194"/>
    <w:rsid w:val="4BC92119"/>
    <w:rsid w:val="4BCB5E91"/>
    <w:rsid w:val="4BCC1FAF"/>
    <w:rsid w:val="4BD011E5"/>
    <w:rsid w:val="4BD1232E"/>
    <w:rsid w:val="4BD4511B"/>
    <w:rsid w:val="4BD53375"/>
    <w:rsid w:val="4BD56159"/>
    <w:rsid w:val="4BD623F8"/>
    <w:rsid w:val="4BD72A88"/>
    <w:rsid w:val="4BD902F8"/>
    <w:rsid w:val="4BD91CCD"/>
    <w:rsid w:val="4BD95B97"/>
    <w:rsid w:val="4BD96800"/>
    <w:rsid w:val="4BDA60D4"/>
    <w:rsid w:val="4BDB3A41"/>
    <w:rsid w:val="4BDB4EA1"/>
    <w:rsid w:val="4BDB6C82"/>
    <w:rsid w:val="4BDD51C8"/>
    <w:rsid w:val="4BDE2574"/>
    <w:rsid w:val="4BE156B5"/>
    <w:rsid w:val="4BE17463"/>
    <w:rsid w:val="4BE512C1"/>
    <w:rsid w:val="4BE67446"/>
    <w:rsid w:val="4BEA3A22"/>
    <w:rsid w:val="4BED6653"/>
    <w:rsid w:val="4BF16EEE"/>
    <w:rsid w:val="4BF24EAD"/>
    <w:rsid w:val="4BF5412D"/>
    <w:rsid w:val="4BF61875"/>
    <w:rsid w:val="4BF61ACD"/>
    <w:rsid w:val="4BF70A34"/>
    <w:rsid w:val="4BFA6210"/>
    <w:rsid w:val="4BFB0195"/>
    <w:rsid w:val="4BFB057E"/>
    <w:rsid w:val="4BFC49C6"/>
    <w:rsid w:val="4BFD2861"/>
    <w:rsid w:val="4BFF2796"/>
    <w:rsid w:val="4BFF3834"/>
    <w:rsid w:val="4BFF652D"/>
    <w:rsid w:val="4C000173"/>
    <w:rsid w:val="4C003D8D"/>
    <w:rsid w:val="4C03562B"/>
    <w:rsid w:val="4C0513A3"/>
    <w:rsid w:val="4C0633FB"/>
    <w:rsid w:val="4C082C41"/>
    <w:rsid w:val="4C0849EF"/>
    <w:rsid w:val="4C084BF0"/>
    <w:rsid w:val="4C08704A"/>
    <w:rsid w:val="4C0C0983"/>
    <w:rsid w:val="4C0D2006"/>
    <w:rsid w:val="4C0D46FC"/>
    <w:rsid w:val="4C0F2222"/>
    <w:rsid w:val="4C110F67"/>
    <w:rsid w:val="4C132131"/>
    <w:rsid w:val="4C157234"/>
    <w:rsid w:val="4C160D54"/>
    <w:rsid w:val="4C17131E"/>
    <w:rsid w:val="4C190622"/>
    <w:rsid w:val="4C19797B"/>
    <w:rsid w:val="4C213E15"/>
    <w:rsid w:val="4C242F29"/>
    <w:rsid w:val="4C261064"/>
    <w:rsid w:val="4C263536"/>
    <w:rsid w:val="4C26756B"/>
    <w:rsid w:val="4C2832E3"/>
    <w:rsid w:val="4C2869FC"/>
    <w:rsid w:val="4C2A705C"/>
    <w:rsid w:val="4C2D3AD2"/>
    <w:rsid w:val="4C2D4456"/>
    <w:rsid w:val="4C2F2872"/>
    <w:rsid w:val="4C2F4672"/>
    <w:rsid w:val="4C2F6974"/>
    <w:rsid w:val="4C304509"/>
    <w:rsid w:val="4C3103EA"/>
    <w:rsid w:val="4C35532C"/>
    <w:rsid w:val="4C35598C"/>
    <w:rsid w:val="4C357CF2"/>
    <w:rsid w:val="4C396E74"/>
    <w:rsid w:val="4C3B1ECB"/>
    <w:rsid w:val="4C3B3017"/>
    <w:rsid w:val="4C3B4DC5"/>
    <w:rsid w:val="4C3C0B3D"/>
    <w:rsid w:val="4C3F7DBE"/>
    <w:rsid w:val="4C40062D"/>
    <w:rsid w:val="4C403C4F"/>
    <w:rsid w:val="4C43188E"/>
    <w:rsid w:val="4C4B10AB"/>
    <w:rsid w:val="4C4C73BA"/>
    <w:rsid w:val="4C4D68A6"/>
    <w:rsid w:val="4C4E1614"/>
    <w:rsid w:val="4C4E2195"/>
    <w:rsid w:val="4C4F0870"/>
    <w:rsid w:val="4C4F46A9"/>
    <w:rsid w:val="4C501305"/>
    <w:rsid w:val="4C507787"/>
    <w:rsid w:val="4C512EA8"/>
    <w:rsid w:val="4C5166E1"/>
    <w:rsid w:val="4C526FC1"/>
    <w:rsid w:val="4C537BB1"/>
    <w:rsid w:val="4C5B5467"/>
    <w:rsid w:val="4C5B7215"/>
    <w:rsid w:val="4C607C4A"/>
    <w:rsid w:val="4C6279A8"/>
    <w:rsid w:val="4C650797"/>
    <w:rsid w:val="4C671045"/>
    <w:rsid w:val="4C673E0C"/>
    <w:rsid w:val="4C683D07"/>
    <w:rsid w:val="4C697967"/>
    <w:rsid w:val="4C6A56AA"/>
    <w:rsid w:val="4C6D2FC8"/>
    <w:rsid w:val="4C703CF9"/>
    <w:rsid w:val="4C717F91"/>
    <w:rsid w:val="4C7301BE"/>
    <w:rsid w:val="4C74285A"/>
    <w:rsid w:val="4C79769B"/>
    <w:rsid w:val="4C7A66D2"/>
    <w:rsid w:val="4C7E1155"/>
    <w:rsid w:val="4C801545"/>
    <w:rsid w:val="4C802EB5"/>
    <w:rsid w:val="4C805474"/>
    <w:rsid w:val="4C806009"/>
    <w:rsid w:val="4C813055"/>
    <w:rsid w:val="4C832C57"/>
    <w:rsid w:val="4C834778"/>
    <w:rsid w:val="4C8408B1"/>
    <w:rsid w:val="4C87000A"/>
    <w:rsid w:val="4C88610C"/>
    <w:rsid w:val="4C8A7AFA"/>
    <w:rsid w:val="4C8B0F8A"/>
    <w:rsid w:val="4C8B4E9D"/>
    <w:rsid w:val="4C8E3D28"/>
    <w:rsid w:val="4C8F1BAF"/>
    <w:rsid w:val="4C903182"/>
    <w:rsid w:val="4C9077FB"/>
    <w:rsid w:val="4C9142D1"/>
    <w:rsid w:val="4C924C24"/>
    <w:rsid w:val="4C9322E5"/>
    <w:rsid w:val="4C9409C9"/>
    <w:rsid w:val="4C9444D5"/>
    <w:rsid w:val="4C9650E3"/>
    <w:rsid w:val="4C9755E9"/>
    <w:rsid w:val="4C982D16"/>
    <w:rsid w:val="4C9847C9"/>
    <w:rsid w:val="4C992887"/>
    <w:rsid w:val="4C99744E"/>
    <w:rsid w:val="4C9B5863"/>
    <w:rsid w:val="4C9D7995"/>
    <w:rsid w:val="4CA05179"/>
    <w:rsid w:val="4CA11388"/>
    <w:rsid w:val="4CA13325"/>
    <w:rsid w:val="4CA20763"/>
    <w:rsid w:val="4CA2729B"/>
    <w:rsid w:val="4CA30BBC"/>
    <w:rsid w:val="4CA3296A"/>
    <w:rsid w:val="4CA37CC7"/>
    <w:rsid w:val="4CA41E94"/>
    <w:rsid w:val="4CA57270"/>
    <w:rsid w:val="4CA67C10"/>
    <w:rsid w:val="4CAA1F4A"/>
    <w:rsid w:val="4CAB4911"/>
    <w:rsid w:val="4CAC66FE"/>
    <w:rsid w:val="4CAF7561"/>
    <w:rsid w:val="4CB43DA0"/>
    <w:rsid w:val="4CB5771B"/>
    <w:rsid w:val="4CBA711A"/>
    <w:rsid w:val="4CBB4158"/>
    <w:rsid w:val="4CBC0BF8"/>
    <w:rsid w:val="4CBE1552"/>
    <w:rsid w:val="4CBE77A4"/>
    <w:rsid w:val="4CBF2355"/>
    <w:rsid w:val="4CC0176E"/>
    <w:rsid w:val="4CC31472"/>
    <w:rsid w:val="4CC57D1C"/>
    <w:rsid w:val="4CC6471F"/>
    <w:rsid w:val="4CC8604B"/>
    <w:rsid w:val="4CCF5860"/>
    <w:rsid w:val="4CD10355"/>
    <w:rsid w:val="4CD35D8E"/>
    <w:rsid w:val="4CD4135D"/>
    <w:rsid w:val="4CD51FE1"/>
    <w:rsid w:val="4CD700C2"/>
    <w:rsid w:val="4CD77144"/>
    <w:rsid w:val="4CD84BE8"/>
    <w:rsid w:val="4CDD5E7C"/>
    <w:rsid w:val="4CDE5850"/>
    <w:rsid w:val="4CE17742"/>
    <w:rsid w:val="4CE216E4"/>
    <w:rsid w:val="4CE23492"/>
    <w:rsid w:val="4CE25CBA"/>
    <w:rsid w:val="4CE26365"/>
    <w:rsid w:val="4CE60698"/>
    <w:rsid w:val="4CE632C1"/>
    <w:rsid w:val="4CE66760"/>
    <w:rsid w:val="4CE71375"/>
    <w:rsid w:val="4CEC2563"/>
    <w:rsid w:val="4CEE4655"/>
    <w:rsid w:val="4CF327C3"/>
    <w:rsid w:val="4CF60CEC"/>
    <w:rsid w:val="4CF907DC"/>
    <w:rsid w:val="4CFE0BB0"/>
    <w:rsid w:val="4D0040CB"/>
    <w:rsid w:val="4D021A66"/>
    <w:rsid w:val="4D090A1F"/>
    <w:rsid w:val="4D096C71"/>
    <w:rsid w:val="4D0A62E0"/>
    <w:rsid w:val="4D0C050F"/>
    <w:rsid w:val="4D0C49B3"/>
    <w:rsid w:val="4D105959"/>
    <w:rsid w:val="4D111FCA"/>
    <w:rsid w:val="4D11576C"/>
    <w:rsid w:val="4D12264A"/>
    <w:rsid w:val="4D1473C4"/>
    <w:rsid w:val="4D155616"/>
    <w:rsid w:val="4D1740BE"/>
    <w:rsid w:val="4D185106"/>
    <w:rsid w:val="4D186EB4"/>
    <w:rsid w:val="4D1A0E7E"/>
    <w:rsid w:val="4D1A4ED3"/>
    <w:rsid w:val="4D1B1A4E"/>
    <w:rsid w:val="4D1D271C"/>
    <w:rsid w:val="4D200B39"/>
    <w:rsid w:val="4D211BE2"/>
    <w:rsid w:val="4D2135DB"/>
    <w:rsid w:val="4D245859"/>
    <w:rsid w:val="4D26623C"/>
    <w:rsid w:val="4D2835DB"/>
    <w:rsid w:val="4D29134E"/>
    <w:rsid w:val="4D292E6F"/>
    <w:rsid w:val="4D29796A"/>
    <w:rsid w:val="4D2C295F"/>
    <w:rsid w:val="4D2C622C"/>
    <w:rsid w:val="4D2C645F"/>
    <w:rsid w:val="4D2D12F7"/>
    <w:rsid w:val="4D2D597A"/>
    <w:rsid w:val="4D2D67AF"/>
    <w:rsid w:val="4D2D76DE"/>
    <w:rsid w:val="4D2E077F"/>
    <w:rsid w:val="4D2F41FE"/>
    <w:rsid w:val="4D320B28"/>
    <w:rsid w:val="4D344D92"/>
    <w:rsid w:val="4D362A97"/>
    <w:rsid w:val="4D395FB3"/>
    <w:rsid w:val="4D3D2DBF"/>
    <w:rsid w:val="4D3E167B"/>
    <w:rsid w:val="4D3F2693"/>
    <w:rsid w:val="4D402AE9"/>
    <w:rsid w:val="4D4128AF"/>
    <w:rsid w:val="4D421048"/>
    <w:rsid w:val="4D422183"/>
    <w:rsid w:val="4D453A21"/>
    <w:rsid w:val="4D4760EE"/>
    <w:rsid w:val="4D4B4D8F"/>
    <w:rsid w:val="4D515E26"/>
    <w:rsid w:val="4D5425EB"/>
    <w:rsid w:val="4D561F7B"/>
    <w:rsid w:val="4D5819A6"/>
    <w:rsid w:val="4D5A1DCF"/>
    <w:rsid w:val="4D5A74CD"/>
    <w:rsid w:val="4D5C1A47"/>
    <w:rsid w:val="4D5C5839"/>
    <w:rsid w:val="4D5F3E9C"/>
    <w:rsid w:val="4D601E6F"/>
    <w:rsid w:val="4D6028E9"/>
    <w:rsid w:val="4D602CC3"/>
    <w:rsid w:val="4D606695"/>
    <w:rsid w:val="4D6420F9"/>
    <w:rsid w:val="4D64784A"/>
    <w:rsid w:val="4D665E71"/>
    <w:rsid w:val="4D674407"/>
    <w:rsid w:val="4D6E11CA"/>
    <w:rsid w:val="4D6E2635"/>
    <w:rsid w:val="4D7011E9"/>
    <w:rsid w:val="4D713C46"/>
    <w:rsid w:val="4D752558"/>
    <w:rsid w:val="4D75526F"/>
    <w:rsid w:val="4D7A00F2"/>
    <w:rsid w:val="4D7A522E"/>
    <w:rsid w:val="4D7D762E"/>
    <w:rsid w:val="4D7E6C27"/>
    <w:rsid w:val="4D8207D1"/>
    <w:rsid w:val="4D8409ED"/>
    <w:rsid w:val="4D8757B4"/>
    <w:rsid w:val="4D8C5C55"/>
    <w:rsid w:val="4D8C62C9"/>
    <w:rsid w:val="4D903FFE"/>
    <w:rsid w:val="4D907392"/>
    <w:rsid w:val="4D922C7F"/>
    <w:rsid w:val="4D926885"/>
    <w:rsid w:val="4D9329DF"/>
    <w:rsid w:val="4D987957"/>
    <w:rsid w:val="4D9B070C"/>
    <w:rsid w:val="4D9C04BB"/>
    <w:rsid w:val="4D9C5D37"/>
    <w:rsid w:val="4DA06861"/>
    <w:rsid w:val="4DA12FAC"/>
    <w:rsid w:val="4DA351F2"/>
    <w:rsid w:val="4DA54FAD"/>
    <w:rsid w:val="4DA644C0"/>
    <w:rsid w:val="4DA7650B"/>
    <w:rsid w:val="4DA90454"/>
    <w:rsid w:val="4DAD323C"/>
    <w:rsid w:val="4DB03590"/>
    <w:rsid w:val="4DB07591"/>
    <w:rsid w:val="4DB210B7"/>
    <w:rsid w:val="4DB43081"/>
    <w:rsid w:val="4DB71A35"/>
    <w:rsid w:val="4DBA384C"/>
    <w:rsid w:val="4DBB7C86"/>
    <w:rsid w:val="4DBC0187"/>
    <w:rsid w:val="4DBC1F35"/>
    <w:rsid w:val="4DBC2D53"/>
    <w:rsid w:val="4DBE7976"/>
    <w:rsid w:val="4DC316F5"/>
    <w:rsid w:val="4DC4133A"/>
    <w:rsid w:val="4DC62DB4"/>
    <w:rsid w:val="4DC7528E"/>
    <w:rsid w:val="4DC95B5B"/>
    <w:rsid w:val="4DCC57C6"/>
    <w:rsid w:val="4DCD4142"/>
    <w:rsid w:val="4DD30CB1"/>
    <w:rsid w:val="4DD454D1"/>
    <w:rsid w:val="4DD52FF7"/>
    <w:rsid w:val="4DD559F9"/>
    <w:rsid w:val="4DD66729"/>
    <w:rsid w:val="4DDA170B"/>
    <w:rsid w:val="4DDA1AFF"/>
    <w:rsid w:val="4DDA23BB"/>
    <w:rsid w:val="4DDB5526"/>
    <w:rsid w:val="4DDC42EA"/>
    <w:rsid w:val="4DE07362"/>
    <w:rsid w:val="4DE108A9"/>
    <w:rsid w:val="4DE110F6"/>
    <w:rsid w:val="4DE2012A"/>
    <w:rsid w:val="4DE374C2"/>
    <w:rsid w:val="4DE648A9"/>
    <w:rsid w:val="4DE719AF"/>
    <w:rsid w:val="4DEC66C1"/>
    <w:rsid w:val="4DED20EF"/>
    <w:rsid w:val="4DF52352"/>
    <w:rsid w:val="4DF5539E"/>
    <w:rsid w:val="4DF711BF"/>
    <w:rsid w:val="4DFE42FC"/>
    <w:rsid w:val="4E005ADB"/>
    <w:rsid w:val="4E01203E"/>
    <w:rsid w:val="4E014268"/>
    <w:rsid w:val="4E052B3A"/>
    <w:rsid w:val="4E0749B3"/>
    <w:rsid w:val="4E086F29"/>
    <w:rsid w:val="4E0A0EF3"/>
    <w:rsid w:val="4E0A3E8A"/>
    <w:rsid w:val="4E0B4C6B"/>
    <w:rsid w:val="4E0D453F"/>
    <w:rsid w:val="4E110BB5"/>
    <w:rsid w:val="4E1B73D3"/>
    <w:rsid w:val="4E1E674C"/>
    <w:rsid w:val="4E1F4237"/>
    <w:rsid w:val="4E1F4272"/>
    <w:rsid w:val="4E235B10"/>
    <w:rsid w:val="4E2579AB"/>
    <w:rsid w:val="4E266092"/>
    <w:rsid w:val="4E2B0E50"/>
    <w:rsid w:val="4E2B2C17"/>
    <w:rsid w:val="4E2B70BB"/>
    <w:rsid w:val="4E2F4904"/>
    <w:rsid w:val="4E320449"/>
    <w:rsid w:val="4E321BAE"/>
    <w:rsid w:val="4E350587"/>
    <w:rsid w:val="4E353A96"/>
    <w:rsid w:val="4E3541DC"/>
    <w:rsid w:val="4E361799"/>
    <w:rsid w:val="4E36749F"/>
    <w:rsid w:val="4E372A91"/>
    <w:rsid w:val="4E3B7BF5"/>
    <w:rsid w:val="4E3C14A8"/>
    <w:rsid w:val="4E3E6DEE"/>
    <w:rsid w:val="4E3F0739"/>
    <w:rsid w:val="4E41277C"/>
    <w:rsid w:val="4E4168DE"/>
    <w:rsid w:val="4E461A30"/>
    <w:rsid w:val="4E465CA3"/>
    <w:rsid w:val="4E467A51"/>
    <w:rsid w:val="4E471625"/>
    <w:rsid w:val="4E485577"/>
    <w:rsid w:val="4E4966F7"/>
    <w:rsid w:val="4E4E201A"/>
    <w:rsid w:val="4E505913"/>
    <w:rsid w:val="4E524648"/>
    <w:rsid w:val="4E546612"/>
    <w:rsid w:val="4E5C1022"/>
    <w:rsid w:val="4E5D2534"/>
    <w:rsid w:val="4E5E2707"/>
    <w:rsid w:val="4E6262C5"/>
    <w:rsid w:val="4E642ED8"/>
    <w:rsid w:val="4E646565"/>
    <w:rsid w:val="4E653C7A"/>
    <w:rsid w:val="4E6600F3"/>
    <w:rsid w:val="4E675C51"/>
    <w:rsid w:val="4E6A1991"/>
    <w:rsid w:val="4E6A7964"/>
    <w:rsid w:val="4E6F51FA"/>
    <w:rsid w:val="4E710BC7"/>
    <w:rsid w:val="4E726A98"/>
    <w:rsid w:val="4E775310"/>
    <w:rsid w:val="4E780FDA"/>
    <w:rsid w:val="4E792C93"/>
    <w:rsid w:val="4E7A3C41"/>
    <w:rsid w:val="4E7C081A"/>
    <w:rsid w:val="4E7C16C5"/>
    <w:rsid w:val="4E7D0838"/>
    <w:rsid w:val="4E7F284A"/>
    <w:rsid w:val="4E84519F"/>
    <w:rsid w:val="4E8567CB"/>
    <w:rsid w:val="4E872543"/>
    <w:rsid w:val="4E8862BB"/>
    <w:rsid w:val="4E8A12D6"/>
    <w:rsid w:val="4E8D016A"/>
    <w:rsid w:val="4E8D38D2"/>
    <w:rsid w:val="4E8D5680"/>
    <w:rsid w:val="4E921EE6"/>
    <w:rsid w:val="4E9407BC"/>
    <w:rsid w:val="4E9904C8"/>
    <w:rsid w:val="4E9A0C31"/>
    <w:rsid w:val="4E9C4EF1"/>
    <w:rsid w:val="4E9D7DEB"/>
    <w:rsid w:val="4E9E078D"/>
    <w:rsid w:val="4EA15668"/>
    <w:rsid w:val="4EA330F5"/>
    <w:rsid w:val="4EA51828"/>
    <w:rsid w:val="4EA60A68"/>
    <w:rsid w:val="4EA766E7"/>
    <w:rsid w:val="4EA76741"/>
    <w:rsid w:val="4EAC3EAC"/>
    <w:rsid w:val="4EAF37DE"/>
    <w:rsid w:val="4EB3343D"/>
    <w:rsid w:val="4EB40E5E"/>
    <w:rsid w:val="4EB4204D"/>
    <w:rsid w:val="4EB470B0"/>
    <w:rsid w:val="4EB5237D"/>
    <w:rsid w:val="4EB52B7C"/>
    <w:rsid w:val="4EB84BAF"/>
    <w:rsid w:val="4EBB5FCC"/>
    <w:rsid w:val="4EBE6421"/>
    <w:rsid w:val="4EC10F90"/>
    <w:rsid w:val="4EC340BA"/>
    <w:rsid w:val="4EC92B5C"/>
    <w:rsid w:val="4ECB7DF8"/>
    <w:rsid w:val="4ECC63DB"/>
    <w:rsid w:val="4ECF3EEA"/>
    <w:rsid w:val="4ED11A10"/>
    <w:rsid w:val="4ED13C53"/>
    <w:rsid w:val="4ED279A3"/>
    <w:rsid w:val="4ED3131A"/>
    <w:rsid w:val="4ED432AF"/>
    <w:rsid w:val="4ED4372D"/>
    <w:rsid w:val="4ED92673"/>
    <w:rsid w:val="4ED96B14"/>
    <w:rsid w:val="4EDA1009"/>
    <w:rsid w:val="4EDE4B4F"/>
    <w:rsid w:val="4EDF159B"/>
    <w:rsid w:val="4EE55693"/>
    <w:rsid w:val="4EE7055B"/>
    <w:rsid w:val="4EE71234"/>
    <w:rsid w:val="4EE74D90"/>
    <w:rsid w:val="4EE80B08"/>
    <w:rsid w:val="4EE94FAC"/>
    <w:rsid w:val="4EE96D5A"/>
    <w:rsid w:val="4EEC223E"/>
    <w:rsid w:val="4EEE25C2"/>
    <w:rsid w:val="4EF311F0"/>
    <w:rsid w:val="4EF325E1"/>
    <w:rsid w:val="4EF41146"/>
    <w:rsid w:val="4EF456FF"/>
    <w:rsid w:val="4EF876C2"/>
    <w:rsid w:val="4EFD0A57"/>
    <w:rsid w:val="4EFD5B9B"/>
    <w:rsid w:val="4F016739"/>
    <w:rsid w:val="4F027E1C"/>
    <w:rsid w:val="4F043B94"/>
    <w:rsid w:val="4F054518"/>
    <w:rsid w:val="4F072CD2"/>
    <w:rsid w:val="4F075432"/>
    <w:rsid w:val="4F0954F5"/>
    <w:rsid w:val="4F0B6529"/>
    <w:rsid w:val="4F0C39F5"/>
    <w:rsid w:val="4F0C7551"/>
    <w:rsid w:val="4F102BE2"/>
    <w:rsid w:val="4F1142A9"/>
    <w:rsid w:val="4F116D72"/>
    <w:rsid w:val="4F171678"/>
    <w:rsid w:val="4F177058"/>
    <w:rsid w:val="4F177D91"/>
    <w:rsid w:val="4F180C5E"/>
    <w:rsid w:val="4F181889"/>
    <w:rsid w:val="4F18319B"/>
    <w:rsid w:val="4F195165"/>
    <w:rsid w:val="4F1B3A52"/>
    <w:rsid w:val="4F202B75"/>
    <w:rsid w:val="4F231F80"/>
    <w:rsid w:val="4F2353F4"/>
    <w:rsid w:val="4F264D65"/>
    <w:rsid w:val="4F275AD4"/>
    <w:rsid w:val="4F2935FA"/>
    <w:rsid w:val="4F2A5BC3"/>
    <w:rsid w:val="4F2C2C8E"/>
    <w:rsid w:val="4F2C2E90"/>
    <w:rsid w:val="4F2D7EE3"/>
    <w:rsid w:val="4F333079"/>
    <w:rsid w:val="4F334479"/>
    <w:rsid w:val="4F361873"/>
    <w:rsid w:val="4F381A8F"/>
    <w:rsid w:val="4F387E30"/>
    <w:rsid w:val="4F3955E3"/>
    <w:rsid w:val="4F3B1580"/>
    <w:rsid w:val="4F3E697A"/>
    <w:rsid w:val="4F3E754E"/>
    <w:rsid w:val="4F3F5085"/>
    <w:rsid w:val="4F446F17"/>
    <w:rsid w:val="4F451D99"/>
    <w:rsid w:val="4F457C44"/>
    <w:rsid w:val="4F483C6B"/>
    <w:rsid w:val="4F49696C"/>
    <w:rsid w:val="4F4B3ADF"/>
    <w:rsid w:val="4F4D2EA0"/>
    <w:rsid w:val="4F4F0B87"/>
    <w:rsid w:val="4F4F5DB4"/>
    <w:rsid w:val="4F50275B"/>
    <w:rsid w:val="4F524B80"/>
    <w:rsid w:val="4F552641"/>
    <w:rsid w:val="4F5554F1"/>
    <w:rsid w:val="4F5577B9"/>
    <w:rsid w:val="4F563CC4"/>
    <w:rsid w:val="4F584E2B"/>
    <w:rsid w:val="4F587B29"/>
    <w:rsid w:val="4F5967CA"/>
    <w:rsid w:val="4F5A5924"/>
    <w:rsid w:val="4F5A7C58"/>
    <w:rsid w:val="4F5C7D3E"/>
    <w:rsid w:val="4F5E727C"/>
    <w:rsid w:val="4F62034D"/>
    <w:rsid w:val="4F62472E"/>
    <w:rsid w:val="4F625F52"/>
    <w:rsid w:val="4F630A90"/>
    <w:rsid w:val="4F634247"/>
    <w:rsid w:val="4F64266E"/>
    <w:rsid w:val="4F644633"/>
    <w:rsid w:val="4F657B50"/>
    <w:rsid w:val="4F6805E7"/>
    <w:rsid w:val="4F6C5EFF"/>
    <w:rsid w:val="4F6C798B"/>
    <w:rsid w:val="4F6E3703"/>
    <w:rsid w:val="4F705861"/>
    <w:rsid w:val="4F7076FA"/>
    <w:rsid w:val="4F754A92"/>
    <w:rsid w:val="4F766BD7"/>
    <w:rsid w:val="4F78409B"/>
    <w:rsid w:val="4F790F9F"/>
    <w:rsid w:val="4F7A643B"/>
    <w:rsid w:val="4F7B197C"/>
    <w:rsid w:val="4F7C20AC"/>
    <w:rsid w:val="4F7C549F"/>
    <w:rsid w:val="4F7D031B"/>
    <w:rsid w:val="4F7D5BE5"/>
    <w:rsid w:val="4F7E5A89"/>
    <w:rsid w:val="4F7E6751"/>
    <w:rsid w:val="4F7F0C7C"/>
    <w:rsid w:val="4F804BBB"/>
    <w:rsid w:val="4F824833"/>
    <w:rsid w:val="4F85275A"/>
    <w:rsid w:val="4F8545A9"/>
    <w:rsid w:val="4F863692"/>
    <w:rsid w:val="4F887B6D"/>
    <w:rsid w:val="4F8B1693"/>
    <w:rsid w:val="4F8C3B89"/>
    <w:rsid w:val="4F8C52DA"/>
    <w:rsid w:val="4F8D7F28"/>
    <w:rsid w:val="4F905428"/>
    <w:rsid w:val="4F905D11"/>
    <w:rsid w:val="4F906C1E"/>
    <w:rsid w:val="4F9071D6"/>
    <w:rsid w:val="4F910BD3"/>
    <w:rsid w:val="4F921754"/>
    <w:rsid w:val="4F9455B2"/>
    <w:rsid w:val="4F953055"/>
    <w:rsid w:val="4F956C33"/>
    <w:rsid w:val="4F963923"/>
    <w:rsid w:val="4F99271D"/>
    <w:rsid w:val="4F9B5A12"/>
    <w:rsid w:val="4F9C2604"/>
    <w:rsid w:val="4F9C4CA9"/>
    <w:rsid w:val="4F9C5634"/>
    <w:rsid w:val="4F9C7EC6"/>
    <w:rsid w:val="4F9E26F1"/>
    <w:rsid w:val="4F9E7B5A"/>
    <w:rsid w:val="4F9F1E91"/>
    <w:rsid w:val="4FA10EB5"/>
    <w:rsid w:val="4FA32039"/>
    <w:rsid w:val="4FA51DC8"/>
    <w:rsid w:val="4FA77361"/>
    <w:rsid w:val="4FA9473B"/>
    <w:rsid w:val="4FAE58AE"/>
    <w:rsid w:val="4FB07F85"/>
    <w:rsid w:val="4FB23534"/>
    <w:rsid w:val="4FB37368"/>
    <w:rsid w:val="4FB43616"/>
    <w:rsid w:val="4FB72D0B"/>
    <w:rsid w:val="4FB82BD0"/>
    <w:rsid w:val="4FBA1BB2"/>
    <w:rsid w:val="4FBA6948"/>
    <w:rsid w:val="4FBA7845"/>
    <w:rsid w:val="4FBB2C66"/>
    <w:rsid w:val="4FBE4CCD"/>
    <w:rsid w:val="4FC13833"/>
    <w:rsid w:val="4FC275AB"/>
    <w:rsid w:val="4FC43323"/>
    <w:rsid w:val="4FC52F2D"/>
    <w:rsid w:val="4FC60E49"/>
    <w:rsid w:val="4FC95312"/>
    <w:rsid w:val="4FCA3333"/>
    <w:rsid w:val="4FCB6460"/>
    <w:rsid w:val="4FD038FB"/>
    <w:rsid w:val="4FD12D1D"/>
    <w:rsid w:val="4FD22893"/>
    <w:rsid w:val="4FD52A03"/>
    <w:rsid w:val="4FD55530"/>
    <w:rsid w:val="4FD76642"/>
    <w:rsid w:val="4FDA078E"/>
    <w:rsid w:val="4FDC457D"/>
    <w:rsid w:val="4FDD43E5"/>
    <w:rsid w:val="4FDD7434"/>
    <w:rsid w:val="4FDE24B2"/>
    <w:rsid w:val="4FDE3055"/>
    <w:rsid w:val="4FE440F7"/>
    <w:rsid w:val="4FE5026F"/>
    <w:rsid w:val="4FE614EB"/>
    <w:rsid w:val="4FE61BD1"/>
    <w:rsid w:val="4FE6773D"/>
    <w:rsid w:val="4FE85235"/>
    <w:rsid w:val="4FEB22F8"/>
    <w:rsid w:val="4FED4628"/>
    <w:rsid w:val="4FEE03A0"/>
    <w:rsid w:val="4FF00C3C"/>
    <w:rsid w:val="4FF04118"/>
    <w:rsid w:val="4FF25AEC"/>
    <w:rsid w:val="4FF27E90"/>
    <w:rsid w:val="4FF34542"/>
    <w:rsid w:val="4FF37764"/>
    <w:rsid w:val="4FF417BF"/>
    <w:rsid w:val="4FF42CAB"/>
    <w:rsid w:val="4FF46C53"/>
    <w:rsid w:val="4FFE2397"/>
    <w:rsid w:val="4FFE4A87"/>
    <w:rsid w:val="4FFF3A64"/>
    <w:rsid w:val="500100D3"/>
    <w:rsid w:val="5001388B"/>
    <w:rsid w:val="50016325"/>
    <w:rsid w:val="500217A0"/>
    <w:rsid w:val="50041363"/>
    <w:rsid w:val="50062F23"/>
    <w:rsid w:val="50067498"/>
    <w:rsid w:val="50075A62"/>
    <w:rsid w:val="50083210"/>
    <w:rsid w:val="500C0BF4"/>
    <w:rsid w:val="500F1D21"/>
    <w:rsid w:val="50106933"/>
    <w:rsid w:val="50133AE9"/>
    <w:rsid w:val="50147540"/>
    <w:rsid w:val="50151DD1"/>
    <w:rsid w:val="50184E3E"/>
    <w:rsid w:val="501A24BF"/>
    <w:rsid w:val="501A263B"/>
    <w:rsid w:val="501A27DA"/>
    <w:rsid w:val="501A2F43"/>
    <w:rsid w:val="501E0EA8"/>
    <w:rsid w:val="50206871"/>
    <w:rsid w:val="50212524"/>
    <w:rsid w:val="50232987"/>
    <w:rsid w:val="502344EE"/>
    <w:rsid w:val="50250266"/>
    <w:rsid w:val="502618E8"/>
    <w:rsid w:val="502913CB"/>
    <w:rsid w:val="502913D8"/>
    <w:rsid w:val="502B4F08"/>
    <w:rsid w:val="502B6D9B"/>
    <w:rsid w:val="502C6AEA"/>
    <w:rsid w:val="502D0EC8"/>
    <w:rsid w:val="50374CB3"/>
    <w:rsid w:val="503A2FA7"/>
    <w:rsid w:val="503A4FBD"/>
    <w:rsid w:val="503B5DED"/>
    <w:rsid w:val="503D06F7"/>
    <w:rsid w:val="503E62FB"/>
    <w:rsid w:val="503F29AA"/>
    <w:rsid w:val="5040672F"/>
    <w:rsid w:val="50420930"/>
    <w:rsid w:val="50433FFA"/>
    <w:rsid w:val="504540EF"/>
    <w:rsid w:val="50463D38"/>
    <w:rsid w:val="504A7CCC"/>
    <w:rsid w:val="504E2809"/>
    <w:rsid w:val="504F2F03"/>
    <w:rsid w:val="505226DD"/>
    <w:rsid w:val="50563332"/>
    <w:rsid w:val="50577CF3"/>
    <w:rsid w:val="505A2A1E"/>
    <w:rsid w:val="505A5787"/>
    <w:rsid w:val="505A594B"/>
    <w:rsid w:val="505A7727"/>
    <w:rsid w:val="505A77E4"/>
    <w:rsid w:val="505B051F"/>
    <w:rsid w:val="505C7A00"/>
    <w:rsid w:val="505D7058"/>
    <w:rsid w:val="505D789E"/>
    <w:rsid w:val="5060304C"/>
    <w:rsid w:val="5060360A"/>
    <w:rsid w:val="506168AE"/>
    <w:rsid w:val="50632CD6"/>
    <w:rsid w:val="506568B4"/>
    <w:rsid w:val="50664363"/>
    <w:rsid w:val="5068567B"/>
    <w:rsid w:val="506B49F5"/>
    <w:rsid w:val="506B7C43"/>
    <w:rsid w:val="506D7517"/>
    <w:rsid w:val="506F3929"/>
    <w:rsid w:val="50713319"/>
    <w:rsid w:val="50734B81"/>
    <w:rsid w:val="50735C05"/>
    <w:rsid w:val="50760F5C"/>
    <w:rsid w:val="50772173"/>
    <w:rsid w:val="50793467"/>
    <w:rsid w:val="507C0A29"/>
    <w:rsid w:val="507C1080"/>
    <w:rsid w:val="507D064A"/>
    <w:rsid w:val="507E34D2"/>
    <w:rsid w:val="507E7976"/>
    <w:rsid w:val="507F1688"/>
    <w:rsid w:val="507F649E"/>
    <w:rsid w:val="50800F67"/>
    <w:rsid w:val="508040C5"/>
    <w:rsid w:val="5080549C"/>
    <w:rsid w:val="50807461"/>
    <w:rsid w:val="50854860"/>
    <w:rsid w:val="50861025"/>
    <w:rsid w:val="5086682B"/>
    <w:rsid w:val="50867CAE"/>
    <w:rsid w:val="508850C1"/>
    <w:rsid w:val="50894841"/>
    <w:rsid w:val="508B74DB"/>
    <w:rsid w:val="508C681D"/>
    <w:rsid w:val="508F08D6"/>
    <w:rsid w:val="508F7336"/>
    <w:rsid w:val="50917E9D"/>
    <w:rsid w:val="50926F7D"/>
    <w:rsid w:val="509277D6"/>
    <w:rsid w:val="50962F12"/>
    <w:rsid w:val="50980C0A"/>
    <w:rsid w:val="509E5C42"/>
    <w:rsid w:val="50A02A50"/>
    <w:rsid w:val="50A2159F"/>
    <w:rsid w:val="50A36560"/>
    <w:rsid w:val="50B11220"/>
    <w:rsid w:val="50B13185"/>
    <w:rsid w:val="50B23552"/>
    <w:rsid w:val="50B26F86"/>
    <w:rsid w:val="50B51D67"/>
    <w:rsid w:val="50B57C26"/>
    <w:rsid w:val="50B60EBE"/>
    <w:rsid w:val="50B9275C"/>
    <w:rsid w:val="50B96915"/>
    <w:rsid w:val="50C22179"/>
    <w:rsid w:val="50C31FED"/>
    <w:rsid w:val="50C335DB"/>
    <w:rsid w:val="50C34C97"/>
    <w:rsid w:val="50C555A5"/>
    <w:rsid w:val="50C65473"/>
    <w:rsid w:val="50C86E43"/>
    <w:rsid w:val="50CA4969"/>
    <w:rsid w:val="50CC6933"/>
    <w:rsid w:val="50CD172F"/>
    <w:rsid w:val="50D21FF5"/>
    <w:rsid w:val="50D43A3A"/>
    <w:rsid w:val="50D66CFC"/>
    <w:rsid w:val="50D755A5"/>
    <w:rsid w:val="50D806DD"/>
    <w:rsid w:val="50D954C3"/>
    <w:rsid w:val="50DA1586"/>
    <w:rsid w:val="50DD4242"/>
    <w:rsid w:val="50DE6667"/>
    <w:rsid w:val="50DF5459"/>
    <w:rsid w:val="50E05F3B"/>
    <w:rsid w:val="50E21CB3"/>
    <w:rsid w:val="50E6444C"/>
    <w:rsid w:val="50E96529"/>
    <w:rsid w:val="50ED1473"/>
    <w:rsid w:val="50EE330D"/>
    <w:rsid w:val="50F05223"/>
    <w:rsid w:val="50F11284"/>
    <w:rsid w:val="50F35011"/>
    <w:rsid w:val="50F639B0"/>
    <w:rsid w:val="50FA6453"/>
    <w:rsid w:val="50FC6397"/>
    <w:rsid w:val="50FE0AB7"/>
    <w:rsid w:val="50FE2865"/>
    <w:rsid w:val="50FE6543"/>
    <w:rsid w:val="51004AD3"/>
    <w:rsid w:val="51012AFD"/>
    <w:rsid w:val="510139C9"/>
    <w:rsid w:val="51024103"/>
    <w:rsid w:val="51025EB1"/>
    <w:rsid w:val="510425AE"/>
    <w:rsid w:val="5107293F"/>
    <w:rsid w:val="51087240"/>
    <w:rsid w:val="51095A94"/>
    <w:rsid w:val="510A67DD"/>
    <w:rsid w:val="510C7C5F"/>
    <w:rsid w:val="510D0062"/>
    <w:rsid w:val="510D24D1"/>
    <w:rsid w:val="510D2AA8"/>
    <w:rsid w:val="510D4856"/>
    <w:rsid w:val="5111344A"/>
    <w:rsid w:val="511144B6"/>
    <w:rsid w:val="51134983"/>
    <w:rsid w:val="51134BB9"/>
    <w:rsid w:val="51173990"/>
    <w:rsid w:val="51174A64"/>
    <w:rsid w:val="51177FF0"/>
    <w:rsid w:val="51180F8D"/>
    <w:rsid w:val="51192E2D"/>
    <w:rsid w:val="5119769F"/>
    <w:rsid w:val="511D4E6A"/>
    <w:rsid w:val="51237B2B"/>
    <w:rsid w:val="51247D85"/>
    <w:rsid w:val="51252566"/>
    <w:rsid w:val="51254295"/>
    <w:rsid w:val="51262341"/>
    <w:rsid w:val="51275918"/>
    <w:rsid w:val="51277DFB"/>
    <w:rsid w:val="512849B4"/>
    <w:rsid w:val="512E0344"/>
    <w:rsid w:val="512E091C"/>
    <w:rsid w:val="512E314A"/>
    <w:rsid w:val="513029C4"/>
    <w:rsid w:val="51312C90"/>
    <w:rsid w:val="513269EB"/>
    <w:rsid w:val="51340083"/>
    <w:rsid w:val="51344CF4"/>
    <w:rsid w:val="51381EDA"/>
    <w:rsid w:val="5138348B"/>
    <w:rsid w:val="5139389D"/>
    <w:rsid w:val="513A2237"/>
    <w:rsid w:val="513D27B8"/>
    <w:rsid w:val="513D4CD3"/>
    <w:rsid w:val="513F7105"/>
    <w:rsid w:val="51402E7D"/>
    <w:rsid w:val="51423430"/>
    <w:rsid w:val="514424E8"/>
    <w:rsid w:val="51461970"/>
    <w:rsid w:val="5147453C"/>
    <w:rsid w:val="51475FBA"/>
    <w:rsid w:val="514C331F"/>
    <w:rsid w:val="514C77AD"/>
    <w:rsid w:val="514F5801"/>
    <w:rsid w:val="51513130"/>
    <w:rsid w:val="5151508A"/>
    <w:rsid w:val="5153495F"/>
    <w:rsid w:val="51537E33"/>
    <w:rsid w:val="51556929"/>
    <w:rsid w:val="51561B6A"/>
    <w:rsid w:val="51583D23"/>
    <w:rsid w:val="5158504A"/>
    <w:rsid w:val="51586419"/>
    <w:rsid w:val="515B2E61"/>
    <w:rsid w:val="515D5082"/>
    <w:rsid w:val="515E0938"/>
    <w:rsid w:val="515F33A9"/>
    <w:rsid w:val="51600E2A"/>
    <w:rsid w:val="5160707C"/>
    <w:rsid w:val="5162387A"/>
    <w:rsid w:val="51637B78"/>
    <w:rsid w:val="51681B0E"/>
    <w:rsid w:val="516E15DE"/>
    <w:rsid w:val="516E37EF"/>
    <w:rsid w:val="51711289"/>
    <w:rsid w:val="517320B3"/>
    <w:rsid w:val="51740780"/>
    <w:rsid w:val="517650AF"/>
    <w:rsid w:val="51775248"/>
    <w:rsid w:val="51794BC7"/>
    <w:rsid w:val="517C40D7"/>
    <w:rsid w:val="51812876"/>
    <w:rsid w:val="51844B18"/>
    <w:rsid w:val="518508DF"/>
    <w:rsid w:val="51861ABD"/>
    <w:rsid w:val="51874940"/>
    <w:rsid w:val="51932FAD"/>
    <w:rsid w:val="5193610A"/>
    <w:rsid w:val="51936991"/>
    <w:rsid w:val="51984A67"/>
    <w:rsid w:val="519B00B4"/>
    <w:rsid w:val="519B0539"/>
    <w:rsid w:val="519B37D2"/>
    <w:rsid w:val="519D4083"/>
    <w:rsid w:val="519F2535"/>
    <w:rsid w:val="51A11B6E"/>
    <w:rsid w:val="51A156F9"/>
    <w:rsid w:val="51A24C78"/>
    <w:rsid w:val="51A334C0"/>
    <w:rsid w:val="51A406B5"/>
    <w:rsid w:val="51A4340C"/>
    <w:rsid w:val="51A46F68"/>
    <w:rsid w:val="51A52CE0"/>
    <w:rsid w:val="51A60F32"/>
    <w:rsid w:val="51A705C4"/>
    <w:rsid w:val="51A90A23"/>
    <w:rsid w:val="51AA5904"/>
    <w:rsid w:val="51AC22C1"/>
    <w:rsid w:val="51B232BE"/>
    <w:rsid w:val="51B256ED"/>
    <w:rsid w:val="51B36398"/>
    <w:rsid w:val="51B65975"/>
    <w:rsid w:val="51BA2C30"/>
    <w:rsid w:val="51BA532E"/>
    <w:rsid w:val="51BB5CF0"/>
    <w:rsid w:val="51BC6A49"/>
    <w:rsid w:val="51BD2C0D"/>
    <w:rsid w:val="51BD44CE"/>
    <w:rsid w:val="51C26554"/>
    <w:rsid w:val="51C32116"/>
    <w:rsid w:val="51C4760A"/>
    <w:rsid w:val="51C5057C"/>
    <w:rsid w:val="51C5256F"/>
    <w:rsid w:val="51C71E11"/>
    <w:rsid w:val="51C752AE"/>
    <w:rsid w:val="51C80B83"/>
    <w:rsid w:val="51C8534D"/>
    <w:rsid w:val="51CB5E3D"/>
    <w:rsid w:val="51CC4711"/>
    <w:rsid w:val="51CE66DB"/>
    <w:rsid w:val="51D53F6F"/>
    <w:rsid w:val="51D81308"/>
    <w:rsid w:val="51D8603A"/>
    <w:rsid w:val="51D87881"/>
    <w:rsid w:val="51DA2F66"/>
    <w:rsid w:val="51DA5080"/>
    <w:rsid w:val="51DD3FF8"/>
    <w:rsid w:val="51DD691E"/>
    <w:rsid w:val="51DE3AC6"/>
    <w:rsid w:val="51E0688A"/>
    <w:rsid w:val="51E218E0"/>
    <w:rsid w:val="51E717F1"/>
    <w:rsid w:val="51E947E8"/>
    <w:rsid w:val="51E97071"/>
    <w:rsid w:val="51F06651"/>
    <w:rsid w:val="51F276FD"/>
    <w:rsid w:val="51F55A16"/>
    <w:rsid w:val="51F61EA3"/>
    <w:rsid w:val="51FA3D55"/>
    <w:rsid w:val="51FB15B1"/>
    <w:rsid w:val="51FE0D6E"/>
    <w:rsid w:val="51FE1BA6"/>
    <w:rsid w:val="51FF7BC4"/>
    <w:rsid w:val="520614D8"/>
    <w:rsid w:val="52067179"/>
    <w:rsid w:val="52071058"/>
    <w:rsid w:val="52071112"/>
    <w:rsid w:val="52083E83"/>
    <w:rsid w:val="5209326F"/>
    <w:rsid w:val="52093835"/>
    <w:rsid w:val="520C2D5F"/>
    <w:rsid w:val="520E4D2A"/>
    <w:rsid w:val="520F3242"/>
    <w:rsid w:val="520F5756"/>
    <w:rsid w:val="52102433"/>
    <w:rsid w:val="521045FE"/>
    <w:rsid w:val="521079D2"/>
    <w:rsid w:val="521133ED"/>
    <w:rsid w:val="52113875"/>
    <w:rsid w:val="52135BE8"/>
    <w:rsid w:val="52143E65"/>
    <w:rsid w:val="52145E5F"/>
    <w:rsid w:val="521553D6"/>
    <w:rsid w:val="521610E0"/>
    <w:rsid w:val="52176274"/>
    <w:rsid w:val="52191650"/>
    <w:rsid w:val="521A36CE"/>
    <w:rsid w:val="521C2FA3"/>
    <w:rsid w:val="521E01B7"/>
    <w:rsid w:val="521E1871"/>
    <w:rsid w:val="522037C5"/>
    <w:rsid w:val="5222399D"/>
    <w:rsid w:val="522272D4"/>
    <w:rsid w:val="52235697"/>
    <w:rsid w:val="52262073"/>
    <w:rsid w:val="52263E21"/>
    <w:rsid w:val="522824AD"/>
    <w:rsid w:val="52285DEB"/>
    <w:rsid w:val="52286A04"/>
    <w:rsid w:val="522956BF"/>
    <w:rsid w:val="52296496"/>
    <w:rsid w:val="522B2F43"/>
    <w:rsid w:val="522B37B6"/>
    <w:rsid w:val="522C17CB"/>
    <w:rsid w:val="522D4D37"/>
    <w:rsid w:val="522D5383"/>
    <w:rsid w:val="522E0F28"/>
    <w:rsid w:val="522F0D39"/>
    <w:rsid w:val="52317225"/>
    <w:rsid w:val="52344790"/>
    <w:rsid w:val="52353698"/>
    <w:rsid w:val="52392D6D"/>
    <w:rsid w:val="523B32C1"/>
    <w:rsid w:val="523B7930"/>
    <w:rsid w:val="523E0B56"/>
    <w:rsid w:val="523F504B"/>
    <w:rsid w:val="523F6E00"/>
    <w:rsid w:val="5240579D"/>
    <w:rsid w:val="52412A09"/>
    <w:rsid w:val="5244490B"/>
    <w:rsid w:val="52455E15"/>
    <w:rsid w:val="524644C3"/>
    <w:rsid w:val="52476740"/>
    <w:rsid w:val="52481FEA"/>
    <w:rsid w:val="52484A83"/>
    <w:rsid w:val="52497B10"/>
    <w:rsid w:val="524B1ADA"/>
    <w:rsid w:val="524C3D9F"/>
    <w:rsid w:val="524C544A"/>
    <w:rsid w:val="524D7600"/>
    <w:rsid w:val="524E4F18"/>
    <w:rsid w:val="524F15CA"/>
    <w:rsid w:val="52500E9E"/>
    <w:rsid w:val="52520E92"/>
    <w:rsid w:val="52522E68"/>
    <w:rsid w:val="525269B7"/>
    <w:rsid w:val="52527318"/>
    <w:rsid w:val="5252762E"/>
    <w:rsid w:val="52546E2A"/>
    <w:rsid w:val="525476D0"/>
    <w:rsid w:val="52582D27"/>
    <w:rsid w:val="52630BD1"/>
    <w:rsid w:val="5263187B"/>
    <w:rsid w:val="52632738"/>
    <w:rsid w:val="526565AE"/>
    <w:rsid w:val="52677B7C"/>
    <w:rsid w:val="526A503B"/>
    <w:rsid w:val="526E7576"/>
    <w:rsid w:val="526F5099"/>
    <w:rsid w:val="52733715"/>
    <w:rsid w:val="52756B57"/>
    <w:rsid w:val="52764FCC"/>
    <w:rsid w:val="527728CF"/>
    <w:rsid w:val="527A1452"/>
    <w:rsid w:val="527B1AD2"/>
    <w:rsid w:val="527C585B"/>
    <w:rsid w:val="527C67C0"/>
    <w:rsid w:val="527E56D9"/>
    <w:rsid w:val="528168C7"/>
    <w:rsid w:val="528551D3"/>
    <w:rsid w:val="52880638"/>
    <w:rsid w:val="52884ADC"/>
    <w:rsid w:val="528A18BF"/>
    <w:rsid w:val="528A2AB3"/>
    <w:rsid w:val="5290573F"/>
    <w:rsid w:val="52927709"/>
    <w:rsid w:val="529420AD"/>
    <w:rsid w:val="529A1C65"/>
    <w:rsid w:val="529F516D"/>
    <w:rsid w:val="52A019BD"/>
    <w:rsid w:val="52A03BD4"/>
    <w:rsid w:val="52A116FA"/>
    <w:rsid w:val="52A265EC"/>
    <w:rsid w:val="52A31916"/>
    <w:rsid w:val="52A32606"/>
    <w:rsid w:val="52A37C23"/>
    <w:rsid w:val="52A93DA2"/>
    <w:rsid w:val="52A94E25"/>
    <w:rsid w:val="52AB1E7B"/>
    <w:rsid w:val="52AC4CD5"/>
    <w:rsid w:val="52B07B8F"/>
    <w:rsid w:val="52B14033"/>
    <w:rsid w:val="52B21B59"/>
    <w:rsid w:val="52B51CD1"/>
    <w:rsid w:val="52B61649"/>
    <w:rsid w:val="52B65BB6"/>
    <w:rsid w:val="52B7716F"/>
    <w:rsid w:val="52BB0338"/>
    <w:rsid w:val="52BB0A0D"/>
    <w:rsid w:val="52BB4693"/>
    <w:rsid w:val="52BC6534"/>
    <w:rsid w:val="52BE5240"/>
    <w:rsid w:val="52BF0352"/>
    <w:rsid w:val="52BF18BD"/>
    <w:rsid w:val="52C0688C"/>
    <w:rsid w:val="52C131AC"/>
    <w:rsid w:val="52C5363A"/>
    <w:rsid w:val="52C92CAE"/>
    <w:rsid w:val="52CA5659"/>
    <w:rsid w:val="52CF29B6"/>
    <w:rsid w:val="52D12775"/>
    <w:rsid w:val="52D63D56"/>
    <w:rsid w:val="52D71B27"/>
    <w:rsid w:val="52D76A0D"/>
    <w:rsid w:val="52D922CB"/>
    <w:rsid w:val="52D95337"/>
    <w:rsid w:val="52DC0984"/>
    <w:rsid w:val="52DC1FEA"/>
    <w:rsid w:val="52DE1059"/>
    <w:rsid w:val="52DE207B"/>
    <w:rsid w:val="52E2151E"/>
    <w:rsid w:val="52E33CDE"/>
    <w:rsid w:val="52E610EB"/>
    <w:rsid w:val="52E635B0"/>
    <w:rsid w:val="52E66C9C"/>
    <w:rsid w:val="52E80B18"/>
    <w:rsid w:val="52E837CD"/>
    <w:rsid w:val="52EC506B"/>
    <w:rsid w:val="52ED1657"/>
    <w:rsid w:val="52EF06B7"/>
    <w:rsid w:val="52F21F55"/>
    <w:rsid w:val="52F51BE0"/>
    <w:rsid w:val="52F6132D"/>
    <w:rsid w:val="52F932E4"/>
    <w:rsid w:val="52FB1D3C"/>
    <w:rsid w:val="52FB2D81"/>
    <w:rsid w:val="52FC4B82"/>
    <w:rsid w:val="530008E9"/>
    <w:rsid w:val="530040DF"/>
    <w:rsid w:val="530071D8"/>
    <w:rsid w:val="53012BDD"/>
    <w:rsid w:val="53026578"/>
    <w:rsid w:val="530272C9"/>
    <w:rsid w:val="530313B7"/>
    <w:rsid w:val="5304208F"/>
    <w:rsid w:val="530509D6"/>
    <w:rsid w:val="53051C89"/>
    <w:rsid w:val="5305612D"/>
    <w:rsid w:val="530618E0"/>
    <w:rsid w:val="530810AA"/>
    <w:rsid w:val="53081779"/>
    <w:rsid w:val="530852E8"/>
    <w:rsid w:val="530B09AA"/>
    <w:rsid w:val="530C41DC"/>
    <w:rsid w:val="530D6D8F"/>
    <w:rsid w:val="530E0072"/>
    <w:rsid w:val="53115C13"/>
    <w:rsid w:val="53116F7F"/>
    <w:rsid w:val="5311714F"/>
    <w:rsid w:val="53123DCC"/>
    <w:rsid w:val="531243A6"/>
    <w:rsid w:val="53130459"/>
    <w:rsid w:val="53131313"/>
    <w:rsid w:val="53141661"/>
    <w:rsid w:val="53160CD7"/>
    <w:rsid w:val="53163E96"/>
    <w:rsid w:val="53166B81"/>
    <w:rsid w:val="531829B6"/>
    <w:rsid w:val="531C1AC5"/>
    <w:rsid w:val="531D398D"/>
    <w:rsid w:val="532044AA"/>
    <w:rsid w:val="53220E17"/>
    <w:rsid w:val="532470E7"/>
    <w:rsid w:val="532540D9"/>
    <w:rsid w:val="532A5B93"/>
    <w:rsid w:val="532C534A"/>
    <w:rsid w:val="532D11DF"/>
    <w:rsid w:val="532E01BE"/>
    <w:rsid w:val="532F3457"/>
    <w:rsid w:val="532F4F57"/>
    <w:rsid w:val="53336E24"/>
    <w:rsid w:val="53385317"/>
    <w:rsid w:val="533A4B08"/>
    <w:rsid w:val="533F163E"/>
    <w:rsid w:val="5343248B"/>
    <w:rsid w:val="53434609"/>
    <w:rsid w:val="53443AF2"/>
    <w:rsid w:val="53470DB6"/>
    <w:rsid w:val="53486233"/>
    <w:rsid w:val="534C62DB"/>
    <w:rsid w:val="534D53DE"/>
    <w:rsid w:val="53510308"/>
    <w:rsid w:val="535309E1"/>
    <w:rsid w:val="53561B2D"/>
    <w:rsid w:val="53582700"/>
    <w:rsid w:val="535B7AFB"/>
    <w:rsid w:val="535D3873"/>
    <w:rsid w:val="536100E0"/>
    <w:rsid w:val="53620E89"/>
    <w:rsid w:val="53636C74"/>
    <w:rsid w:val="53642E53"/>
    <w:rsid w:val="53650979"/>
    <w:rsid w:val="536522FF"/>
    <w:rsid w:val="5368590A"/>
    <w:rsid w:val="536D782E"/>
    <w:rsid w:val="536E13A9"/>
    <w:rsid w:val="536F17F8"/>
    <w:rsid w:val="5371089E"/>
    <w:rsid w:val="53712747"/>
    <w:rsid w:val="53733096"/>
    <w:rsid w:val="537333B5"/>
    <w:rsid w:val="53736838"/>
    <w:rsid w:val="53755FD3"/>
    <w:rsid w:val="5377420C"/>
    <w:rsid w:val="53786725"/>
    <w:rsid w:val="537A331C"/>
    <w:rsid w:val="537B4F05"/>
    <w:rsid w:val="537D6BC0"/>
    <w:rsid w:val="537E1A3B"/>
    <w:rsid w:val="537E61B3"/>
    <w:rsid w:val="537E7224"/>
    <w:rsid w:val="538208DC"/>
    <w:rsid w:val="53827D71"/>
    <w:rsid w:val="538342CB"/>
    <w:rsid w:val="53845B4B"/>
    <w:rsid w:val="538610B8"/>
    <w:rsid w:val="5386734D"/>
    <w:rsid w:val="538708F0"/>
    <w:rsid w:val="538A379C"/>
    <w:rsid w:val="538C05FC"/>
    <w:rsid w:val="53910B5E"/>
    <w:rsid w:val="5391176E"/>
    <w:rsid w:val="53933738"/>
    <w:rsid w:val="539407F9"/>
    <w:rsid w:val="5394300C"/>
    <w:rsid w:val="53954BFA"/>
    <w:rsid w:val="53976E73"/>
    <w:rsid w:val="539F20DD"/>
    <w:rsid w:val="53A14298"/>
    <w:rsid w:val="53A16CB0"/>
    <w:rsid w:val="53A3065A"/>
    <w:rsid w:val="53A452C5"/>
    <w:rsid w:val="53A45945"/>
    <w:rsid w:val="53A67CF7"/>
    <w:rsid w:val="53A94D0A"/>
    <w:rsid w:val="53AA2830"/>
    <w:rsid w:val="53AB4D6C"/>
    <w:rsid w:val="53AE2320"/>
    <w:rsid w:val="53AE31BA"/>
    <w:rsid w:val="53B0224B"/>
    <w:rsid w:val="53B10062"/>
    <w:rsid w:val="53B153D1"/>
    <w:rsid w:val="53B2471D"/>
    <w:rsid w:val="53B26EEC"/>
    <w:rsid w:val="53B316E5"/>
    <w:rsid w:val="53B32497"/>
    <w:rsid w:val="53B4545D"/>
    <w:rsid w:val="53B813F1"/>
    <w:rsid w:val="53B86CFB"/>
    <w:rsid w:val="53B95AA8"/>
    <w:rsid w:val="53BA0524"/>
    <w:rsid w:val="53BA4AEB"/>
    <w:rsid w:val="53BC0FDE"/>
    <w:rsid w:val="53BC5A15"/>
    <w:rsid w:val="53BC7D0F"/>
    <w:rsid w:val="53BF0572"/>
    <w:rsid w:val="53C16CB6"/>
    <w:rsid w:val="53C32508"/>
    <w:rsid w:val="53C55580"/>
    <w:rsid w:val="53C61D22"/>
    <w:rsid w:val="53C6211D"/>
    <w:rsid w:val="53C71634"/>
    <w:rsid w:val="53C8063D"/>
    <w:rsid w:val="53C84FE7"/>
    <w:rsid w:val="53C9211D"/>
    <w:rsid w:val="53C93D09"/>
    <w:rsid w:val="53D310CB"/>
    <w:rsid w:val="53D476A5"/>
    <w:rsid w:val="53D74A48"/>
    <w:rsid w:val="53D8114B"/>
    <w:rsid w:val="53D90EE7"/>
    <w:rsid w:val="53DB2E67"/>
    <w:rsid w:val="53DE791F"/>
    <w:rsid w:val="53E0477E"/>
    <w:rsid w:val="53E07DEC"/>
    <w:rsid w:val="53E21FCA"/>
    <w:rsid w:val="53E2646E"/>
    <w:rsid w:val="53E44857"/>
    <w:rsid w:val="53E44E00"/>
    <w:rsid w:val="53E545B0"/>
    <w:rsid w:val="53E61ABA"/>
    <w:rsid w:val="53E667F9"/>
    <w:rsid w:val="53E71188"/>
    <w:rsid w:val="53EB0D1E"/>
    <w:rsid w:val="53ED16B8"/>
    <w:rsid w:val="53EE4617"/>
    <w:rsid w:val="53F45507"/>
    <w:rsid w:val="53F6771F"/>
    <w:rsid w:val="53F8359B"/>
    <w:rsid w:val="53FA78A2"/>
    <w:rsid w:val="53FC0627"/>
    <w:rsid w:val="53FC6561"/>
    <w:rsid w:val="53FC752F"/>
    <w:rsid w:val="53FD3D32"/>
    <w:rsid w:val="53FD6E04"/>
    <w:rsid w:val="53FF4D79"/>
    <w:rsid w:val="5400545A"/>
    <w:rsid w:val="54017416"/>
    <w:rsid w:val="54040192"/>
    <w:rsid w:val="540463E4"/>
    <w:rsid w:val="54071A30"/>
    <w:rsid w:val="54081217"/>
    <w:rsid w:val="540A3C5A"/>
    <w:rsid w:val="540B32CF"/>
    <w:rsid w:val="540C6C99"/>
    <w:rsid w:val="540D4194"/>
    <w:rsid w:val="540E36EE"/>
    <w:rsid w:val="54102FDB"/>
    <w:rsid w:val="54131221"/>
    <w:rsid w:val="5416798B"/>
    <w:rsid w:val="54171C25"/>
    <w:rsid w:val="541801D2"/>
    <w:rsid w:val="54180F40"/>
    <w:rsid w:val="54187A75"/>
    <w:rsid w:val="541959F0"/>
    <w:rsid w:val="541D2934"/>
    <w:rsid w:val="541D4405"/>
    <w:rsid w:val="541F7D5C"/>
    <w:rsid w:val="54212AF2"/>
    <w:rsid w:val="54214D1C"/>
    <w:rsid w:val="5422686A"/>
    <w:rsid w:val="542422F1"/>
    <w:rsid w:val="542425E2"/>
    <w:rsid w:val="54260108"/>
    <w:rsid w:val="542603BD"/>
    <w:rsid w:val="542645AC"/>
    <w:rsid w:val="54290FAA"/>
    <w:rsid w:val="542A23DF"/>
    <w:rsid w:val="542B3971"/>
    <w:rsid w:val="542D2DB5"/>
    <w:rsid w:val="542E520F"/>
    <w:rsid w:val="54304253"/>
    <w:rsid w:val="5431320D"/>
    <w:rsid w:val="5434688F"/>
    <w:rsid w:val="54364A4A"/>
    <w:rsid w:val="54372316"/>
    <w:rsid w:val="5438608E"/>
    <w:rsid w:val="54391F62"/>
    <w:rsid w:val="543C792C"/>
    <w:rsid w:val="543D5F7C"/>
    <w:rsid w:val="543E57E5"/>
    <w:rsid w:val="543F5C9C"/>
    <w:rsid w:val="544113E6"/>
    <w:rsid w:val="54420CBA"/>
    <w:rsid w:val="544467E1"/>
    <w:rsid w:val="54450ABC"/>
    <w:rsid w:val="5445549D"/>
    <w:rsid w:val="54482775"/>
    <w:rsid w:val="544D7FE0"/>
    <w:rsid w:val="544F1237"/>
    <w:rsid w:val="545413CC"/>
    <w:rsid w:val="54541B22"/>
    <w:rsid w:val="545538EC"/>
    <w:rsid w:val="5458228C"/>
    <w:rsid w:val="545A6004"/>
    <w:rsid w:val="545B7A24"/>
    <w:rsid w:val="545E3D46"/>
    <w:rsid w:val="545E74CA"/>
    <w:rsid w:val="545F361A"/>
    <w:rsid w:val="54640C31"/>
    <w:rsid w:val="54646E83"/>
    <w:rsid w:val="5465257D"/>
    <w:rsid w:val="54661917"/>
    <w:rsid w:val="546649A9"/>
    <w:rsid w:val="546724CF"/>
    <w:rsid w:val="54681ED8"/>
    <w:rsid w:val="546A3191"/>
    <w:rsid w:val="546A5A6B"/>
    <w:rsid w:val="546B1A66"/>
    <w:rsid w:val="546D203B"/>
    <w:rsid w:val="54703A7A"/>
    <w:rsid w:val="547147F2"/>
    <w:rsid w:val="547277F2"/>
    <w:rsid w:val="54736EB1"/>
    <w:rsid w:val="54751090"/>
    <w:rsid w:val="54774E08"/>
    <w:rsid w:val="54790B80"/>
    <w:rsid w:val="5479287A"/>
    <w:rsid w:val="547A0660"/>
    <w:rsid w:val="547C5F7A"/>
    <w:rsid w:val="547E0305"/>
    <w:rsid w:val="547E08ED"/>
    <w:rsid w:val="547F5127"/>
    <w:rsid w:val="54807854"/>
    <w:rsid w:val="548117E3"/>
    <w:rsid w:val="548206FA"/>
    <w:rsid w:val="5486329D"/>
    <w:rsid w:val="548819E3"/>
    <w:rsid w:val="548B2661"/>
    <w:rsid w:val="548C5AD1"/>
    <w:rsid w:val="548D63DA"/>
    <w:rsid w:val="548F30A8"/>
    <w:rsid w:val="54907C78"/>
    <w:rsid w:val="549403B5"/>
    <w:rsid w:val="54947768"/>
    <w:rsid w:val="5499131D"/>
    <w:rsid w:val="5499664E"/>
    <w:rsid w:val="549C2A19"/>
    <w:rsid w:val="54A14965"/>
    <w:rsid w:val="54A43723"/>
    <w:rsid w:val="54A454D1"/>
    <w:rsid w:val="54A506C8"/>
    <w:rsid w:val="54A83213"/>
    <w:rsid w:val="54A84A0D"/>
    <w:rsid w:val="54A84FC1"/>
    <w:rsid w:val="54A97595"/>
    <w:rsid w:val="54AA6F8B"/>
    <w:rsid w:val="54AD25D8"/>
    <w:rsid w:val="54AD300C"/>
    <w:rsid w:val="54B12BF0"/>
    <w:rsid w:val="54B34AD2"/>
    <w:rsid w:val="54B7607F"/>
    <w:rsid w:val="54BD4F23"/>
    <w:rsid w:val="54BD6F29"/>
    <w:rsid w:val="54BE6593"/>
    <w:rsid w:val="54C142D5"/>
    <w:rsid w:val="54C44D86"/>
    <w:rsid w:val="54C706AC"/>
    <w:rsid w:val="54C8231F"/>
    <w:rsid w:val="54C94F38"/>
    <w:rsid w:val="54CC1EA4"/>
    <w:rsid w:val="54CF07A0"/>
    <w:rsid w:val="54D00C1A"/>
    <w:rsid w:val="54D166CB"/>
    <w:rsid w:val="54D54FE9"/>
    <w:rsid w:val="54D87900"/>
    <w:rsid w:val="54DB01BE"/>
    <w:rsid w:val="54DB1273"/>
    <w:rsid w:val="54DE303B"/>
    <w:rsid w:val="54DE691A"/>
    <w:rsid w:val="54E10815"/>
    <w:rsid w:val="54E22FDD"/>
    <w:rsid w:val="54E52D7D"/>
    <w:rsid w:val="54E63D3C"/>
    <w:rsid w:val="54E813B4"/>
    <w:rsid w:val="54EB28FC"/>
    <w:rsid w:val="54ED0C26"/>
    <w:rsid w:val="54ED1AAE"/>
    <w:rsid w:val="54EF4A4F"/>
    <w:rsid w:val="54F04348"/>
    <w:rsid w:val="54F116B0"/>
    <w:rsid w:val="54F1419D"/>
    <w:rsid w:val="54F1619D"/>
    <w:rsid w:val="54F36156"/>
    <w:rsid w:val="54F621D1"/>
    <w:rsid w:val="54F63AB5"/>
    <w:rsid w:val="54F63F7F"/>
    <w:rsid w:val="54F827B1"/>
    <w:rsid w:val="54F876CF"/>
    <w:rsid w:val="54FC1082"/>
    <w:rsid w:val="54FC355F"/>
    <w:rsid w:val="54FC4CDA"/>
    <w:rsid w:val="54FC530D"/>
    <w:rsid w:val="54FD4050"/>
    <w:rsid w:val="55010987"/>
    <w:rsid w:val="5503369C"/>
    <w:rsid w:val="550348EE"/>
    <w:rsid w:val="55081F04"/>
    <w:rsid w:val="550B7360"/>
    <w:rsid w:val="550C5273"/>
    <w:rsid w:val="550C5810"/>
    <w:rsid w:val="550D12C8"/>
    <w:rsid w:val="550F3292"/>
    <w:rsid w:val="550F6DEF"/>
    <w:rsid w:val="55131585"/>
    <w:rsid w:val="55133412"/>
    <w:rsid w:val="55142657"/>
    <w:rsid w:val="551B39E5"/>
    <w:rsid w:val="551D5F3C"/>
    <w:rsid w:val="551E08BC"/>
    <w:rsid w:val="551E2192"/>
    <w:rsid w:val="551E7EF0"/>
    <w:rsid w:val="55202DAA"/>
    <w:rsid w:val="55215DAD"/>
    <w:rsid w:val="55222FC6"/>
    <w:rsid w:val="55256612"/>
    <w:rsid w:val="552618CB"/>
    <w:rsid w:val="552712E3"/>
    <w:rsid w:val="5529501B"/>
    <w:rsid w:val="552A1A6C"/>
    <w:rsid w:val="552B174F"/>
    <w:rsid w:val="552C4CEF"/>
    <w:rsid w:val="552E326A"/>
    <w:rsid w:val="55314FB7"/>
    <w:rsid w:val="55320E6B"/>
    <w:rsid w:val="553263C4"/>
    <w:rsid w:val="55344AA7"/>
    <w:rsid w:val="5535227F"/>
    <w:rsid w:val="55383036"/>
    <w:rsid w:val="553C395C"/>
    <w:rsid w:val="553C75F4"/>
    <w:rsid w:val="553D3FD2"/>
    <w:rsid w:val="553F6177"/>
    <w:rsid w:val="55404001"/>
    <w:rsid w:val="55406456"/>
    <w:rsid w:val="554242DA"/>
    <w:rsid w:val="554271C4"/>
    <w:rsid w:val="55434CEA"/>
    <w:rsid w:val="554364D7"/>
    <w:rsid w:val="55450A62"/>
    <w:rsid w:val="554A0159"/>
    <w:rsid w:val="554A791A"/>
    <w:rsid w:val="554D7917"/>
    <w:rsid w:val="554E140D"/>
    <w:rsid w:val="55517D38"/>
    <w:rsid w:val="5552011D"/>
    <w:rsid w:val="5552387D"/>
    <w:rsid w:val="55546EF7"/>
    <w:rsid w:val="5557066D"/>
    <w:rsid w:val="55575707"/>
    <w:rsid w:val="555F5E1D"/>
    <w:rsid w:val="5563024B"/>
    <w:rsid w:val="5563538C"/>
    <w:rsid w:val="556422EE"/>
    <w:rsid w:val="55643C00"/>
    <w:rsid w:val="55644AA8"/>
    <w:rsid w:val="55653567"/>
    <w:rsid w:val="556841B1"/>
    <w:rsid w:val="55692786"/>
    <w:rsid w:val="556C2493"/>
    <w:rsid w:val="556F0FC8"/>
    <w:rsid w:val="55706860"/>
    <w:rsid w:val="55714193"/>
    <w:rsid w:val="55715B78"/>
    <w:rsid w:val="5572737D"/>
    <w:rsid w:val="55754E2B"/>
    <w:rsid w:val="557569B5"/>
    <w:rsid w:val="55760C1C"/>
    <w:rsid w:val="557923A2"/>
    <w:rsid w:val="557B33C0"/>
    <w:rsid w:val="557D7F55"/>
    <w:rsid w:val="557F0849"/>
    <w:rsid w:val="55805F3E"/>
    <w:rsid w:val="558175EF"/>
    <w:rsid w:val="55821CB6"/>
    <w:rsid w:val="558262E3"/>
    <w:rsid w:val="558452D2"/>
    <w:rsid w:val="55870326"/>
    <w:rsid w:val="5588599C"/>
    <w:rsid w:val="558A4B73"/>
    <w:rsid w:val="558F6181"/>
    <w:rsid w:val="55921DB5"/>
    <w:rsid w:val="55967510"/>
    <w:rsid w:val="55982085"/>
    <w:rsid w:val="559870E0"/>
    <w:rsid w:val="559B4B26"/>
    <w:rsid w:val="559E61C7"/>
    <w:rsid w:val="559E63C4"/>
    <w:rsid w:val="559F3D71"/>
    <w:rsid w:val="55A13476"/>
    <w:rsid w:val="55A21B63"/>
    <w:rsid w:val="55A35789"/>
    <w:rsid w:val="55A55CA3"/>
    <w:rsid w:val="55A7171D"/>
    <w:rsid w:val="55A97243"/>
    <w:rsid w:val="55AD3CF7"/>
    <w:rsid w:val="55B02850"/>
    <w:rsid w:val="55B41744"/>
    <w:rsid w:val="55B62437"/>
    <w:rsid w:val="55B96298"/>
    <w:rsid w:val="55BD164A"/>
    <w:rsid w:val="55BE1EED"/>
    <w:rsid w:val="55C167F9"/>
    <w:rsid w:val="55C43B39"/>
    <w:rsid w:val="55C4407D"/>
    <w:rsid w:val="55C45E2B"/>
    <w:rsid w:val="55C73B6D"/>
    <w:rsid w:val="55C7592C"/>
    <w:rsid w:val="55CB212C"/>
    <w:rsid w:val="55CC1183"/>
    <w:rsid w:val="55CC44DA"/>
    <w:rsid w:val="55CC6148"/>
    <w:rsid w:val="55CD4286"/>
    <w:rsid w:val="55CD4402"/>
    <w:rsid w:val="55CD4E53"/>
    <w:rsid w:val="55CD549B"/>
    <w:rsid w:val="55CE0377"/>
    <w:rsid w:val="55CE3BAD"/>
    <w:rsid w:val="55D10548"/>
    <w:rsid w:val="55D25DC0"/>
    <w:rsid w:val="55D53DF3"/>
    <w:rsid w:val="55D54792"/>
    <w:rsid w:val="55D55354"/>
    <w:rsid w:val="55D84192"/>
    <w:rsid w:val="55D86806"/>
    <w:rsid w:val="55DB79C3"/>
    <w:rsid w:val="55DD513F"/>
    <w:rsid w:val="55DD6EED"/>
    <w:rsid w:val="55DE1CF0"/>
    <w:rsid w:val="55DE2312"/>
    <w:rsid w:val="55DE466B"/>
    <w:rsid w:val="55DF170B"/>
    <w:rsid w:val="55E06CD2"/>
    <w:rsid w:val="55E114B9"/>
    <w:rsid w:val="55E13C54"/>
    <w:rsid w:val="55E14DE6"/>
    <w:rsid w:val="55E262B1"/>
    <w:rsid w:val="55E60B65"/>
    <w:rsid w:val="55E71B19"/>
    <w:rsid w:val="55EB785C"/>
    <w:rsid w:val="55ED2F31"/>
    <w:rsid w:val="55EE4C56"/>
    <w:rsid w:val="55F10BEA"/>
    <w:rsid w:val="55F3226C"/>
    <w:rsid w:val="55F33BA2"/>
    <w:rsid w:val="55F33D67"/>
    <w:rsid w:val="55F35289"/>
    <w:rsid w:val="55F410EE"/>
    <w:rsid w:val="55F55526"/>
    <w:rsid w:val="55F57DE5"/>
    <w:rsid w:val="55F668FC"/>
    <w:rsid w:val="55F7664B"/>
    <w:rsid w:val="55F83C79"/>
    <w:rsid w:val="55FA5EFA"/>
    <w:rsid w:val="55FD49B9"/>
    <w:rsid w:val="55FF2329"/>
    <w:rsid w:val="56016F8D"/>
    <w:rsid w:val="56030057"/>
    <w:rsid w:val="560426CB"/>
    <w:rsid w:val="560579D1"/>
    <w:rsid w:val="56075D18"/>
    <w:rsid w:val="56085CD7"/>
    <w:rsid w:val="560A0565"/>
    <w:rsid w:val="560C332E"/>
    <w:rsid w:val="560C6B9B"/>
    <w:rsid w:val="560E7116"/>
    <w:rsid w:val="56112524"/>
    <w:rsid w:val="561623FF"/>
    <w:rsid w:val="5617528F"/>
    <w:rsid w:val="56185DAF"/>
    <w:rsid w:val="56186810"/>
    <w:rsid w:val="56187F25"/>
    <w:rsid w:val="561D602D"/>
    <w:rsid w:val="561E0BFC"/>
    <w:rsid w:val="561E3705"/>
    <w:rsid w:val="561E3F6C"/>
    <w:rsid w:val="561F726B"/>
    <w:rsid w:val="56201644"/>
    <w:rsid w:val="56202AF7"/>
    <w:rsid w:val="562156FF"/>
    <w:rsid w:val="56222B52"/>
    <w:rsid w:val="5623661F"/>
    <w:rsid w:val="5624337B"/>
    <w:rsid w:val="5625378D"/>
    <w:rsid w:val="56262642"/>
    <w:rsid w:val="56283933"/>
    <w:rsid w:val="56286972"/>
    <w:rsid w:val="562D1427"/>
    <w:rsid w:val="562F18D2"/>
    <w:rsid w:val="56312D95"/>
    <w:rsid w:val="5633595F"/>
    <w:rsid w:val="56352885"/>
    <w:rsid w:val="56356D29"/>
    <w:rsid w:val="56363540"/>
    <w:rsid w:val="563664BC"/>
    <w:rsid w:val="56370141"/>
    <w:rsid w:val="56384123"/>
    <w:rsid w:val="56397366"/>
    <w:rsid w:val="563A1619"/>
    <w:rsid w:val="563A60ED"/>
    <w:rsid w:val="563C1A65"/>
    <w:rsid w:val="563C38EF"/>
    <w:rsid w:val="563D0365"/>
    <w:rsid w:val="563D6D27"/>
    <w:rsid w:val="563E0DDF"/>
    <w:rsid w:val="563E5645"/>
    <w:rsid w:val="5641747C"/>
    <w:rsid w:val="56423F89"/>
    <w:rsid w:val="56431446"/>
    <w:rsid w:val="564319B4"/>
    <w:rsid w:val="564451BE"/>
    <w:rsid w:val="564B11B8"/>
    <w:rsid w:val="564C7130"/>
    <w:rsid w:val="56503B63"/>
    <w:rsid w:val="5650508D"/>
    <w:rsid w:val="565102A2"/>
    <w:rsid w:val="56510508"/>
    <w:rsid w:val="56513437"/>
    <w:rsid w:val="565143BC"/>
    <w:rsid w:val="5659735A"/>
    <w:rsid w:val="565A678F"/>
    <w:rsid w:val="565A6D84"/>
    <w:rsid w:val="565D3C7E"/>
    <w:rsid w:val="566118CC"/>
    <w:rsid w:val="566141AE"/>
    <w:rsid w:val="56625644"/>
    <w:rsid w:val="56653CED"/>
    <w:rsid w:val="56655E0A"/>
    <w:rsid w:val="566A2E0C"/>
    <w:rsid w:val="566A43DB"/>
    <w:rsid w:val="566E223B"/>
    <w:rsid w:val="566E2766"/>
    <w:rsid w:val="566E5D97"/>
    <w:rsid w:val="56707B74"/>
    <w:rsid w:val="567160F9"/>
    <w:rsid w:val="56717D6E"/>
    <w:rsid w:val="567A1643"/>
    <w:rsid w:val="567B7952"/>
    <w:rsid w:val="567C63D3"/>
    <w:rsid w:val="56811F6E"/>
    <w:rsid w:val="56837A94"/>
    <w:rsid w:val="568741A9"/>
    <w:rsid w:val="568832FC"/>
    <w:rsid w:val="56884AFC"/>
    <w:rsid w:val="568863AD"/>
    <w:rsid w:val="56887B92"/>
    <w:rsid w:val="568A57CF"/>
    <w:rsid w:val="568B0AE4"/>
    <w:rsid w:val="568B6949"/>
    <w:rsid w:val="568D26C1"/>
    <w:rsid w:val="568D446F"/>
    <w:rsid w:val="568D4D5B"/>
    <w:rsid w:val="568D7BF0"/>
    <w:rsid w:val="568E26BA"/>
    <w:rsid w:val="568E2F5F"/>
    <w:rsid w:val="569021B1"/>
    <w:rsid w:val="56903F5F"/>
    <w:rsid w:val="56922861"/>
    <w:rsid w:val="5694012C"/>
    <w:rsid w:val="569452B5"/>
    <w:rsid w:val="56971B04"/>
    <w:rsid w:val="569752EE"/>
    <w:rsid w:val="569B4B0E"/>
    <w:rsid w:val="569C6DA8"/>
    <w:rsid w:val="56A25A40"/>
    <w:rsid w:val="56A30260"/>
    <w:rsid w:val="56A33CDA"/>
    <w:rsid w:val="56A62257"/>
    <w:rsid w:val="56A759DA"/>
    <w:rsid w:val="56A85034"/>
    <w:rsid w:val="56B0436B"/>
    <w:rsid w:val="56B22591"/>
    <w:rsid w:val="56B52866"/>
    <w:rsid w:val="56B81729"/>
    <w:rsid w:val="56B91559"/>
    <w:rsid w:val="56B91708"/>
    <w:rsid w:val="56B92F4F"/>
    <w:rsid w:val="56BA0FDC"/>
    <w:rsid w:val="56BA4411"/>
    <w:rsid w:val="56BD066A"/>
    <w:rsid w:val="56BD67A9"/>
    <w:rsid w:val="56BD7976"/>
    <w:rsid w:val="56C34335"/>
    <w:rsid w:val="56C462A0"/>
    <w:rsid w:val="56C7550B"/>
    <w:rsid w:val="56C820DA"/>
    <w:rsid w:val="56C85B5F"/>
    <w:rsid w:val="56CB31E9"/>
    <w:rsid w:val="56CC3FC2"/>
    <w:rsid w:val="56CD0D0F"/>
    <w:rsid w:val="56CE4A87"/>
    <w:rsid w:val="56CE65FA"/>
    <w:rsid w:val="56CE6835"/>
    <w:rsid w:val="56CE7983"/>
    <w:rsid w:val="56D025AE"/>
    <w:rsid w:val="56D227CA"/>
    <w:rsid w:val="56D234C1"/>
    <w:rsid w:val="56D402F0"/>
    <w:rsid w:val="56D435D4"/>
    <w:rsid w:val="56D57567"/>
    <w:rsid w:val="56D769D8"/>
    <w:rsid w:val="56D77DE0"/>
    <w:rsid w:val="56D93EEB"/>
    <w:rsid w:val="56D976B4"/>
    <w:rsid w:val="56DE190D"/>
    <w:rsid w:val="56E274B6"/>
    <w:rsid w:val="56E41754"/>
    <w:rsid w:val="56E421D3"/>
    <w:rsid w:val="56E4583D"/>
    <w:rsid w:val="56E61DD1"/>
    <w:rsid w:val="56E8414B"/>
    <w:rsid w:val="56E878F7"/>
    <w:rsid w:val="56EC5595"/>
    <w:rsid w:val="56ED6591"/>
    <w:rsid w:val="56EE326B"/>
    <w:rsid w:val="56EF5A5C"/>
    <w:rsid w:val="56F37AB8"/>
    <w:rsid w:val="56F5777F"/>
    <w:rsid w:val="56FA587C"/>
    <w:rsid w:val="56FD4B37"/>
    <w:rsid w:val="56FF2E93"/>
    <w:rsid w:val="56FF51FF"/>
    <w:rsid w:val="56FF611C"/>
    <w:rsid w:val="57003E35"/>
    <w:rsid w:val="57022CD7"/>
    <w:rsid w:val="5704661E"/>
    <w:rsid w:val="57064221"/>
    <w:rsid w:val="57081D47"/>
    <w:rsid w:val="57083D46"/>
    <w:rsid w:val="570A2330"/>
    <w:rsid w:val="570D07C8"/>
    <w:rsid w:val="570D735E"/>
    <w:rsid w:val="571050A0"/>
    <w:rsid w:val="57144B90"/>
    <w:rsid w:val="57155157"/>
    <w:rsid w:val="57180497"/>
    <w:rsid w:val="571D1C64"/>
    <w:rsid w:val="571F7091"/>
    <w:rsid w:val="5721105B"/>
    <w:rsid w:val="572172AD"/>
    <w:rsid w:val="57265C0E"/>
    <w:rsid w:val="572735E4"/>
    <w:rsid w:val="57286675"/>
    <w:rsid w:val="572A3C4F"/>
    <w:rsid w:val="572A43B4"/>
    <w:rsid w:val="572A5FC6"/>
    <w:rsid w:val="572A6162"/>
    <w:rsid w:val="572B4716"/>
    <w:rsid w:val="572C3251"/>
    <w:rsid w:val="572C48AA"/>
    <w:rsid w:val="572F0738"/>
    <w:rsid w:val="572F5526"/>
    <w:rsid w:val="57304168"/>
    <w:rsid w:val="573214BA"/>
    <w:rsid w:val="57341485"/>
    <w:rsid w:val="573963A5"/>
    <w:rsid w:val="573A3ECB"/>
    <w:rsid w:val="573C5E95"/>
    <w:rsid w:val="57405985"/>
    <w:rsid w:val="57410B05"/>
    <w:rsid w:val="57417C7B"/>
    <w:rsid w:val="57425FEC"/>
    <w:rsid w:val="57440892"/>
    <w:rsid w:val="57452F9B"/>
    <w:rsid w:val="57457F85"/>
    <w:rsid w:val="57476D14"/>
    <w:rsid w:val="574803C1"/>
    <w:rsid w:val="574A6804"/>
    <w:rsid w:val="574D1ABF"/>
    <w:rsid w:val="574E4D9E"/>
    <w:rsid w:val="574F7976"/>
    <w:rsid w:val="57516AAA"/>
    <w:rsid w:val="57527406"/>
    <w:rsid w:val="575431DF"/>
    <w:rsid w:val="57543C3A"/>
    <w:rsid w:val="5754721C"/>
    <w:rsid w:val="57580F21"/>
    <w:rsid w:val="575B631B"/>
    <w:rsid w:val="575C52E3"/>
    <w:rsid w:val="576014CF"/>
    <w:rsid w:val="57601B83"/>
    <w:rsid w:val="57611C9C"/>
    <w:rsid w:val="576433D3"/>
    <w:rsid w:val="57650F48"/>
    <w:rsid w:val="576B6E5D"/>
    <w:rsid w:val="576D3C0A"/>
    <w:rsid w:val="576D6676"/>
    <w:rsid w:val="57721C19"/>
    <w:rsid w:val="57725E5C"/>
    <w:rsid w:val="57783371"/>
    <w:rsid w:val="57785201"/>
    <w:rsid w:val="57790E97"/>
    <w:rsid w:val="577C7AB2"/>
    <w:rsid w:val="577F0120"/>
    <w:rsid w:val="57802226"/>
    <w:rsid w:val="5780556F"/>
    <w:rsid w:val="57810B57"/>
    <w:rsid w:val="57811389"/>
    <w:rsid w:val="57814A98"/>
    <w:rsid w:val="57816536"/>
    <w:rsid w:val="5782427D"/>
    <w:rsid w:val="57831BA8"/>
    <w:rsid w:val="5783261F"/>
    <w:rsid w:val="5787347F"/>
    <w:rsid w:val="578810DA"/>
    <w:rsid w:val="578A4A83"/>
    <w:rsid w:val="578F5F96"/>
    <w:rsid w:val="57912164"/>
    <w:rsid w:val="579461AD"/>
    <w:rsid w:val="57946FB9"/>
    <w:rsid w:val="579637F7"/>
    <w:rsid w:val="5797298A"/>
    <w:rsid w:val="579927DF"/>
    <w:rsid w:val="579F5091"/>
    <w:rsid w:val="57A001D2"/>
    <w:rsid w:val="57A203EE"/>
    <w:rsid w:val="57A36246"/>
    <w:rsid w:val="57A37CC2"/>
    <w:rsid w:val="57A56626"/>
    <w:rsid w:val="57A75A04"/>
    <w:rsid w:val="57A9177C"/>
    <w:rsid w:val="57AA72A2"/>
    <w:rsid w:val="57AC4DC9"/>
    <w:rsid w:val="57AC6B77"/>
    <w:rsid w:val="57AC7D4A"/>
    <w:rsid w:val="57AF3A2D"/>
    <w:rsid w:val="57B1418D"/>
    <w:rsid w:val="57B41ECF"/>
    <w:rsid w:val="57B45DEB"/>
    <w:rsid w:val="57B77283"/>
    <w:rsid w:val="57BB47CB"/>
    <w:rsid w:val="57BC4BC9"/>
    <w:rsid w:val="57BD0272"/>
    <w:rsid w:val="57BD6FD6"/>
    <w:rsid w:val="57BE4A64"/>
    <w:rsid w:val="57BF2D4E"/>
    <w:rsid w:val="57C01908"/>
    <w:rsid w:val="57C02622"/>
    <w:rsid w:val="57C256BF"/>
    <w:rsid w:val="57C755F3"/>
    <w:rsid w:val="57C92747"/>
    <w:rsid w:val="57CA524F"/>
    <w:rsid w:val="57CF5E84"/>
    <w:rsid w:val="57D12A81"/>
    <w:rsid w:val="57D17DD7"/>
    <w:rsid w:val="57D4431F"/>
    <w:rsid w:val="57D5455B"/>
    <w:rsid w:val="57D90B8E"/>
    <w:rsid w:val="57D92C4D"/>
    <w:rsid w:val="57DA7B88"/>
    <w:rsid w:val="57DB745C"/>
    <w:rsid w:val="57DC32D5"/>
    <w:rsid w:val="57DC4BF8"/>
    <w:rsid w:val="57DD1426"/>
    <w:rsid w:val="57DD33F5"/>
    <w:rsid w:val="57DE3BCE"/>
    <w:rsid w:val="57DF61BE"/>
    <w:rsid w:val="57E248AC"/>
    <w:rsid w:val="57E50DC0"/>
    <w:rsid w:val="57E5266B"/>
    <w:rsid w:val="57E52FDC"/>
    <w:rsid w:val="57E91B79"/>
    <w:rsid w:val="57E9247C"/>
    <w:rsid w:val="57EE53E1"/>
    <w:rsid w:val="57F50618"/>
    <w:rsid w:val="57F50D2B"/>
    <w:rsid w:val="57F521DB"/>
    <w:rsid w:val="57F77FA2"/>
    <w:rsid w:val="57FB18AC"/>
    <w:rsid w:val="57FB2317"/>
    <w:rsid w:val="57FD3876"/>
    <w:rsid w:val="57FE561D"/>
    <w:rsid w:val="57FF139C"/>
    <w:rsid w:val="57FF3250"/>
    <w:rsid w:val="58003D2A"/>
    <w:rsid w:val="58022C3B"/>
    <w:rsid w:val="580544D9"/>
    <w:rsid w:val="58067C67"/>
    <w:rsid w:val="580908A0"/>
    <w:rsid w:val="580A1AEF"/>
    <w:rsid w:val="580A7A6A"/>
    <w:rsid w:val="580A7D41"/>
    <w:rsid w:val="580C0A53"/>
    <w:rsid w:val="580C5867"/>
    <w:rsid w:val="580F59BD"/>
    <w:rsid w:val="5811343C"/>
    <w:rsid w:val="58130152"/>
    <w:rsid w:val="58134E48"/>
    <w:rsid w:val="58141F88"/>
    <w:rsid w:val="58150155"/>
    <w:rsid w:val="581516CF"/>
    <w:rsid w:val="58152298"/>
    <w:rsid w:val="58164933"/>
    <w:rsid w:val="581864C3"/>
    <w:rsid w:val="581C7615"/>
    <w:rsid w:val="581E2A41"/>
    <w:rsid w:val="582157B7"/>
    <w:rsid w:val="58240E03"/>
    <w:rsid w:val="58241EF3"/>
    <w:rsid w:val="58247055"/>
    <w:rsid w:val="58256DDC"/>
    <w:rsid w:val="58276B45"/>
    <w:rsid w:val="58277FF2"/>
    <w:rsid w:val="582859AC"/>
    <w:rsid w:val="582864E5"/>
    <w:rsid w:val="582A5C46"/>
    <w:rsid w:val="582B7DB1"/>
    <w:rsid w:val="582F1556"/>
    <w:rsid w:val="583059FA"/>
    <w:rsid w:val="58306EC5"/>
    <w:rsid w:val="58307CAB"/>
    <w:rsid w:val="58311303"/>
    <w:rsid w:val="5833412B"/>
    <w:rsid w:val="58336070"/>
    <w:rsid w:val="583420D5"/>
    <w:rsid w:val="58342AEA"/>
    <w:rsid w:val="58344A22"/>
    <w:rsid w:val="58346B6C"/>
    <w:rsid w:val="583600E0"/>
    <w:rsid w:val="583703D5"/>
    <w:rsid w:val="583738C9"/>
    <w:rsid w:val="58380FDB"/>
    <w:rsid w:val="58392DCB"/>
    <w:rsid w:val="583A16FA"/>
    <w:rsid w:val="583C39FA"/>
    <w:rsid w:val="583D66E1"/>
    <w:rsid w:val="584054D7"/>
    <w:rsid w:val="58457EA1"/>
    <w:rsid w:val="58472CF8"/>
    <w:rsid w:val="58472D43"/>
    <w:rsid w:val="584E4E10"/>
    <w:rsid w:val="584F2E3F"/>
    <w:rsid w:val="584F712C"/>
    <w:rsid w:val="58515970"/>
    <w:rsid w:val="58533496"/>
    <w:rsid w:val="58535244"/>
    <w:rsid w:val="585A1E32"/>
    <w:rsid w:val="585A4D75"/>
    <w:rsid w:val="585B5C1B"/>
    <w:rsid w:val="58626077"/>
    <w:rsid w:val="58640F57"/>
    <w:rsid w:val="586414B1"/>
    <w:rsid w:val="58676844"/>
    <w:rsid w:val="58685557"/>
    <w:rsid w:val="5868652B"/>
    <w:rsid w:val="58690F0C"/>
    <w:rsid w:val="58695D27"/>
    <w:rsid w:val="586B72E0"/>
    <w:rsid w:val="586C1FDC"/>
    <w:rsid w:val="586C27AA"/>
    <w:rsid w:val="586C4348"/>
    <w:rsid w:val="586D08A4"/>
    <w:rsid w:val="586D4BB3"/>
    <w:rsid w:val="586F1BFB"/>
    <w:rsid w:val="58737694"/>
    <w:rsid w:val="587440B4"/>
    <w:rsid w:val="58770EE6"/>
    <w:rsid w:val="58773629"/>
    <w:rsid w:val="58783461"/>
    <w:rsid w:val="587B728C"/>
    <w:rsid w:val="587E12E8"/>
    <w:rsid w:val="58801DB1"/>
    <w:rsid w:val="58817556"/>
    <w:rsid w:val="58845D45"/>
    <w:rsid w:val="58866CB8"/>
    <w:rsid w:val="58873140"/>
    <w:rsid w:val="58873367"/>
    <w:rsid w:val="5889510A"/>
    <w:rsid w:val="588B1B28"/>
    <w:rsid w:val="588C4106"/>
    <w:rsid w:val="588E44CE"/>
    <w:rsid w:val="588F1CC1"/>
    <w:rsid w:val="58923791"/>
    <w:rsid w:val="58936AF3"/>
    <w:rsid w:val="589715D5"/>
    <w:rsid w:val="589A7317"/>
    <w:rsid w:val="589C1C94"/>
    <w:rsid w:val="589C6AF1"/>
    <w:rsid w:val="589D3C92"/>
    <w:rsid w:val="58A01A6C"/>
    <w:rsid w:val="58A106A5"/>
    <w:rsid w:val="58A22866"/>
    <w:rsid w:val="58A32001"/>
    <w:rsid w:val="58A3441E"/>
    <w:rsid w:val="58A43CF2"/>
    <w:rsid w:val="58AB32D2"/>
    <w:rsid w:val="58AB4B55"/>
    <w:rsid w:val="58B05FA8"/>
    <w:rsid w:val="58B07973"/>
    <w:rsid w:val="58B41FFF"/>
    <w:rsid w:val="58B55EFF"/>
    <w:rsid w:val="58B724B9"/>
    <w:rsid w:val="58B905E9"/>
    <w:rsid w:val="58BB77F3"/>
    <w:rsid w:val="58BE3005"/>
    <w:rsid w:val="58C12AF6"/>
    <w:rsid w:val="58C66946"/>
    <w:rsid w:val="58CD4FF7"/>
    <w:rsid w:val="58CD64F3"/>
    <w:rsid w:val="58CF5213"/>
    <w:rsid w:val="58D121D7"/>
    <w:rsid w:val="58D1719A"/>
    <w:rsid w:val="58D5034F"/>
    <w:rsid w:val="58D74D83"/>
    <w:rsid w:val="58D85002"/>
    <w:rsid w:val="58DC16DE"/>
    <w:rsid w:val="58DE354C"/>
    <w:rsid w:val="58DE5456"/>
    <w:rsid w:val="58DE7204"/>
    <w:rsid w:val="58E53575"/>
    <w:rsid w:val="58E6255C"/>
    <w:rsid w:val="58E6430A"/>
    <w:rsid w:val="58E660B8"/>
    <w:rsid w:val="58E6780C"/>
    <w:rsid w:val="58E75A87"/>
    <w:rsid w:val="58E81733"/>
    <w:rsid w:val="58E83D07"/>
    <w:rsid w:val="58E87972"/>
    <w:rsid w:val="58EA4622"/>
    <w:rsid w:val="58EA5AE1"/>
    <w:rsid w:val="58EB7B73"/>
    <w:rsid w:val="58EF00E5"/>
    <w:rsid w:val="58F05189"/>
    <w:rsid w:val="58F06F37"/>
    <w:rsid w:val="58F17221"/>
    <w:rsid w:val="58F20F01"/>
    <w:rsid w:val="58F44C79"/>
    <w:rsid w:val="58F45859"/>
    <w:rsid w:val="58F622CA"/>
    <w:rsid w:val="58F65979"/>
    <w:rsid w:val="58F67A2C"/>
    <w:rsid w:val="58F838A1"/>
    <w:rsid w:val="58F92290"/>
    <w:rsid w:val="58F96E17"/>
    <w:rsid w:val="58FA6008"/>
    <w:rsid w:val="58FB7167"/>
    <w:rsid w:val="58FC1D80"/>
    <w:rsid w:val="58FD13BF"/>
    <w:rsid w:val="58FD7F03"/>
    <w:rsid w:val="58FE1654"/>
    <w:rsid w:val="59012E0C"/>
    <w:rsid w:val="5902489B"/>
    <w:rsid w:val="5903120A"/>
    <w:rsid w:val="5903310E"/>
    <w:rsid w:val="5906675A"/>
    <w:rsid w:val="590A380E"/>
    <w:rsid w:val="590A5B72"/>
    <w:rsid w:val="590B1675"/>
    <w:rsid w:val="590B1FC3"/>
    <w:rsid w:val="590B5B1F"/>
    <w:rsid w:val="590C1717"/>
    <w:rsid w:val="59107242"/>
    <w:rsid w:val="59125193"/>
    <w:rsid w:val="5915699E"/>
    <w:rsid w:val="5919023C"/>
    <w:rsid w:val="59193278"/>
    <w:rsid w:val="591A778A"/>
    <w:rsid w:val="591C41D0"/>
    <w:rsid w:val="591C58EF"/>
    <w:rsid w:val="591F7FC0"/>
    <w:rsid w:val="5923465C"/>
    <w:rsid w:val="5924431F"/>
    <w:rsid w:val="59246BE1"/>
    <w:rsid w:val="59271972"/>
    <w:rsid w:val="5927612C"/>
    <w:rsid w:val="59276970"/>
    <w:rsid w:val="59277D74"/>
    <w:rsid w:val="5929341A"/>
    <w:rsid w:val="592941F7"/>
    <w:rsid w:val="59295FCC"/>
    <w:rsid w:val="592A1893"/>
    <w:rsid w:val="592A362F"/>
    <w:rsid w:val="592B26C2"/>
    <w:rsid w:val="592B61C1"/>
    <w:rsid w:val="592E50EA"/>
    <w:rsid w:val="59300A43"/>
    <w:rsid w:val="59327B07"/>
    <w:rsid w:val="5933118A"/>
    <w:rsid w:val="593851E9"/>
    <w:rsid w:val="593908DE"/>
    <w:rsid w:val="5939268C"/>
    <w:rsid w:val="59394FE8"/>
    <w:rsid w:val="59395CEE"/>
    <w:rsid w:val="59396B30"/>
    <w:rsid w:val="594171A5"/>
    <w:rsid w:val="59447ED1"/>
    <w:rsid w:val="5947164B"/>
    <w:rsid w:val="594828CF"/>
    <w:rsid w:val="594C3610"/>
    <w:rsid w:val="594D1384"/>
    <w:rsid w:val="594D25DB"/>
    <w:rsid w:val="594E2078"/>
    <w:rsid w:val="594F0101"/>
    <w:rsid w:val="594F1EAF"/>
    <w:rsid w:val="595028F8"/>
    <w:rsid w:val="59583F34"/>
    <w:rsid w:val="595B0854"/>
    <w:rsid w:val="595B6AA6"/>
    <w:rsid w:val="595C637A"/>
    <w:rsid w:val="595E071B"/>
    <w:rsid w:val="595E4F4D"/>
    <w:rsid w:val="59605EB6"/>
    <w:rsid w:val="59635008"/>
    <w:rsid w:val="596516D3"/>
    <w:rsid w:val="5966497E"/>
    <w:rsid w:val="596722D9"/>
    <w:rsid w:val="596A49DF"/>
    <w:rsid w:val="596A5151"/>
    <w:rsid w:val="596C5CDD"/>
    <w:rsid w:val="596D4A2C"/>
    <w:rsid w:val="596D6D08"/>
    <w:rsid w:val="59702BA6"/>
    <w:rsid w:val="597162CA"/>
    <w:rsid w:val="5975359A"/>
    <w:rsid w:val="5976165F"/>
    <w:rsid w:val="59772712"/>
    <w:rsid w:val="597933D0"/>
    <w:rsid w:val="597B7D61"/>
    <w:rsid w:val="59861649"/>
    <w:rsid w:val="5987789B"/>
    <w:rsid w:val="59884C4A"/>
    <w:rsid w:val="59885481"/>
    <w:rsid w:val="5988716F"/>
    <w:rsid w:val="598C3104"/>
    <w:rsid w:val="598D0C2A"/>
    <w:rsid w:val="598D4786"/>
    <w:rsid w:val="59900731"/>
    <w:rsid w:val="59913B3F"/>
    <w:rsid w:val="59920046"/>
    <w:rsid w:val="599259E9"/>
    <w:rsid w:val="59927FEE"/>
    <w:rsid w:val="599478D4"/>
    <w:rsid w:val="59977784"/>
    <w:rsid w:val="59987050"/>
    <w:rsid w:val="599E4BE5"/>
    <w:rsid w:val="59A07F5E"/>
    <w:rsid w:val="59A271CD"/>
    <w:rsid w:val="59A6222E"/>
    <w:rsid w:val="59A71CEC"/>
    <w:rsid w:val="59A93C56"/>
    <w:rsid w:val="59AA06BC"/>
    <w:rsid w:val="59AB3E29"/>
    <w:rsid w:val="59B14918"/>
    <w:rsid w:val="59B401A6"/>
    <w:rsid w:val="59B62E9C"/>
    <w:rsid w:val="59B82872"/>
    <w:rsid w:val="59B94243"/>
    <w:rsid w:val="59B9561B"/>
    <w:rsid w:val="59BC629F"/>
    <w:rsid w:val="59BD150F"/>
    <w:rsid w:val="59BF52F5"/>
    <w:rsid w:val="59BF579A"/>
    <w:rsid w:val="59C208D3"/>
    <w:rsid w:val="59C23D5A"/>
    <w:rsid w:val="59C26B25"/>
    <w:rsid w:val="59C3464B"/>
    <w:rsid w:val="59CA4F17"/>
    <w:rsid w:val="59CA59DA"/>
    <w:rsid w:val="59CB7CCF"/>
    <w:rsid w:val="59CD38AD"/>
    <w:rsid w:val="59D14FBA"/>
    <w:rsid w:val="59D35B1C"/>
    <w:rsid w:val="59D55CEA"/>
    <w:rsid w:val="59D86349"/>
    <w:rsid w:val="59D94CAD"/>
    <w:rsid w:val="59D96D77"/>
    <w:rsid w:val="59DE4FE1"/>
    <w:rsid w:val="59E22C1F"/>
    <w:rsid w:val="59E35559"/>
    <w:rsid w:val="59E36276"/>
    <w:rsid w:val="59E51E95"/>
    <w:rsid w:val="59E629DC"/>
    <w:rsid w:val="59E832FB"/>
    <w:rsid w:val="59E9515B"/>
    <w:rsid w:val="59EC5950"/>
    <w:rsid w:val="59EE0DCA"/>
    <w:rsid w:val="59EF3692"/>
    <w:rsid w:val="59EF71EF"/>
    <w:rsid w:val="59F132C2"/>
    <w:rsid w:val="59F14D15"/>
    <w:rsid w:val="59F34F31"/>
    <w:rsid w:val="59F42A57"/>
    <w:rsid w:val="59F649A5"/>
    <w:rsid w:val="59F80484"/>
    <w:rsid w:val="59F97F58"/>
    <w:rsid w:val="59FA4267"/>
    <w:rsid w:val="59FA5965"/>
    <w:rsid w:val="59FB3DE5"/>
    <w:rsid w:val="59FE7432"/>
    <w:rsid w:val="59FF38D6"/>
    <w:rsid w:val="5A0031AA"/>
    <w:rsid w:val="5A007E10"/>
    <w:rsid w:val="5A0228E9"/>
    <w:rsid w:val="5A025174"/>
    <w:rsid w:val="5A056A1C"/>
    <w:rsid w:val="5A0823B5"/>
    <w:rsid w:val="5A08384B"/>
    <w:rsid w:val="5A0851F4"/>
    <w:rsid w:val="5A090C80"/>
    <w:rsid w:val="5A096502"/>
    <w:rsid w:val="5A0A4028"/>
    <w:rsid w:val="5A0D1573"/>
    <w:rsid w:val="5A0D79FC"/>
    <w:rsid w:val="5A0F253F"/>
    <w:rsid w:val="5A1153B7"/>
    <w:rsid w:val="5A150D5F"/>
    <w:rsid w:val="5A16408A"/>
    <w:rsid w:val="5A184997"/>
    <w:rsid w:val="5A190577"/>
    <w:rsid w:val="5A1B4488"/>
    <w:rsid w:val="5A1B72B3"/>
    <w:rsid w:val="5A1C7F18"/>
    <w:rsid w:val="5A250E62"/>
    <w:rsid w:val="5A252C10"/>
    <w:rsid w:val="5A27069A"/>
    <w:rsid w:val="5A276988"/>
    <w:rsid w:val="5A2806DB"/>
    <w:rsid w:val="5A2922DF"/>
    <w:rsid w:val="5A2B6347"/>
    <w:rsid w:val="5A2E347D"/>
    <w:rsid w:val="5A314442"/>
    <w:rsid w:val="5A333E05"/>
    <w:rsid w:val="5A336225"/>
    <w:rsid w:val="5A336A7D"/>
    <w:rsid w:val="5A3409A3"/>
    <w:rsid w:val="5A34716A"/>
    <w:rsid w:val="5A347FBE"/>
    <w:rsid w:val="5A354F93"/>
    <w:rsid w:val="5A370F8A"/>
    <w:rsid w:val="5A376FBB"/>
    <w:rsid w:val="5A377733"/>
    <w:rsid w:val="5A3A490E"/>
    <w:rsid w:val="5A3B0686"/>
    <w:rsid w:val="5A3D42DE"/>
    <w:rsid w:val="5A3D74AA"/>
    <w:rsid w:val="5A3E06E1"/>
    <w:rsid w:val="5A3E3921"/>
    <w:rsid w:val="5A3E3E76"/>
    <w:rsid w:val="5A4317A1"/>
    <w:rsid w:val="5A44578C"/>
    <w:rsid w:val="5A461504"/>
    <w:rsid w:val="5A463F07"/>
    <w:rsid w:val="5A492D64"/>
    <w:rsid w:val="5A4A44E4"/>
    <w:rsid w:val="5A4C4641"/>
    <w:rsid w:val="5A4C5E6A"/>
    <w:rsid w:val="5A4D05C5"/>
    <w:rsid w:val="5A4D7D4A"/>
    <w:rsid w:val="5A501A8C"/>
    <w:rsid w:val="5A5034D4"/>
    <w:rsid w:val="5A505FA3"/>
    <w:rsid w:val="5A515A0F"/>
    <w:rsid w:val="5A526552"/>
    <w:rsid w:val="5A527A6A"/>
    <w:rsid w:val="5A533C21"/>
    <w:rsid w:val="5A541288"/>
    <w:rsid w:val="5A596DE6"/>
    <w:rsid w:val="5A5A55F7"/>
    <w:rsid w:val="5A5A6386"/>
    <w:rsid w:val="5A614F17"/>
    <w:rsid w:val="5A640615"/>
    <w:rsid w:val="5A663955"/>
    <w:rsid w:val="5A6A2228"/>
    <w:rsid w:val="5A6B1C40"/>
    <w:rsid w:val="5A6C49BC"/>
    <w:rsid w:val="5A6D5AA0"/>
    <w:rsid w:val="5A717215"/>
    <w:rsid w:val="5A763CDA"/>
    <w:rsid w:val="5A785436"/>
    <w:rsid w:val="5A7A2F5C"/>
    <w:rsid w:val="5A7A7400"/>
    <w:rsid w:val="5A7A7978"/>
    <w:rsid w:val="5A7D3F6E"/>
    <w:rsid w:val="5A7F2242"/>
    <w:rsid w:val="5A817F4C"/>
    <w:rsid w:val="5A830AFB"/>
    <w:rsid w:val="5A841CD6"/>
    <w:rsid w:val="5A851901"/>
    <w:rsid w:val="5A881A82"/>
    <w:rsid w:val="5A882A18"/>
    <w:rsid w:val="5A8913F1"/>
    <w:rsid w:val="5A89319F"/>
    <w:rsid w:val="5A8954D0"/>
    <w:rsid w:val="5A8A5A7B"/>
    <w:rsid w:val="5A8B1950"/>
    <w:rsid w:val="5A8B33BB"/>
    <w:rsid w:val="5A8B5DBA"/>
    <w:rsid w:val="5A8C44AD"/>
    <w:rsid w:val="5A90066F"/>
    <w:rsid w:val="5A955848"/>
    <w:rsid w:val="5A9572F9"/>
    <w:rsid w:val="5A980B38"/>
    <w:rsid w:val="5A982123"/>
    <w:rsid w:val="5A982906"/>
    <w:rsid w:val="5A996CC3"/>
    <w:rsid w:val="5A9B1124"/>
    <w:rsid w:val="5A9B2ED2"/>
    <w:rsid w:val="5A9D4E9D"/>
    <w:rsid w:val="5AA069BA"/>
    <w:rsid w:val="5AA12BDF"/>
    <w:rsid w:val="5AA758D0"/>
    <w:rsid w:val="5AA83421"/>
    <w:rsid w:val="5AA93841"/>
    <w:rsid w:val="5AAB1367"/>
    <w:rsid w:val="5AAB580B"/>
    <w:rsid w:val="5AAD2747"/>
    <w:rsid w:val="5AAE0E58"/>
    <w:rsid w:val="5AB02E22"/>
    <w:rsid w:val="5AB346C0"/>
    <w:rsid w:val="5AB40E44"/>
    <w:rsid w:val="5AB91592"/>
    <w:rsid w:val="5ABB24D6"/>
    <w:rsid w:val="5ABB70F5"/>
    <w:rsid w:val="5ABE39F2"/>
    <w:rsid w:val="5ABF6EB9"/>
    <w:rsid w:val="5AC73C67"/>
    <w:rsid w:val="5AC75083"/>
    <w:rsid w:val="5AC833C4"/>
    <w:rsid w:val="5AC87F3E"/>
    <w:rsid w:val="5ACA6E5F"/>
    <w:rsid w:val="5ACB1A0A"/>
    <w:rsid w:val="5ACB7AAA"/>
    <w:rsid w:val="5ACC12DE"/>
    <w:rsid w:val="5ACD68E6"/>
    <w:rsid w:val="5AD0574F"/>
    <w:rsid w:val="5AD20FEA"/>
    <w:rsid w:val="5AD3266C"/>
    <w:rsid w:val="5AD41000"/>
    <w:rsid w:val="5AD60ACA"/>
    <w:rsid w:val="5ADA7E9F"/>
    <w:rsid w:val="5ADC04ED"/>
    <w:rsid w:val="5ADD0CAF"/>
    <w:rsid w:val="5ADD2684"/>
    <w:rsid w:val="5AE472FB"/>
    <w:rsid w:val="5AE51D48"/>
    <w:rsid w:val="5AE80069"/>
    <w:rsid w:val="5AE8436A"/>
    <w:rsid w:val="5AEA287D"/>
    <w:rsid w:val="5AEA5C0E"/>
    <w:rsid w:val="5AEE394A"/>
    <w:rsid w:val="5AEE4983"/>
    <w:rsid w:val="5AF159B8"/>
    <w:rsid w:val="5AF251E8"/>
    <w:rsid w:val="5AF32D0E"/>
    <w:rsid w:val="5AF45137"/>
    <w:rsid w:val="5AF5778B"/>
    <w:rsid w:val="5AFA22EF"/>
    <w:rsid w:val="5AFA29BA"/>
    <w:rsid w:val="5AFB0A34"/>
    <w:rsid w:val="5AFB3CF6"/>
    <w:rsid w:val="5AFF07F9"/>
    <w:rsid w:val="5AFF6C37"/>
    <w:rsid w:val="5B02008A"/>
    <w:rsid w:val="5B021547"/>
    <w:rsid w:val="5B027DA6"/>
    <w:rsid w:val="5B030FC4"/>
    <w:rsid w:val="5B060C94"/>
    <w:rsid w:val="5B06599E"/>
    <w:rsid w:val="5B0A7413"/>
    <w:rsid w:val="5B0B1E06"/>
    <w:rsid w:val="5B0B6EEF"/>
    <w:rsid w:val="5B102138"/>
    <w:rsid w:val="5B133696"/>
    <w:rsid w:val="5B184AEE"/>
    <w:rsid w:val="5B1A029B"/>
    <w:rsid w:val="5B1A305E"/>
    <w:rsid w:val="5B1B6133"/>
    <w:rsid w:val="5B1C6B95"/>
    <w:rsid w:val="5B1D25CA"/>
    <w:rsid w:val="5B1E2EE7"/>
    <w:rsid w:val="5B200BAC"/>
    <w:rsid w:val="5B2335F4"/>
    <w:rsid w:val="5B2353A2"/>
    <w:rsid w:val="5B243CA0"/>
    <w:rsid w:val="5B2547A4"/>
    <w:rsid w:val="5B2555CB"/>
    <w:rsid w:val="5B2561DF"/>
    <w:rsid w:val="5B26110D"/>
    <w:rsid w:val="5B286E5C"/>
    <w:rsid w:val="5B2916BE"/>
    <w:rsid w:val="5B2917B5"/>
    <w:rsid w:val="5B2A04D7"/>
    <w:rsid w:val="5B2A332B"/>
    <w:rsid w:val="5B2B227A"/>
    <w:rsid w:val="5B307ABF"/>
    <w:rsid w:val="5B316300"/>
    <w:rsid w:val="5B32491C"/>
    <w:rsid w:val="5B3367CC"/>
    <w:rsid w:val="5B3436D2"/>
    <w:rsid w:val="5B355EE5"/>
    <w:rsid w:val="5B370E4D"/>
    <w:rsid w:val="5B3752F1"/>
    <w:rsid w:val="5B376972"/>
    <w:rsid w:val="5B3A26EB"/>
    <w:rsid w:val="5B3A7DDE"/>
    <w:rsid w:val="5B3C2907"/>
    <w:rsid w:val="5B3D2740"/>
    <w:rsid w:val="5B3F532B"/>
    <w:rsid w:val="5B413A7A"/>
    <w:rsid w:val="5B4359BE"/>
    <w:rsid w:val="5B441290"/>
    <w:rsid w:val="5B45179A"/>
    <w:rsid w:val="5B457F25"/>
    <w:rsid w:val="5B465A36"/>
    <w:rsid w:val="5B4B77BA"/>
    <w:rsid w:val="5B4E7D77"/>
    <w:rsid w:val="5B4F2398"/>
    <w:rsid w:val="5B50529E"/>
    <w:rsid w:val="5B532D8D"/>
    <w:rsid w:val="5B5626E1"/>
    <w:rsid w:val="5B583EBD"/>
    <w:rsid w:val="5B5A1D68"/>
    <w:rsid w:val="5B5A4B3C"/>
    <w:rsid w:val="5B5F03A4"/>
    <w:rsid w:val="5B602DAA"/>
    <w:rsid w:val="5B60386F"/>
    <w:rsid w:val="5B607633"/>
    <w:rsid w:val="5B634FA0"/>
    <w:rsid w:val="5B670004"/>
    <w:rsid w:val="5B6836FC"/>
    <w:rsid w:val="5B687259"/>
    <w:rsid w:val="5B690541"/>
    <w:rsid w:val="5B6A6125"/>
    <w:rsid w:val="5B6A708A"/>
    <w:rsid w:val="5B6B4F9B"/>
    <w:rsid w:val="5B6C18B9"/>
    <w:rsid w:val="5B6F4A8B"/>
    <w:rsid w:val="5B704CBF"/>
    <w:rsid w:val="5B721E85"/>
    <w:rsid w:val="5B7401F0"/>
    <w:rsid w:val="5B767A9D"/>
    <w:rsid w:val="5B773940"/>
    <w:rsid w:val="5B774521"/>
    <w:rsid w:val="5B777B1A"/>
    <w:rsid w:val="5B7C6515"/>
    <w:rsid w:val="5B7D65B4"/>
    <w:rsid w:val="5B7E6CA8"/>
    <w:rsid w:val="5B8027F4"/>
    <w:rsid w:val="5B804B00"/>
    <w:rsid w:val="5B807B3A"/>
    <w:rsid w:val="5B816270"/>
    <w:rsid w:val="5B84021A"/>
    <w:rsid w:val="5B841D55"/>
    <w:rsid w:val="5B857DE8"/>
    <w:rsid w:val="5B880223"/>
    <w:rsid w:val="5B89413D"/>
    <w:rsid w:val="5B8A5A18"/>
    <w:rsid w:val="5B8B17A8"/>
    <w:rsid w:val="5B8B79B0"/>
    <w:rsid w:val="5B932152"/>
    <w:rsid w:val="5B9510FE"/>
    <w:rsid w:val="5B982CBF"/>
    <w:rsid w:val="5B9C33A6"/>
    <w:rsid w:val="5BA1276A"/>
    <w:rsid w:val="5BA504AD"/>
    <w:rsid w:val="5BA54992"/>
    <w:rsid w:val="5BA54F84"/>
    <w:rsid w:val="5BA604D5"/>
    <w:rsid w:val="5BA81CFD"/>
    <w:rsid w:val="5BA858A7"/>
    <w:rsid w:val="5BA86B79"/>
    <w:rsid w:val="5BA87F9D"/>
    <w:rsid w:val="5BAA5AC3"/>
    <w:rsid w:val="5BAA7871"/>
    <w:rsid w:val="5BAC2F27"/>
    <w:rsid w:val="5BAC7BC7"/>
    <w:rsid w:val="5BAF30D9"/>
    <w:rsid w:val="5BB1214E"/>
    <w:rsid w:val="5BB71560"/>
    <w:rsid w:val="5BB91F83"/>
    <w:rsid w:val="5BB95D06"/>
    <w:rsid w:val="5BBB1A7E"/>
    <w:rsid w:val="5BBE50CA"/>
    <w:rsid w:val="5BC500C6"/>
    <w:rsid w:val="5BC509A0"/>
    <w:rsid w:val="5BC54262"/>
    <w:rsid w:val="5BC56431"/>
    <w:rsid w:val="5BC63276"/>
    <w:rsid w:val="5BC747AF"/>
    <w:rsid w:val="5BC810A1"/>
    <w:rsid w:val="5BCA33F1"/>
    <w:rsid w:val="5BCB24D5"/>
    <w:rsid w:val="5BCB4CF8"/>
    <w:rsid w:val="5BCD17B1"/>
    <w:rsid w:val="5BCE5769"/>
    <w:rsid w:val="5BD01B25"/>
    <w:rsid w:val="5BD03D17"/>
    <w:rsid w:val="5BD13050"/>
    <w:rsid w:val="5BD17E37"/>
    <w:rsid w:val="5BD6584C"/>
    <w:rsid w:val="5BD8466F"/>
    <w:rsid w:val="5BD95E50"/>
    <w:rsid w:val="5BD963A8"/>
    <w:rsid w:val="5BE00904"/>
    <w:rsid w:val="5BE06A7F"/>
    <w:rsid w:val="5BE2340E"/>
    <w:rsid w:val="5BE4588A"/>
    <w:rsid w:val="5BE54D4D"/>
    <w:rsid w:val="5BE551FB"/>
    <w:rsid w:val="5BE607C4"/>
    <w:rsid w:val="5BE6536B"/>
    <w:rsid w:val="5BE81C11"/>
    <w:rsid w:val="5BEC1C38"/>
    <w:rsid w:val="5BF07B73"/>
    <w:rsid w:val="5BF07D28"/>
    <w:rsid w:val="5BF13D83"/>
    <w:rsid w:val="5BF14F34"/>
    <w:rsid w:val="5BF412EC"/>
    <w:rsid w:val="5BF65312"/>
    <w:rsid w:val="5BF7775E"/>
    <w:rsid w:val="5BFA3192"/>
    <w:rsid w:val="5BFB1B82"/>
    <w:rsid w:val="5BFB1E7B"/>
    <w:rsid w:val="5BFC5BF3"/>
    <w:rsid w:val="5BFF42D5"/>
    <w:rsid w:val="5C007CAF"/>
    <w:rsid w:val="5C013209"/>
    <w:rsid w:val="5C0266FE"/>
    <w:rsid w:val="5C044513"/>
    <w:rsid w:val="5C0827EA"/>
    <w:rsid w:val="5C0A47B4"/>
    <w:rsid w:val="5C0A6562"/>
    <w:rsid w:val="5C0D1BAE"/>
    <w:rsid w:val="5C0D7BDD"/>
    <w:rsid w:val="5C120C73"/>
    <w:rsid w:val="5C1318BA"/>
    <w:rsid w:val="5C13586F"/>
    <w:rsid w:val="5C142F3C"/>
    <w:rsid w:val="5C143B00"/>
    <w:rsid w:val="5C16067F"/>
    <w:rsid w:val="5C163158"/>
    <w:rsid w:val="5C164F06"/>
    <w:rsid w:val="5C166CB5"/>
    <w:rsid w:val="5C192BBB"/>
    <w:rsid w:val="5C205738"/>
    <w:rsid w:val="5C223B34"/>
    <w:rsid w:val="5C232C28"/>
    <w:rsid w:val="5C25339C"/>
    <w:rsid w:val="5C26101D"/>
    <w:rsid w:val="5C295359"/>
    <w:rsid w:val="5C2C458B"/>
    <w:rsid w:val="5C2C472A"/>
    <w:rsid w:val="5C2D265F"/>
    <w:rsid w:val="5C311D40"/>
    <w:rsid w:val="5C34538D"/>
    <w:rsid w:val="5C380580"/>
    <w:rsid w:val="5C381321"/>
    <w:rsid w:val="5C3943C1"/>
    <w:rsid w:val="5C3C465D"/>
    <w:rsid w:val="5C3C7DA0"/>
    <w:rsid w:val="5C3E004C"/>
    <w:rsid w:val="5C4303A4"/>
    <w:rsid w:val="5C477198"/>
    <w:rsid w:val="5C482283"/>
    <w:rsid w:val="5C49260C"/>
    <w:rsid w:val="5C49558A"/>
    <w:rsid w:val="5C4C0928"/>
    <w:rsid w:val="5C4F515D"/>
    <w:rsid w:val="5C507565"/>
    <w:rsid w:val="5C515F3F"/>
    <w:rsid w:val="5C5512EA"/>
    <w:rsid w:val="5C554F9C"/>
    <w:rsid w:val="5C5732FE"/>
    <w:rsid w:val="5C591293"/>
    <w:rsid w:val="5C5B25F2"/>
    <w:rsid w:val="5C5B607A"/>
    <w:rsid w:val="5C5C2DB9"/>
    <w:rsid w:val="5C5D3F7F"/>
    <w:rsid w:val="5C612245"/>
    <w:rsid w:val="5C62014C"/>
    <w:rsid w:val="5C622A4B"/>
    <w:rsid w:val="5C631A05"/>
    <w:rsid w:val="5C632D06"/>
    <w:rsid w:val="5C67353B"/>
    <w:rsid w:val="5C680AE6"/>
    <w:rsid w:val="5C6A2142"/>
    <w:rsid w:val="5C6C074B"/>
    <w:rsid w:val="5C6D3B7D"/>
    <w:rsid w:val="5C6E4942"/>
    <w:rsid w:val="5C6F111E"/>
    <w:rsid w:val="5C6F1771"/>
    <w:rsid w:val="5C6F1E93"/>
    <w:rsid w:val="5C741C2D"/>
    <w:rsid w:val="5C757E7F"/>
    <w:rsid w:val="5C7646CD"/>
    <w:rsid w:val="5C7662CF"/>
    <w:rsid w:val="5C790492"/>
    <w:rsid w:val="5C796C15"/>
    <w:rsid w:val="5C7A5495"/>
    <w:rsid w:val="5C7A7C76"/>
    <w:rsid w:val="5C7B121E"/>
    <w:rsid w:val="5C7B4451"/>
    <w:rsid w:val="5C82657D"/>
    <w:rsid w:val="5C8965E5"/>
    <w:rsid w:val="5C8B5D13"/>
    <w:rsid w:val="5C8E36A0"/>
    <w:rsid w:val="5C92404A"/>
    <w:rsid w:val="5C985137"/>
    <w:rsid w:val="5C9860C1"/>
    <w:rsid w:val="5C9C4425"/>
    <w:rsid w:val="5C9C6B0B"/>
    <w:rsid w:val="5C9F1CAC"/>
    <w:rsid w:val="5CA00C74"/>
    <w:rsid w:val="5CA07747"/>
    <w:rsid w:val="5CA21F59"/>
    <w:rsid w:val="5CA359C0"/>
    <w:rsid w:val="5CA6628A"/>
    <w:rsid w:val="5CA72002"/>
    <w:rsid w:val="5CA93FCD"/>
    <w:rsid w:val="5CAC6214"/>
    <w:rsid w:val="5CAC7619"/>
    <w:rsid w:val="5CAE6E74"/>
    <w:rsid w:val="5CAF592A"/>
    <w:rsid w:val="5CB00852"/>
    <w:rsid w:val="5CB05180"/>
    <w:rsid w:val="5CB357FE"/>
    <w:rsid w:val="5CB564CD"/>
    <w:rsid w:val="5CB6164C"/>
    <w:rsid w:val="5CB87D6C"/>
    <w:rsid w:val="5CB9365E"/>
    <w:rsid w:val="5CBA7F88"/>
    <w:rsid w:val="5CC05393"/>
    <w:rsid w:val="5CC2508E"/>
    <w:rsid w:val="5CC41C8A"/>
    <w:rsid w:val="5CC46711"/>
    <w:rsid w:val="5CC525F4"/>
    <w:rsid w:val="5CC6692D"/>
    <w:rsid w:val="5CC76201"/>
    <w:rsid w:val="5CCA3C9D"/>
    <w:rsid w:val="5CCB3F43"/>
    <w:rsid w:val="5CCC468F"/>
    <w:rsid w:val="5CCC5BEA"/>
    <w:rsid w:val="5CCF30CE"/>
    <w:rsid w:val="5CD06003"/>
    <w:rsid w:val="5CD37D05"/>
    <w:rsid w:val="5CD72DB7"/>
    <w:rsid w:val="5CDC7EFE"/>
    <w:rsid w:val="5CE35059"/>
    <w:rsid w:val="5CE35294"/>
    <w:rsid w:val="5CE4633A"/>
    <w:rsid w:val="5CE5794E"/>
    <w:rsid w:val="5CE609FA"/>
    <w:rsid w:val="5CE71388"/>
    <w:rsid w:val="5CE91D3A"/>
    <w:rsid w:val="5CE97CB6"/>
    <w:rsid w:val="5CEB2603"/>
    <w:rsid w:val="5CEB5CBD"/>
    <w:rsid w:val="5CEB6A9C"/>
    <w:rsid w:val="5CED73C8"/>
    <w:rsid w:val="5CEE19DF"/>
    <w:rsid w:val="5CF039A9"/>
    <w:rsid w:val="5CF26F85"/>
    <w:rsid w:val="5CF32AD0"/>
    <w:rsid w:val="5CF432D2"/>
    <w:rsid w:val="5CF8285E"/>
    <w:rsid w:val="5CFA4828"/>
    <w:rsid w:val="5CFB6B47"/>
    <w:rsid w:val="5CFD3446"/>
    <w:rsid w:val="5D002C92"/>
    <w:rsid w:val="5D00519B"/>
    <w:rsid w:val="5D021E41"/>
    <w:rsid w:val="5D0349A2"/>
    <w:rsid w:val="5D037015"/>
    <w:rsid w:val="5D042FB1"/>
    <w:rsid w:val="5D062BB9"/>
    <w:rsid w:val="5D06558D"/>
    <w:rsid w:val="5D0673FD"/>
    <w:rsid w:val="5D072ED0"/>
    <w:rsid w:val="5D095BC3"/>
    <w:rsid w:val="5D0B07E3"/>
    <w:rsid w:val="5D105DFA"/>
    <w:rsid w:val="5D110DEB"/>
    <w:rsid w:val="5D1414ED"/>
    <w:rsid w:val="5D141DA0"/>
    <w:rsid w:val="5D145A9E"/>
    <w:rsid w:val="5D170F36"/>
    <w:rsid w:val="5D180902"/>
    <w:rsid w:val="5D183530"/>
    <w:rsid w:val="5D1A0A26"/>
    <w:rsid w:val="5D1C2327"/>
    <w:rsid w:val="5D1D258A"/>
    <w:rsid w:val="5D1D428F"/>
    <w:rsid w:val="5D1D7AE9"/>
    <w:rsid w:val="5D1F7DEB"/>
    <w:rsid w:val="5D2322E0"/>
    <w:rsid w:val="5D235B2D"/>
    <w:rsid w:val="5D276662"/>
    <w:rsid w:val="5D2779CF"/>
    <w:rsid w:val="5D2838E6"/>
    <w:rsid w:val="5D28492A"/>
    <w:rsid w:val="5D2866CA"/>
    <w:rsid w:val="5D290C69"/>
    <w:rsid w:val="5D2C1360"/>
    <w:rsid w:val="5D2C15D3"/>
    <w:rsid w:val="5D2D3247"/>
    <w:rsid w:val="5D2F10ED"/>
    <w:rsid w:val="5D2F352B"/>
    <w:rsid w:val="5D303DA6"/>
    <w:rsid w:val="5D317E88"/>
    <w:rsid w:val="5D330D69"/>
    <w:rsid w:val="5D34472E"/>
    <w:rsid w:val="5D3556B2"/>
    <w:rsid w:val="5D384FD7"/>
    <w:rsid w:val="5D3A51C3"/>
    <w:rsid w:val="5D3D11AF"/>
    <w:rsid w:val="5D467A6D"/>
    <w:rsid w:val="5D4A1EED"/>
    <w:rsid w:val="5D4B45B7"/>
    <w:rsid w:val="5D4B6E32"/>
    <w:rsid w:val="5D4C3F91"/>
    <w:rsid w:val="5D4D3AF0"/>
    <w:rsid w:val="5D4E44F8"/>
    <w:rsid w:val="5D503089"/>
    <w:rsid w:val="5D5255BB"/>
    <w:rsid w:val="5D575D3E"/>
    <w:rsid w:val="5D58169F"/>
    <w:rsid w:val="5D5A7B82"/>
    <w:rsid w:val="5D5B4429"/>
    <w:rsid w:val="5D5E2279"/>
    <w:rsid w:val="5D602B8E"/>
    <w:rsid w:val="5D60501E"/>
    <w:rsid w:val="5D645C10"/>
    <w:rsid w:val="5D663C6C"/>
    <w:rsid w:val="5D6677C8"/>
    <w:rsid w:val="5D672350"/>
    <w:rsid w:val="5D6A1471"/>
    <w:rsid w:val="5D6B3988"/>
    <w:rsid w:val="5D6D7464"/>
    <w:rsid w:val="5D706898"/>
    <w:rsid w:val="5D72055D"/>
    <w:rsid w:val="5D72616D"/>
    <w:rsid w:val="5D765031"/>
    <w:rsid w:val="5D766EDE"/>
    <w:rsid w:val="5D775485"/>
    <w:rsid w:val="5D7A358E"/>
    <w:rsid w:val="5D7B1B18"/>
    <w:rsid w:val="5D7C365B"/>
    <w:rsid w:val="5D7D48AD"/>
    <w:rsid w:val="5D81658B"/>
    <w:rsid w:val="5D821E2B"/>
    <w:rsid w:val="5D83037A"/>
    <w:rsid w:val="5D832080"/>
    <w:rsid w:val="5D844291"/>
    <w:rsid w:val="5D852C3F"/>
    <w:rsid w:val="5D867E6A"/>
    <w:rsid w:val="5D882108"/>
    <w:rsid w:val="5D88576C"/>
    <w:rsid w:val="5D8A6D7C"/>
    <w:rsid w:val="5D8B0BB9"/>
    <w:rsid w:val="5D8B0DDE"/>
    <w:rsid w:val="5D8F2E94"/>
    <w:rsid w:val="5D8F31C2"/>
    <w:rsid w:val="5D900CE9"/>
    <w:rsid w:val="5D900FDB"/>
    <w:rsid w:val="5D916F3A"/>
    <w:rsid w:val="5D92680F"/>
    <w:rsid w:val="5D934864"/>
    <w:rsid w:val="5D942587"/>
    <w:rsid w:val="5D953D9C"/>
    <w:rsid w:val="5D964D11"/>
    <w:rsid w:val="5D98243C"/>
    <w:rsid w:val="5D994B6C"/>
    <w:rsid w:val="5D9A1509"/>
    <w:rsid w:val="5D9C5731"/>
    <w:rsid w:val="5D9E51B4"/>
    <w:rsid w:val="5D9E7DB7"/>
    <w:rsid w:val="5DA467AD"/>
    <w:rsid w:val="5DA50AD8"/>
    <w:rsid w:val="5DA54794"/>
    <w:rsid w:val="5DA6050C"/>
    <w:rsid w:val="5DA71756"/>
    <w:rsid w:val="5DA753BE"/>
    <w:rsid w:val="5DA804AC"/>
    <w:rsid w:val="5DA84284"/>
    <w:rsid w:val="5DA9157E"/>
    <w:rsid w:val="5DAA3B58"/>
    <w:rsid w:val="5DAD4CDB"/>
    <w:rsid w:val="5DAF2101"/>
    <w:rsid w:val="5DB04C6B"/>
    <w:rsid w:val="5DB37F3F"/>
    <w:rsid w:val="5DB43060"/>
    <w:rsid w:val="5DB43422"/>
    <w:rsid w:val="5DB53D00"/>
    <w:rsid w:val="5DB60E37"/>
    <w:rsid w:val="5DB669A1"/>
    <w:rsid w:val="5DB821E5"/>
    <w:rsid w:val="5DBA6B88"/>
    <w:rsid w:val="5DBA7B13"/>
    <w:rsid w:val="5DC05730"/>
    <w:rsid w:val="5DC06D44"/>
    <w:rsid w:val="5DC15346"/>
    <w:rsid w:val="5DC42740"/>
    <w:rsid w:val="5DC72F6C"/>
    <w:rsid w:val="5DCA41FA"/>
    <w:rsid w:val="5DCC1A8F"/>
    <w:rsid w:val="5DCC3819"/>
    <w:rsid w:val="5DCD5A99"/>
    <w:rsid w:val="5DCF1811"/>
    <w:rsid w:val="5DD43586"/>
    <w:rsid w:val="5DD45079"/>
    <w:rsid w:val="5DDA5B1C"/>
    <w:rsid w:val="5DDC517C"/>
    <w:rsid w:val="5DDE3859"/>
    <w:rsid w:val="5DDE6A81"/>
    <w:rsid w:val="5DDF2CAC"/>
    <w:rsid w:val="5DDF305E"/>
    <w:rsid w:val="5DE03A1E"/>
    <w:rsid w:val="5DE62123"/>
    <w:rsid w:val="5DE76C04"/>
    <w:rsid w:val="5DE9101B"/>
    <w:rsid w:val="5DEA0830"/>
    <w:rsid w:val="5DEA3461"/>
    <w:rsid w:val="5DEC23C3"/>
    <w:rsid w:val="5DEC4171"/>
    <w:rsid w:val="5DED56FA"/>
    <w:rsid w:val="5DED6054"/>
    <w:rsid w:val="5DED7B87"/>
    <w:rsid w:val="5DEE1982"/>
    <w:rsid w:val="5DF160CB"/>
    <w:rsid w:val="5DF272AD"/>
    <w:rsid w:val="5DF43025"/>
    <w:rsid w:val="5DF54E39"/>
    <w:rsid w:val="5DF66D9E"/>
    <w:rsid w:val="5DFB13FF"/>
    <w:rsid w:val="5DFB7887"/>
    <w:rsid w:val="5E06143A"/>
    <w:rsid w:val="5E087674"/>
    <w:rsid w:val="5E0921A0"/>
    <w:rsid w:val="5E0F57F5"/>
    <w:rsid w:val="5E10194B"/>
    <w:rsid w:val="5E1042E2"/>
    <w:rsid w:val="5E115C80"/>
    <w:rsid w:val="5E1231BA"/>
    <w:rsid w:val="5E145874"/>
    <w:rsid w:val="5E160773"/>
    <w:rsid w:val="5E1611EE"/>
    <w:rsid w:val="5E167EB7"/>
    <w:rsid w:val="5E174ACF"/>
    <w:rsid w:val="5E1B5C79"/>
    <w:rsid w:val="5E1C2248"/>
    <w:rsid w:val="5E1E4546"/>
    <w:rsid w:val="5E224037"/>
    <w:rsid w:val="5E2356B9"/>
    <w:rsid w:val="5E247091"/>
    <w:rsid w:val="5E251431"/>
    <w:rsid w:val="5E2558D5"/>
    <w:rsid w:val="5E2A600D"/>
    <w:rsid w:val="5E2C0A11"/>
    <w:rsid w:val="5E2E7D20"/>
    <w:rsid w:val="5E2F0A79"/>
    <w:rsid w:val="5E314228"/>
    <w:rsid w:val="5E315646"/>
    <w:rsid w:val="5E317DD6"/>
    <w:rsid w:val="5E332504"/>
    <w:rsid w:val="5E333301"/>
    <w:rsid w:val="5E333473"/>
    <w:rsid w:val="5E337FF2"/>
    <w:rsid w:val="5E3612E5"/>
    <w:rsid w:val="5E361890"/>
    <w:rsid w:val="5E36591C"/>
    <w:rsid w:val="5E367223"/>
    <w:rsid w:val="5E39312E"/>
    <w:rsid w:val="5E394EDC"/>
    <w:rsid w:val="5E3C6397"/>
    <w:rsid w:val="5E3E375A"/>
    <w:rsid w:val="5E3F3A4F"/>
    <w:rsid w:val="5E3F6689"/>
    <w:rsid w:val="5E433E07"/>
    <w:rsid w:val="5E4360E4"/>
    <w:rsid w:val="5E453881"/>
    <w:rsid w:val="5E460C7B"/>
    <w:rsid w:val="5E47584B"/>
    <w:rsid w:val="5E4852F6"/>
    <w:rsid w:val="5E4C144F"/>
    <w:rsid w:val="5E4C4C10"/>
    <w:rsid w:val="5E4D7B11"/>
    <w:rsid w:val="5E4F4A37"/>
    <w:rsid w:val="5E53541F"/>
    <w:rsid w:val="5E556392"/>
    <w:rsid w:val="5E57400E"/>
    <w:rsid w:val="5E595119"/>
    <w:rsid w:val="5E5B5858"/>
    <w:rsid w:val="5E5F48AC"/>
    <w:rsid w:val="5E653F23"/>
    <w:rsid w:val="5E6572D0"/>
    <w:rsid w:val="5E6A138B"/>
    <w:rsid w:val="5E6A778C"/>
    <w:rsid w:val="5E6B3082"/>
    <w:rsid w:val="5E6C52B2"/>
    <w:rsid w:val="5E6E102A"/>
    <w:rsid w:val="5E6E39D6"/>
    <w:rsid w:val="5E707633"/>
    <w:rsid w:val="5E7128C8"/>
    <w:rsid w:val="5E734892"/>
    <w:rsid w:val="5E746D74"/>
    <w:rsid w:val="5E76440B"/>
    <w:rsid w:val="5E790576"/>
    <w:rsid w:val="5E79177D"/>
    <w:rsid w:val="5E79525A"/>
    <w:rsid w:val="5E7B2DB2"/>
    <w:rsid w:val="5E7F4FE5"/>
    <w:rsid w:val="5E816E27"/>
    <w:rsid w:val="5E82207A"/>
    <w:rsid w:val="5E8303FB"/>
    <w:rsid w:val="5E84084D"/>
    <w:rsid w:val="5E854886"/>
    <w:rsid w:val="5E86136F"/>
    <w:rsid w:val="5E861915"/>
    <w:rsid w:val="5E87786F"/>
    <w:rsid w:val="5E88477C"/>
    <w:rsid w:val="5E886968"/>
    <w:rsid w:val="5E897C12"/>
    <w:rsid w:val="5E8C7702"/>
    <w:rsid w:val="5E8E6FD6"/>
    <w:rsid w:val="5E914D18"/>
    <w:rsid w:val="5E916955"/>
    <w:rsid w:val="5E93406E"/>
    <w:rsid w:val="5E9462A7"/>
    <w:rsid w:val="5E953B9A"/>
    <w:rsid w:val="5E9603F4"/>
    <w:rsid w:val="5E96232F"/>
    <w:rsid w:val="5E981CE9"/>
    <w:rsid w:val="5E993BCD"/>
    <w:rsid w:val="5E9946AD"/>
    <w:rsid w:val="5E9B0842"/>
    <w:rsid w:val="5E9B16F3"/>
    <w:rsid w:val="5E9C548B"/>
    <w:rsid w:val="5E9D546B"/>
    <w:rsid w:val="5E9E4841"/>
    <w:rsid w:val="5EA031AD"/>
    <w:rsid w:val="5EA13C2B"/>
    <w:rsid w:val="5EA22ED1"/>
    <w:rsid w:val="5EA26F25"/>
    <w:rsid w:val="5EA44E45"/>
    <w:rsid w:val="5EA57977"/>
    <w:rsid w:val="5EA762EA"/>
    <w:rsid w:val="5EA9051A"/>
    <w:rsid w:val="5EAA69DE"/>
    <w:rsid w:val="5EAC3900"/>
    <w:rsid w:val="5EAD094E"/>
    <w:rsid w:val="5EAE1426"/>
    <w:rsid w:val="5EAE515B"/>
    <w:rsid w:val="5EAF5544"/>
    <w:rsid w:val="5EB43AC9"/>
    <w:rsid w:val="5EB46685"/>
    <w:rsid w:val="5EB476F2"/>
    <w:rsid w:val="5EB56224"/>
    <w:rsid w:val="5EB603F3"/>
    <w:rsid w:val="5EBA426F"/>
    <w:rsid w:val="5EC073AC"/>
    <w:rsid w:val="5EC3127E"/>
    <w:rsid w:val="5ECE06E7"/>
    <w:rsid w:val="5ED014C1"/>
    <w:rsid w:val="5ED13367"/>
    <w:rsid w:val="5ED16122"/>
    <w:rsid w:val="5ED16751"/>
    <w:rsid w:val="5ED370DF"/>
    <w:rsid w:val="5ED51F3C"/>
    <w:rsid w:val="5ED864A3"/>
    <w:rsid w:val="5EDB1501"/>
    <w:rsid w:val="5EDB4CAB"/>
    <w:rsid w:val="5EDB5F93"/>
    <w:rsid w:val="5EDF3CD6"/>
    <w:rsid w:val="5EE24917"/>
    <w:rsid w:val="5EE42F91"/>
    <w:rsid w:val="5EE70DDC"/>
    <w:rsid w:val="5EEB7D55"/>
    <w:rsid w:val="5EEE7FBE"/>
    <w:rsid w:val="5EF37781"/>
    <w:rsid w:val="5EF552A7"/>
    <w:rsid w:val="5EF55D6F"/>
    <w:rsid w:val="5EF86B45"/>
    <w:rsid w:val="5F00057B"/>
    <w:rsid w:val="5F01512C"/>
    <w:rsid w:val="5F044890"/>
    <w:rsid w:val="5F051AD2"/>
    <w:rsid w:val="5F053A33"/>
    <w:rsid w:val="5F08202C"/>
    <w:rsid w:val="5F090D52"/>
    <w:rsid w:val="5F091A06"/>
    <w:rsid w:val="5F095F14"/>
    <w:rsid w:val="5F0970CE"/>
    <w:rsid w:val="5F0A1F00"/>
    <w:rsid w:val="5F0C52B4"/>
    <w:rsid w:val="5F105C3D"/>
    <w:rsid w:val="5F110428"/>
    <w:rsid w:val="5F121FCF"/>
    <w:rsid w:val="5F125E59"/>
    <w:rsid w:val="5F1266BE"/>
    <w:rsid w:val="5F126E40"/>
    <w:rsid w:val="5F14445B"/>
    <w:rsid w:val="5F180040"/>
    <w:rsid w:val="5F1871E8"/>
    <w:rsid w:val="5F1915B5"/>
    <w:rsid w:val="5F1E3942"/>
    <w:rsid w:val="5F1E469E"/>
    <w:rsid w:val="5F1F40D2"/>
    <w:rsid w:val="5F212F66"/>
    <w:rsid w:val="5F217526"/>
    <w:rsid w:val="5F240DDC"/>
    <w:rsid w:val="5F2636B2"/>
    <w:rsid w:val="5F2B2DB9"/>
    <w:rsid w:val="5F2F7D26"/>
    <w:rsid w:val="5F30152F"/>
    <w:rsid w:val="5F301C24"/>
    <w:rsid w:val="5F3402F6"/>
    <w:rsid w:val="5F340685"/>
    <w:rsid w:val="5F37766E"/>
    <w:rsid w:val="5F3A53B0"/>
    <w:rsid w:val="5F3D27AA"/>
    <w:rsid w:val="5F3E3905"/>
    <w:rsid w:val="5F4104EC"/>
    <w:rsid w:val="5F430CA1"/>
    <w:rsid w:val="5F441AF6"/>
    <w:rsid w:val="5F441D8B"/>
    <w:rsid w:val="5F455815"/>
    <w:rsid w:val="5F471489"/>
    <w:rsid w:val="5F4731AC"/>
    <w:rsid w:val="5F473629"/>
    <w:rsid w:val="5F4A050F"/>
    <w:rsid w:val="5F4A1A8C"/>
    <w:rsid w:val="5F4A2105"/>
    <w:rsid w:val="5F4B0077"/>
    <w:rsid w:val="5F4D407E"/>
    <w:rsid w:val="5F4D7619"/>
    <w:rsid w:val="5F4E2C09"/>
    <w:rsid w:val="5F4E49B7"/>
    <w:rsid w:val="5F500D11"/>
    <w:rsid w:val="5F50744C"/>
    <w:rsid w:val="5F531C1A"/>
    <w:rsid w:val="5F5875E4"/>
    <w:rsid w:val="5F5A7800"/>
    <w:rsid w:val="5F5B25CD"/>
    <w:rsid w:val="5F5D3118"/>
    <w:rsid w:val="5F5E109E"/>
    <w:rsid w:val="5F5F4E16"/>
    <w:rsid w:val="5F6156C4"/>
    <w:rsid w:val="5F6230DC"/>
    <w:rsid w:val="5F62648F"/>
    <w:rsid w:val="5F674857"/>
    <w:rsid w:val="5F6A3769"/>
    <w:rsid w:val="5F6A3D5A"/>
    <w:rsid w:val="5F702682"/>
    <w:rsid w:val="5F7202A4"/>
    <w:rsid w:val="5F7408C2"/>
    <w:rsid w:val="5F756015"/>
    <w:rsid w:val="5F7563E8"/>
    <w:rsid w:val="5F756D9B"/>
    <w:rsid w:val="5F7A5282"/>
    <w:rsid w:val="5F7C5773"/>
    <w:rsid w:val="5F7C7710"/>
    <w:rsid w:val="5F7C789E"/>
    <w:rsid w:val="5F7E6FFF"/>
    <w:rsid w:val="5F803B44"/>
    <w:rsid w:val="5F813C55"/>
    <w:rsid w:val="5F814D8D"/>
    <w:rsid w:val="5F816B3B"/>
    <w:rsid w:val="5F837C91"/>
    <w:rsid w:val="5F8403D9"/>
    <w:rsid w:val="5F845ED0"/>
    <w:rsid w:val="5F875707"/>
    <w:rsid w:val="5F881C77"/>
    <w:rsid w:val="5F895EEE"/>
    <w:rsid w:val="5F8A7C9F"/>
    <w:rsid w:val="5F8B5C0B"/>
    <w:rsid w:val="5F8B79B9"/>
    <w:rsid w:val="5F8E3006"/>
    <w:rsid w:val="5F8F19AC"/>
    <w:rsid w:val="5F9015E6"/>
    <w:rsid w:val="5F92572B"/>
    <w:rsid w:val="5F9A19AB"/>
    <w:rsid w:val="5F9C2AEA"/>
    <w:rsid w:val="5F9E593F"/>
    <w:rsid w:val="5F9E6C3D"/>
    <w:rsid w:val="5FA07832"/>
    <w:rsid w:val="5FA21FA1"/>
    <w:rsid w:val="5FA36AB1"/>
    <w:rsid w:val="5FA62A45"/>
    <w:rsid w:val="5FA665A1"/>
    <w:rsid w:val="5FA735EE"/>
    <w:rsid w:val="5FA73A82"/>
    <w:rsid w:val="5FA93A7E"/>
    <w:rsid w:val="5FA97E40"/>
    <w:rsid w:val="5FAB1D77"/>
    <w:rsid w:val="5FAC797D"/>
    <w:rsid w:val="5FAF5E78"/>
    <w:rsid w:val="5FB02B47"/>
    <w:rsid w:val="5FB95348"/>
    <w:rsid w:val="5FB9539E"/>
    <w:rsid w:val="5FB96FD7"/>
    <w:rsid w:val="5FBA4B28"/>
    <w:rsid w:val="5FBB5DF4"/>
    <w:rsid w:val="5FBE38EB"/>
    <w:rsid w:val="5FBE5B8D"/>
    <w:rsid w:val="5FC10B89"/>
    <w:rsid w:val="5FC2789A"/>
    <w:rsid w:val="5FC43962"/>
    <w:rsid w:val="5FC52ECB"/>
    <w:rsid w:val="5FCC31EC"/>
    <w:rsid w:val="5FCC70A7"/>
    <w:rsid w:val="5FCF01EF"/>
    <w:rsid w:val="5FCF1330"/>
    <w:rsid w:val="5FD2383A"/>
    <w:rsid w:val="5FD758C9"/>
    <w:rsid w:val="5FD7780E"/>
    <w:rsid w:val="5FDB26EF"/>
    <w:rsid w:val="5FDC1F57"/>
    <w:rsid w:val="5FDC7A38"/>
    <w:rsid w:val="5FE008C0"/>
    <w:rsid w:val="5FE65312"/>
    <w:rsid w:val="5FE81D98"/>
    <w:rsid w:val="5FEB663E"/>
    <w:rsid w:val="5FEC4DA8"/>
    <w:rsid w:val="5FED20E4"/>
    <w:rsid w:val="5FEE0219"/>
    <w:rsid w:val="5FF23595"/>
    <w:rsid w:val="5FF4244E"/>
    <w:rsid w:val="5FF57111"/>
    <w:rsid w:val="5FF612D7"/>
    <w:rsid w:val="5FFB43BB"/>
    <w:rsid w:val="5FFF5441"/>
    <w:rsid w:val="60025ECE"/>
    <w:rsid w:val="6003562D"/>
    <w:rsid w:val="600620CC"/>
    <w:rsid w:val="60084F98"/>
    <w:rsid w:val="600A1364"/>
    <w:rsid w:val="600A4D82"/>
    <w:rsid w:val="600B4656"/>
    <w:rsid w:val="600C0E38"/>
    <w:rsid w:val="600C685F"/>
    <w:rsid w:val="600C68ED"/>
    <w:rsid w:val="600D101E"/>
    <w:rsid w:val="600F05B4"/>
    <w:rsid w:val="600F359C"/>
    <w:rsid w:val="60114363"/>
    <w:rsid w:val="6011625E"/>
    <w:rsid w:val="60123C37"/>
    <w:rsid w:val="60145C01"/>
    <w:rsid w:val="60150C2C"/>
    <w:rsid w:val="601718A8"/>
    <w:rsid w:val="601721EC"/>
    <w:rsid w:val="601856F1"/>
    <w:rsid w:val="60193217"/>
    <w:rsid w:val="601A3510"/>
    <w:rsid w:val="601C13E5"/>
    <w:rsid w:val="601F3433"/>
    <w:rsid w:val="602132BD"/>
    <w:rsid w:val="60217435"/>
    <w:rsid w:val="60257C1D"/>
    <w:rsid w:val="6027674F"/>
    <w:rsid w:val="602A2D2E"/>
    <w:rsid w:val="602B3265"/>
    <w:rsid w:val="602D7F7A"/>
    <w:rsid w:val="602F2A3B"/>
    <w:rsid w:val="603129B5"/>
    <w:rsid w:val="60327E35"/>
    <w:rsid w:val="60334DCA"/>
    <w:rsid w:val="60340051"/>
    <w:rsid w:val="603409BC"/>
    <w:rsid w:val="60341DFF"/>
    <w:rsid w:val="60345D92"/>
    <w:rsid w:val="60363DC9"/>
    <w:rsid w:val="60367925"/>
    <w:rsid w:val="60367EB1"/>
    <w:rsid w:val="603A6784"/>
    <w:rsid w:val="603B318E"/>
    <w:rsid w:val="603F0DA5"/>
    <w:rsid w:val="60413BFC"/>
    <w:rsid w:val="6042334F"/>
    <w:rsid w:val="60424021"/>
    <w:rsid w:val="604364E6"/>
    <w:rsid w:val="604441BA"/>
    <w:rsid w:val="60453AA2"/>
    <w:rsid w:val="604638DA"/>
    <w:rsid w:val="60496C09"/>
    <w:rsid w:val="60496E03"/>
    <w:rsid w:val="604F09E7"/>
    <w:rsid w:val="605243A4"/>
    <w:rsid w:val="605314AE"/>
    <w:rsid w:val="60547002"/>
    <w:rsid w:val="605B5282"/>
    <w:rsid w:val="605D3104"/>
    <w:rsid w:val="605E0C2A"/>
    <w:rsid w:val="605F2940"/>
    <w:rsid w:val="606049A2"/>
    <w:rsid w:val="60607A5F"/>
    <w:rsid w:val="606103C9"/>
    <w:rsid w:val="60617024"/>
    <w:rsid w:val="60624BBE"/>
    <w:rsid w:val="60681AA9"/>
    <w:rsid w:val="60687D1E"/>
    <w:rsid w:val="606A20A0"/>
    <w:rsid w:val="606C77EB"/>
    <w:rsid w:val="606D5297"/>
    <w:rsid w:val="60716BAF"/>
    <w:rsid w:val="60722BAF"/>
    <w:rsid w:val="607355F5"/>
    <w:rsid w:val="60771CEC"/>
    <w:rsid w:val="60786190"/>
    <w:rsid w:val="60787F3E"/>
    <w:rsid w:val="607A34B0"/>
    <w:rsid w:val="607B17DC"/>
    <w:rsid w:val="607C19C4"/>
    <w:rsid w:val="607C7302"/>
    <w:rsid w:val="607E751E"/>
    <w:rsid w:val="60814768"/>
    <w:rsid w:val="60820DBC"/>
    <w:rsid w:val="6082470E"/>
    <w:rsid w:val="6082700E"/>
    <w:rsid w:val="608508AD"/>
    <w:rsid w:val="60855B3B"/>
    <w:rsid w:val="608E2FF1"/>
    <w:rsid w:val="608E4372"/>
    <w:rsid w:val="608E51D3"/>
    <w:rsid w:val="608F385E"/>
    <w:rsid w:val="60901E7D"/>
    <w:rsid w:val="60914033"/>
    <w:rsid w:val="609448C7"/>
    <w:rsid w:val="609620B8"/>
    <w:rsid w:val="609717E5"/>
    <w:rsid w:val="6097700C"/>
    <w:rsid w:val="60994356"/>
    <w:rsid w:val="60994F1B"/>
    <w:rsid w:val="609A4148"/>
    <w:rsid w:val="609A4F3F"/>
    <w:rsid w:val="609A52AA"/>
    <w:rsid w:val="609B00D0"/>
    <w:rsid w:val="609D79A4"/>
    <w:rsid w:val="609E371C"/>
    <w:rsid w:val="609F4DD5"/>
    <w:rsid w:val="60A30D33"/>
    <w:rsid w:val="60A70313"/>
    <w:rsid w:val="60A9459B"/>
    <w:rsid w:val="60AA3450"/>
    <w:rsid w:val="60AC2157"/>
    <w:rsid w:val="60B12E05"/>
    <w:rsid w:val="60B41C71"/>
    <w:rsid w:val="60B90371"/>
    <w:rsid w:val="60BB47B8"/>
    <w:rsid w:val="60C2740B"/>
    <w:rsid w:val="60C27AD9"/>
    <w:rsid w:val="60C34F31"/>
    <w:rsid w:val="60C56EFB"/>
    <w:rsid w:val="60C67B91"/>
    <w:rsid w:val="60C767CF"/>
    <w:rsid w:val="60C85A95"/>
    <w:rsid w:val="60CA1AE7"/>
    <w:rsid w:val="60CD3765"/>
    <w:rsid w:val="60CD6D26"/>
    <w:rsid w:val="60D131C5"/>
    <w:rsid w:val="60D37068"/>
    <w:rsid w:val="60D66DA2"/>
    <w:rsid w:val="60D809DC"/>
    <w:rsid w:val="60D87F4C"/>
    <w:rsid w:val="60DA40FD"/>
    <w:rsid w:val="60DD48F9"/>
    <w:rsid w:val="60DF1D6B"/>
    <w:rsid w:val="60DF7FBD"/>
    <w:rsid w:val="60E009E9"/>
    <w:rsid w:val="60E12C1B"/>
    <w:rsid w:val="60E2763A"/>
    <w:rsid w:val="60E73044"/>
    <w:rsid w:val="60E750C3"/>
    <w:rsid w:val="60E92201"/>
    <w:rsid w:val="60E94998"/>
    <w:rsid w:val="60EA6962"/>
    <w:rsid w:val="60EB6D09"/>
    <w:rsid w:val="60EC092C"/>
    <w:rsid w:val="60ED0CA7"/>
    <w:rsid w:val="60F021CA"/>
    <w:rsid w:val="60F12834"/>
    <w:rsid w:val="60FB0B6F"/>
    <w:rsid w:val="60FB291D"/>
    <w:rsid w:val="60FC55B8"/>
    <w:rsid w:val="60FD4C98"/>
    <w:rsid w:val="610124E2"/>
    <w:rsid w:val="610414EC"/>
    <w:rsid w:val="610418C6"/>
    <w:rsid w:val="61083AE1"/>
    <w:rsid w:val="610A6C59"/>
    <w:rsid w:val="610D5AED"/>
    <w:rsid w:val="610D7308"/>
    <w:rsid w:val="610F0176"/>
    <w:rsid w:val="611703B2"/>
    <w:rsid w:val="611A1713"/>
    <w:rsid w:val="611A2DA3"/>
    <w:rsid w:val="611B712C"/>
    <w:rsid w:val="611C019C"/>
    <w:rsid w:val="611C21C5"/>
    <w:rsid w:val="611F38A7"/>
    <w:rsid w:val="61227EAA"/>
    <w:rsid w:val="61273712"/>
    <w:rsid w:val="612D4112"/>
    <w:rsid w:val="61306A6A"/>
    <w:rsid w:val="61307DF2"/>
    <w:rsid w:val="61327668"/>
    <w:rsid w:val="61341FF4"/>
    <w:rsid w:val="613735A4"/>
    <w:rsid w:val="61381330"/>
    <w:rsid w:val="6139650B"/>
    <w:rsid w:val="61396F86"/>
    <w:rsid w:val="61397812"/>
    <w:rsid w:val="613A5894"/>
    <w:rsid w:val="613E2339"/>
    <w:rsid w:val="613F06A0"/>
    <w:rsid w:val="61406582"/>
    <w:rsid w:val="61486149"/>
    <w:rsid w:val="614C3766"/>
    <w:rsid w:val="614D13CA"/>
    <w:rsid w:val="61504A17"/>
    <w:rsid w:val="61535E2D"/>
    <w:rsid w:val="615709A3"/>
    <w:rsid w:val="61577355"/>
    <w:rsid w:val="615A19EE"/>
    <w:rsid w:val="615A5895"/>
    <w:rsid w:val="615C160D"/>
    <w:rsid w:val="61602FC5"/>
    <w:rsid w:val="61603EED"/>
    <w:rsid w:val="61614BBC"/>
    <w:rsid w:val="61616155"/>
    <w:rsid w:val="616167CB"/>
    <w:rsid w:val="6163490D"/>
    <w:rsid w:val="616404C2"/>
    <w:rsid w:val="61650EF5"/>
    <w:rsid w:val="61654A08"/>
    <w:rsid w:val="61656C00"/>
    <w:rsid w:val="616713D9"/>
    <w:rsid w:val="616A05D9"/>
    <w:rsid w:val="616E3269"/>
    <w:rsid w:val="6171096B"/>
    <w:rsid w:val="61720E31"/>
    <w:rsid w:val="61734BA9"/>
    <w:rsid w:val="617402B9"/>
    <w:rsid w:val="61743C2D"/>
    <w:rsid w:val="61755685"/>
    <w:rsid w:val="61774699"/>
    <w:rsid w:val="617A40D8"/>
    <w:rsid w:val="617A6787"/>
    <w:rsid w:val="617B3BD2"/>
    <w:rsid w:val="617C1CB0"/>
    <w:rsid w:val="617F2D1C"/>
    <w:rsid w:val="61803DBD"/>
    <w:rsid w:val="61817F46"/>
    <w:rsid w:val="6183303E"/>
    <w:rsid w:val="618648DC"/>
    <w:rsid w:val="618707C7"/>
    <w:rsid w:val="6187457B"/>
    <w:rsid w:val="6188008A"/>
    <w:rsid w:val="61882E6D"/>
    <w:rsid w:val="61891B7E"/>
    <w:rsid w:val="618B1EF3"/>
    <w:rsid w:val="618B3CA1"/>
    <w:rsid w:val="618B52A3"/>
    <w:rsid w:val="618C41AA"/>
    <w:rsid w:val="618D28D0"/>
    <w:rsid w:val="618E3B18"/>
    <w:rsid w:val="618E72DD"/>
    <w:rsid w:val="61904EF9"/>
    <w:rsid w:val="619249E4"/>
    <w:rsid w:val="619264F3"/>
    <w:rsid w:val="61937D7E"/>
    <w:rsid w:val="61976853"/>
    <w:rsid w:val="619B74D7"/>
    <w:rsid w:val="619C29E5"/>
    <w:rsid w:val="619C2EE1"/>
    <w:rsid w:val="619D2CC7"/>
    <w:rsid w:val="619E03D3"/>
    <w:rsid w:val="619F357C"/>
    <w:rsid w:val="619F59B7"/>
    <w:rsid w:val="619F774C"/>
    <w:rsid w:val="61A14183"/>
    <w:rsid w:val="61A15E8B"/>
    <w:rsid w:val="61A22D98"/>
    <w:rsid w:val="61A532EA"/>
    <w:rsid w:val="61A6336C"/>
    <w:rsid w:val="61A905CB"/>
    <w:rsid w:val="61AD1BA1"/>
    <w:rsid w:val="61AE798F"/>
    <w:rsid w:val="61B34FA6"/>
    <w:rsid w:val="61B36598"/>
    <w:rsid w:val="61B50AFC"/>
    <w:rsid w:val="61B56F70"/>
    <w:rsid w:val="61B607E7"/>
    <w:rsid w:val="61B825BC"/>
    <w:rsid w:val="61BC20AC"/>
    <w:rsid w:val="61BD0C40"/>
    <w:rsid w:val="61BE4076"/>
    <w:rsid w:val="61BF703D"/>
    <w:rsid w:val="61C03014"/>
    <w:rsid w:val="61CA2A1B"/>
    <w:rsid w:val="61CB0541"/>
    <w:rsid w:val="61CB481F"/>
    <w:rsid w:val="61CD07AB"/>
    <w:rsid w:val="61CF45CE"/>
    <w:rsid w:val="61D17319"/>
    <w:rsid w:val="61D32AD4"/>
    <w:rsid w:val="61D373F6"/>
    <w:rsid w:val="61D75C71"/>
    <w:rsid w:val="61D76EE6"/>
    <w:rsid w:val="61DE2C95"/>
    <w:rsid w:val="61DE3D47"/>
    <w:rsid w:val="61DE72DB"/>
    <w:rsid w:val="61E0275C"/>
    <w:rsid w:val="61E12D57"/>
    <w:rsid w:val="61E217DE"/>
    <w:rsid w:val="61E82D5E"/>
    <w:rsid w:val="61EA2FF3"/>
    <w:rsid w:val="61ED501C"/>
    <w:rsid w:val="61EE51EB"/>
    <w:rsid w:val="61EF7DF6"/>
    <w:rsid w:val="61F103DD"/>
    <w:rsid w:val="61F41E60"/>
    <w:rsid w:val="61F45583"/>
    <w:rsid w:val="61F950AE"/>
    <w:rsid w:val="61F9533E"/>
    <w:rsid w:val="61FA14D9"/>
    <w:rsid w:val="61FA6549"/>
    <w:rsid w:val="61FB7649"/>
    <w:rsid w:val="61FC0A49"/>
    <w:rsid w:val="61FE26C5"/>
    <w:rsid w:val="61FF01EB"/>
    <w:rsid w:val="6200177C"/>
    <w:rsid w:val="620121B5"/>
    <w:rsid w:val="62042C27"/>
    <w:rsid w:val="62045801"/>
    <w:rsid w:val="620677CB"/>
    <w:rsid w:val="62074DAE"/>
    <w:rsid w:val="62076708"/>
    <w:rsid w:val="62094CD8"/>
    <w:rsid w:val="620A72BB"/>
    <w:rsid w:val="620C267E"/>
    <w:rsid w:val="620F640E"/>
    <w:rsid w:val="620F6680"/>
    <w:rsid w:val="621011F0"/>
    <w:rsid w:val="621023F8"/>
    <w:rsid w:val="621149CE"/>
    <w:rsid w:val="62132A20"/>
    <w:rsid w:val="62145A44"/>
    <w:rsid w:val="621507C9"/>
    <w:rsid w:val="62173786"/>
    <w:rsid w:val="62180B22"/>
    <w:rsid w:val="621912AD"/>
    <w:rsid w:val="621A6DD3"/>
    <w:rsid w:val="621E58BB"/>
    <w:rsid w:val="62202685"/>
    <w:rsid w:val="62243FED"/>
    <w:rsid w:val="62260373"/>
    <w:rsid w:val="622639C9"/>
    <w:rsid w:val="62264430"/>
    <w:rsid w:val="62282FFD"/>
    <w:rsid w:val="622B4C15"/>
    <w:rsid w:val="622C18FE"/>
    <w:rsid w:val="622C32DC"/>
    <w:rsid w:val="62326812"/>
    <w:rsid w:val="62353CC5"/>
    <w:rsid w:val="62360F7F"/>
    <w:rsid w:val="62371D12"/>
    <w:rsid w:val="62375BD7"/>
    <w:rsid w:val="62385A78"/>
    <w:rsid w:val="623D1B7C"/>
    <w:rsid w:val="623D64F2"/>
    <w:rsid w:val="62411979"/>
    <w:rsid w:val="624119C6"/>
    <w:rsid w:val="624251FF"/>
    <w:rsid w:val="624327CD"/>
    <w:rsid w:val="6244059F"/>
    <w:rsid w:val="62467BC8"/>
    <w:rsid w:val="62475BA8"/>
    <w:rsid w:val="62476364"/>
    <w:rsid w:val="62487DE4"/>
    <w:rsid w:val="62495617"/>
    <w:rsid w:val="624C78D4"/>
    <w:rsid w:val="624E0C5E"/>
    <w:rsid w:val="624F566B"/>
    <w:rsid w:val="62564AB2"/>
    <w:rsid w:val="625C65F1"/>
    <w:rsid w:val="625D2639"/>
    <w:rsid w:val="625E2142"/>
    <w:rsid w:val="625F59F1"/>
    <w:rsid w:val="6262530C"/>
    <w:rsid w:val="6264171E"/>
    <w:rsid w:val="6264769C"/>
    <w:rsid w:val="626A1B08"/>
    <w:rsid w:val="626C68CA"/>
    <w:rsid w:val="626D784A"/>
    <w:rsid w:val="626F1BE6"/>
    <w:rsid w:val="626F5DC6"/>
    <w:rsid w:val="62715896"/>
    <w:rsid w:val="62732C26"/>
    <w:rsid w:val="62743FBC"/>
    <w:rsid w:val="62744CEE"/>
    <w:rsid w:val="62767E0A"/>
    <w:rsid w:val="627908E0"/>
    <w:rsid w:val="62791D4B"/>
    <w:rsid w:val="62797F9D"/>
    <w:rsid w:val="627A0177"/>
    <w:rsid w:val="627B13C1"/>
    <w:rsid w:val="627C0A4A"/>
    <w:rsid w:val="627C1158"/>
    <w:rsid w:val="627E7362"/>
    <w:rsid w:val="62802CF8"/>
    <w:rsid w:val="62816E52"/>
    <w:rsid w:val="62841B01"/>
    <w:rsid w:val="628C26BF"/>
    <w:rsid w:val="628D3A49"/>
    <w:rsid w:val="628D4E2F"/>
    <w:rsid w:val="628F33BD"/>
    <w:rsid w:val="62902F10"/>
    <w:rsid w:val="62911BFC"/>
    <w:rsid w:val="629149FC"/>
    <w:rsid w:val="6293593A"/>
    <w:rsid w:val="629578F8"/>
    <w:rsid w:val="62961553"/>
    <w:rsid w:val="629848C7"/>
    <w:rsid w:val="629A2542"/>
    <w:rsid w:val="629B6165"/>
    <w:rsid w:val="629C5BBC"/>
    <w:rsid w:val="629D0130"/>
    <w:rsid w:val="629E15BC"/>
    <w:rsid w:val="62A069EB"/>
    <w:rsid w:val="62A274F4"/>
    <w:rsid w:val="62A414BE"/>
    <w:rsid w:val="62A4517E"/>
    <w:rsid w:val="62A52B40"/>
    <w:rsid w:val="62A63DB0"/>
    <w:rsid w:val="62A6753D"/>
    <w:rsid w:val="62A80882"/>
    <w:rsid w:val="62A96AD4"/>
    <w:rsid w:val="62A97014"/>
    <w:rsid w:val="62AA2372"/>
    <w:rsid w:val="62AA268C"/>
    <w:rsid w:val="62AC2121"/>
    <w:rsid w:val="62AD5D36"/>
    <w:rsid w:val="62AF7E63"/>
    <w:rsid w:val="62B06344"/>
    <w:rsid w:val="62B27851"/>
    <w:rsid w:val="62B33768"/>
    <w:rsid w:val="62B45479"/>
    <w:rsid w:val="62B515F4"/>
    <w:rsid w:val="62B63606"/>
    <w:rsid w:val="62B665D9"/>
    <w:rsid w:val="62B66AFB"/>
    <w:rsid w:val="62B7224A"/>
    <w:rsid w:val="62B91D28"/>
    <w:rsid w:val="62B92A90"/>
    <w:rsid w:val="62BA4CAE"/>
    <w:rsid w:val="62C21D73"/>
    <w:rsid w:val="62C44913"/>
    <w:rsid w:val="62C57339"/>
    <w:rsid w:val="62C80DDE"/>
    <w:rsid w:val="62C85CBA"/>
    <w:rsid w:val="62C95953"/>
    <w:rsid w:val="62CA25A7"/>
    <w:rsid w:val="62CB2B72"/>
    <w:rsid w:val="62CD7E64"/>
    <w:rsid w:val="62CE5EE1"/>
    <w:rsid w:val="62D13935"/>
    <w:rsid w:val="62D376AD"/>
    <w:rsid w:val="62D42D9E"/>
    <w:rsid w:val="62D43425"/>
    <w:rsid w:val="62D63F34"/>
    <w:rsid w:val="62D81A1B"/>
    <w:rsid w:val="62D833B8"/>
    <w:rsid w:val="62E17ABB"/>
    <w:rsid w:val="62E23D94"/>
    <w:rsid w:val="62E254A7"/>
    <w:rsid w:val="62E4265F"/>
    <w:rsid w:val="62E53885"/>
    <w:rsid w:val="62E576DD"/>
    <w:rsid w:val="62E6795B"/>
    <w:rsid w:val="62E73AEA"/>
    <w:rsid w:val="62E80733"/>
    <w:rsid w:val="62E95123"/>
    <w:rsid w:val="62EA49F7"/>
    <w:rsid w:val="62EB3E98"/>
    <w:rsid w:val="62EC25AC"/>
    <w:rsid w:val="62EC68DC"/>
    <w:rsid w:val="62ED0A0E"/>
    <w:rsid w:val="62EE098B"/>
    <w:rsid w:val="62EF200D"/>
    <w:rsid w:val="62F24C15"/>
    <w:rsid w:val="62F615EE"/>
    <w:rsid w:val="62F6339C"/>
    <w:rsid w:val="62F65430"/>
    <w:rsid w:val="62F85366"/>
    <w:rsid w:val="62FA7330"/>
    <w:rsid w:val="62FB30A8"/>
    <w:rsid w:val="62FD43A6"/>
    <w:rsid w:val="62FE4601"/>
    <w:rsid w:val="6300246C"/>
    <w:rsid w:val="63021D41"/>
    <w:rsid w:val="630309EA"/>
    <w:rsid w:val="630435F9"/>
    <w:rsid w:val="63060FC2"/>
    <w:rsid w:val="630930CF"/>
    <w:rsid w:val="63095EB4"/>
    <w:rsid w:val="630A6E47"/>
    <w:rsid w:val="630C038D"/>
    <w:rsid w:val="630C4F42"/>
    <w:rsid w:val="630F3999"/>
    <w:rsid w:val="630F6B94"/>
    <w:rsid w:val="6311492D"/>
    <w:rsid w:val="63144485"/>
    <w:rsid w:val="63155D13"/>
    <w:rsid w:val="63155F18"/>
    <w:rsid w:val="631657EC"/>
    <w:rsid w:val="63176C52"/>
    <w:rsid w:val="631B7FA8"/>
    <w:rsid w:val="631C34A7"/>
    <w:rsid w:val="631F5365"/>
    <w:rsid w:val="632239A2"/>
    <w:rsid w:val="63234D88"/>
    <w:rsid w:val="632620AA"/>
    <w:rsid w:val="63275C4B"/>
    <w:rsid w:val="632779F9"/>
    <w:rsid w:val="63277B66"/>
    <w:rsid w:val="632878B5"/>
    <w:rsid w:val="632C3261"/>
    <w:rsid w:val="63336A61"/>
    <w:rsid w:val="63351A85"/>
    <w:rsid w:val="633632A3"/>
    <w:rsid w:val="633640E0"/>
    <w:rsid w:val="633A597E"/>
    <w:rsid w:val="633A772C"/>
    <w:rsid w:val="633B37CA"/>
    <w:rsid w:val="633D546F"/>
    <w:rsid w:val="634133EF"/>
    <w:rsid w:val="63416D0D"/>
    <w:rsid w:val="634265E1"/>
    <w:rsid w:val="63435BCA"/>
    <w:rsid w:val="63440BCD"/>
    <w:rsid w:val="634555AD"/>
    <w:rsid w:val="63464323"/>
    <w:rsid w:val="634C1DCB"/>
    <w:rsid w:val="634C7460"/>
    <w:rsid w:val="63500CFE"/>
    <w:rsid w:val="6351180B"/>
    <w:rsid w:val="63512CC8"/>
    <w:rsid w:val="63537B7C"/>
    <w:rsid w:val="63537DD0"/>
    <w:rsid w:val="635527B8"/>
    <w:rsid w:val="635657ED"/>
    <w:rsid w:val="6358021B"/>
    <w:rsid w:val="63592BC7"/>
    <w:rsid w:val="63595929"/>
    <w:rsid w:val="63596320"/>
    <w:rsid w:val="635967F1"/>
    <w:rsid w:val="635B42E3"/>
    <w:rsid w:val="635D1F2A"/>
    <w:rsid w:val="636048B3"/>
    <w:rsid w:val="63604CB9"/>
    <w:rsid w:val="6361084A"/>
    <w:rsid w:val="63627A46"/>
    <w:rsid w:val="63655EDF"/>
    <w:rsid w:val="63656D20"/>
    <w:rsid w:val="636B3D8A"/>
    <w:rsid w:val="636C7B02"/>
    <w:rsid w:val="636E03FE"/>
    <w:rsid w:val="6370454A"/>
    <w:rsid w:val="63773B2C"/>
    <w:rsid w:val="63775CFD"/>
    <w:rsid w:val="63775F31"/>
    <w:rsid w:val="63776102"/>
    <w:rsid w:val="63786ADC"/>
    <w:rsid w:val="637B4DAF"/>
    <w:rsid w:val="637E7BA8"/>
    <w:rsid w:val="63816E92"/>
    <w:rsid w:val="638210D3"/>
    <w:rsid w:val="63844E4C"/>
    <w:rsid w:val="63846BFA"/>
    <w:rsid w:val="6386283B"/>
    <w:rsid w:val="63892462"/>
    <w:rsid w:val="638B00E1"/>
    <w:rsid w:val="638C4B9F"/>
    <w:rsid w:val="638C5AAE"/>
    <w:rsid w:val="638E12C5"/>
    <w:rsid w:val="638E7A78"/>
    <w:rsid w:val="63953B88"/>
    <w:rsid w:val="63973531"/>
    <w:rsid w:val="639B57F7"/>
    <w:rsid w:val="639C3F43"/>
    <w:rsid w:val="639F1C85"/>
    <w:rsid w:val="639F3A33"/>
    <w:rsid w:val="639F57E1"/>
    <w:rsid w:val="63A31F7A"/>
    <w:rsid w:val="63A363CE"/>
    <w:rsid w:val="63A52BD8"/>
    <w:rsid w:val="63A56109"/>
    <w:rsid w:val="63A70B27"/>
    <w:rsid w:val="63A775F7"/>
    <w:rsid w:val="63A80752"/>
    <w:rsid w:val="63A850AF"/>
    <w:rsid w:val="63A86D8C"/>
    <w:rsid w:val="63AC2D7D"/>
    <w:rsid w:val="63AD1638"/>
    <w:rsid w:val="63AE29CA"/>
    <w:rsid w:val="63B03400"/>
    <w:rsid w:val="63B21468"/>
    <w:rsid w:val="63B51956"/>
    <w:rsid w:val="63B84AF5"/>
    <w:rsid w:val="63B86D37"/>
    <w:rsid w:val="63B915F8"/>
    <w:rsid w:val="63B951DE"/>
    <w:rsid w:val="63B96DF9"/>
    <w:rsid w:val="63BA6ABF"/>
    <w:rsid w:val="63BD30B0"/>
    <w:rsid w:val="63BD64A5"/>
    <w:rsid w:val="63BF6DB2"/>
    <w:rsid w:val="63BF76B8"/>
    <w:rsid w:val="63C03406"/>
    <w:rsid w:val="63C06A1D"/>
    <w:rsid w:val="63C11BFC"/>
    <w:rsid w:val="63C141F3"/>
    <w:rsid w:val="63C22D29"/>
    <w:rsid w:val="63C419B3"/>
    <w:rsid w:val="63C506D4"/>
    <w:rsid w:val="63CB4828"/>
    <w:rsid w:val="63CE13BC"/>
    <w:rsid w:val="63CE2A65"/>
    <w:rsid w:val="63CF044A"/>
    <w:rsid w:val="63D361F6"/>
    <w:rsid w:val="63D84F36"/>
    <w:rsid w:val="63D86537"/>
    <w:rsid w:val="63D92C09"/>
    <w:rsid w:val="63D9403E"/>
    <w:rsid w:val="63DE187D"/>
    <w:rsid w:val="63E63410"/>
    <w:rsid w:val="63E87188"/>
    <w:rsid w:val="63E93A50"/>
    <w:rsid w:val="63EC7552"/>
    <w:rsid w:val="63ED747E"/>
    <w:rsid w:val="63EE0BD4"/>
    <w:rsid w:val="63F333B0"/>
    <w:rsid w:val="63F43D7F"/>
    <w:rsid w:val="63F518A5"/>
    <w:rsid w:val="63F76DCD"/>
    <w:rsid w:val="63F80259"/>
    <w:rsid w:val="63F8417E"/>
    <w:rsid w:val="63F94DAE"/>
    <w:rsid w:val="63FA7482"/>
    <w:rsid w:val="63FF3A52"/>
    <w:rsid w:val="63FF44D2"/>
    <w:rsid w:val="64025D70"/>
    <w:rsid w:val="64037F8B"/>
    <w:rsid w:val="64063D99"/>
    <w:rsid w:val="64074337"/>
    <w:rsid w:val="640824C9"/>
    <w:rsid w:val="640934E0"/>
    <w:rsid w:val="640A0282"/>
    <w:rsid w:val="640B3ECA"/>
    <w:rsid w:val="64101622"/>
    <w:rsid w:val="641461CF"/>
    <w:rsid w:val="64151F48"/>
    <w:rsid w:val="64155ADF"/>
    <w:rsid w:val="64171E19"/>
    <w:rsid w:val="641724F0"/>
    <w:rsid w:val="641729A3"/>
    <w:rsid w:val="64175220"/>
    <w:rsid w:val="64195594"/>
    <w:rsid w:val="641C32D6"/>
    <w:rsid w:val="641C6E32"/>
    <w:rsid w:val="641D7C93"/>
    <w:rsid w:val="641F1628"/>
    <w:rsid w:val="641F6922"/>
    <w:rsid w:val="64251292"/>
    <w:rsid w:val="64263C7F"/>
    <w:rsid w:val="64264E43"/>
    <w:rsid w:val="6428167C"/>
    <w:rsid w:val="64297A6A"/>
    <w:rsid w:val="642A19FD"/>
    <w:rsid w:val="642A68FF"/>
    <w:rsid w:val="642A7695"/>
    <w:rsid w:val="642A77A1"/>
    <w:rsid w:val="642B2C89"/>
    <w:rsid w:val="642D7291"/>
    <w:rsid w:val="642E756D"/>
    <w:rsid w:val="642F125B"/>
    <w:rsid w:val="64332AA2"/>
    <w:rsid w:val="64342B64"/>
    <w:rsid w:val="64356146"/>
    <w:rsid w:val="64395C36"/>
    <w:rsid w:val="643A121A"/>
    <w:rsid w:val="643D690A"/>
    <w:rsid w:val="643E5896"/>
    <w:rsid w:val="643F0D73"/>
    <w:rsid w:val="643F5A42"/>
    <w:rsid w:val="64407C88"/>
    <w:rsid w:val="64425B37"/>
    <w:rsid w:val="64436AB5"/>
    <w:rsid w:val="644442D9"/>
    <w:rsid w:val="64446389"/>
    <w:rsid w:val="64466571"/>
    <w:rsid w:val="644665A5"/>
    <w:rsid w:val="64485E79"/>
    <w:rsid w:val="6449276B"/>
    <w:rsid w:val="644E6E76"/>
    <w:rsid w:val="645050CE"/>
    <w:rsid w:val="64510863"/>
    <w:rsid w:val="645124D4"/>
    <w:rsid w:val="64552344"/>
    <w:rsid w:val="645B2050"/>
    <w:rsid w:val="645B7D89"/>
    <w:rsid w:val="645C4E74"/>
    <w:rsid w:val="645C7B76"/>
    <w:rsid w:val="645E5E9E"/>
    <w:rsid w:val="645E6EB0"/>
    <w:rsid w:val="645E744B"/>
    <w:rsid w:val="6461624D"/>
    <w:rsid w:val="64616F3B"/>
    <w:rsid w:val="6464584D"/>
    <w:rsid w:val="64654C6F"/>
    <w:rsid w:val="64654C7D"/>
    <w:rsid w:val="64664551"/>
    <w:rsid w:val="6468334B"/>
    <w:rsid w:val="646B42ED"/>
    <w:rsid w:val="646C600B"/>
    <w:rsid w:val="646F1658"/>
    <w:rsid w:val="64725AE9"/>
    <w:rsid w:val="64731ED0"/>
    <w:rsid w:val="64746C6E"/>
    <w:rsid w:val="64754794"/>
    <w:rsid w:val="647641DF"/>
    <w:rsid w:val="64771470"/>
    <w:rsid w:val="6477217C"/>
    <w:rsid w:val="64794284"/>
    <w:rsid w:val="647A6D33"/>
    <w:rsid w:val="647B624F"/>
    <w:rsid w:val="647E5010"/>
    <w:rsid w:val="64805613"/>
    <w:rsid w:val="64846D42"/>
    <w:rsid w:val="64850E7B"/>
    <w:rsid w:val="64864183"/>
    <w:rsid w:val="648D5F82"/>
    <w:rsid w:val="648E2EF5"/>
    <w:rsid w:val="649015CE"/>
    <w:rsid w:val="64914F10"/>
    <w:rsid w:val="649174B8"/>
    <w:rsid w:val="64941876"/>
    <w:rsid w:val="64955DAB"/>
    <w:rsid w:val="64957CF3"/>
    <w:rsid w:val="649B4C85"/>
    <w:rsid w:val="649B584A"/>
    <w:rsid w:val="649C1C86"/>
    <w:rsid w:val="649D4417"/>
    <w:rsid w:val="649E1F3D"/>
    <w:rsid w:val="64A01811"/>
    <w:rsid w:val="64A03E97"/>
    <w:rsid w:val="64A063F9"/>
    <w:rsid w:val="64A07A63"/>
    <w:rsid w:val="64A2233D"/>
    <w:rsid w:val="64A22DB6"/>
    <w:rsid w:val="64A31301"/>
    <w:rsid w:val="64A37553"/>
    <w:rsid w:val="64A63E59"/>
    <w:rsid w:val="64A70A5C"/>
    <w:rsid w:val="64A817CF"/>
    <w:rsid w:val="64AA2690"/>
    <w:rsid w:val="64AB3157"/>
    <w:rsid w:val="64AB6B77"/>
    <w:rsid w:val="64AD2BA4"/>
    <w:rsid w:val="64AD7237"/>
    <w:rsid w:val="64AF191F"/>
    <w:rsid w:val="64AF1B57"/>
    <w:rsid w:val="64AF40AC"/>
    <w:rsid w:val="64AF5CE8"/>
    <w:rsid w:val="64B3090C"/>
    <w:rsid w:val="64B61035"/>
    <w:rsid w:val="64B66C54"/>
    <w:rsid w:val="64B84C63"/>
    <w:rsid w:val="64B9526E"/>
    <w:rsid w:val="64B96CB9"/>
    <w:rsid w:val="64BB2AEF"/>
    <w:rsid w:val="64BE613B"/>
    <w:rsid w:val="64C01BC7"/>
    <w:rsid w:val="64C17411"/>
    <w:rsid w:val="64C25F96"/>
    <w:rsid w:val="64C46B4C"/>
    <w:rsid w:val="64CA6025"/>
    <w:rsid w:val="64CD637E"/>
    <w:rsid w:val="64CE2822"/>
    <w:rsid w:val="64D12167"/>
    <w:rsid w:val="64D135DF"/>
    <w:rsid w:val="64D144C1"/>
    <w:rsid w:val="64D311A6"/>
    <w:rsid w:val="64D314C8"/>
    <w:rsid w:val="64D322CD"/>
    <w:rsid w:val="64D335CD"/>
    <w:rsid w:val="64D42F0E"/>
    <w:rsid w:val="64D43BB1"/>
    <w:rsid w:val="64D4770D"/>
    <w:rsid w:val="64D50E53"/>
    <w:rsid w:val="64D63485"/>
    <w:rsid w:val="64D911C7"/>
    <w:rsid w:val="64DA2ADC"/>
    <w:rsid w:val="64DA5735"/>
    <w:rsid w:val="64DD2028"/>
    <w:rsid w:val="64DE1DDA"/>
    <w:rsid w:val="64E064F3"/>
    <w:rsid w:val="64E21E2A"/>
    <w:rsid w:val="64E404C4"/>
    <w:rsid w:val="64E57B6C"/>
    <w:rsid w:val="64E621BC"/>
    <w:rsid w:val="64E67522"/>
    <w:rsid w:val="64E75689"/>
    <w:rsid w:val="64EA6F30"/>
    <w:rsid w:val="64EC3557"/>
    <w:rsid w:val="64EC55BB"/>
    <w:rsid w:val="64EC7236"/>
    <w:rsid w:val="64EE4C72"/>
    <w:rsid w:val="64F0304B"/>
    <w:rsid w:val="64F0532A"/>
    <w:rsid w:val="64F43AD8"/>
    <w:rsid w:val="64F509CF"/>
    <w:rsid w:val="64F521BC"/>
    <w:rsid w:val="64F63B27"/>
    <w:rsid w:val="64F928C5"/>
    <w:rsid w:val="64FC019C"/>
    <w:rsid w:val="64FF0C2E"/>
    <w:rsid w:val="65002B3F"/>
    <w:rsid w:val="65053D6A"/>
    <w:rsid w:val="65067631"/>
    <w:rsid w:val="6508330F"/>
    <w:rsid w:val="6509385A"/>
    <w:rsid w:val="650A78F4"/>
    <w:rsid w:val="650B5376"/>
    <w:rsid w:val="650C10CF"/>
    <w:rsid w:val="650F4BE9"/>
    <w:rsid w:val="650F698B"/>
    <w:rsid w:val="65165F77"/>
    <w:rsid w:val="651A62B7"/>
    <w:rsid w:val="651A70B9"/>
    <w:rsid w:val="651D5558"/>
    <w:rsid w:val="651E34F7"/>
    <w:rsid w:val="65222B6E"/>
    <w:rsid w:val="652266CA"/>
    <w:rsid w:val="65264783"/>
    <w:rsid w:val="6526485A"/>
    <w:rsid w:val="6529474F"/>
    <w:rsid w:val="65297A59"/>
    <w:rsid w:val="652A1EDD"/>
    <w:rsid w:val="652A7F3D"/>
    <w:rsid w:val="652D23F1"/>
    <w:rsid w:val="652D42D2"/>
    <w:rsid w:val="653308D7"/>
    <w:rsid w:val="653346BC"/>
    <w:rsid w:val="65363F24"/>
    <w:rsid w:val="65386779"/>
    <w:rsid w:val="65387E1B"/>
    <w:rsid w:val="653B3C30"/>
    <w:rsid w:val="653B59DE"/>
    <w:rsid w:val="653D03AD"/>
    <w:rsid w:val="65404082"/>
    <w:rsid w:val="65407FD2"/>
    <w:rsid w:val="654167C7"/>
    <w:rsid w:val="65420F39"/>
    <w:rsid w:val="6543008F"/>
    <w:rsid w:val="65493C57"/>
    <w:rsid w:val="654A5B21"/>
    <w:rsid w:val="654B64DA"/>
    <w:rsid w:val="654C1469"/>
    <w:rsid w:val="65506B62"/>
    <w:rsid w:val="65510D5D"/>
    <w:rsid w:val="655820EC"/>
    <w:rsid w:val="655B7E2E"/>
    <w:rsid w:val="655C0E57"/>
    <w:rsid w:val="655F347A"/>
    <w:rsid w:val="655F68A7"/>
    <w:rsid w:val="65602A0C"/>
    <w:rsid w:val="656210D3"/>
    <w:rsid w:val="65621EDC"/>
    <w:rsid w:val="6562740E"/>
    <w:rsid w:val="65660CAD"/>
    <w:rsid w:val="656978F2"/>
    <w:rsid w:val="656B3D7C"/>
    <w:rsid w:val="656D7325"/>
    <w:rsid w:val="657038D9"/>
    <w:rsid w:val="65711400"/>
    <w:rsid w:val="657200D5"/>
    <w:rsid w:val="65744A4C"/>
    <w:rsid w:val="657478B8"/>
    <w:rsid w:val="6576147A"/>
    <w:rsid w:val="65766A16"/>
    <w:rsid w:val="657769A7"/>
    <w:rsid w:val="65794E48"/>
    <w:rsid w:val="657B15BD"/>
    <w:rsid w:val="657B3B35"/>
    <w:rsid w:val="657B4307"/>
    <w:rsid w:val="657B4E2C"/>
    <w:rsid w:val="657B5C23"/>
    <w:rsid w:val="657F1F31"/>
    <w:rsid w:val="65817464"/>
    <w:rsid w:val="6582360D"/>
    <w:rsid w:val="658253BB"/>
    <w:rsid w:val="6583346D"/>
    <w:rsid w:val="65842C6D"/>
    <w:rsid w:val="65847385"/>
    <w:rsid w:val="65855940"/>
    <w:rsid w:val="65895532"/>
    <w:rsid w:val="658A6203"/>
    <w:rsid w:val="658A7C58"/>
    <w:rsid w:val="658B24C1"/>
    <w:rsid w:val="658E3CED"/>
    <w:rsid w:val="658E6FB2"/>
    <w:rsid w:val="658E7C12"/>
    <w:rsid w:val="65921AA2"/>
    <w:rsid w:val="659304F1"/>
    <w:rsid w:val="6593581A"/>
    <w:rsid w:val="65962C14"/>
    <w:rsid w:val="65977E47"/>
    <w:rsid w:val="6599167B"/>
    <w:rsid w:val="659A2704"/>
    <w:rsid w:val="659B26BD"/>
    <w:rsid w:val="659C28A4"/>
    <w:rsid w:val="659C57F8"/>
    <w:rsid w:val="659C7B1F"/>
    <w:rsid w:val="65A417D5"/>
    <w:rsid w:val="65A7180E"/>
    <w:rsid w:val="65A9216A"/>
    <w:rsid w:val="65A9593D"/>
    <w:rsid w:val="65AA38B2"/>
    <w:rsid w:val="65AB52C9"/>
    <w:rsid w:val="65AF06BE"/>
    <w:rsid w:val="65AF12DA"/>
    <w:rsid w:val="65B05059"/>
    <w:rsid w:val="65B32646"/>
    <w:rsid w:val="65B437F8"/>
    <w:rsid w:val="65B930E1"/>
    <w:rsid w:val="65B95390"/>
    <w:rsid w:val="65BA4141"/>
    <w:rsid w:val="65BE3364"/>
    <w:rsid w:val="65BF1F2F"/>
    <w:rsid w:val="65C047F9"/>
    <w:rsid w:val="65C4786C"/>
    <w:rsid w:val="65C92FEA"/>
    <w:rsid w:val="65C95F26"/>
    <w:rsid w:val="65CC4D27"/>
    <w:rsid w:val="65CC6636"/>
    <w:rsid w:val="65CE0600"/>
    <w:rsid w:val="65CE772C"/>
    <w:rsid w:val="65D0451A"/>
    <w:rsid w:val="65D26342"/>
    <w:rsid w:val="65D34BD7"/>
    <w:rsid w:val="65D47B8F"/>
    <w:rsid w:val="65D50BEA"/>
    <w:rsid w:val="65D56594"/>
    <w:rsid w:val="65D80F64"/>
    <w:rsid w:val="65DB3094"/>
    <w:rsid w:val="65DF45BB"/>
    <w:rsid w:val="65DF56DD"/>
    <w:rsid w:val="65E47C27"/>
    <w:rsid w:val="65E50E56"/>
    <w:rsid w:val="65E6086E"/>
    <w:rsid w:val="65E6594A"/>
    <w:rsid w:val="65E95143"/>
    <w:rsid w:val="65E96987"/>
    <w:rsid w:val="65EA0D31"/>
    <w:rsid w:val="65ED4141"/>
    <w:rsid w:val="65ED6CD8"/>
    <w:rsid w:val="65F01229"/>
    <w:rsid w:val="65F242EE"/>
    <w:rsid w:val="65F61A7B"/>
    <w:rsid w:val="65FA31A3"/>
    <w:rsid w:val="65FC181F"/>
    <w:rsid w:val="65FF6A0B"/>
    <w:rsid w:val="660128CD"/>
    <w:rsid w:val="66012AB1"/>
    <w:rsid w:val="6601664A"/>
    <w:rsid w:val="660341BF"/>
    <w:rsid w:val="660446B1"/>
    <w:rsid w:val="66067D9A"/>
    <w:rsid w:val="66086DD8"/>
    <w:rsid w:val="66094B8B"/>
    <w:rsid w:val="660C5642"/>
    <w:rsid w:val="660D2ED6"/>
    <w:rsid w:val="660E452A"/>
    <w:rsid w:val="660F0CE1"/>
    <w:rsid w:val="66100C18"/>
    <w:rsid w:val="66115AAD"/>
    <w:rsid w:val="66123F60"/>
    <w:rsid w:val="6612673F"/>
    <w:rsid w:val="661478C6"/>
    <w:rsid w:val="66157FDD"/>
    <w:rsid w:val="66161783"/>
    <w:rsid w:val="66191EA6"/>
    <w:rsid w:val="661974A2"/>
    <w:rsid w:val="661B0A1A"/>
    <w:rsid w:val="661B6029"/>
    <w:rsid w:val="661D14A4"/>
    <w:rsid w:val="661F08B5"/>
    <w:rsid w:val="661F61B2"/>
    <w:rsid w:val="66206F4B"/>
    <w:rsid w:val="66211CA2"/>
    <w:rsid w:val="66227D2F"/>
    <w:rsid w:val="66281DCE"/>
    <w:rsid w:val="66284AD6"/>
    <w:rsid w:val="66293A88"/>
    <w:rsid w:val="662B2122"/>
    <w:rsid w:val="662B3AB6"/>
    <w:rsid w:val="662D05A9"/>
    <w:rsid w:val="662D4016"/>
    <w:rsid w:val="66372649"/>
    <w:rsid w:val="66383CCB"/>
    <w:rsid w:val="663C1B44"/>
    <w:rsid w:val="663D12E2"/>
    <w:rsid w:val="66417C62"/>
    <w:rsid w:val="66432D9C"/>
    <w:rsid w:val="664371BB"/>
    <w:rsid w:val="664448C1"/>
    <w:rsid w:val="6646288C"/>
    <w:rsid w:val="66467BFE"/>
    <w:rsid w:val="66485525"/>
    <w:rsid w:val="664A36FF"/>
    <w:rsid w:val="664D59C9"/>
    <w:rsid w:val="664D6FF7"/>
    <w:rsid w:val="664E28AB"/>
    <w:rsid w:val="665068DD"/>
    <w:rsid w:val="66550F73"/>
    <w:rsid w:val="66551CC6"/>
    <w:rsid w:val="66564A62"/>
    <w:rsid w:val="66576D94"/>
    <w:rsid w:val="665772FE"/>
    <w:rsid w:val="6660563B"/>
    <w:rsid w:val="66633CE5"/>
    <w:rsid w:val="66636F9A"/>
    <w:rsid w:val="66645969"/>
    <w:rsid w:val="66663B6E"/>
    <w:rsid w:val="666845B1"/>
    <w:rsid w:val="666C0E0A"/>
    <w:rsid w:val="666C6D27"/>
    <w:rsid w:val="666D01E0"/>
    <w:rsid w:val="666D7F3D"/>
    <w:rsid w:val="6670340D"/>
    <w:rsid w:val="66707909"/>
    <w:rsid w:val="6671056B"/>
    <w:rsid w:val="667265EF"/>
    <w:rsid w:val="667473F9"/>
    <w:rsid w:val="66751358"/>
    <w:rsid w:val="66774C01"/>
    <w:rsid w:val="667947C2"/>
    <w:rsid w:val="667E6E6E"/>
    <w:rsid w:val="667F0B62"/>
    <w:rsid w:val="6683763C"/>
    <w:rsid w:val="668533B4"/>
    <w:rsid w:val="66890C40"/>
    <w:rsid w:val="668B426D"/>
    <w:rsid w:val="668F0566"/>
    <w:rsid w:val="66911D59"/>
    <w:rsid w:val="66956B1F"/>
    <w:rsid w:val="66971AD3"/>
    <w:rsid w:val="66990C0E"/>
    <w:rsid w:val="66991EF7"/>
    <w:rsid w:val="669B6734"/>
    <w:rsid w:val="669C5E64"/>
    <w:rsid w:val="669D19D5"/>
    <w:rsid w:val="669E5405"/>
    <w:rsid w:val="66A03D4A"/>
    <w:rsid w:val="66A17AC3"/>
    <w:rsid w:val="66A23F66"/>
    <w:rsid w:val="66A27AB6"/>
    <w:rsid w:val="66A44C4D"/>
    <w:rsid w:val="66AB26EF"/>
    <w:rsid w:val="66AB2A9B"/>
    <w:rsid w:val="66AF2A97"/>
    <w:rsid w:val="66AF3F8D"/>
    <w:rsid w:val="66B4669B"/>
    <w:rsid w:val="66B612D2"/>
    <w:rsid w:val="66B6356E"/>
    <w:rsid w:val="66B701D4"/>
    <w:rsid w:val="66B96E61"/>
    <w:rsid w:val="66BA2932"/>
    <w:rsid w:val="66BC15A3"/>
    <w:rsid w:val="66BC211B"/>
    <w:rsid w:val="66BC2B4E"/>
    <w:rsid w:val="66BD427F"/>
    <w:rsid w:val="66BE02E8"/>
    <w:rsid w:val="66C0196B"/>
    <w:rsid w:val="66C0619B"/>
    <w:rsid w:val="66C35C8B"/>
    <w:rsid w:val="66C60B8D"/>
    <w:rsid w:val="66C72636"/>
    <w:rsid w:val="66C878F9"/>
    <w:rsid w:val="66CB4375"/>
    <w:rsid w:val="66CC283B"/>
    <w:rsid w:val="66CD243C"/>
    <w:rsid w:val="66CD4D5B"/>
    <w:rsid w:val="66CF4630"/>
    <w:rsid w:val="66CF63DE"/>
    <w:rsid w:val="66D103A8"/>
    <w:rsid w:val="66D13CF0"/>
    <w:rsid w:val="66D165FA"/>
    <w:rsid w:val="66D53EDF"/>
    <w:rsid w:val="66D553A4"/>
    <w:rsid w:val="66D659BE"/>
    <w:rsid w:val="66DC0AFB"/>
    <w:rsid w:val="66DF121A"/>
    <w:rsid w:val="66E21A29"/>
    <w:rsid w:val="66E51EAD"/>
    <w:rsid w:val="66E549FB"/>
    <w:rsid w:val="66E56AEE"/>
    <w:rsid w:val="66E572B9"/>
    <w:rsid w:val="66E7011D"/>
    <w:rsid w:val="66E856F1"/>
    <w:rsid w:val="66EC6046"/>
    <w:rsid w:val="66EE28B0"/>
    <w:rsid w:val="66EE387A"/>
    <w:rsid w:val="66F127F8"/>
    <w:rsid w:val="66F145A6"/>
    <w:rsid w:val="66F17B99"/>
    <w:rsid w:val="66F521D6"/>
    <w:rsid w:val="66F619F5"/>
    <w:rsid w:val="66F647CA"/>
    <w:rsid w:val="66F73C40"/>
    <w:rsid w:val="66FB3677"/>
    <w:rsid w:val="66FD73EF"/>
    <w:rsid w:val="66FE6B65"/>
    <w:rsid w:val="67000C8D"/>
    <w:rsid w:val="670342D9"/>
    <w:rsid w:val="67041D4F"/>
    <w:rsid w:val="67052BF8"/>
    <w:rsid w:val="670A5668"/>
    <w:rsid w:val="670B0C4F"/>
    <w:rsid w:val="670B7925"/>
    <w:rsid w:val="670F2C7E"/>
    <w:rsid w:val="670F7122"/>
    <w:rsid w:val="67103CAE"/>
    <w:rsid w:val="67135C6C"/>
    <w:rsid w:val="67177D85"/>
    <w:rsid w:val="67193AFD"/>
    <w:rsid w:val="671B785A"/>
    <w:rsid w:val="671D183F"/>
    <w:rsid w:val="671F55B7"/>
    <w:rsid w:val="672030DD"/>
    <w:rsid w:val="67220C03"/>
    <w:rsid w:val="6722430F"/>
    <w:rsid w:val="6723580D"/>
    <w:rsid w:val="67252C90"/>
    <w:rsid w:val="6727446C"/>
    <w:rsid w:val="67286580"/>
    <w:rsid w:val="672A3F5C"/>
    <w:rsid w:val="672A4C6C"/>
    <w:rsid w:val="672C55DE"/>
    <w:rsid w:val="67311233"/>
    <w:rsid w:val="67312852"/>
    <w:rsid w:val="67313494"/>
    <w:rsid w:val="67386211"/>
    <w:rsid w:val="673919DF"/>
    <w:rsid w:val="673B1534"/>
    <w:rsid w:val="673C2070"/>
    <w:rsid w:val="673E62FC"/>
    <w:rsid w:val="673F0CE2"/>
    <w:rsid w:val="67417742"/>
    <w:rsid w:val="67424617"/>
    <w:rsid w:val="67425430"/>
    <w:rsid w:val="67443BAB"/>
    <w:rsid w:val="67446DCC"/>
    <w:rsid w:val="67461E72"/>
    <w:rsid w:val="6748602A"/>
    <w:rsid w:val="674979C2"/>
    <w:rsid w:val="674C5377"/>
    <w:rsid w:val="674C7AF6"/>
    <w:rsid w:val="674E6DCA"/>
    <w:rsid w:val="674F6BF7"/>
    <w:rsid w:val="6751773B"/>
    <w:rsid w:val="67530DBD"/>
    <w:rsid w:val="675310D3"/>
    <w:rsid w:val="67567ACD"/>
    <w:rsid w:val="67572274"/>
    <w:rsid w:val="675800A6"/>
    <w:rsid w:val="6759039D"/>
    <w:rsid w:val="6759333E"/>
    <w:rsid w:val="675A225C"/>
    <w:rsid w:val="675B2367"/>
    <w:rsid w:val="675E39EA"/>
    <w:rsid w:val="675F16B0"/>
    <w:rsid w:val="67612AE3"/>
    <w:rsid w:val="67640BC4"/>
    <w:rsid w:val="67644C59"/>
    <w:rsid w:val="67664BDE"/>
    <w:rsid w:val="676A5208"/>
    <w:rsid w:val="676B3F0B"/>
    <w:rsid w:val="676E1C9E"/>
    <w:rsid w:val="67700CC3"/>
    <w:rsid w:val="67716BEB"/>
    <w:rsid w:val="677463FB"/>
    <w:rsid w:val="67756B4A"/>
    <w:rsid w:val="67762D8D"/>
    <w:rsid w:val="67780C00"/>
    <w:rsid w:val="67827A11"/>
    <w:rsid w:val="6784541A"/>
    <w:rsid w:val="6785776E"/>
    <w:rsid w:val="678C0773"/>
    <w:rsid w:val="678D28BC"/>
    <w:rsid w:val="678E5914"/>
    <w:rsid w:val="678E73A1"/>
    <w:rsid w:val="67900263"/>
    <w:rsid w:val="6792295F"/>
    <w:rsid w:val="679A058C"/>
    <w:rsid w:val="679D64DC"/>
    <w:rsid w:val="679E3FE5"/>
    <w:rsid w:val="679E6388"/>
    <w:rsid w:val="67A05FCC"/>
    <w:rsid w:val="67A3586E"/>
    <w:rsid w:val="67A42FE5"/>
    <w:rsid w:val="67A4557C"/>
    <w:rsid w:val="67A510A1"/>
    <w:rsid w:val="67A8120F"/>
    <w:rsid w:val="67A86C48"/>
    <w:rsid w:val="67A91325"/>
    <w:rsid w:val="67A93A59"/>
    <w:rsid w:val="67A96C2F"/>
    <w:rsid w:val="67AC2BC3"/>
    <w:rsid w:val="67AC4971"/>
    <w:rsid w:val="67AE771B"/>
    <w:rsid w:val="67AE7D88"/>
    <w:rsid w:val="67B066ED"/>
    <w:rsid w:val="67B101D9"/>
    <w:rsid w:val="67B22802"/>
    <w:rsid w:val="67B24DFA"/>
    <w:rsid w:val="67B37AAD"/>
    <w:rsid w:val="67B40F18"/>
    <w:rsid w:val="67B57CC9"/>
    <w:rsid w:val="67B657F0"/>
    <w:rsid w:val="67B74A0C"/>
    <w:rsid w:val="67BB0368"/>
    <w:rsid w:val="67BC1058"/>
    <w:rsid w:val="67BC24AB"/>
    <w:rsid w:val="67BD6B7E"/>
    <w:rsid w:val="67BF7056"/>
    <w:rsid w:val="67C22648"/>
    <w:rsid w:val="67C617E9"/>
    <w:rsid w:val="67C65A33"/>
    <w:rsid w:val="67C716DA"/>
    <w:rsid w:val="67C7727F"/>
    <w:rsid w:val="67CC0F96"/>
    <w:rsid w:val="67CE2451"/>
    <w:rsid w:val="67D01964"/>
    <w:rsid w:val="67D6379C"/>
    <w:rsid w:val="67DA328C"/>
    <w:rsid w:val="67DB0DB2"/>
    <w:rsid w:val="67DE102E"/>
    <w:rsid w:val="67DF08A2"/>
    <w:rsid w:val="67DF4D46"/>
    <w:rsid w:val="67E067BF"/>
    <w:rsid w:val="67E1286C"/>
    <w:rsid w:val="67E243EB"/>
    <w:rsid w:val="67E371E1"/>
    <w:rsid w:val="67E377C0"/>
    <w:rsid w:val="67E946A3"/>
    <w:rsid w:val="67EA79ED"/>
    <w:rsid w:val="67EB3820"/>
    <w:rsid w:val="67ED6C24"/>
    <w:rsid w:val="67F3642A"/>
    <w:rsid w:val="67F4469E"/>
    <w:rsid w:val="67F87B4E"/>
    <w:rsid w:val="67FA392E"/>
    <w:rsid w:val="67FD0C7B"/>
    <w:rsid w:val="67FF7197"/>
    <w:rsid w:val="68026FBF"/>
    <w:rsid w:val="68027662"/>
    <w:rsid w:val="68045DF0"/>
    <w:rsid w:val="680601AA"/>
    <w:rsid w:val="68082D5F"/>
    <w:rsid w:val="680B734E"/>
    <w:rsid w:val="680F7672"/>
    <w:rsid w:val="6810626B"/>
    <w:rsid w:val="68106CAE"/>
    <w:rsid w:val="681116E9"/>
    <w:rsid w:val="68112A26"/>
    <w:rsid w:val="68126ECA"/>
    <w:rsid w:val="68147FAC"/>
    <w:rsid w:val="681D13CB"/>
    <w:rsid w:val="681D3BA9"/>
    <w:rsid w:val="681E0DA9"/>
    <w:rsid w:val="681E6C5D"/>
    <w:rsid w:val="68216E7B"/>
    <w:rsid w:val="682236C3"/>
    <w:rsid w:val="682269E1"/>
    <w:rsid w:val="68246BFD"/>
    <w:rsid w:val="682477D6"/>
    <w:rsid w:val="682817D2"/>
    <w:rsid w:val="682A2D07"/>
    <w:rsid w:val="682B2A41"/>
    <w:rsid w:val="682C5802"/>
    <w:rsid w:val="682D11B1"/>
    <w:rsid w:val="682E182A"/>
    <w:rsid w:val="682E5324"/>
    <w:rsid w:val="68307350"/>
    <w:rsid w:val="68307A21"/>
    <w:rsid w:val="68315435"/>
    <w:rsid w:val="68330BEE"/>
    <w:rsid w:val="68333E7D"/>
    <w:rsid w:val="68354966"/>
    <w:rsid w:val="6836454A"/>
    <w:rsid w:val="683706DE"/>
    <w:rsid w:val="68373ACE"/>
    <w:rsid w:val="683741F8"/>
    <w:rsid w:val="683A01CF"/>
    <w:rsid w:val="683A6616"/>
    <w:rsid w:val="683C5CF5"/>
    <w:rsid w:val="683D0DFA"/>
    <w:rsid w:val="683E1A6D"/>
    <w:rsid w:val="683E470E"/>
    <w:rsid w:val="683F3EE1"/>
    <w:rsid w:val="683F57E5"/>
    <w:rsid w:val="68400C3B"/>
    <w:rsid w:val="6841238C"/>
    <w:rsid w:val="684158A7"/>
    <w:rsid w:val="684545C1"/>
    <w:rsid w:val="68475925"/>
    <w:rsid w:val="6848469A"/>
    <w:rsid w:val="6849700F"/>
    <w:rsid w:val="684B418A"/>
    <w:rsid w:val="684D1CB0"/>
    <w:rsid w:val="684E6CD5"/>
    <w:rsid w:val="684F1AA4"/>
    <w:rsid w:val="6853303E"/>
    <w:rsid w:val="68541EFC"/>
    <w:rsid w:val="68555008"/>
    <w:rsid w:val="68581629"/>
    <w:rsid w:val="68582403"/>
    <w:rsid w:val="685826B2"/>
    <w:rsid w:val="685A261F"/>
    <w:rsid w:val="685B5E7D"/>
    <w:rsid w:val="685E5C6B"/>
    <w:rsid w:val="685F6F82"/>
    <w:rsid w:val="6862316F"/>
    <w:rsid w:val="6864524C"/>
    <w:rsid w:val="68653049"/>
    <w:rsid w:val="68667EC2"/>
    <w:rsid w:val="68671FBD"/>
    <w:rsid w:val="68674048"/>
    <w:rsid w:val="686766A6"/>
    <w:rsid w:val="68692862"/>
    <w:rsid w:val="686E2B57"/>
    <w:rsid w:val="686F5184"/>
    <w:rsid w:val="6870339C"/>
    <w:rsid w:val="68706BBD"/>
    <w:rsid w:val="68724E64"/>
    <w:rsid w:val="68751207"/>
    <w:rsid w:val="68774F7F"/>
    <w:rsid w:val="68784905"/>
    <w:rsid w:val="687E17E2"/>
    <w:rsid w:val="687E1949"/>
    <w:rsid w:val="688072DE"/>
    <w:rsid w:val="6881195A"/>
    <w:rsid w:val="68831B76"/>
    <w:rsid w:val="68833155"/>
    <w:rsid w:val="688356D2"/>
    <w:rsid w:val="68880ABC"/>
    <w:rsid w:val="68881A29"/>
    <w:rsid w:val="688B00FD"/>
    <w:rsid w:val="688B2C40"/>
    <w:rsid w:val="688E708B"/>
    <w:rsid w:val="688F4C62"/>
    <w:rsid w:val="689063C9"/>
    <w:rsid w:val="68911AE2"/>
    <w:rsid w:val="68924C9D"/>
    <w:rsid w:val="6894480E"/>
    <w:rsid w:val="689B5F36"/>
    <w:rsid w:val="689C2C37"/>
    <w:rsid w:val="689C56E1"/>
    <w:rsid w:val="689C586C"/>
    <w:rsid w:val="689F1EFA"/>
    <w:rsid w:val="68A033B6"/>
    <w:rsid w:val="68A64B70"/>
    <w:rsid w:val="68A8338A"/>
    <w:rsid w:val="68AC5CFC"/>
    <w:rsid w:val="68B0223F"/>
    <w:rsid w:val="68B12320"/>
    <w:rsid w:val="68B16331"/>
    <w:rsid w:val="68B22865"/>
    <w:rsid w:val="68B65FC1"/>
    <w:rsid w:val="68B71035"/>
    <w:rsid w:val="68B95597"/>
    <w:rsid w:val="68BB1B30"/>
    <w:rsid w:val="68BD4DF9"/>
    <w:rsid w:val="68C006D4"/>
    <w:rsid w:val="68C3544E"/>
    <w:rsid w:val="68C5527F"/>
    <w:rsid w:val="68C930BE"/>
    <w:rsid w:val="68CA50AF"/>
    <w:rsid w:val="68CA77A4"/>
    <w:rsid w:val="68CD2DF1"/>
    <w:rsid w:val="68CF2BB1"/>
    <w:rsid w:val="68D15DD6"/>
    <w:rsid w:val="68D26566"/>
    <w:rsid w:val="68D31C77"/>
    <w:rsid w:val="68D47FFC"/>
    <w:rsid w:val="68D724D5"/>
    <w:rsid w:val="68D745F1"/>
    <w:rsid w:val="68D9058B"/>
    <w:rsid w:val="68D91796"/>
    <w:rsid w:val="68DB3E44"/>
    <w:rsid w:val="68DC4DE2"/>
    <w:rsid w:val="68E163E7"/>
    <w:rsid w:val="68E1689C"/>
    <w:rsid w:val="68E37BE0"/>
    <w:rsid w:val="68E434DA"/>
    <w:rsid w:val="68E500AA"/>
    <w:rsid w:val="68E74518"/>
    <w:rsid w:val="68E8745F"/>
    <w:rsid w:val="68EA5751"/>
    <w:rsid w:val="68EB3277"/>
    <w:rsid w:val="68EE2E29"/>
    <w:rsid w:val="68EF4B15"/>
    <w:rsid w:val="68EF5D3D"/>
    <w:rsid w:val="68EF720B"/>
    <w:rsid w:val="68F14D31"/>
    <w:rsid w:val="68F30D11"/>
    <w:rsid w:val="68F30F7C"/>
    <w:rsid w:val="68F347F2"/>
    <w:rsid w:val="68F4684F"/>
    <w:rsid w:val="68F55EA4"/>
    <w:rsid w:val="68F56FBE"/>
    <w:rsid w:val="68F929CC"/>
    <w:rsid w:val="68FB5BB0"/>
    <w:rsid w:val="690031C6"/>
    <w:rsid w:val="69004F74"/>
    <w:rsid w:val="69011A1A"/>
    <w:rsid w:val="69030EE6"/>
    <w:rsid w:val="6903566B"/>
    <w:rsid w:val="69044784"/>
    <w:rsid w:val="69076303"/>
    <w:rsid w:val="69082395"/>
    <w:rsid w:val="69085BD7"/>
    <w:rsid w:val="690960EE"/>
    <w:rsid w:val="690D143F"/>
    <w:rsid w:val="690F3409"/>
    <w:rsid w:val="69104C39"/>
    <w:rsid w:val="69104F27"/>
    <w:rsid w:val="691140DC"/>
    <w:rsid w:val="69141644"/>
    <w:rsid w:val="691B5C61"/>
    <w:rsid w:val="69230C63"/>
    <w:rsid w:val="692476D6"/>
    <w:rsid w:val="69254580"/>
    <w:rsid w:val="692549DB"/>
    <w:rsid w:val="69280027"/>
    <w:rsid w:val="69295DA5"/>
    <w:rsid w:val="692A0AEC"/>
    <w:rsid w:val="692B6E5D"/>
    <w:rsid w:val="692C5D69"/>
    <w:rsid w:val="692D52EB"/>
    <w:rsid w:val="6931512E"/>
    <w:rsid w:val="69322343"/>
    <w:rsid w:val="69344C1E"/>
    <w:rsid w:val="693A20A3"/>
    <w:rsid w:val="693B2EF1"/>
    <w:rsid w:val="693D596E"/>
    <w:rsid w:val="69434E61"/>
    <w:rsid w:val="69442690"/>
    <w:rsid w:val="69451634"/>
    <w:rsid w:val="69455F5E"/>
    <w:rsid w:val="6949137F"/>
    <w:rsid w:val="694A16A0"/>
    <w:rsid w:val="694D4281"/>
    <w:rsid w:val="694E3923"/>
    <w:rsid w:val="694F777E"/>
    <w:rsid w:val="694F7CAA"/>
    <w:rsid w:val="69540116"/>
    <w:rsid w:val="69562977"/>
    <w:rsid w:val="695638D8"/>
    <w:rsid w:val="69570280"/>
    <w:rsid w:val="69574761"/>
    <w:rsid w:val="695952C2"/>
    <w:rsid w:val="695B03FD"/>
    <w:rsid w:val="695B664F"/>
    <w:rsid w:val="69601EB7"/>
    <w:rsid w:val="69636914"/>
    <w:rsid w:val="69653028"/>
    <w:rsid w:val="69663F1E"/>
    <w:rsid w:val="69697AE1"/>
    <w:rsid w:val="696D3A78"/>
    <w:rsid w:val="696F3E5F"/>
    <w:rsid w:val="69747710"/>
    <w:rsid w:val="6978044D"/>
    <w:rsid w:val="697846AF"/>
    <w:rsid w:val="697B78D8"/>
    <w:rsid w:val="69825D2C"/>
    <w:rsid w:val="698441B0"/>
    <w:rsid w:val="698536CB"/>
    <w:rsid w:val="69855479"/>
    <w:rsid w:val="698938B7"/>
    <w:rsid w:val="69894E79"/>
    <w:rsid w:val="698A6457"/>
    <w:rsid w:val="698B0758"/>
    <w:rsid w:val="698E07EB"/>
    <w:rsid w:val="698E7936"/>
    <w:rsid w:val="698E7A93"/>
    <w:rsid w:val="698F6943"/>
    <w:rsid w:val="69916236"/>
    <w:rsid w:val="69951B60"/>
    <w:rsid w:val="69961435"/>
    <w:rsid w:val="69961D8B"/>
    <w:rsid w:val="699672AC"/>
    <w:rsid w:val="699846F1"/>
    <w:rsid w:val="699957BF"/>
    <w:rsid w:val="699B4C9D"/>
    <w:rsid w:val="699C490E"/>
    <w:rsid w:val="69A022B3"/>
    <w:rsid w:val="69A13F8B"/>
    <w:rsid w:val="69A26D0E"/>
    <w:rsid w:val="69A4742B"/>
    <w:rsid w:val="69A753F0"/>
    <w:rsid w:val="69A7779B"/>
    <w:rsid w:val="69AC5365"/>
    <w:rsid w:val="69AE12D8"/>
    <w:rsid w:val="69AE49D0"/>
    <w:rsid w:val="69AE677E"/>
    <w:rsid w:val="69B17B26"/>
    <w:rsid w:val="69B51774"/>
    <w:rsid w:val="69B53FB1"/>
    <w:rsid w:val="69B64673"/>
    <w:rsid w:val="69B71B62"/>
    <w:rsid w:val="69BA1180"/>
    <w:rsid w:val="69BA2FE7"/>
    <w:rsid w:val="69BB378C"/>
    <w:rsid w:val="69BD5030"/>
    <w:rsid w:val="69BF53B0"/>
    <w:rsid w:val="69C04704"/>
    <w:rsid w:val="69C11CA4"/>
    <w:rsid w:val="69C56848"/>
    <w:rsid w:val="69C77840"/>
    <w:rsid w:val="69CB37D4"/>
    <w:rsid w:val="69CC2E7F"/>
    <w:rsid w:val="69D00DEB"/>
    <w:rsid w:val="69D23162"/>
    <w:rsid w:val="69D37657"/>
    <w:rsid w:val="69D612F7"/>
    <w:rsid w:val="69D73394"/>
    <w:rsid w:val="69DA57C5"/>
    <w:rsid w:val="69DC0298"/>
    <w:rsid w:val="69DC2577"/>
    <w:rsid w:val="69DF5C1F"/>
    <w:rsid w:val="69E10A9B"/>
    <w:rsid w:val="69E25DF2"/>
    <w:rsid w:val="69E32FE5"/>
    <w:rsid w:val="69E55228"/>
    <w:rsid w:val="69E745B7"/>
    <w:rsid w:val="69E77EE2"/>
    <w:rsid w:val="69EC374B"/>
    <w:rsid w:val="69EC54F9"/>
    <w:rsid w:val="69EC6D04"/>
    <w:rsid w:val="69EC77A8"/>
    <w:rsid w:val="69EE21DC"/>
    <w:rsid w:val="69EF3C30"/>
    <w:rsid w:val="69F065C4"/>
    <w:rsid w:val="69F06B29"/>
    <w:rsid w:val="69F06D97"/>
    <w:rsid w:val="69F35A90"/>
    <w:rsid w:val="69F36887"/>
    <w:rsid w:val="69F41138"/>
    <w:rsid w:val="69F41E03"/>
    <w:rsid w:val="69F5411C"/>
    <w:rsid w:val="69F611D9"/>
    <w:rsid w:val="69F61499"/>
    <w:rsid w:val="69F66762"/>
    <w:rsid w:val="69F83C1F"/>
    <w:rsid w:val="69FB6930"/>
    <w:rsid w:val="69FC7514"/>
    <w:rsid w:val="69FD3262"/>
    <w:rsid w:val="69FD6A7E"/>
    <w:rsid w:val="69FF11AF"/>
    <w:rsid w:val="6A002D52"/>
    <w:rsid w:val="6A042842"/>
    <w:rsid w:val="6A050368"/>
    <w:rsid w:val="6A0960AB"/>
    <w:rsid w:val="6A0D5B9B"/>
    <w:rsid w:val="6A0E7EFA"/>
    <w:rsid w:val="6A10568B"/>
    <w:rsid w:val="6A1231B1"/>
    <w:rsid w:val="6A130CD7"/>
    <w:rsid w:val="6A161FF1"/>
    <w:rsid w:val="6A1C386D"/>
    <w:rsid w:val="6A1C4030"/>
    <w:rsid w:val="6A1C4B35"/>
    <w:rsid w:val="6A1D1B56"/>
    <w:rsid w:val="6A1D56B2"/>
    <w:rsid w:val="6A2067DF"/>
    <w:rsid w:val="6A21367E"/>
    <w:rsid w:val="6A2151A2"/>
    <w:rsid w:val="6A276531"/>
    <w:rsid w:val="6A2B41BB"/>
    <w:rsid w:val="6A2B5AB9"/>
    <w:rsid w:val="6A2B6021"/>
    <w:rsid w:val="6A2D7FEB"/>
    <w:rsid w:val="6A2F3C3C"/>
    <w:rsid w:val="6A321036"/>
    <w:rsid w:val="6A3277BD"/>
    <w:rsid w:val="6A337707"/>
    <w:rsid w:val="6A352044"/>
    <w:rsid w:val="6A35569A"/>
    <w:rsid w:val="6A355E39"/>
    <w:rsid w:val="6A35716F"/>
    <w:rsid w:val="6A3A53BC"/>
    <w:rsid w:val="6A3C4959"/>
    <w:rsid w:val="6A3F1ACC"/>
    <w:rsid w:val="6A3F213E"/>
    <w:rsid w:val="6A404344"/>
    <w:rsid w:val="6A424F36"/>
    <w:rsid w:val="6A44277E"/>
    <w:rsid w:val="6A462E5B"/>
    <w:rsid w:val="6A47039C"/>
    <w:rsid w:val="6A4964A7"/>
    <w:rsid w:val="6A4D185E"/>
    <w:rsid w:val="6A4D6B4C"/>
    <w:rsid w:val="6A4E0018"/>
    <w:rsid w:val="6A4E61B3"/>
    <w:rsid w:val="6A505A87"/>
    <w:rsid w:val="6A507835"/>
    <w:rsid w:val="6A537326"/>
    <w:rsid w:val="6A544190"/>
    <w:rsid w:val="6A566616"/>
    <w:rsid w:val="6A582097"/>
    <w:rsid w:val="6A611FA2"/>
    <w:rsid w:val="6A614F59"/>
    <w:rsid w:val="6A6432E1"/>
    <w:rsid w:val="6A653C52"/>
    <w:rsid w:val="6A667059"/>
    <w:rsid w:val="6A681B3D"/>
    <w:rsid w:val="6A684795"/>
    <w:rsid w:val="6A6A3808"/>
    <w:rsid w:val="6A6E5F0E"/>
    <w:rsid w:val="6A7204A4"/>
    <w:rsid w:val="6A721EA2"/>
    <w:rsid w:val="6A764478"/>
    <w:rsid w:val="6A786D8C"/>
    <w:rsid w:val="6A794491"/>
    <w:rsid w:val="6A794FDE"/>
    <w:rsid w:val="6A7A2C53"/>
    <w:rsid w:val="6A7B6F46"/>
    <w:rsid w:val="6A7D5848"/>
    <w:rsid w:val="6A7E701F"/>
    <w:rsid w:val="6A815C41"/>
    <w:rsid w:val="6A8169BA"/>
    <w:rsid w:val="6A842CC9"/>
    <w:rsid w:val="6A892D47"/>
    <w:rsid w:val="6A8A4358"/>
    <w:rsid w:val="6A8E20B7"/>
    <w:rsid w:val="6A8F05CB"/>
    <w:rsid w:val="6A9040D6"/>
    <w:rsid w:val="6A923088"/>
    <w:rsid w:val="6A9312A5"/>
    <w:rsid w:val="6A932158"/>
    <w:rsid w:val="6A94006A"/>
    <w:rsid w:val="6A971908"/>
    <w:rsid w:val="6A975464"/>
    <w:rsid w:val="6A995752"/>
    <w:rsid w:val="6A9C5EB7"/>
    <w:rsid w:val="6A9D076F"/>
    <w:rsid w:val="6A9E030B"/>
    <w:rsid w:val="6A9E2B27"/>
    <w:rsid w:val="6A9E2EDE"/>
    <w:rsid w:val="6A9F07BD"/>
    <w:rsid w:val="6A9F16F5"/>
    <w:rsid w:val="6AA10091"/>
    <w:rsid w:val="6AA2028E"/>
    <w:rsid w:val="6AA21D0E"/>
    <w:rsid w:val="6AA25930"/>
    <w:rsid w:val="6AA52131"/>
    <w:rsid w:val="6AA565CD"/>
    <w:rsid w:val="6AA66A23"/>
    <w:rsid w:val="6AAA7438"/>
    <w:rsid w:val="6AAD4C88"/>
    <w:rsid w:val="6AB24566"/>
    <w:rsid w:val="6AB44268"/>
    <w:rsid w:val="6AB46016"/>
    <w:rsid w:val="6AB84B33"/>
    <w:rsid w:val="6ABA3B4A"/>
    <w:rsid w:val="6ABA527F"/>
    <w:rsid w:val="6ABE2178"/>
    <w:rsid w:val="6ABE6DF7"/>
    <w:rsid w:val="6AC00BA8"/>
    <w:rsid w:val="6AC04A7F"/>
    <w:rsid w:val="6AC16985"/>
    <w:rsid w:val="6AC273ED"/>
    <w:rsid w:val="6AC53E54"/>
    <w:rsid w:val="6AC65D4A"/>
    <w:rsid w:val="6AC83870"/>
    <w:rsid w:val="6ACC4484"/>
    <w:rsid w:val="6ACD2CAC"/>
    <w:rsid w:val="6ACE2D47"/>
    <w:rsid w:val="6ACF10A2"/>
    <w:rsid w:val="6AD00976"/>
    <w:rsid w:val="6AD20EC5"/>
    <w:rsid w:val="6AD2649C"/>
    <w:rsid w:val="6AD36194"/>
    <w:rsid w:val="6AD42A48"/>
    <w:rsid w:val="6AD541DF"/>
    <w:rsid w:val="6AD55F8D"/>
    <w:rsid w:val="6AD7450F"/>
    <w:rsid w:val="6AD9176E"/>
    <w:rsid w:val="6ADA1D59"/>
    <w:rsid w:val="6ADA1E6D"/>
    <w:rsid w:val="6ADB24CC"/>
    <w:rsid w:val="6ADB509B"/>
    <w:rsid w:val="6ADB67C7"/>
    <w:rsid w:val="6ADD4AB5"/>
    <w:rsid w:val="6ADE7685"/>
    <w:rsid w:val="6AE12DAA"/>
    <w:rsid w:val="6AE378FF"/>
    <w:rsid w:val="6AE4752F"/>
    <w:rsid w:val="6AE87B98"/>
    <w:rsid w:val="6AEB57B0"/>
    <w:rsid w:val="6AEB68BA"/>
    <w:rsid w:val="6AEC28F9"/>
    <w:rsid w:val="6AED45AA"/>
    <w:rsid w:val="6AEE157A"/>
    <w:rsid w:val="6AEE6A86"/>
    <w:rsid w:val="6AEF34F2"/>
    <w:rsid w:val="6AF13F41"/>
    <w:rsid w:val="6AF1726A"/>
    <w:rsid w:val="6AF26B3F"/>
    <w:rsid w:val="6AF35F0E"/>
    <w:rsid w:val="6AF47270"/>
    <w:rsid w:val="6AFA16DC"/>
    <w:rsid w:val="6AFE3735"/>
    <w:rsid w:val="6AFE54E3"/>
    <w:rsid w:val="6AFE68A3"/>
    <w:rsid w:val="6AFF5FCD"/>
    <w:rsid w:val="6B00125C"/>
    <w:rsid w:val="6B0128B3"/>
    <w:rsid w:val="6B040620"/>
    <w:rsid w:val="6B0A00D8"/>
    <w:rsid w:val="6B0A32AE"/>
    <w:rsid w:val="6B0D3884"/>
    <w:rsid w:val="6B0F64B4"/>
    <w:rsid w:val="6B0F7121"/>
    <w:rsid w:val="6B1000FA"/>
    <w:rsid w:val="6B146DD5"/>
    <w:rsid w:val="6B1514F9"/>
    <w:rsid w:val="6B1569E7"/>
    <w:rsid w:val="6B1C4200"/>
    <w:rsid w:val="6B1E16E2"/>
    <w:rsid w:val="6B1F4B35"/>
    <w:rsid w:val="6B20545A"/>
    <w:rsid w:val="6B21760B"/>
    <w:rsid w:val="6B220BF5"/>
    <w:rsid w:val="6B273AE6"/>
    <w:rsid w:val="6B275FB9"/>
    <w:rsid w:val="6B2974EE"/>
    <w:rsid w:val="6B2B3DFF"/>
    <w:rsid w:val="6B2D401B"/>
    <w:rsid w:val="6B2F1064"/>
    <w:rsid w:val="6B301415"/>
    <w:rsid w:val="6B30615A"/>
    <w:rsid w:val="6B3233DF"/>
    <w:rsid w:val="6B332572"/>
    <w:rsid w:val="6B3929BF"/>
    <w:rsid w:val="6B3E76F2"/>
    <w:rsid w:val="6B3F4F81"/>
    <w:rsid w:val="6B424307"/>
    <w:rsid w:val="6B44627A"/>
    <w:rsid w:val="6B450626"/>
    <w:rsid w:val="6B451364"/>
    <w:rsid w:val="6B460C38"/>
    <w:rsid w:val="6B4819EC"/>
    <w:rsid w:val="6B4A20CD"/>
    <w:rsid w:val="6B4A4D28"/>
    <w:rsid w:val="6B4B2ABD"/>
    <w:rsid w:val="6B4C44A1"/>
    <w:rsid w:val="6B4D3503"/>
    <w:rsid w:val="6B4F130A"/>
    <w:rsid w:val="6B4F734C"/>
    <w:rsid w:val="6B501C6F"/>
    <w:rsid w:val="6B51776C"/>
    <w:rsid w:val="6B5400F9"/>
    <w:rsid w:val="6B563356"/>
    <w:rsid w:val="6B565DDA"/>
    <w:rsid w:val="6B577157"/>
    <w:rsid w:val="6B5C07C8"/>
    <w:rsid w:val="6B5D5DC8"/>
    <w:rsid w:val="6B5D66AE"/>
    <w:rsid w:val="6B5E394F"/>
    <w:rsid w:val="6B5E5F82"/>
    <w:rsid w:val="6B5F1262"/>
    <w:rsid w:val="6B5F249F"/>
    <w:rsid w:val="6B604ADF"/>
    <w:rsid w:val="6B604BE4"/>
    <w:rsid w:val="6B623CC4"/>
    <w:rsid w:val="6B63134D"/>
    <w:rsid w:val="6B631EBD"/>
    <w:rsid w:val="6B637EDE"/>
    <w:rsid w:val="6B64253A"/>
    <w:rsid w:val="6B656486"/>
    <w:rsid w:val="6B66073E"/>
    <w:rsid w:val="6B6629FF"/>
    <w:rsid w:val="6B673896"/>
    <w:rsid w:val="6B687F92"/>
    <w:rsid w:val="6B6B2668"/>
    <w:rsid w:val="6B6C02A9"/>
    <w:rsid w:val="6B6E7234"/>
    <w:rsid w:val="6B70777C"/>
    <w:rsid w:val="6B712159"/>
    <w:rsid w:val="6B714CEF"/>
    <w:rsid w:val="6B7439F8"/>
    <w:rsid w:val="6B751F4A"/>
    <w:rsid w:val="6B773ADF"/>
    <w:rsid w:val="6B793CE5"/>
    <w:rsid w:val="6B8071BE"/>
    <w:rsid w:val="6B827EC3"/>
    <w:rsid w:val="6B831B5D"/>
    <w:rsid w:val="6B835717"/>
    <w:rsid w:val="6B8359E9"/>
    <w:rsid w:val="6B835C56"/>
    <w:rsid w:val="6B846B08"/>
    <w:rsid w:val="6B862C3A"/>
    <w:rsid w:val="6B885983"/>
    <w:rsid w:val="6B896460"/>
    <w:rsid w:val="6B8C6F93"/>
    <w:rsid w:val="6B8D2015"/>
    <w:rsid w:val="6B8F02B5"/>
    <w:rsid w:val="6B90146E"/>
    <w:rsid w:val="6B910D4F"/>
    <w:rsid w:val="6B981A13"/>
    <w:rsid w:val="6B9A16B0"/>
    <w:rsid w:val="6B9D4292"/>
    <w:rsid w:val="6B9E135C"/>
    <w:rsid w:val="6B9E5F21"/>
    <w:rsid w:val="6B9F1CEC"/>
    <w:rsid w:val="6B9F6D46"/>
    <w:rsid w:val="6BA20F4B"/>
    <w:rsid w:val="6BA22313"/>
    <w:rsid w:val="6BA3535F"/>
    <w:rsid w:val="6BA63B17"/>
    <w:rsid w:val="6BA7702E"/>
    <w:rsid w:val="6BA83DC8"/>
    <w:rsid w:val="6BA84BC5"/>
    <w:rsid w:val="6BA938D6"/>
    <w:rsid w:val="6BAA7419"/>
    <w:rsid w:val="6BAE0CB8"/>
    <w:rsid w:val="6BAF228A"/>
    <w:rsid w:val="6BB167A7"/>
    <w:rsid w:val="6BB4390C"/>
    <w:rsid w:val="6BB43DF4"/>
    <w:rsid w:val="6BB65DBE"/>
    <w:rsid w:val="6BB94DD1"/>
    <w:rsid w:val="6BBB1626"/>
    <w:rsid w:val="6BBC2A32"/>
    <w:rsid w:val="6BBC767B"/>
    <w:rsid w:val="6BBD00DA"/>
    <w:rsid w:val="6BBD3368"/>
    <w:rsid w:val="6BBD539F"/>
    <w:rsid w:val="6BBD597F"/>
    <w:rsid w:val="6BBD714D"/>
    <w:rsid w:val="6BBE6E3F"/>
    <w:rsid w:val="6BBE7519"/>
    <w:rsid w:val="6BC009EB"/>
    <w:rsid w:val="6BC10C93"/>
    <w:rsid w:val="6BC43C72"/>
    <w:rsid w:val="6BC71D79"/>
    <w:rsid w:val="6BCD2FE7"/>
    <w:rsid w:val="6BCE3108"/>
    <w:rsid w:val="6BCF0C2E"/>
    <w:rsid w:val="6BD02689"/>
    <w:rsid w:val="6BD10E4A"/>
    <w:rsid w:val="6BD52B1C"/>
    <w:rsid w:val="6BD603EC"/>
    <w:rsid w:val="6BD75071"/>
    <w:rsid w:val="6BD7623D"/>
    <w:rsid w:val="6BD91AAD"/>
    <w:rsid w:val="6BD91EF0"/>
    <w:rsid w:val="6BDA1049"/>
    <w:rsid w:val="6BDA36EA"/>
    <w:rsid w:val="6BDB78E3"/>
    <w:rsid w:val="6BE21BF5"/>
    <w:rsid w:val="6BE24D22"/>
    <w:rsid w:val="6BE40B7D"/>
    <w:rsid w:val="6BE96194"/>
    <w:rsid w:val="6BEC0751"/>
    <w:rsid w:val="6BF2035D"/>
    <w:rsid w:val="6BF30DC0"/>
    <w:rsid w:val="6BF43A71"/>
    <w:rsid w:val="6BF602CF"/>
    <w:rsid w:val="6BF83193"/>
    <w:rsid w:val="6BF874BB"/>
    <w:rsid w:val="6BF879A1"/>
    <w:rsid w:val="6BFA4EFF"/>
    <w:rsid w:val="6BFD1848"/>
    <w:rsid w:val="6BFD481D"/>
    <w:rsid w:val="6BFD579B"/>
    <w:rsid w:val="6BFF0B4D"/>
    <w:rsid w:val="6C005218"/>
    <w:rsid w:val="6C00528B"/>
    <w:rsid w:val="6C022DB1"/>
    <w:rsid w:val="6C052009"/>
    <w:rsid w:val="6C054538"/>
    <w:rsid w:val="6C061297"/>
    <w:rsid w:val="6C062D38"/>
    <w:rsid w:val="6C0D620F"/>
    <w:rsid w:val="6C111A8D"/>
    <w:rsid w:val="6C13250E"/>
    <w:rsid w:val="6C187601"/>
    <w:rsid w:val="6C1958FB"/>
    <w:rsid w:val="6C1A459F"/>
    <w:rsid w:val="6C1B20C5"/>
    <w:rsid w:val="6C1B3E73"/>
    <w:rsid w:val="6C1D0AA6"/>
    <w:rsid w:val="6C1D7BEB"/>
    <w:rsid w:val="6C2076DB"/>
    <w:rsid w:val="6C215EC8"/>
    <w:rsid w:val="6C231EDF"/>
    <w:rsid w:val="6C237C41"/>
    <w:rsid w:val="6C254D91"/>
    <w:rsid w:val="6C256AA0"/>
    <w:rsid w:val="6C276CBC"/>
    <w:rsid w:val="6C2811B6"/>
    <w:rsid w:val="6C2814C5"/>
    <w:rsid w:val="6C296124"/>
    <w:rsid w:val="6C2C6080"/>
    <w:rsid w:val="6C2E5BF3"/>
    <w:rsid w:val="6C30791F"/>
    <w:rsid w:val="6C3223D0"/>
    <w:rsid w:val="6C334BAC"/>
    <w:rsid w:val="6C35071D"/>
    <w:rsid w:val="6C376EFF"/>
    <w:rsid w:val="6C395124"/>
    <w:rsid w:val="6C3A254B"/>
    <w:rsid w:val="6C3C2767"/>
    <w:rsid w:val="6C3F7B62"/>
    <w:rsid w:val="6C425E1B"/>
    <w:rsid w:val="6C435937"/>
    <w:rsid w:val="6C4703AF"/>
    <w:rsid w:val="6C495DEB"/>
    <w:rsid w:val="6C4A5A9A"/>
    <w:rsid w:val="6C4B7C0B"/>
    <w:rsid w:val="6C4C59CB"/>
    <w:rsid w:val="6C4E3B30"/>
    <w:rsid w:val="6C4F5B36"/>
    <w:rsid w:val="6C501616"/>
    <w:rsid w:val="6C506213"/>
    <w:rsid w:val="6C523124"/>
    <w:rsid w:val="6C551A0F"/>
    <w:rsid w:val="6C5820F8"/>
    <w:rsid w:val="6C5A70C7"/>
    <w:rsid w:val="6C5C055A"/>
    <w:rsid w:val="6C5C227D"/>
    <w:rsid w:val="6C5E70B5"/>
    <w:rsid w:val="6C635F46"/>
    <w:rsid w:val="6C67493E"/>
    <w:rsid w:val="6C67530A"/>
    <w:rsid w:val="6C690894"/>
    <w:rsid w:val="6C691082"/>
    <w:rsid w:val="6C6929DB"/>
    <w:rsid w:val="6C692E30"/>
    <w:rsid w:val="6C6D0B73"/>
    <w:rsid w:val="6C6D4C1C"/>
    <w:rsid w:val="6C711CE5"/>
    <w:rsid w:val="6C7517D5"/>
    <w:rsid w:val="6C790730"/>
    <w:rsid w:val="6C7A6DEC"/>
    <w:rsid w:val="6C7F1E33"/>
    <w:rsid w:val="6C7F344A"/>
    <w:rsid w:val="6C810784"/>
    <w:rsid w:val="6C840DBB"/>
    <w:rsid w:val="6C8530C2"/>
    <w:rsid w:val="6C854990"/>
    <w:rsid w:val="6C8D26AC"/>
    <w:rsid w:val="6C8E0883"/>
    <w:rsid w:val="6C8E1FC4"/>
    <w:rsid w:val="6C8F32F9"/>
    <w:rsid w:val="6C912B2E"/>
    <w:rsid w:val="6C95005F"/>
    <w:rsid w:val="6C951E77"/>
    <w:rsid w:val="6C960E8C"/>
    <w:rsid w:val="6C966011"/>
    <w:rsid w:val="6C984BF1"/>
    <w:rsid w:val="6C9854C4"/>
    <w:rsid w:val="6C99236C"/>
    <w:rsid w:val="6C9965FD"/>
    <w:rsid w:val="6C9A56E0"/>
    <w:rsid w:val="6C9C2E87"/>
    <w:rsid w:val="6C9C5F9E"/>
    <w:rsid w:val="6C9E1E01"/>
    <w:rsid w:val="6C9E6F7E"/>
    <w:rsid w:val="6CA147E7"/>
    <w:rsid w:val="6CA14E9F"/>
    <w:rsid w:val="6CA40EE2"/>
    <w:rsid w:val="6CA44AE8"/>
    <w:rsid w:val="6CA67BD9"/>
    <w:rsid w:val="6CAD38F4"/>
    <w:rsid w:val="6CAF0653"/>
    <w:rsid w:val="6CB146B0"/>
    <w:rsid w:val="6CB27DE8"/>
    <w:rsid w:val="6CB71DEE"/>
    <w:rsid w:val="6CBA7B30"/>
    <w:rsid w:val="6CBF6EF4"/>
    <w:rsid w:val="6CC22541"/>
    <w:rsid w:val="6CC23834"/>
    <w:rsid w:val="6CC30793"/>
    <w:rsid w:val="6CC63BA0"/>
    <w:rsid w:val="6CC661EB"/>
    <w:rsid w:val="6CC70A14"/>
    <w:rsid w:val="6CC8224D"/>
    <w:rsid w:val="6CC83FFB"/>
    <w:rsid w:val="6CC91B21"/>
    <w:rsid w:val="6CCE39E8"/>
    <w:rsid w:val="6CD05829"/>
    <w:rsid w:val="6CD231C1"/>
    <w:rsid w:val="6CD279F6"/>
    <w:rsid w:val="6CD429A0"/>
    <w:rsid w:val="6CD62F51"/>
    <w:rsid w:val="6CD66566"/>
    <w:rsid w:val="6CD67079"/>
    <w:rsid w:val="6CDB5804"/>
    <w:rsid w:val="6CDE7EE5"/>
    <w:rsid w:val="6CDF5755"/>
    <w:rsid w:val="6CE14324"/>
    <w:rsid w:val="6CE36AAC"/>
    <w:rsid w:val="6CE561A7"/>
    <w:rsid w:val="6CE60925"/>
    <w:rsid w:val="6CE70EDE"/>
    <w:rsid w:val="6CE71C6F"/>
    <w:rsid w:val="6CE75FAE"/>
    <w:rsid w:val="6CE80FD2"/>
    <w:rsid w:val="6CE9491A"/>
    <w:rsid w:val="6CEA6F45"/>
    <w:rsid w:val="6CEB30C2"/>
    <w:rsid w:val="6CEF370B"/>
    <w:rsid w:val="6CF03552"/>
    <w:rsid w:val="6CF22E26"/>
    <w:rsid w:val="6CF748E0"/>
    <w:rsid w:val="6CF764B3"/>
    <w:rsid w:val="6CF86118"/>
    <w:rsid w:val="6CF90792"/>
    <w:rsid w:val="6CF92406"/>
    <w:rsid w:val="6CF941B4"/>
    <w:rsid w:val="6CF97C3B"/>
    <w:rsid w:val="6CFA7F2C"/>
    <w:rsid w:val="6CFB0A01"/>
    <w:rsid w:val="6CFF5543"/>
    <w:rsid w:val="6CFF6A81"/>
    <w:rsid w:val="6D007ACE"/>
    <w:rsid w:val="6D0234C5"/>
    <w:rsid w:val="6D035123"/>
    <w:rsid w:val="6D04308F"/>
    <w:rsid w:val="6D0A5F8F"/>
    <w:rsid w:val="6D0B3EE8"/>
    <w:rsid w:val="6D0F1C2A"/>
    <w:rsid w:val="6D106748"/>
    <w:rsid w:val="6D1160D3"/>
    <w:rsid w:val="6D14084C"/>
    <w:rsid w:val="6D140CAC"/>
    <w:rsid w:val="6D1503C2"/>
    <w:rsid w:val="6D152BF5"/>
    <w:rsid w:val="6D166904"/>
    <w:rsid w:val="6D194857"/>
    <w:rsid w:val="6D1C53CA"/>
    <w:rsid w:val="6D1D16DA"/>
    <w:rsid w:val="6D1F7E8A"/>
    <w:rsid w:val="6D202E2C"/>
    <w:rsid w:val="6D225678"/>
    <w:rsid w:val="6D2356D5"/>
    <w:rsid w:val="6D237483"/>
    <w:rsid w:val="6D255402"/>
    <w:rsid w:val="6D262AD0"/>
    <w:rsid w:val="6D276E5F"/>
    <w:rsid w:val="6D284A9A"/>
    <w:rsid w:val="6D290836"/>
    <w:rsid w:val="6D2A6427"/>
    <w:rsid w:val="6D2B6338"/>
    <w:rsid w:val="6D2D7D67"/>
    <w:rsid w:val="6D314768"/>
    <w:rsid w:val="6D321474"/>
    <w:rsid w:val="6D3235DA"/>
    <w:rsid w:val="6D353092"/>
    <w:rsid w:val="6D374F86"/>
    <w:rsid w:val="6D405477"/>
    <w:rsid w:val="6D423858"/>
    <w:rsid w:val="6D43106D"/>
    <w:rsid w:val="6D473767"/>
    <w:rsid w:val="6D480C98"/>
    <w:rsid w:val="6D48513C"/>
    <w:rsid w:val="6D49165C"/>
    <w:rsid w:val="6D497C67"/>
    <w:rsid w:val="6D4E063C"/>
    <w:rsid w:val="6D543AE1"/>
    <w:rsid w:val="6D54588F"/>
    <w:rsid w:val="6D55416D"/>
    <w:rsid w:val="6D5557E0"/>
    <w:rsid w:val="6D567859"/>
    <w:rsid w:val="6D57537F"/>
    <w:rsid w:val="6D580B69"/>
    <w:rsid w:val="6D596FEB"/>
    <w:rsid w:val="6D5A446C"/>
    <w:rsid w:val="6D5B4F1A"/>
    <w:rsid w:val="6D5C365E"/>
    <w:rsid w:val="6D5D52BD"/>
    <w:rsid w:val="6D5E1062"/>
    <w:rsid w:val="6D5E2DE4"/>
    <w:rsid w:val="6D601384"/>
    <w:rsid w:val="6D631140"/>
    <w:rsid w:val="6D64658E"/>
    <w:rsid w:val="6D6547FC"/>
    <w:rsid w:val="6D654AB6"/>
    <w:rsid w:val="6D655C8C"/>
    <w:rsid w:val="6D6566EB"/>
    <w:rsid w:val="6D657A9C"/>
    <w:rsid w:val="6D663928"/>
    <w:rsid w:val="6D687C80"/>
    <w:rsid w:val="6D6D5055"/>
    <w:rsid w:val="6D6E101D"/>
    <w:rsid w:val="6D6E2B20"/>
    <w:rsid w:val="6D6F5823"/>
    <w:rsid w:val="6D704099"/>
    <w:rsid w:val="6D722C6B"/>
    <w:rsid w:val="6D741A8D"/>
    <w:rsid w:val="6D765312"/>
    <w:rsid w:val="6D765805"/>
    <w:rsid w:val="6D77332B"/>
    <w:rsid w:val="6D781DBA"/>
    <w:rsid w:val="6D7952F5"/>
    <w:rsid w:val="6D7A6D1B"/>
    <w:rsid w:val="6D7B0618"/>
    <w:rsid w:val="6D7D4DE5"/>
    <w:rsid w:val="6D7E0B5E"/>
    <w:rsid w:val="6D7E504C"/>
    <w:rsid w:val="6D7F7D28"/>
    <w:rsid w:val="6D836337"/>
    <w:rsid w:val="6D866B34"/>
    <w:rsid w:val="6D880717"/>
    <w:rsid w:val="6D886EBF"/>
    <w:rsid w:val="6D8B2F58"/>
    <w:rsid w:val="6D8C1864"/>
    <w:rsid w:val="6D8C7F8D"/>
    <w:rsid w:val="6D8D2B4F"/>
    <w:rsid w:val="6D8D38EC"/>
    <w:rsid w:val="6D8E6FF3"/>
    <w:rsid w:val="6D9003EF"/>
    <w:rsid w:val="6D9030BC"/>
    <w:rsid w:val="6D90650B"/>
    <w:rsid w:val="6D910093"/>
    <w:rsid w:val="6D910661"/>
    <w:rsid w:val="6D930538"/>
    <w:rsid w:val="6D931D55"/>
    <w:rsid w:val="6D934609"/>
    <w:rsid w:val="6D9438CD"/>
    <w:rsid w:val="6D970FE2"/>
    <w:rsid w:val="6D9739CD"/>
    <w:rsid w:val="6D991817"/>
    <w:rsid w:val="6D997745"/>
    <w:rsid w:val="6D9B0EB5"/>
    <w:rsid w:val="6D9B44D7"/>
    <w:rsid w:val="6D9D7236"/>
    <w:rsid w:val="6DA00AD4"/>
    <w:rsid w:val="6DA54B97"/>
    <w:rsid w:val="6DA93E2C"/>
    <w:rsid w:val="6DAA3701"/>
    <w:rsid w:val="6DAC72B5"/>
    <w:rsid w:val="6DAC7479"/>
    <w:rsid w:val="6DAD4F9F"/>
    <w:rsid w:val="6DB13414"/>
    <w:rsid w:val="6DB249BC"/>
    <w:rsid w:val="6DB26952"/>
    <w:rsid w:val="6DB35909"/>
    <w:rsid w:val="6DB85123"/>
    <w:rsid w:val="6DBA2E1B"/>
    <w:rsid w:val="6DBA5F46"/>
    <w:rsid w:val="6DBE71AC"/>
    <w:rsid w:val="6DBF5533"/>
    <w:rsid w:val="6DBF603E"/>
    <w:rsid w:val="6DC01176"/>
    <w:rsid w:val="6DC210B0"/>
    <w:rsid w:val="6DC4177A"/>
    <w:rsid w:val="6DC97489"/>
    <w:rsid w:val="6DCA0540"/>
    <w:rsid w:val="6DCA69DB"/>
    <w:rsid w:val="6DCB52A6"/>
    <w:rsid w:val="6DCC52C9"/>
    <w:rsid w:val="6DCC7B1B"/>
    <w:rsid w:val="6DCD4401"/>
    <w:rsid w:val="6DCE5641"/>
    <w:rsid w:val="6DCF760B"/>
    <w:rsid w:val="6DD11CEE"/>
    <w:rsid w:val="6DD364CE"/>
    <w:rsid w:val="6DD45A76"/>
    <w:rsid w:val="6DD469CF"/>
    <w:rsid w:val="6DD70F9F"/>
    <w:rsid w:val="6DD8607E"/>
    <w:rsid w:val="6DDA1BDC"/>
    <w:rsid w:val="6DDC4ED2"/>
    <w:rsid w:val="6DDC6F6C"/>
    <w:rsid w:val="6DDD1FDE"/>
    <w:rsid w:val="6DE07122"/>
    <w:rsid w:val="6DE4548A"/>
    <w:rsid w:val="6DE704B1"/>
    <w:rsid w:val="6DE72FA7"/>
    <w:rsid w:val="6DE8266B"/>
    <w:rsid w:val="6DE94609"/>
    <w:rsid w:val="6DE95AD0"/>
    <w:rsid w:val="6DEA7FA1"/>
    <w:rsid w:val="6DEE0E0C"/>
    <w:rsid w:val="6DF026EF"/>
    <w:rsid w:val="6DF17581"/>
    <w:rsid w:val="6DF36E56"/>
    <w:rsid w:val="6DF64B98"/>
    <w:rsid w:val="6DF66946"/>
    <w:rsid w:val="6DF66E67"/>
    <w:rsid w:val="6DF824D5"/>
    <w:rsid w:val="6DF95F1D"/>
    <w:rsid w:val="6DFB059E"/>
    <w:rsid w:val="6DFC4525"/>
    <w:rsid w:val="6E016241"/>
    <w:rsid w:val="6E041063"/>
    <w:rsid w:val="6E051D41"/>
    <w:rsid w:val="6E0835E9"/>
    <w:rsid w:val="6E0948CB"/>
    <w:rsid w:val="6E0E0133"/>
    <w:rsid w:val="6E0E1EE1"/>
    <w:rsid w:val="6E111B3E"/>
    <w:rsid w:val="6E134389"/>
    <w:rsid w:val="6E14501E"/>
    <w:rsid w:val="6E1732CA"/>
    <w:rsid w:val="6E1A1EEA"/>
    <w:rsid w:val="6E1E080B"/>
    <w:rsid w:val="6E1F7295"/>
    <w:rsid w:val="6E2039C3"/>
    <w:rsid w:val="6E263CD4"/>
    <w:rsid w:val="6E26547D"/>
    <w:rsid w:val="6E2A739E"/>
    <w:rsid w:val="6E2B0ECA"/>
    <w:rsid w:val="6E2C05BA"/>
    <w:rsid w:val="6E2C680B"/>
    <w:rsid w:val="6E2E7E8E"/>
    <w:rsid w:val="6E30325A"/>
    <w:rsid w:val="6E316D0B"/>
    <w:rsid w:val="6E34121C"/>
    <w:rsid w:val="6E3510D5"/>
    <w:rsid w:val="6E364F94"/>
    <w:rsid w:val="6E372918"/>
    <w:rsid w:val="6E3820B7"/>
    <w:rsid w:val="6E386933"/>
    <w:rsid w:val="6E391F20"/>
    <w:rsid w:val="6E3A2CD6"/>
    <w:rsid w:val="6E3B0FCC"/>
    <w:rsid w:val="6E3C3CF9"/>
    <w:rsid w:val="6E423939"/>
    <w:rsid w:val="6E443B55"/>
    <w:rsid w:val="6E455F22"/>
    <w:rsid w:val="6E4571F0"/>
    <w:rsid w:val="6E461EDB"/>
    <w:rsid w:val="6E464C75"/>
    <w:rsid w:val="6E4753F3"/>
    <w:rsid w:val="6E492F1A"/>
    <w:rsid w:val="6E4C6698"/>
    <w:rsid w:val="6E4E7DB7"/>
    <w:rsid w:val="6E4F128C"/>
    <w:rsid w:val="6E4F7E89"/>
    <w:rsid w:val="6E510020"/>
    <w:rsid w:val="6E5440F7"/>
    <w:rsid w:val="6E5548DB"/>
    <w:rsid w:val="6E557B10"/>
    <w:rsid w:val="6E590313"/>
    <w:rsid w:val="6E5958B4"/>
    <w:rsid w:val="6E5F4E2A"/>
    <w:rsid w:val="6E5F57D9"/>
    <w:rsid w:val="6E5F680C"/>
    <w:rsid w:val="6E636C6F"/>
    <w:rsid w:val="6E6516EB"/>
    <w:rsid w:val="6E661D1D"/>
    <w:rsid w:val="6E6637E5"/>
    <w:rsid w:val="6E6A4899"/>
    <w:rsid w:val="6E6A70FB"/>
    <w:rsid w:val="6E6C09B6"/>
    <w:rsid w:val="6E6F0172"/>
    <w:rsid w:val="6E742766"/>
    <w:rsid w:val="6E7556FC"/>
    <w:rsid w:val="6E761835"/>
    <w:rsid w:val="6E766144"/>
    <w:rsid w:val="6E767D60"/>
    <w:rsid w:val="6E7A1325"/>
    <w:rsid w:val="6E7A7577"/>
    <w:rsid w:val="6E7B3BBC"/>
    <w:rsid w:val="6E7B3C74"/>
    <w:rsid w:val="6E7E423A"/>
    <w:rsid w:val="6E7F4B8D"/>
    <w:rsid w:val="6E7F693B"/>
    <w:rsid w:val="6E8126B3"/>
    <w:rsid w:val="6E815F18"/>
    <w:rsid w:val="6E825BB4"/>
    <w:rsid w:val="6E826496"/>
    <w:rsid w:val="6E844D67"/>
    <w:rsid w:val="6E8632F2"/>
    <w:rsid w:val="6E86741C"/>
    <w:rsid w:val="6E891169"/>
    <w:rsid w:val="6E8D0C54"/>
    <w:rsid w:val="6E8E3022"/>
    <w:rsid w:val="6E915462"/>
    <w:rsid w:val="6E9817AB"/>
    <w:rsid w:val="6E9862AC"/>
    <w:rsid w:val="6E9A5523"/>
    <w:rsid w:val="6EA2206E"/>
    <w:rsid w:val="6EA6211A"/>
    <w:rsid w:val="6EA90584"/>
    <w:rsid w:val="6EA97E5C"/>
    <w:rsid w:val="6EAE1977"/>
    <w:rsid w:val="6EAF32E3"/>
    <w:rsid w:val="6EB719DE"/>
    <w:rsid w:val="6EBC456A"/>
    <w:rsid w:val="6EBC7B8F"/>
    <w:rsid w:val="6EBF31DC"/>
    <w:rsid w:val="6EBF6F77"/>
    <w:rsid w:val="6EC304C9"/>
    <w:rsid w:val="6EC44992"/>
    <w:rsid w:val="6EC4601B"/>
    <w:rsid w:val="6EC7099E"/>
    <w:rsid w:val="6EC72A5A"/>
    <w:rsid w:val="6EC802E2"/>
    <w:rsid w:val="6EC95E08"/>
    <w:rsid w:val="6ECB05D9"/>
    <w:rsid w:val="6ECB3020"/>
    <w:rsid w:val="6ECF78C3"/>
    <w:rsid w:val="6ED03C77"/>
    <w:rsid w:val="6ED053E9"/>
    <w:rsid w:val="6ED37932"/>
    <w:rsid w:val="6EDA6F7E"/>
    <w:rsid w:val="6EDB691B"/>
    <w:rsid w:val="6EDB75F0"/>
    <w:rsid w:val="6EDD18B4"/>
    <w:rsid w:val="6EDE3009"/>
    <w:rsid w:val="6EDE7BAD"/>
    <w:rsid w:val="6EE175F6"/>
    <w:rsid w:val="6EE40919"/>
    <w:rsid w:val="6EE449F0"/>
    <w:rsid w:val="6EE476AA"/>
    <w:rsid w:val="6EE563AF"/>
    <w:rsid w:val="6EE61470"/>
    <w:rsid w:val="6EE858AE"/>
    <w:rsid w:val="6EEA46FD"/>
    <w:rsid w:val="6EEB1C6F"/>
    <w:rsid w:val="6EEC06B7"/>
    <w:rsid w:val="6EED1430"/>
    <w:rsid w:val="6EF14CC8"/>
    <w:rsid w:val="6EF63908"/>
    <w:rsid w:val="6EF656B4"/>
    <w:rsid w:val="6EF7427F"/>
    <w:rsid w:val="6EF81205"/>
    <w:rsid w:val="6EFA06B8"/>
    <w:rsid w:val="6EFC7F8C"/>
    <w:rsid w:val="6EFE1F56"/>
    <w:rsid w:val="6F0155A2"/>
    <w:rsid w:val="6F022C5D"/>
    <w:rsid w:val="6F0230C8"/>
    <w:rsid w:val="6F023633"/>
    <w:rsid w:val="6F037106"/>
    <w:rsid w:val="6F03756C"/>
    <w:rsid w:val="6F04295F"/>
    <w:rsid w:val="6F0532E4"/>
    <w:rsid w:val="6F0542CD"/>
    <w:rsid w:val="6F06170C"/>
    <w:rsid w:val="6F08237A"/>
    <w:rsid w:val="6F082DD5"/>
    <w:rsid w:val="6F0934CB"/>
    <w:rsid w:val="6F093937"/>
    <w:rsid w:val="6F0A5CF6"/>
    <w:rsid w:val="6F1069B9"/>
    <w:rsid w:val="6F172914"/>
    <w:rsid w:val="6F187315"/>
    <w:rsid w:val="6F191833"/>
    <w:rsid w:val="6F1B0D36"/>
    <w:rsid w:val="6F1F29D8"/>
    <w:rsid w:val="6F201AB2"/>
    <w:rsid w:val="6F25749E"/>
    <w:rsid w:val="6F2878CE"/>
    <w:rsid w:val="6F2B261F"/>
    <w:rsid w:val="6F2C6D7F"/>
    <w:rsid w:val="6F2D30D6"/>
    <w:rsid w:val="6F2E3CD3"/>
    <w:rsid w:val="6F2E3EBD"/>
    <w:rsid w:val="6F2F18DF"/>
    <w:rsid w:val="6F2F210F"/>
    <w:rsid w:val="6F302A41"/>
    <w:rsid w:val="6F3141B0"/>
    <w:rsid w:val="6F322FB9"/>
    <w:rsid w:val="6F3239AE"/>
    <w:rsid w:val="6F3367F3"/>
    <w:rsid w:val="6F3516F0"/>
    <w:rsid w:val="6F3621EE"/>
    <w:rsid w:val="6F392F8E"/>
    <w:rsid w:val="6F3A5809"/>
    <w:rsid w:val="6F3C482C"/>
    <w:rsid w:val="6F3E367C"/>
    <w:rsid w:val="6F3F0FBC"/>
    <w:rsid w:val="6F3F446E"/>
    <w:rsid w:val="6F400FC5"/>
    <w:rsid w:val="6F41376B"/>
    <w:rsid w:val="6F415479"/>
    <w:rsid w:val="6F435BBB"/>
    <w:rsid w:val="6F484F7F"/>
    <w:rsid w:val="6F4A406D"/>
    <w:rsid w:val="6F4B4A6F"/>
    <w:rsid w:val="6F4D4C8B"/>
    <w:rsid w:val="6F4F27B2"/>
    <w:rsid w:val="6F4F4560"/>
    <w:rsid w:val="6F5002D8"/>
    <w:rsid w:val="6F51652A"/>
    <w:rsid w:val="6F547DC8"/>
    <w:rsid w:val="6F5635F6"/>
    <w:rsid w:val="6F577029"/>
    <w:rsid w:val="6F581522"/>
    <w:rsid w:val="6F593630"/>
    <w:rsid w:val="6F596F68"/>
    <w:rsid w:val="6F59718C"/>
    <w:rsid w:val="6F5B208E"/>
    <w:rsid w:val="6F5B4FF5"/>
    <w:rsid w:val="6F6124E5"/>
    <w:rsid w:val="6F624C36"/>
    <w:rsid w:val="6F631DB9"/>
    <w:rsid w:val="6F69424F"/>
    <w:rsid w:val="6F6A1399"/>
    <w:rsid w:val="6F6C26EF"/>
    <w:rsid w:val="6F6D2C38"/>
    <w:rsid w:val="6F711063"/>
    <w:rsid w:val="6F712F1C"/>
    <w:rsid w:val="6F7150DA"/>
    <w:rsid w:val="6F747889"/>
    <w:rsid w:val="6F764A41"/>
    <w:rsid w:val="6F7B35A7"/>
    <w:rsid w:val="6F7C218E"/>
    <w:rsid w:val="6F7E1B80"/>
    <w:rsid w:val="6F7F25C4"/>
    <w:rsid w:val="6F7F4719"/>
    <w:rsid w:val="6F842738"/>
    <w:rsid w:val="6F8561D3"/>
    <w:rsid w:val="6F8654C7"/>
    <w:rsid w:val="6F866C02"/>
    <w:rsid w:val="6F871F4B"/>
    <w:rsid w:val="6F873EE1"/>
    <w:rsid w:val="6F885CC3"/>
    <w:rsid w:val="6F88786D"/>
    <w:rsid w:val="6F8C59B3"/>
    <w:rsid w:val="6F8E184E"/>
    <w:rsid w:val="6F9061EC"/>
    <w:rsid w:val="6F943C5A"/>
    <w:rsid w:val="6F946DA5"/>
    <w:rsid w:val="6F971EDB"/>
    <w:rsid w:val="6F9878D6"/>
    <w:rsid w:val="6F9B50B1"/>
    <w:rsid w:val="6F9B54C0"/>
    <w:rsid w:val="6F9B59F7"/>
    <w:rsid w:val="6F9B666F"/>
    <w:rsid w:val="6F9C52CB"/>
    <w:rsid w:val="6F9E1043"/>
    <w:rsid w:val="6F9E1839"/>
    <w:rsid w:val="6F9E60D7"/>
    <w:rsid w:val="6FA010AC"/>
    <w:rsid w:val="6FA0487C"/>
    <w:rsid w:val="6FA04DBB"/>
    <w:rsid w:val="6FA3495F"/>
    <w:rsid w:val="6FA36659"/>
    <w:rsid w:val="6FA36951"/>
    <w:rsid w:val="6FA62480"/>
    <w:rsid w:val="6FA67EF8"/>
    <w:rsid w:val="6FA83C70"/>
    <w:rsid w:val="6FA92A23"/>
    <w:rsid w:val="6FA9489F"/>
    <w:rsid w:val="6FAA3E8C"/>
    <w:rsid w:val="6FAB1ACB"/>
    <w:rsid w:val="6FAB550E"/>
    <w:rsid w:val="6FAB5F90"/>
    <w:rsid w:val="6FAC19B2"/>
    <w:rsid w:val="6FB10471"/>
    <w:rsid w:val="6FB46AB9"/>
    <w:rsid w:val="6FB627FB"/>
    <w:rsid w:val="6FB76E47"/>
    <w:rsid w:val="6FB90F46"/>
    <w:rsid w:val="6FBC771B"/>
    <w:rsid w:val="6FBF164F"/>
    <w:rsid w:val="6FC16882"/>
    <w:rsid w:val="6FC211D5"/>
    <w:rsid w:val="6FC22F83"/>
    <w:rsid w:val="6FC30AAA"/>
    <w:rsid w:val="6FC30BDE"/>
    <w:rsid w:val="6FC33B59"/>
    <w:rsid w:val="6FC565D0"/>
    <w:rsid w:val="6FC62348"/>
    <w:rsid w:val="6FC939B3"/>
    <w:rsid w:val="6FCB338F"/>
    <w:rsid w:val="6FCD101A"/>
    <w:rsid w:val="6FCE205B"/>
    <w:rsid w:val="6FCF65B5"/>
    <w:rsid w:val="6FD3454E"/>
    <w:rsid w:val="6FD42CB7"/>
    <w:rsid w:val="6FD86E5E"/>
    <w:rsid w:val="6FD91C62"/>
    <w:rsid w:val="6FDB4045"/>
    <w:rsid w:val="6FDF4F58"/>
    <w:rsid w:val="6FDF6EA9"/>
    <w:rsid w:val="6FE0165C"/>
    <w:rsid w:val="6FE05509"/>
    <w:rsid w:val="6FE24D22"/>
    <w:rsid w:val="6FE46B92"/>
    <w:rsid w:val="6FE4739E"/>
    <w:rsid w:val="6FE56C72"/>
    <w:rsid w:val="6FEA5D1C"/>
    <w:rsid w:val="6FEB6EE6"/>
    <w:rsid w:val="6FEC1A32"/>
    <w:rsid w:val="6FEE2B5C"/>
    <w:rsid w:val="6FF212BB"/>
    <w:rsid w:val="6FF33B8B"/>
    <w:rsid w:val="6FF3773A"/>
    <w:rsid w:val="6FF516C9"/>
    <w:rsid w:val="6FF63E9A"/>
    <w:rsid w:val="6FFA2BC8"/>
    <w:rsid w:val="6FFA2E4B"/>
    <w:rsid w:val="6FFB1844"/>
    <w:rsid w:val="6FFB4722"/>
    <w:rsid w:val="6FFC7B81"/>
    <w:rsid w:val="6FFD7EA3"/>
    <w:rsid w:val="70006BA0"/>
    <w:rsid w:val="70011F1C"/>
    <w:rsid w:val="7002361C"/>
    <w:rsid w:val="70034961"/>
    <w:rsid w:val="7004359C"/>
    <w:rsid w:val="7006177B"/>
    <w:rsid w:val="70063C83"/>
    <w:rsid w:val="70074E3A"/>
    <w:rsid w:val="70076BE8"/>
    <w:rsid w:val="7008578E"/>
    <w:rsid w:val="70090780"/>
    <w:rsid w:val="70094818"/>
    <w:rsid w:val="700A492A"/>
    <w:rsid w:val="700C3C4F"/>
    <w:rsid w:val="700E3BC5"/>
    <w:rsid w:val="70100898"/>
    <w:rsid w:val="7010636D"/>
    <w:rsid w:val="70155344"/>
    <w:rsid w:val="70161521"/>
    <w:rsid w:val="7016308C"/>
    <w:rsid w:val="701632CF"/>
    <w:rsid w:val="7016507D"/>
    <w:rsid w:val="70184644"/>
    <w:rsid w:val="7019691C"/>
    <w:rsid w:val="701972AF"/>
    <w:rsid w:val="701B1D7B"/>
    <w:rsid w:val="701B2694"/>
    <w:rsid w:val="701B7215"/>
    <w:rsid w:val="701D01BA"/>
    <w:rsid w:val="701D6AEE"/>
    <w:rsid w:val="701D7FCD"/>
    <w:rsid w:val="70224441"/>
    <w:rsid w:val="70224DBA"/>
    <w:rsid w:val="7023196C"/>
    <w:rsid w:val="702459EC"/>
    <w:rsid w:val="702532EE"/>
    <w:rsid w:val="7025652B"/>
    <w:rsid w:val="70276AD3"/>
    <w:rsid w:val="70294DB1"/>
    <w:rsid w:val="702E182C"/>
    <w:rsid w:val="703242F2"/>
    <w:rsid w:val="70366207"/>
    <w:rsid w:val="70374434"/>
    <w:rsid w:val="70382E0A"/>
    <w:rsid w:val="703D5992"/>
    <w:rsid w:val="704240C4"/>
    <w:rsid w:val="70436095"/>
    <w:rsid w:val="70447D89"/>
    <w:rsid w:val="70473489"/>
    <w:rsid w:val="70486207"/>
    <w:rsid w:val="704A7C81"/>
    <w:rsid w:val="704C6CF1"/>
    <w:rsid w:val="704D4A2C"/>
    <w:rsid w:val="704E292B"/>
    <w:rsid w:val="704E3270"/>
    <w:rsid w:val="704F170D"/>
    <w:rsid w:val="704F3D5E"/>
    <w:rsid w:val="70512559"/>
    <w:rsid w:val="70524C68"/>
    <w:rsid w:val="70540528"/>
    <w:rsid w:val="705636CC"/>
    <w:rsid w:val="70585696"/>
    <w:rsid w:val="7058589F"/>
    <w:rsid w:val="70594AEC"/>
    <w:rsid w:val="705B0CE2"/>
    <w:rsid w:val="705B14E2"/>
    <w:rsid w:val="705C38C4"/>
    <w:rsid w:val="705F70F2"/>
    <w:rsid w:val="706003B8"/>
    <w:rsid w:val="7060279C"/>
    <w:rsid w:val="7061791E"/>
    <w:rsid w:val="7063698E"/>
    <w:rsid w:val="7064228D"/>
    <w:rsid w:val="70671D7D"/>
    <w:rsid w:val="70675E75"/>
    <w:rsid w:val="706A3D61"/>
    <w:rsid w:val="706C71C8"/>
    <w:rsid w:val="706D5B6F"/>
    <w:rsid w:val="706E11A2"/>
    <w:rsid w:val="7070042D"/>
    <w:rsid w:val="70705784"/>
    <w:rsid w:val="70750EFF"/>
    <w:rsid w:val="70752475"/>
    <w:rsid w:val="70756248"/>
    <w:rsid w:val="707724F9"/>
    <w:rsid w:val="707B1384"/>
    <w:rsid w:val="707D50FC"/>
    <w:rsid w:val="707D7D38"/>
    <w:rsid w:val="707E74C2"/>
    <w:rsid w:val="707E7C54"/>
    <w:rsid w:val="707F104A"/>
    <w:rsid w:val="708169FD"/>
    <w:rsid w:val="708249D6"/>
    <w:rsid w:val="70860455"/>
    <w:rsid w:val="70866090"/>
    <w:rsid w:val="70871AD7"/>
    <w:rsid w:val="70874168"/>
    <w:rsid w:val="708741CD"/>
    <w:rsid w:val="7088334B"/>
    <w:rsid w:val="70893D25"/>
    <w:rsid w:val="708C6693"/>
    <w:rsid w:val="708D7A8E"/>
    <w:rsid w:val="708F2045"/>
    <w:rsid w:val="70900225"/>
    <w:rsid w:val="70917916"/>
    <w:rsid w:val="70920221"/>
    <w:rsid w:val="70922C0A"/>
    <w:rsid w:val="70926552"/>
    <w:rsid w:val="7094728F"/>
    <w:rsid w:val="70965F97"/>
    <w:rsid w:val="709B32D1"/>
    <w:rsid w:val="709D121D"/>
    <w:rsid w:val="709F116A"/>
    <w:rsid w:val="709F32C5"/>
    <w:rsid w:val="70A17252"/>
    <w:rsid w:val="70A2187D"/>
    <w:rsid w:val="70A326D0"/>
    <w:rsid w:val="70A42689"/>
    <w:rsid w:val="70A64653"/>
    <w:rsid w:val="70A83B56"/>
    <w:rsid w:val="70A92CAC"/>
    <w:rsid w:val="70AA6DE3"/>
    <w:rsid w:val="70AD24A1"/>
    <w:rsid w:val="70AD259F"/>
    <w:rsid w:val="70AD6ED1"/>
    <w:rsid w:val="70AE5C04"/>
    <w:rsid w:val="70AF3467"/>
    <w:rsid w:val="70B15EE2"/>
    <w:rsid w:val="70B32BC2"/>
    <w:rsid w:val="70B46DE7"/>
    <w:rsid w:val="70B47FEE"/>
    <w:rsid w:val="70BA3C5B"/>
    <w:rsid w:val="70BD7BEF"/>
    <w:rsid w:val="70C1323B"/>
    <w:rsid w:val="70C352A2"/>
    <w:rsid w:val="70C42D2B"/>
    <w:rsid w:val="70C76378"/>
    <w:rsid w:val="70CB40BA"/>
    <w:rsid w:val="70CB5E68"/>
    <w:rsid w:val="70CE5958"/>
    <w:rsid w:val="70D0651E"/>
    <w:rsid w:val="70D12DB8"/>
    <w:rsid w:val="70D171F6"/>
    <w:rsid w:val="70D34293"/>
    <w:rsid w:val="70D34D1C"/>
    <w:rsid w:val="70D6480D"/>
    <w:rsid w:val="70D70CB1"/>
    <w:rsid w:val="70D80B24"/>
    <w:rsid w:val="70D8194C"/>
    <w:rsid w:val="70D94A29"/>
    <w:rsid w:val="70DD214A"/>
    <w:rsid w:val="70DD3DED"/>
    <w:rsid w:val="70E16A60"/>
    <w:rsid w:val="70E24F2A"/>
    <w:rsid w:val="70E46F2A"/>
    <w:rsid w:val="70E55374"/>
    <w:rsid w:val="70E603E4"/>
    <w:rsid w:val="70ED2768"/>
    <w:rsid w:val="70F0023B"/>
    <w:rsid w:val="70F118C2"/>
    <w:rsid w:val="70F25790"/>
    <w:rsid w:val="70F31EEC"/>
    <w:rsid w:val="70F32ED6"/>
    <w:rsid w:val="70F50989"/>
    <w:rsid w:val="70F52C1D"/>
    <w:rsid w:val="70F52EE5"/>
    <w:rsid w:val="70F7553D"/>
    <w:rsid w:val="70F80C27"/>
    <w:rsid w:val="70F829D5"/>
    <w:rsid w:val="70FA674D"/>
    <w:rsid w:val="70FB2752"/>
    <w:rsid w:val="70FC0717"/>
    <w:rsid w:val="70FE6388"/>
    <w:rsid w:val="71007431"/>
    <w:rsid w:val="71007D30"/>
    <w:rsid w:val="71017FA7"/>
    <w:rsid w:val="710650F2"/>
    <w:rsid w:val="71067748"/>
    <w:rsid w:val="71072049"/>
    <w:rsid w:val="71080E6A"/>
    <w:rsid w:val="71081F59"/>
    <w:rsid w:val="71083F64"/>
    <w:rsid w:val="71093017"/>
    <w:rsid w:val="71096037"/>
    <w:rsid w:val="710A5BC4"/>
    <w:rsid w:val="710C022E"/>
    <w:rsid w:val="710C47A1"/>
    <w:rsid w:val="71127D96"/>
    <w:rsid w:val="711426C9"/>
    <w:rsid w:val="711517D9"/>
    <w:rsid w:val="7117318F"/>
    <w:rsid w:val="71180323"/>
    <w:rsid w:val="71187E44"/>
    <w:rsid w:val="711B7826"/>
    <w:rsid w:val="711C2B67"/>
    <w:rsid w:val="711D0999"/>
    <w:rsid w:val="711E3F3B"/>
    <w:rsid w:val="71212C20"/>
    <w:rsid w:val="71237A52"/>
    <w:rsid w:val="712415F4"/>
    <w:rsid w:val="71265794"/>
    <w:rsid w:val="71265CE1"/>
    <w:rsid w:val="71275B91"/>
    <w:rsid w:val="7128494A"/>
    <w:rsid w:val="71285068"/>
    <w:rsid w:val="712A6A7A"/>
    <w:rsid w:val="712E44F0"/>
    <w:rsid w:val="71306613"/>
    <w:rsid w:val="71307570"/>
    <w:rsid w:val="71325EE7"/>
    <w:rsid w:val="71330988"/>
    <w:rsid w:val="71337B6E"/>
    <w:rsid w:val="71341C5F"/>
    <w:rsid w:val="713450BD"/>
    <w:rsid w:val="71363ADE"/>
    <w:rsid w:val="71364700"/>
    <w:rsid w:val="713855A1"/>
    <w:rsid w:val="713E06CA"/>
    <w:rsid w:val="713E2EB7"/>
    <w:rsid w:val="713E488C"/>
    <w:rsid w:val="714164F0"/>
    <w:rsid w:val="71443B44"/>
    <w:rsid w:val="71451595"/>
    <w:rsid w:val="71457CB4"/>
    <w:rsid w:val="71466091"/>
    <w:rsid w:val="7147156F"/>
    <w:rsid w:val="7148124A"/>
    <w:rsid w:val="714845AB"/>
    <w:rsid w:val="71485594"/>
    <w:rsid w:val="7148570A"/>
    <w:rsid w:val="714953D9"/>
    <w:rsid w:val="714B0D57"/>
    <w:rsid w:val="714D51C5"/>
    <w:rsid w:val="714D57A3"/>
    <w:rsid w:val="714E66E9"/>
    <w:rsid w:val="715028CB"/>
    <w:rsid w:val="71503FD3"/>
    <w:rsid w:val="715045BF"/>
    <w:rsid w:val="7152256D"/>
    <w:rsid w:val="71526589"/>
    <w:rsid w:val="715513E4"/>
    <w:rsid w:val="71561F26"/>
    <w:rsid w:val="71566079"/>
    <w:rsid w:val="715671E6"/>
    <w:rsid w:val="715C7408"/>
    <w:rsid w:val="715E0F62"/>
    <w:rsid w:val="715F3A0C"/>
    <w:rsid w:val="71600CA6"/>
    <w:rsid w:val="71600CFD"/>
    <w:rsid w:val="7164006A"/>
    <w:rsid w:val="71674959"/>
    <w:rsid w:val="716807A4"/>
    <w:rsid w:val="71693C84"/>
    <w:rsid w:val="716A1912"/>
    <w:rsid w:val="716B529F"/>
    <w:rsid w:val="716B66B1"/>
    <w:rsid w:val="716C4FF7"/>
    <w:rsid w:val="716D0E4B"/>
    <w:rsid w:val="716F713B"/>
    <w:rsid w:val="71702727"/>
    <w:rsid w:val="71706A0F"/>
    <w:rsid w:val="71717ABA"/>
    <w:rsid w:val="71724535"/>
    <w:rsid w:val="71744751"/>
    <w:rsid w:val="717546E2"/>
    <w:rsid w:val="717554E7"/>
    <w:rsid w:val="71773EE0"/>
    <w:rsid w:val="717C3606"/>
    <w:rsid w:val="717C53B4"/>
    <w:rsid w:val="717F5E1E"/>
    <w:rsid w:val="71810C1C"/>
    <w:rsid w:val="718264B4"/>
    <w:rsid w:val="718518E6"/>
    <w:rsid w:val="718801CA"/>
    <w:rsid w:val="718C12D9"/>
    <w:rsid w:val="718C67DA"/>
    <w:rsid w:val="718F6E95"/>
    <w:rsid w:val="71900E5F"/>
    <w:rsid w:val="719646C8"/>
    <w:rsid w:val="71970440"/>
    <w:rsid w:val="719B0F21"/>
    <w:rsid w:val="719E17CE"/>
    <w:rsid w:val="719F16A0"/>
    <w:rsid w:val="719F243F"/>
    <w:rsid w:val="71A17A55"/>
    <w:rsid w:val="71A25120"/>
    <w:rsid w:val="71A31B56"/>
    <w:rsid w:val="71A51242"/>
    <w:rsid w:val="71A5490B"/>
    <w:rsid w:val="71A566B9"/>
    <w:rsid w:val="71AA3CCF"/>
    <w:rsid w:val="71AB3C1C"/>
    <w:rsid w:val="71AF4D09"/>
    <w:rsid w:val="71B3478D"/>
    <w:rsid w:val="71B400B8"/>
    <w:rsid w:val="71B73EBA"/>
    <w:rsid w:val="71B82D06"/>
    <w:rsid w:val="71BB20D1"/>
    <w:rsid w:val="71BC1C54"/>
    <w:rsid w:val="71BD1D31"/>
    <w:rsid w:val="71BE59CD"/>
    <w:rsid w:val="71BE6086"/>
    <w:rsid w:val="71C254BD"/>
    <w:rsid w:val="71C31F0A"/>
    <w:rsid w:val="71C84418"/>
    <w:rsid w:val="71CB37BE"/>
    <w:rsid w:val="71CC633B"/>
    <w:rsid w:val="71D13952"/>
    <w:rsid w:val="71D20BEA"/>
    <w:rsid w:val="71D24BBA"/>
    <w:rsid w:val="71D825B9"/>
    <w:rsid w:val="71D85BAA"/>
    <w:rsid w:val="71D90A58"/>
    <w:rsid w:val="71DB20DB"/>
    <w:rsid w:val="71DC5F14"/>
    <w:rsid w:val="71DE0DE9"/>
    <w:rsid w:val="71DE1BCB"/>
    <w:rsid w:val="71E3279D"/>
    <w:rsid w:val="71E42425"/>
    <w:rsid w:val="71E44E2D"/>
    <w:rsid w:val="71E50DD5"/>
    <w:rsid w:val="71E76CD1"/>
    <w:rsid w:val="71E80C9B"/>
    <w:rsid w:val="71E913BB"/>
    <w:rsid w:val="71ED166B"/>
    <w:rsid w:val="71EF202A"/>
    <w:rsid w:val="71EF5B86"/>
    <w:rsid w:val="71F15DA2"/>
    <w:rsid w:val="71F173F7"/>
    <w:rsid w:val="71F17E02"/>
    <w:rsid w:val="71F24BA3"/>
    <w:rsid w:val="71F633B8"/>
    <w:rsid w:val="71F66F14"/>
    <w:rsid w:val="71F76B55"/>
    <w:rsid w:val="71F90C1C"/>
    <w:rsid w:val="71FC02A3"/>
    <w:rsid w:val="71FF0BFE"/>
    <w:rsid w:val="72001B41"/>
    <w:rsid w:val="72006115"/>
    <w:rsid w:val="72007D93"/>
    <w:rsid w:val="720158B9"/>
    <w:rsid w:val="72017B2F"/>
    <w:rsid w:val="72054E77"/>
    <w:rsid w:val="7209185D"/>
    <w:rsid w:val="720C24F8"/>
    <w:rsid w:val="720F6228"/>
    <w:rsid w:val="721153A9"/>
    <w:rsid w:val="72120F97"/>
    <w:rsid w:val="72130E20"/>
    <w:rsid w:val="721455EC"/>
    <w:rsid w:val="721506FE"/>
    <w:rsid w:val="72156F55"/>
    <w:rsid w:val="721814EF"/>
    <w:rsid w:val="7218332F"/>
    <w:rsid w:val="721B5E3C"/>
    <w:rsid w:val="721B5FE5"/>
    <w:rsid w:val="721E37BD"/>
    <w:rsid w:val="72207BCC"/>
    <w:rsid w:val="72251282"/>
    <w:rsid w:val="722515A8"/>
    <w:rsid w:val="7225308B"/>
    <w:rsid w:val="72275320"/>
    <w:rsid w:val="72280D9B"/>
    <w:rsid w:val="722A4E10"/>
    <w:rsid w:val="722A671B"/>
    <w:rsid w:val="722B17DF"/>
    <w:rsid w:val="722C4A40"/>
    <w:rsid w:val="722D0A4A"/>
    <w:rsid w:val="72306283"/>
    <w:rsid w:val="7232380D"/>
    <w:rsid w:val="723372A4"/>
    <w:rsid w:val="72345C8F"/>
    <w:rsid w:val="72365167"/>
    <w:rsid w:val="72384B92"/>
    <w:rsid w:val="72395053"/>
    <w:rsid w:val="723C0D07"/>
    <w:rsid w:val="723D0FE7"/>
    <w:rsid w:val="723F032C"/>
    <w:rsid w:val="723F360B"/>
    <w:rsid w:val="72403379"/>
    <w:rsid w:val="724229E6"/>
    <w:rsid w:val="72457588"/>
    <w:rsid w:val="72477731"/>
    <w:rsid w:val="724A47DB"/>
    <w:rsid w:val="724B1EE6"/>
    <w:rsid w:val="724E4B1F"/>
    <w:rsid w:val="724F1EF6"/>
    <w:rsid w:val="72503E34"/>
    <w:rsid w:val="72527FE3"/>
    <w:rsid w:val="7259602B"/>
    <w:rsid w:val="725A1874"/>
    <w:rsid w:val="725F5D6B"/>
    <w:rsid w:val="72603F26"/>
    <w:rsid w:val="72604CD6"/>
    <w:rsid w:val="726227FC"/>
    <w:rsid w:val="7263326A"/>
    <w:rsid w:val="7265409A"/>
    <w:rsid w:val="72655E48"/>
    <w:rsid w:val="72677E12"/>
    <w:rsid w:val="72687506"/>
    <w:rsid w:val="726C367A"/>
    <w:rsid w:val="726E5B99"/>
    <w:rsid w:val="72710C91"/>
    <w:rsid w:val="72712A3F"/>
    <w:rsid w:val="727147ED"/>
    <w:rsid w:val="727360B2"/>
    <w:rsid w:val="7278201F"/>
    <w:rsid w:val="72783983"/>
    <w:rsid w:val="72787113"/>
    <w:rsid w:val="727A13A4"/>
    <w:rsid w:val="727A6DF5"/>
    <w:rsid w:val="727F37D7"/>
    <w:rsid w:val="72854D8C"/>
    <w:rsid w:val="728564EA"/>
    <w:rsid w:val="7289125D"/>
    <w:rsid w:val="728A1881"/>
    <w:rsid w:val="728E35F1"/>
    <w:rsid w:val="728E539F"/>
    <w:rsid w:val="729329B5"/>
    <w:rsid w:val="72936AF2"/>
    <w:rsid w:val="72987FCC"/>
    <w:rsid w:val="729C3F60"/>
    <w:rsid w:val="729F135A"/>
    <w:rsid w:val="729F2ED6"/>
    <w:rsid w:val="729F6746"/>
    <w:rsid w:val="72A14C98"/>
    <w:rsid w:val="72A55042"/>
    <w:rsid w:val="72A61324"/>
    <w:rsid w:val="72A917CB"/>
    <w:rsid w:val="72A9443E"/>
    <w:rsid w:val="72AA27DF"/>
    <w:rsid w:val="72B11C49"/>
    <w:rsid w:val="72B44D04"/>
    <w:rsid w:val="72B56DCF"/>
    <w:rsid w:val="72B648F6"/>
    <w:rsid w:val="72B91BCA"/>
    <w:rsid w:val="72BB3EFE"/>
    <w:rsid w:val="72BF7C4E"/>
    <w:rsid w:val="72C15774"/>
    <w:rsid w:val="72C31A04"/>
    <w:rsid w:val="72C37D92"/>
    <w:rsid w:val="72C40305"/>
    <w:rsid w:val="72C462F5"/>
    <w:rsid w:val="72C5326B"/>
    <w:rsid w:val="72C55089"/>
    <w:rsid w:val="72C9712F"/>
    <w:rsid w:val="72CA214F"/>
    <w:rsid w:val="72CC1406"/>
    <w:rsid w:val="72CD3C85"/>
    <w:rsid w:val="72CF3C88"/>
    <w:rsid w:val="72D03C09"/>
    <w:rsid w:val="72D1172F"/>
    <w:rsid w:val="72D54D7C"/>
    <w:rsid w:val="72D57472"/>
    <w:rsid w:val="72D57DE9"/>
    <w:rsid w:val="72D65B73"/>
    <w:rsid w:val="72D6759F"/>
    <w:rsid w:val="72DA6836"/>
    <w:rsid w:val="72E2060E"/>
    <w:rsid w:val="72E51913"/>
    <w:rsid w:val="72E66064"/>
    <w:rsid w:val="72E819E2"/>
    <w:rsid w:val="72EC6569"/>
    <w:rsid w:val="72F04366"/>
    <w:rsid w:val="72F07E08"/>
    <w:rsid w:val="72F176C3"/>
    <w:rsid w:val="72F1779D"/>
    <w:rsid w:val="72F24B59"/>
    <w:rsid w:val="72F5541E"/>
    <w:rsid w:val="72F71196"/>
    <w:rsid w:val="72F773E8"/>
    <w:rsid w:val="72FC24FF"/>
    <w:rsid w:val="72FD273A"/>
    <w:rsid w:val="72FD3F34"/>
    <w:rsid w:val="72FE2C2A"/>
    <w:rsid w:val="72FF004B"/>
    <w:rsid w:val="73005B71"/>
    <w:rsid w:val="73012729"/>
    <w:rsid w:val="730218E9"/>
    <w:rsid w:val="73025D8D"/>
    <w:rsid w:val="7305627C"/>
    <w:rsid w:val="730B2E93"/>
    <w:rsid w:val="730C532F"/>
    <w:rsid w:val="730D5EF7"/>
    <w:rsid w:val="730E028E"/>
    <w:rsid w:val="73117730"/>
    <w:rsid w:val="731358A4"/>
    <w:rsid w:val="73183B70"/>
    <w:rsid w:val="7318735E"/>
    <w:rsid w:val="731D4B84"/>
    <w:rsid w:val="731E21D2"/>
    <w:rsid w:val="731F06ED"/>
    <w:rsid w:val="731F57F6"/>
    <w:rsid w:val="73214465"/>
    <w:rsid w:val="73216213"/>
    <w:rsid w:val="73217A53"/>
    <w:rsid w:val="7322250B"/>
    <w:rsid w:val="73235F05"/>
    <w:rsid w:val="73245D03"/>
    <w:rsid w:val="73255B21"/>
    <w:rsid w:val="732918BB"/>
    <w:rsid w:val="73292099"/>
    <w:rsid w:val="732B0C1D"/>
    <w:rsid w:val="732C7982"/>
    <w:rsid w:val="732D4BB8"/>
    <w:rsid w:val="732E0930"/>
    <w:rsid w:val="733031BF"/>
    <w:rsid w:val="73306456"/>
    <w:rsid w:val="733428CA"/>
    <w:rsid w:val="73365C43"/>
    <w:rsid w:val="733817AF"/>
    <w:rsid w:val="73397950"/>
    <w:rsid w:val="733D2EAA"/>
    <w:rsid w:val="733F0230"/>
    <w:rsid w:val="733F0D8F"/>
    <w:rsid w:val="73424A3D"/>
    <w:rsid w:val="7344498B"/>
    <w:rsid w:val="73463ECB"/>
    <w:rsid w:val="734819F2"/>
    <w:rsid w:val="734B14E2"/>
    <w:rsid w:val="734B14EC"/>
    <w:rsid w:val="734E2D80"/>
    <w:rsid w:val="73505624"/>
    <w:rsid w:val="73515189"/>
    <w:rsid w:val="7354317A"/>
    <w:rsid w:val="73547E95"/>
    <w:rsid w:val="73583162"/>
    <w:rsid w:val="73592CD3"/>
    <w:rsid w:val="73595561"/>
    <w:rsid w:val="735955DB"/>
    <w:rsid w:val="735A34D3"/>
    <w:rsid w:val="73682094"/>
    <w:rsid w:val="7368486C"/>
    <w:rsid w:val="73691968"/>
    <w:rsid w:val="736E20EB"/>
    <w:rsid w:val="7370719A"/>
    <w:rsid w:val="73714EC6"/>
    <w:rsid w:val="73721EB3"/>
    <w:rsid w:val="73734595"/>
    <w:rsid w:val="73735210"/>
    <w:rsid w:val="73740A39"/>
    <w:rsid w:val="73742925"/>
    <w:rsid w:val="73751BE6"/>
    <w:rsid w:val="73770529"/>
    <w:rsid w:val="73774085"/>
    <w:rsid w:val="7377734D"/>
    <w:rsid w:val="737A1DC7"/>
    <w:rsid w:val="737C087C"/>
    <w:rsid w:val="737E309C"/>
    <w:rsid w:val="737E5FFE"/>
    <w:rsid w:val="737F2F3A"/>
    <w:rsid w:val="73810E94"/>
    <w:rsid w:val="73814F04"/>
    <w:rsid w:val="73832A2A"/>
    <w:rsid w:val="73842C05"/>
    <w:rsid w:val="73843BE5"/>
    <w:rsid w:val="738553B3"/>
    <w:rsid w:val="73880040"/>
    <w:rsid w:val="73886292"/>
    <w:rsid w:val="73886894"/>
    <w:rsid w:val="738A200A"/>
    <w:rsid w:val="738B0A4B"/>
    <w:rsid w:val="738D5656"/>
    <w:rsid w:val="739015EB"/>
    <w:rsid w:val="7391754F"/>
    <w:rsid w:val="73922C6D"/>
    <w:rsid w:val="73927CFE"/>
    <w:rsid w:val="739509AF"/>
    <w:rsid w:val="73952FB8"/>
    <w:rsid w:val="73956941"/>
    <w:rsid w:val="739669D8"/>
    <w:rsid w:val="73970283"/>
    <w:rsid w:val="73974A3C"/>
    <w:rsid w:val="73975CB4"/>
    <w:rsid w:val="73977025"/>
    <w:rsid w:val="739A2FA9"/>
    <w:rsid w:val="739E103E"/>
    <w:rsid w:val="73A101F1"/>
    <w:rsid w:val="73A11255"/>
    <w:rsid w:val="73A16909"/>
    <w:rsid w:val="73A34012"/>
    <w:rsid w:val="73A34392"/>
    <w:rsid w:val="73A50A3F"/>
    <w:rsid w:val="73A91165"/>
    <w:rsid w:val="73AA1159"/>
    <w:rsid w:val="73AA6208"/>
    <w:rsid w:val="73AD5CF9"/>
    <w:rsid w:val="73AE1E17"/>
    <w:rsid w:val="73AF270B"/>
    <w:rsid w:val="73B12393"/>
    <w:rsid w:val="73B67813"/>
    <w:rsid w:val="73B76B77"/>
    <w:rsid w:val="73B84F94"/>
    <w:rsid w:val="73B927C6"/>
    <w:rsid w:val="73B9469D"/>
    <w:rsid w:val="73BA3432"/>
    <w:rsid w:val="73BD27AB"/>
    <w:rsid w:val="73BD3809"/>
    <w:rsid w:val="73BE4993"/>
    <w:rsid w:val="73BE7F06"/>
    <w:rsid w:val="73C01851"/>
    <w:rsid w:val="73C13552"/>
    <w:rsid w:val="73C21122"/>
    <w:rsid w:val="73C33A1D"/>
    <w:rsid w:val="73C65F9A"/>
    <w:rsid w:val="73C66DBA"/>
    <w:rsid w:val="73C7092D"/>
    <w:rsid w:val="73CA0DAE"/>
    <w:rsid w:val="73CB617F"/>
    <w:rsid w:val="73CE06F6"/>
    <w:rsid w:val="73CE5C1D"/>
    <w:rsid w:val="73CF5B6F"/>
    <w:rsid w:val="73CF5C6F"/>
    <w:rsid w:val="73D07B16"/>
    <w:rsid w:val="73D167E3"/>
    <w:rsid w:val="73D2575F"/>
    <w:rsid w:val="73D25F79"/>
    <w:rsid w:val="73D708F7"/>
    <w:rsid w:val="73DA776F"/>
    <w:rsid w:val="73DC09EB"/>
    <w:rsid w:val="73DF3DC7"/>
    <w:rsid w:val="73DF5AA5"/>
    <w:rsid w:val="73E117A0"/>
    <w:rsid w:val="73E21E46"/>
    <w:rsid w:val="73E26FB6"/>
    <w:rsid w:val="73E767C5"/>
    <w:rsid w:val="73E86B76"/>
    <w:rsid w:val="73ED129D"/>
    <w:rsid w:val="73ED2599"/>
    <w:rsid w:val="73ED5FDB"/>
    <w:rsid w:val="73EF00BF"/>
    <w:rsid w:val="73F12089"/>
    <w:rsid w:val="73F141E7"/>
    <w:rsid w:val="73F21D6A"/>
    <w:rsid w:val="73F93757"/>
    <w:rsid w:val="73FB4CB6"/>
    <w:rsid w:val="73FC02C9"/>
    <w:rsid w:val="74027ECA"/>
    <w:rsid w:val="740578E3"/>
    <w:rsid w:val="740962CA"/>
    <w:rsid w:val="7409712D"/>
    <w:rsid w:val="740E203D"/>
    <w:rsid w:val="740E25F9"/>
    <w:rsid w:val="740F250F"/>
    <w:rsid w:val="740F3DAF"/>
    <w:rsid w:val="74141436"/>
    <w:rsid w:val="74165018"/>
    <w:rsid w:val="741661E7"/>
    <w:rsid w:val="741915E0"/>
    <w:rsid w:val="7419338E"/>
    <w:rsid w:val="741B5358"/>
    <w:rsid w:val="741C28D9"/>
    <w:rsid w:val="741F2A85"/>
    <w:rsid w:val="742039D7"/>
    <w:rsid w:val="74245460"/>
    <w:rsid w:val="74275B81"/>
    <w:rsid w:val="74276037"/>
    <w:rsid w:val="74281315"/>
    <w:rsid w:val="74282929"/>
    <w:rsid w:val="742871FC"/>
    <w:rsid w:val="742A7ABE"/>
    <w:rsid w:val="742C58E7"/>
    <w:rsid w:val="743106D8"/>
    <w:rsid w:val="743261FE"/>
    <w:rsid w:val="74327E9B"/>
    <w:rsid w:val="74335E75"/>
    <w:rsid w:val="74341F76"/>
    <w:rsid w:val="74367A9C"/>
    <w:rsid w:val="74373814"/>
    <w:rsid w:val="743834FE"/>
    <w:rsid w:val="74393589"/>
    <w:rsid w:val="743A06FA"/>
    <w:rsid w:val="743E1047"/>
    <w:rsid w:val="743E3B71"/>
    <w:rsid w:val="743F4B14"/>
    <w:rsid w:val="74404DBF"/>
    <w:rsid w:val="74406C2C"/>
    <w:rsid w:val="74420C73"/>
    <w:rsid w:val="744676B1"/>
    <w:rsid w:val="74475C72"/>
    <w:rsid w:val="74476E0D"/>
    <w:rsid w:val="74493038"/>
    <w:rsid w:val="744964FD"/>
    <w:rsid w:val="744A79EB"/>
    <w:rsid w:val="744B56A6"/>
    <w:rsid w:val="744D4306"/>
    <w:rsid w:val="744D4EA7"/>
    <w:rsid w:val="744D5EF6"/>
    <w:rsid w:val="744E128A"/>
    <w:rsid w:val="7451581E"/>
    <w:rsid w:val="74516FFD"/>
    <w:rsid w:val="7452064E"/>
    <w:rsid w:val="7453251A"/>
    <w:rsid w:val="74564D93"/>
    <w:rsid w:val="74584F23"/>
    <w:rsid w:val="745919DD"/>
    <w:rsid w:val="74592C96"/>
    <w:rsid w:val="745D14CD"/>
    <w:rsid w:val="745D23B1"/>
    <w:rsid w:val="745D327B"/>
    <w:rsid w:val="745F5C2E"/>
    <w:rsid w:val="74602D6B"/>
    <w:rsid w:val="74624CA8"/>
    <w:rsid w:val="74681262"/>
    <w:rsid w:val="74687E72"/>
    <w:rsid w:val="746960C4"/>
    <w:rsid w:val="746D7236"/>
    <w:rsid w:val="746E28C2"/>
    <w:rsid w:val="746F2FAE"/>
    <w:rsid w:val="747043AB"/>
    <w:rsid w:val="74730E2D"/>
    <w:rsid w:val="74733B2F"/>
    <w:rsid w:val="74736F42"/>
    <w:rsid w:val="74761DA3"/>
    <w:rsid w:val="74767DDE"/>
    <w:rsid w:val="74776E2F"/>
    <w:rsid w:val="74784559"/>
    <w:rsid w:val="74793E2D"/>
    <w:rsid w:val="747B0A74"/>
    <w:rsid w:val="747B7BA5"/>
    <w:rsid w:val="747D630A"/>
    <w:rsid w:val="74831C9D"/>
    <w:rsid w:val="74856C75"/>
    <w:rsid w:val="748805C7"/>
    <w:rsid w:val="748A6148"/>
    <w:rsid w:val="748B71CF"/>
    <w:rsid w:val="748C590E"/>
    <w:rsid w:val="748C7AB0"/>
    <w:rsid w:val="748C7F4F"/>
    <w:rsid w:val="748F7F15"/>
    <w:rsid w:val="749173C8"/>
    <w:rsid w:val="749327FF"/>
    <w:rsid w:val="74963F5A"/>
    <w:rsid w:val="74967468"/>
    <w:rsid w:val="7499002B"/>
    <w:rsid w:val="749A1F47"/>
    <w:rsid w:val="749A44CF"/>
    <w:rsid w:val="749B3DA3"/>
    <w:rsid w:val="749D5D6D"/>
    <w:rsid w:val="749E360C"/>
    <w:rsid w:val="749F4EBC"/>
    <w:rsid w:val="74A035D1"/>
    <w:rsid w:val="74A47F4B"/>
    <w:rsid w:val="74A54C22"/>
    <w:rsid w:val="74AE08ED"/>
    <w:rsid w:val="74AE1D28"/>
    <w:rsid w:val="74B11819"/>
    <w:rsid w:val="74B248CB"/>
    <w:rsid w:val="74B35591"/>
    <w:rsid w:val="74B43496"/>
    <w:rsid w:val="74B43EAB"/>
    <w:rsid w:val="74B5744B"/>
    <w:rsid w:val="74B8445B"/>
    <w:rsid w:val="74B93361"/>
    <w:rsid w:val="74BA29BE"/>
    <w:rsid w:val="74BA691F"/>
    <w:rsid w:val="74BB3E74"/>
    <w:rsid w:val="74BB58F9"/>
    <w:rsid w:val="74BB61F3"/>
    <w:rsid w:val="74BF1E0D"/>
    <w:rsid w:val="74C00E0B"/>
    <w:rsid w:val="74C14190"/>
    <w:rsid w:val="74C432FA"/>
    <w:rsid w:val="74C6215B"/>
    <w:rsid w:val="74C755EA"/>
    <w:rsid w:val="74CA23B0"/>
    <w:rsid w:val="74D33D47"/>
    <w:rsid w:val="74D709CD"/>
    <w:rsid w:val="74DB6895"/>
    <w:rsid w:val="74DD616A"/>
    <w:rsid w:val="74DF0134"/>
    <w:rsid w:val="74DF055D"/>
    <w:rsid w:val="74E150AF"/>
    <w:rsid w:val="74E43F97"/>
    <w:rsid w:val="74E62DA2"/>
    <w:rsid w:val="74E6672B"/>
    <w:rsid w:val="74E92D60"/>
    <w:rsid w:val="74E94152"/>
    <w:rsid w:val="74F01960"/>
    <w:rsid w:val="74F10ED0"/>
    <w:rsid w:val="74F13E2D"/>
    <w:rsid w:val="74F33BDF"/>
    <w:rsid w:val="74F630F8"/>
    <w:rsid w:val="74F6547D"/>
    <w:rsid w:val="74F73C0A"/>
    <w:rsid w:val="74F90A11"/>
    <w:rsid w:val="74FC3559"/>
    <w:rsid w:val="74FC56F4"/>
    <w:rsid w:val="74FC6F38"/>
    <w:rsid w:val="750000AA"/>
    <w:rsid w:val="75031BCE"/>
    <w:rsid w:val="75071D32"/>
    <w:rsid w:val="750B717B"/>
    <w:rsid w:val="750C4CA1"/>
    <w:rsid w:val="750F2BCC"/>
    <w:rsid w:val="750F7F5D"/>
    <w:rsid w:val="751029E3"/>
    <w:rsid w:val="75120509"/>
    <w:rsid w:val="75130599"/>
    <w:rsid w:val="75134281"/>
    <w:rsid w:val="751571C8"/>
    <w:rsid w:val="75196528"/>
    <w:rsid w:val="751A4961"/>
    <w:rsid w:val="751C0D0E"/>
    <w:rsid w:val="751C3813"/>
    <w:rsid w:val="751E0192"/>
    <w:rsid w:val="75243D99"/>
    <w:rsid w:val="75255A02"/>
    <w:rsid w:val="752666BB"/>
    <w:rsid w:val="75281B6D"/>
    <w:rsid w:val="7529792D"/>
    <w:rsid w:val="752A7675"/>
    <w:rsid w:val="75315CE9"/>
    <w:rsid w:val="75324707"/>
    <w:rsid w:val="75335D60"/>
    <w:rsid w:val="75342F0C"/>
    <w:rsid w:val="75351ABD"/>
    <w:rsid w:val="75365F3F"/>
    <w:rsid w:val="75370DE6"/>
    <w:rsid w:val="753A180E"/>
    <w:rsid w:val="753C635D"/>
    <w:rsid w:val="753F0BD2"/>
    <w:rsid w:val="75406694"/>
    <w:rsid w:val="754A2267"/>
    <w:rsid w:val="754B399B"/>
    <w:rsid w:val="754D1541"/>
    <w:rsid w:val="754D7793"/>
    <w:rsid w:val="754E7067"/>
    <w:rsid w:val="7555324A"/>
    <w:rsid w:val="75556293"/>
    <w:rsid w:val="755664D4"/>
    <w:rsid w:val="7556718C"/>
    <w:rsid w:val="75575F1C"/>
    <w:rsid w:val="755C64DC"/>
    <w:rsid w:val="755E374E"/>
    <w:rsid w:val="755F3023"/>
    <w:rsid w:val="75614603"/>
    <w:rsid w:val="756239F3"/>
    <w:rsid w:val="756248C1"/>
    <w:rsid w:val="75640639"/>
    <w:rsid w:val="7565402A"/>
    <w:rsid w:val="75655ADD"/>
    <w:rsid w:val="75667451"/>
    <w:rsid w:val="75684B64"/>
    <w:rsid w:val="756B55C0"/>
    <w:rsid w:val="756B67BD"/>
    <w:rsid w:val="756C0E93"/>
    <w:rsid w:val="756C4E99"/>
    <w:rsid w:val="756C7C0D"/>
    <w:rsid w:val="75701CEC"/>
    <w:rsid w:val="75720FA8"/>
    <w:rsid w:val="75752BBB"/>
    <w:rsid w:val="757E794D"/>
    <w:rsid w:val="757F1917"/>
    <w:rsid w:val="757F71FD"/>
    <w:rsid w:val="758111EB"/>
    <w:rsid w:val="75814010"/>
    <w:rsid w:val="758510EA"/>
    <w:rsid w:val="75862CA5"/>
    <w:rsid w:val="75884571"/>
    <w:rsid w:val="7589009F"/>
    <w:rsid w:val="758962F1"/>
    <w:rsid w:val="75896562"/>
    <w:rsid w:val="758A3E75"/>
    <w:rsid w:val="758B206A"/>
    <w:rsid w:val="758B5917"/>
    <w:rsid w:val="758D6F84"/>
    <w:rsid w:val="758E56B6"/>
    <w:rsid w:val="75944FBF"/>
    <w:rsid w:val="75952577"/>
    <w:rsid w:val="759622C6"/>
    <w:rsid w:val="75965970"/>
    <w:rsid w:val="759843CC"/>
    <w:rsid w:val="75994786"/>
    <w:rsid w:val="759C386C"/>
    <w:rsid w:val="759C4AA2"/>
    <w:rsid w:val="759E7FEF"/>
    <w:rsid w:val="75A01BDC"/>
    <w:rsid w:val="75A147A3"/>
    <w:rsid w:val="75A451F5"/>
    <w:rsid w:val="75A77A0B"/>
    <w:rsid w:val="75A90742"/>
    <w:rsid w:val="75A9438C"/>
    <w:rsid w:val="75AA3F9A"/>
    <w:rsid w:val="75AB44BA"/>
    <w:rsid w:val="75AB4D25"/>
    <w:rsid w:val="75AC3A76"/>
    <w:rsid w:val="75AD42CE"/>
    <w:rsid w:val="75AF0D4D"/>
    <w:rsid w:val="75B01AD0"/>
    <w:rsid w:val="75B42D5B"/>
    <w:rsid w:val="75B570E6"/>
    <w:rsid w:val="75B72E5F"/>
    <w:rsid w:val="75B84263"/>
    <w:rsid w:val="75BA018C"/>
    <w:rsid w:val="75BB17B7"/>
    <w:rsid w:val="75BB50E3"/>
    <w:rsid w:val="75BD1275"/>
    <w:rsid w:val="75BF279A"/>
    <w:rsid w:val="75C027C2"/>
    <w:rsid w:val="75C05D75"/>
    <w:rsid w:val="75C4732A"/>
    <w:rsid w:val="75C537CD"/>
    <w:rsid w:val="75C6059E"/>
    <w:rsid w:val="75C81C4D"/>
    <w:rsid w:val="75C94940"/>
    <w:rsid w:val="75CE71D9"/>
    <w:rsid w:val="75CF5F45"/>
    <w:rsid w:val="75D13E73"/>
    <w:rsid w:val="75D25EEA"/>
    <w:rsid w:val="75D54904"/>
    <w:rsid w:val="75D60C27"/>
    <w:rsid w:val="75D73A7B"/>
    <w:rsid w:val="75D8796E"/>
    <w:rsid w:val="75DE7DF8"/>
    <w:rsid w:val="75DF5EC2"/>
    <w:rsid w:val="75E54FA5"/>
    <w:rsid w:val="75E55C1E"/>
    <w:rsid w:val="75E63744"/>
    <w:rsid w:val="75E93611"/>
    <w:rsid w:val="75EB0D5A"/>
    <w:rsid w:val="75ED062E"/>
    <w:rsid w:val="75EE7596"/>
    <w:rsid w:val="75EF084A"/>
    <w:rsid w:val="75EF25F8"/>
    <w:rsid w:val="75EF3C56"/>
    <w:rsid w:val="75F04C7F"/>
    <w:rsid w:val="75F077A9"/>
    <w:rsid w:val="75F145C2"/>
    <w:rsid w:val="75F338F7"/>
    <w:rsid w:val="75F54A5A"/>
    <w:rsid w:val="75F619E1"/>
    <w:rsid w:val="75F81D34"/>
    <w:rsid w:val="75F95225"/>
    <w:rsid w:val="75FD5620"/>
    <w:rsid w:val="75FE6CDF"/>
    <w:rsid w:val="75FF5B48"/>
    <w:rsid w:val="760065B4"/>
    <w:rsid w:val="760119DA"/>
    <w:rsid w:val="760228E7"/>
    <w:rsid w:val="76034233"/>
    <w:rsid w:val="76036776"/>
    <w:rsid w:val="76054543"/>
    <w:rsid w:val="76067141"/>
    <w:rsid w:val="76067942"/>
    <w:rsid w:val="7608190C"/>
    <w:rsid w:val="760A0F48"/>
    <w:rsid w:val="760A209D"/>
    <w:rsid w:val="760B6D06"/>
    <w:rsid w:val="76100556"/>
    <w:rsid w:val="761107C1"/>
    <w:rsid w:val="76120EC3"/>
    <w:rsid w:val="76193DFA"/>
    <w:rsid w:val="7619526E"/>
    <w:rsid w:val="761958C7"/>
    <w:rsid w:val="761B163F"/>
    <w:rsid w:val="761B5655"/>
    <w:rsid w:val="76221408"/>
    <w:rsid w:val="7622309C"/>
    <w:rsid w:val="76283F3B"/>
    <w:rsid w:val="76284B2D"/>
    <w:rsid w:val="762878B8"/>
    <w:rsid w:val="7629438B"/>
    <w:rsid w:val="762A1950"/>
    <w:rsid w:val="762E2FA9"/>
    <w:rsid w:val="762F273A"/>
    <w:rsid w:val="762F50EB"/>
    <w:rsid w:val="762F6E99"/>
    <w:rsid w:val="763117F4"/>
    <w:rsid w:val="76335181"/>
    <w:rsid w:val="763418B6"/>
    <w:rsid w:val="763638FB"/>
    <w:rsid w:val="763936E1"/>
    <w:rsid w:val="7639378F"/>
    <w:rsid w:val="76396DB3"/>
    <w:rsid w:val="763B49B4"/>
    <w:rsid w:val="763C5112"/>
    <w:rsid w:val="763D1EEB"/>
    <w:rsid w:val="763D45FC"/>
    <w:rsid w:val="763D4F2E"/>
    <w:rsid w:val="763D5388"/>
    <w:rsid w:val="763D7801"/>
    <w:rsid w:val="7643455A"/>
    <w:rsid w:val="7645046A"/>
    <w:rsid w:val="76460851"/>
    <w:rsid w:val="76465F91"/>
    <w:rsid w:val="764864EC"/>
    <w:rsid w:val="764A3CD3"/>
    <w:rsid w:val="764A782F"/>
    <w:rsid w:val="764F4188"/>
    <w:rsid w:val="7650117C"/>
    <w:rsid w:val="76504B9B"/>
    <w:rsid w:val="76522B87"/>
    <w:rsid w:val="76525BE7"/>
    <w:rsid w:val="76530DD9"/>
    <w:rsid w:val="765338FF"/>
    <w:rsid w:val="76546D90"/>
    <w:rsid w:val="7655588B"/>
    <w:rsid w:val="765668D7"/>
    <w:rsid w:val="76593F07"/>
    <w:rsid w:val="765A10A6"/>
    <w:rsid w:val="765B5EE0"/>
    <w:rsid w:val="765B7C8E"/>
    <w:rsid w:val="765D07D3"/>
    <w:rsid w:val="765D4B7D"/>
    <w:rsid w:val="765F4872"/>
    <w:rsid w:val="76617192"/>
    <w:rsid w:val="7662068B"/>
    <w:rsid w:val="766230C7"/>
    <w:rsid w:val="76625CB8"/>
    <w:rsid w:val="76682FAF"/>
    <w:rsid w:val="76685F07"/>
    <w:rsid w:val="766A142E"/>
    <w:rsid w:val="766C6885"/>
    <w:rsid w:val="766D3522"/>
    <w:rsid w:val="767157B6"/>
    <w:rsid w:val="767174B1"/>
    <w:rsid w:val="76726D86"/>
    <w:rsid w:val="76741C20"/>
    <w:rsid w:val="76765AA9"/>
    <w:rsid w:val="767D522A"/>
    <w:rsid w:val="767E1BCE"/>
    <w:rsid w:val="767E48AF"/>
    <w:rsid w:val="76822225"/>
    <w:rsid w:val="768271C9"/>
    <w:rsid w:val="76854D0B"/>
    <w:rsid w:val="76862D2E"/>
    <w:rsid w:val="76866AB1"/>
    <w:rsid w:val="76876590"/>
    <w:rsid w:val="7688547C"/>
    <w:rsid w:val="7688664F"/>
    <w:rsid w:val="76887138"/>
    <w:rsid w:val="768A2321"/>
    <w:rsid w:val="768A40CF"/>
    <w:rsid w:val="768B23FF"/>
    <w:rsid w:val="76910823"/>
    <w:rsid w:val="76933762"/>
    <w:rsid w:val="76946CFC"/>
    <w:rsid w:val="7695209F"/>
    <w:rsid w:val="76981840"/>
    <w:rsid w:val="769B6B2C"/>
    <w:rsid w:val="769E2CA0"/>
    <w:rsid w:val="769E6333"/>
    <w:rsid w:val="769F63CB"/>
    <w:rsid w:val="76A04F6A"/>
    <w:rsid w:val="76A21419"/>
    <w:rsid w:val="76A2766B"/>
    <w:rsid w:val="76A37448"/>
    <w:rsid w:val="76A6172A"/>
    <w:rsid w:val="76A74C81"/>
    <w:rsid w:val="76A9231D"/>
    <w:rsid w:val="76AC1737"/>
    <w:rsid w:val="76B455F0"/>
    <w:rsid w:val="76B4739E"/>
    <w:rsid w:val="76B47CA6"/>
    <w:rsid w:val="76B56870"/>
    <w:rsid w:val="76B60DCA"/>
    <w:rsid w:val="76B65F2C"/>
    <w:rsid w:val="76B70230"/>
    <w:rsid w:val="76B72645"/>
    <w:rsid w:val="76BB38C6"/>
    <w:rsid w:val="76BD070C"/>
    <w:rsid w:val="76BF4573"/>
    <w:rsid w:val="76C00D90"/>
    <w:rsid w:val="76C02CFE"/>
    <w:rsid w:val="76C05D43"/>
    <w:rsid w:val="76C174E4"/>
    <w:rsid w:val="76C21C90"/>
    <w:rsid w:val="76C3202D"/>
    <w:rsid w:val="76C70E7F"/>
    <w:rsid w:val="76C80FC2"/>
    <w:rsid w:val="76C92E49"/>
    <w:rsid w:val="76CA0970"/>
    <w:rsid w:val="76CA11C4"/>
    <w:rsid w:val="76CA3A55"/>
    <w:rsid w:val="76CF5B68"/>
    <w:rsid w:val="76D018F1"/>
    <w:rsid w:val="76D0316D"/>
    <w:rsid w:val="76D050BC"/>
    <w:rsid w:val="76D161A2"/>
    <w:rsid w:val="76DE1320"/>
    <w:rsid w:val="76E1435C"/>
    <w:rsid w:val="76E557A9"/>
    <w:rsid w:val="76E6208C"/>
    <w:rsid w:val="76E7169D"/>
    <w:rsid w:val="76E90710"/>
    <w:rsid w:val="76EB78A1"/>
    <w:rsid w:val="76EE2C2B"/>
    <w:rsid w:val="76EF704E"/>
    <w:rsid w:val="76F04697"/>
    <w:rsid w:val="76F43DEC"/>
    <w:rsid w:val="76F847BC"/>
    <w:rsid w:val="76FA1A92"/>
    <w:rsid w:val="76FB1E6F"/>
    <w:rsid w:val="76FB560A"/>
    <w:rsid w:val="76FC1011"/>
    <w:rsid w:val="76FF6781"/>
    <w:rsid w:val="77003F6C"/>
    <w:rsid w:val="77010D74"/>
    <w:rsid w:val="77013B1C"/>
    <w:rsid w:val="770245AD"/>
    <w:rsid w:val="770455D8"/>
    <w:rsid w:val="770732E7"/>
    <w:rsid w:val="77093BBC"/>
    <w:rsid w:val="770A2BDB"/>
    <w:rsid w:val="770B3462"/>
    <w:rsid w:val="770D0DE1"/>
    <w:rsid w:val="770E1A24"/>
    <w:rsid w:val="77112A42"/>
    <w:rsid w:val="7711659E"/>
    <w:rsid w:val="77163F71"/>
    <w:rsid w:val="7716487E"/>
    <w:rsid w:val="7717599E"/>
    <w:rsid w:val="77194CBB"/>
    <w:rsid w:val="771D0FC9"/>
    <w:rsid w:val="772056CE"/>
    <w:rsid w:val="772207AC"/>
    <w:rsid w:val="77244524"/>
    <w:rsid w:val="7724613D"/>
    <w:rsid w:val="77262C0D"/>
    <w:rsid w:val="77276D9A"/>
    <w:rsid w:val="77277B70"/>
    <w:rsid w:val="77292E5C"/>
    <w:rsid w:val="772C3D7E"/>
    <w:rsid w:val="772D2001"/>
    <w:rsid w:val="772F136C"/>
    <w:rsid w:val="77312D1B"/>
    <w:rsid w:val="773224CE"/>
    <w:rsid w:val="77333AFF"/>
    <w:rsid w:val="77336515"/>
    <w:rsid w:val="77360BB5"/>
    <w:rsid w:val="77364257"/>
    <w:rsid w:val="77381D7D"/>
    <w:rsid w:val="7739674D"/>
    <w:rsid w:val="773A27CB"/>
    <w:rsid w:val="773A2984"/>
    <w:rsid w:val="773A782D"/>
    <w:rsid w:val="773A78A3"/>
    <w:rsid w:val="773C2AE2"/>
    <w:rsid w:val="773F65AA"/>
    <w:rsid w:val="77402C4B"/>
    <w:rsid w:val="77420E4E"/>
    <w:rsid w:val="77422BFC"/>
    <w:rsid w:val="774249AA"/>
    <w:rsid w:val="77444BC6"/>
    <w:rsid w:val="77444D98"/>
    <w:rsid w:val="77455F0A"/>
    <w:rsid w:val="774808E7"/>
    <w:rsid w:val="77493F8A"/>
    <w:rsid w:val="774B1AB0"/>
    <w:rsid w:val="774C4CCE"/>
    <w:rsid w:val="774C6C59"/>
    <w:rsid w:val="774F5ED8"/>
    <w:rsid w:val="77534E09"/>
    <w:rsid w:val="77547A25"/>
    <w:rsid w:val="77581F7B"/>
    <w:rsid w:val="775841CD"/>
    <w:rsid w:val="775A7F45"/>
    <w:rsid w:val="775B703F"/>
    <w:rsid w:val="775D0152"/>
    <w:rsid w:val="775D520A"/>
    <w:rsid w:val="775E5C88"/>
    <w:rsid w:val="775F6866"/>
    <w:rsid w:val="7761400A"/>
    <w:rsid w:val="7763329E"/>
    <w:rsid w:val="77671E58"/>
    <w:rsid w:val="77690189"/>
    <w:rsid w:val="77694849"/>
    <w:rsid w:val="776B3F01"/>
    <w:rsid w:val="776C4C68"/>
    <w:rsid w:val="776F79B3"/>
    <w:rsid w:val="77711FE5"/>
    <w:rsid w:val="77744951"/>
    <w:rsid w:val="77752FD1"/>
    <w:rsid w:val="77764653"/>
    <w:rsid w:val="77776808"/>
    <w:rsid w:val="777859D3"/>
    <w:rsid w:val="7778661E"/>
    <w:rsid w:val="777F0B77"/>
    <w:rsid w:val="77816195"/>
    <w:rsid w:val="77822FF8"/>
    <w:rsid w:val="778356EE"/>
    <w:rsid w:val="77840F89"/>
    <w:rsid w:val="77842B4A"/>
    <w:rsid w:val="77844FC2"/>
    <w:rsid w:val="77862AE9"/>
    <w:rsid w:val="77883AED"/>
    <w:rsid w:val="77884AB3"/>
    <w:rsid w:val="778A4199"/>
    <w:rsid w:val="778B00FF"/>
    <w:rsid w:val="778B2829"/>
    <w:rsid w:val="778C1A27"/>
    <w:rsid w:val="778D4C04"/>
    <w:rsid w:val="77911FF0"/>
    <w:rsid w:val="77931C2F"/>
    <w:rsid w:val="77955421"/>
    <w:rsid w:val="779754B0"/>
    <w:rsid w:val="779A47E6"/>
    <w:rsid w:val="779A6594"/>
    <w:rsid w:val="77A10A4B"/>
    <w:rsid w:val="77A83A12"/>
    <w:rsid w:val="77AA1492"/>
    <w:rsid w:val="77AA1B14"/>
    <w:rsid w:val="77AA4702"/>
    <w:rsid w:val="77AD571E"/>
    <w:rsid w:val="77AF28D3"/>
    <w:rsid w:val="77B05DB7"/>
    <w:rsid w:val="77B1202F"/>
    <w:rsid w:val="77B21B30"/>
    <w:rsid w:val="77B725AD"/>
    <w:rsid w:val="77BA09E4"/>
    <w:rsid w:val="77C27899"/>
    <w:rsid w:val="77C347D3"/>
    <w:rsid w:val="77C35EC4"/>
    <w:rsid w:val="77C42EAB"/>
    <w:rsid w:val="77C43611"/>
    <w:rsid w:val="77C529C0"/>
    <w:rsid w:val="77C53639"/>
    <w:rsid w:val="77C542B6"/>
    <w:rsid w:val="77C730EE"/>
    <w:rsid w:val="77C9023C"/>
    <w:rsid w:val="77CA11BC"/>
    <w:rsid w:val="77CA7DF4"/>
    <w:rsid w:val="77CC7E3B"/>
    <w:rsid w:val="77D2751A"/>
    <w:rsid w:val="77D3200B"/>
    <w:rsid w:val="77D73344"/>
    <w:rsid w:val="77D777E8"/>
    <w:rsid w:val="77DA27B5"/>
    <w:rsid w:val="77E37F3B"/>
    <w:rsid w:val="77E76989"/>
    <w:rsid w:val="77E76F8E"/>
    <w:rsid w:val="77ED2B68"/>
    <w:rsid w:val="77ED5468"/>
    <w:rsid w:val="77F42148"/>
    <w:rsid w:val="77F912DD"/>
    <w:rsid w:val="77FA16A3"/>
    <w:rsid w:val="77FC72DC"/>
    <w:rsid w:val="77FC7A4D"/>
    <w:rsid w:val="77FE7F6D"/>
    <w:rsid w:val="77FF289B"/>
    <w:rsid w:val="77FF472C"/>
    <w:rsid w:val="7802782D"/>
    <w:rsid w:val="7803603C"/>
    <w:rsid w:val="78044AA5"/>
    <w:rsid w:val="7805341D"/>
    <w:rsid w:val="78077920"/>
    <w:rsid w:val="78085FA4"/>
    <w:rsid w:val="780B0C6E"/>
    <w:rsid w:val="780D4FB8"/>
    <w:rsid w:val="780E1C95"/>
    <w:rsid w:val="780E4EC4"/>
    <w:rsid w:val="78147323"/>
    <w:rsid w:val="78153081"/>
    <w:rsid w:val="78161A28"/>
    <w:rsid w:val="78175E36"/>
    <w:rsid w:val="781A7652"/>
    <w:rsid w:val="781C169F"/>
    <w:rsid w:val="781C6EEF"/>
    <w:rsid w:val="781F604F"/>
    <w:rsid w:val="781F6A99"/>
    <w:rsid w:val="78205809"/>
    <w:rsid w:val="782222D2"/>
    <w:rsid w:val="7824389B"/>
    <w:rsid w:val="7825247F"/>
    <w:rsid w:val="782769C6"/>
    <w:rsid w:val="7829183E"/>
    <w:rsid w:val="782A4568"/>
    <w:rsid w:val="783469E8"/>
    <w:rsid w:val="78350ECA"/>
    <w:rsid w:val="783562BD"/>
    <w:rsid w:val="78356FC5"/>
    <w:rsid w:val="78360544"/>
    <w:rsid w:val="783648F9"/>
    <w:rsid w:val="78375BB9"/>
    <w:rsid w:val="78380F8C"/>
    <w:rsid w:val="78395DAD"/>
    <w:rsid w:val="783B7757"/>
    <w:rsid w:val="783B7D77"/>
    <w:rsid w:val="783C0112"/>
    <w:rsid w:val="783E1615"/>
    <w:rsid w:val="784B788E"/>
    <w:rsid w:val="784C662D"/>
    <w:rsid w:val="784D3606"/>
    <w:rsid w:val="784F5C00"/>
    <w:rsid w:val="78561B6C"/>
    <w:rsid w:val="78567D26"/>
    <w:rsid w:val="78570929"/>
    <w:rsid w:val="78586613"/>
    <w:rsid w:val="785914BC"/>
    <w:rsid w:val="785B31E7"/>
    <w:rsid w:val="785C61E0"/>
    <w:rsid w:val="7860158C"/>
    <w:rsid w:val="78611EEF"/>
    <w:rsid w:val="78623556"/>
    <w:rsid w:val="78632685"/>
    <w:rsid w:val="7864601A"/>
    <w:rsid w:val="78692507"/>
    <w:rsid w:val="786A35D1"/>
    <w:rsid w:val="786A7539"/>
    <w:rsid w:val="786D3CA8"/>
    <w:rsid w:val="786D5A56"/>
    <w:rsid w:val="786F3210"/>
    <w:rsid w:val="78746DE5"/>
    <w:rsid w:val="78754F5A"/>
    <w:rsid w:val="78761AD1"/>
    <w:rsid w:val="787634D6"/>
    <w:rsid w:val="78764C52"/>
    <w:rsid w:val="78770C6D"/>
    <w:rsid w:val="78774B27"/>
    <w:rsid w:val="787768D5"/>
    <w:rsid w:val="787E1A12"/>
    <w:rsid w:val="78827754"/>
    <w:rsid w:val="7883527A"/>
    <w:rsid w:val="78842472"/>
    <w:rsid w:val="78852713"/>
    <w:rsid w:val="78860A23"/>
    <w:rsid w:val="78882677"/>
    <w:rsid w:val="78891470"/>
    <w:rsid w:val="788A460B"/>
    <w:rsid w:val="788A539A"/>
    <w:rsid w:val="788C732E"/>
    <w:rsid w:val="788E5883"/>
    <w:rsid w:val="788F65F5"/>
    <w:rsid w:val="7892222C"/>
    <w:rsid w:val="7892370F"/>
    <w:rsid w:val="78971E65"/>
    <w:rsid w:val="78996CA2"/>
    <w:rsid w:val="789A52BD"/>
    <w:rsid w:val="789D0CEC"/>
    <w:rsid w:val="78A13D48"/>
    <w:rsid w:val="78A47B7D"/>
    <w:rsid w:val="78A56E57"/>
    <w:rsid w:val="78A75EA2"/>
    <w:rsid w:val="78A8569E"/>
    <w:rsid w:val="78AA2807"/>
    <w:rsid w:val="78AC657F"/>
    <w:rsid w:val="78AD1A76"/>
    <w:rsid w:val="78AF437B"/>
    <w:rsid w:val="78AF606F"/>
    <w:rsid w:val="78B233C0"/>
    <w:rsid w:val="78B35AFC"/>
    <w:rsid w:val="78B36823"/>
    <w:rsid w:val="78B43685"/>
    <w:rsid w:val="78B743C5"/>
    <w:rsid w:val="78B96EEE"/>
    <w:rsid w:val="78B971E4"/>
    <w:rsid w:val="78BA181E"/>
    <w:rsid w:val="78BB7ED2"/>
    <w:rsid w:val="78BC253A"/>
    <w:rsid w:val="78BF4801"/>
    <w:rsid w:val="78C235C7"/>
    <w:rsid w:val="78C27F37"/>
    <w:rsid w:val="78C338C8"/>
    <w:rsid w:val="78C47EC5"/>
    <w:rsid w:val="78C665E3"/>
    <w:rsid w:val="78C87131"/>
    <w:rsid w:val="78C94DBF"/>
    <w:rsid w:val="78C97C77"/>
    <w:rsid w:val="78CE0F69"/>
    <w:rsid w:val="78CE2EC9"/>
    <w:rsid w:val="78D10B5A"/>
    <w:rsid w:val="78D13E7D"/>
    <w:rsid w:val="78D41F79"/>
    <w:rsid w:val="78D42487"/>
    <w:rsid w:val="78D53DCC"/>
    <w:rsid w:val="78D67AA0"/>
    <w:rsid w:val="78D91A21"/>
    <w:rsid w:val="78DB6BE4"/>
    <w:rsid w:val="78DD5668"/>
    <w:rsid w:val="78DE6954"/>
    <w:rsid w:val="78E0091E"/>
    <w:rsid w:val="78E2618C"/>
    <w:rsid w:val="78E31633"/>
    <w:rsid w:val="78E44158"/>
    <w:rsid w:val="78E7385C"/>
    <w:rsid w:val="78E8332F"/>
    <w:rsid w:val="78E957D1"/>
    <w:rsid w:val="78EA3205"/>
    <w:rsid w:val="78EC2E1F"/>
    <w:rsid w:val="78EC68F5"/>
    <w:rsid w:val="78EE6B97"/>
    <w:rsid w:val="78F30E76"/>
    <w:rsid w:val="78F41CD4"/>
    <w:rsid w:val="78F53BB8"/>
    <w:rsid w:val="78FB2A90"/>
    <w:rsid w:val="78FB4BF6"/>
    <w:rsid w:val="78FD4950"/>
    <w:rsid w:val="78FE4256"/>
    <w:rsid w:val="78FF0DA4"/>
    <w:rsid w:val="79002D6F"/>
    <w:rsid w:val="79004B1D"/>
    <w:rsid w:val="79020895"/>
    <w:rsid w:val="790243F1"/>
    <w:rsid w:val="7902672F"/>
    <w:rsid w:val="7907550A"/>
    <w:rsid w:val="7908577F"/>
    <w:rsid w:val="790F1BDB"/>
    <w:rsid w:val="79104186"/>
    <w:rsid w:val="79116D2A"/>
    <w:rsid w:val="79124B4A"/>
    <w:rsid w:val="791505C8"/>
    <w:rsid w:val="79154063"/>
    <w:rsid w:val="7917457C"/>
    <w:rsid w:val="79183555"/>
    <w:rsid w:val="7919798C"/>
    <w:rsid w:val="791B1956"/>
    <w:rsid w:val="791B3EFE"/>
    <w:rsid w:val="791B54B2"/>
    <w:rsid w:val="791C2924"/>
    <w:rsid w:val="791D2B0C"/>
    <w:rsid w:val="792027AF"/>
    <w:rsid w:val="792151BF"/>
    <w:rsid w:val="79215BB5"/>
    <w:rsid w:val="792209F5"/>
    <w:rsid w:val="792425B9"/>
    <w:rsid w:val="79245704"/>
    <w:rsid w:val="792526CE"/>
    <w:rsid w:val="79297B73"/>
    <w:rsid w:val="792D0487"/>
    <w:rsid w:val="792D48ED"/>
    <w:rsid w:val="792E1E75"/>
    <w:rsid w:val="792F0F95"/>
    <w:rsid w:val="79336CA0"/>
    <w:rsid w:val="79354A96"/>
    <w:rsid w:val="79366A60"/>
    <w:rsid w:val="79366F40"/>
    <w:rsid w:val="79385AB2"/>
    <w:rsid w:val="79385CD1"/>
    <w:rsid w:val="79393B57"/>
    <w:rsid w:val="793A13C8"/>
    <w:rsid w:val="793C6365"/>
    <w:rsid w:val="794219E7"/>
    <w:rsid w:val="79421F56"/>
    <w:rsid w:val="7942661A"/>
    <w:rsid w:val="79440EAD"/>
    <w:rsid w:val="79443488"/>
    <w:rsid w:val="7945712C"/>
    <w:rsid w:val="79465EE6"/>
    <w:rsid w:val="7947274B"/>
    <w:rsid w:val="79475CE8"/>
    <w:rsid w:val="794825F9"/>
    <w:rsid w:val="794A5D98"/>
    <w:rsid w:val="794B223C"/>
    <w:rsid w:val="794B3830"/>
    <w:rsid w:val="794D2552"/>
    <w:rsid w:val="794E0774"/>
    <w:rsid w:val="7950085E"/>
    <w:rsid w:val="79523593"/>
    <w:rsid w:val="79524EED"/>
    <w:rsid w:val="79532E9E"/>
    <w:rsid w:val="79564176"/>
    <w:rsid w:val="79567B11"/>
    <w:rsid w:val="79575062"/>
    <w:rsid w:val="795970B4"/>
    <w:rsid w:val="79610CDC"/>
    <w:rsid w:val="79627585"/>
    <w:rsid w:val="796450AB"/>
    <w:rsid w:val="796538B8"/>
    <w:rsid w:val="79663CBD"/>
    <w:rsid w:val="796963FB"/>
    <w:rsid w:val="796C5D0E"/>
    <w:rsid w:val="79703A50"/>
    <w:rsid w:val="7970598B"/>
    <w:rsid w:val="79726DB5"/>
    <w:rsid w:val="797376B8"/>
    <w:rsid w:val="79741CF6"/>
    <w:rsid w:val="79754430"/>
    <w:rsid w:val="797569C2"/>
    <w:rsid w:val="79764DDF"/>
    <w:rsid w:val="79782905"/>
    <w:rsid w:val="79797B57"/>
    <w:rsid w:val="797C08AB"/>
    <w:rsid w:val="797C23F5"/>
    <w:rsid w:val="797E7707"/>
    <w:rsid w:val="798076CF"/>
    <w:rsid w:val="798242B6"/>
    <w:rsid w:val="798453DD"/>
    <w:rsid w:val="79892D64"/>
    <w:rsid w:val="798C74FD"/>
    <w:rsid w:val="798E39E7"/>
    <w:rsid w:val="798F5AB4"/>
    <w:rsid w:val="7992140A"/>
    <w:rsid w:val="79930692"/>
    <w:rsid w:val="79985C86"/>
    <w:rsid w:val="799A288F"/>
    <w:rsid w:val="799B30D8"/>
    <w:rsid w:val="799C2A97"/>
    <w:rsid w:val="799D236B"/>
    <w:rsid w:val="799E680F"/>
    <w:rsid w:val="79A261FB"/>
    <w:rsid w:val="79A4167D"/>
    <w:rsid w:val="79A4215E"/>
    <w:rsid w:val="79A451F4"/>
    <w:rsid w:val="79A45C86"/>
    <w:rsid w:val="79A67426"/>
    <w:rsid w:val="79A87BEA"/>
    <w:rsid w:val="79A90B26"/>
    <w:rsid w:val="79AB16E0"/>
    <w:rsid w:val="79AF17E0"/>
    <w:rsid w:val="79B10633"/>
    <w:rsid w:val="79B15891"/>
    <w:rsid w:val="79B20AAD"/>
    <w:rsid w:val="79B812B8"/>
    <w:rsid w:val="79BA0EA4"/>
    <w:rsid w:val="79C1215B"/>
    <w:rsid w:val="79C14805"/>
    <w:rsid w:val="79C3272C"/>
    <w:rsid w:val="79C3303F"/>
    <w:rsid w:val="79C8687C"/>
    <w:rsid w:val="79C915BA"/>
    <w:rsid w:val="79C92109"/>
    <w:rsid w:val="79CA7DB3"/>
    <w:rsid w:val="79CB512B"/>
    <w:rsid w:val="79CC7F63"/>
    <w:rsid w:val="79CE118F"/>
    <w:rsid w:val="79CE2F2B"/>
    <w:rsid w:val="79CE3A35"/>
    <w:rsid w:val="79CE536E"/>
    <w:rsid w:val="79CF5511"/>
    <w:rsid w:val="79D17B92"/>
    <w:rsid w:val="79D264B9"/>
    <w:rsid w:val="79D91F22"/>
    <w:rsid w:val="79DC7338"/>
    <w:rsid w:val="79DC7A87"/>
    <w:rsid w:val="79DD75E0"/>
    <w:rsid w:val="79DF2984"/>
    <w:rsid w:val="79E151BD"/>
    <w:rsid w:val="79E41D48"/>
    <w:rsid w:val="79E43BEB"/>
    <w:rsid w:val="79E461EC"/>
    <w:rsid w:val="79E47F9A"/>
    <w:rsid w:val="79E87A8A"/>
    <w:rsid w:val="79E92285"/>
    <w:rsid w:val="79EB669A"/>
    <w:rsid w:val="79EE74D6"/>
    <w:rsid w:val="79F028F6"/>
    <w:rsid w:val="79F226B7"/>
    <w:rsid w:val="79F71A7C"/>
    <w:rsid w:val="79FA786D"/>
    <w:rsid w:val="79FD2E75"/>
    <w:rsid w:val="7A033AA0"/>
    <w:rsid w:val="7A0348C4"/>
    <w:rsid w:val="7A063FC4"/>
    <w:rsid w:val="7A0731C9"/>
    <w:rsid w:val="7A08012D"/>
    <w:rsid w:val="7A080CC3"/>
    <w:rsid w:val="7A0B2DDB"/>
    <w:rsid w:val="7A0B3779"/>
    <w:rsid w:val="7A0D129F"/>
    <w:rsid w:val="7A0D5E45"/>
    <w:rsid w:val="7A0E0BF3"/>
    <w:rsid w:val="7A0E376B"/>
    <w:rsid w:val="7A0E5017"/>
    <w:rsid w:val="7A111283"/>
    <w:rsid w:val="7A114A5E"/>
    <w:rsid w:val="7A1270ED"/>
    <w:rsid w:val="7A1475B1"/>
    <w:rsid w:val="7A1545F8"/>
    <w:rsid w:val="7A1A0ECF"/>
    <w:rsid w:val="7A1B6876"/>
    <w:rsid w:val="7A1B7E60"/>
    <w:rsid w:val="7A1E16FE"/>
    <w:rsid w:val="7A200427"/>
    <w:rsid w:val="7A205476"/>
    <w:rsid w:val="7A214D4A"/>
    <w:rsid w:val="7A255363"/>
    <w:rsid w:val="7A2800DC"/>
    <w:rsid w:val="7A2860D9"/>
    <w:rsid w:val="7A304F8E"/>
    <w:rsid w:val="7A3254A7"/>
    <w:rsid w:val="7A326F58"/>
    <w:rsid w:val="7A33272A"/>
    <w:rsid w:val="7A365404"/>
    <w:rsid w:val="7A367C5D"/>
    <w:rsid w:val="7A3727C0"/>
    <w:rsid w:val="7A392094"/>
    <w:rsid w:val="7A39624A"/>
    <w:rsid w:val="7A3A405E"/>
    <w:rsid w:val="7A3A5E0C"/>
    <w:rsid w:val="7A3C7A0E"/>
    <w:rsid w:val="7A3F1DF0"/>
    <w:rsid w:val="7A405FE3"/>
    <w:rsid w:val="7A410F49"/>
    <w:rsid w:val="7A420E52"/>
    <w:rsid w:val="7A44119B"/>
    <w:rsid w:val="7A454EDD"/>
    <w:rsid w:val="7A470F3E"/>
    <w:rsid w:val="7A480258"/>
    <w:rsid w:val="7A4B0019"/>
    <w:rsid w:val="7A4B39F5"/>
    <w:rsid w:val="7A4B60D1"/>
    <w:rsid w:val="7A4D04FC"/>
    <w:rsid w:val="7A4F62EE"/>
    <w:rsid w:val="7A545120"/>
    <w:rsid w:val="7A573214"/>
    <w:rsid w:val="7A592736"/>
    <w:rsid w:val="7A5C6838"/>
    <w:rsid w:val="7A5D73FA"/>
    <w:rsid w:val="7A5E7D4D"/>
    <w:rsid w:val="7A5F5873"/>
    <w:rsid w:val="7A600E74"/>
    <w:rsid w:val="7A601D17"/>
    <w:rsid w:val="7A64276C"/>
    <w:rsid w:val="7A6A04A0"/>
    <w:rsid w:val="7A6A4943"/>
    <w:rsid w:val="7A6E4EC8"/>
    <w:rsid w:val="7A7049C8"/>
    <w:rsid w:val="7A707A80"/>
    <w:rsid w:val="7A715CD2"/>
    <w:rsid w:val="7A731627"/>
    <w:rsid w:val="7A73401A"/>
    <w:rsid w:val="7A754FB2"/>
    <w:rsid w:val="7A7573BE"/>
    <w:rsid w:val="7A793D07"/>
    <w:rsid w:val="7A7C01D3"/>
    <w:rsid w:val="7A7C0A25"/>
    <w:rsid w:val="7A7C3DE4"/>
    <w:rsid w:val="7A7F6792"/>
    <w:rsid w:val="7A806BF2"/>
    <w:rsid w:val="7A821A8B"/>
    <w:rsid w:val="7A8335BE"/>
    <w:rsid w:val="7A850AAF"/>
    <w:rsid w:val="7A860F2C"/>
    <w:rsid w:val="7A862E00"/>
    <w:rsid w:val="7A870038"/>
    <w:rsid w:val="7A8849B2"/>
    <w:rsid w:val="7A886346"/>
    <w:rsid w:val="7A8A1120"/>
    <w:rsid w:val="7A8A25CF"/>
    <w:rsid w:val="7A8A28F0"/>
    <w:rsid w:val="7A8F6158"/>
    <w:rsid w:val="7A903C7E"/>
    <w:rsid w:val="7A904F95"/>
    <w:rsid w:val="7A953213"/>
    <w:rsid w:val="7A986543"/>
    <w:rsid w:val="7A9B00BB"/>
    <w:rsid w:val="7A9B2D4F"/>
    <w:rsid w:val="7A9D6AC7"/>
    <w:rsid w:val="7AA00365"/>
    <w:rsid w:val="7AA02113"/>
    <w:rsid w:val="7AA6724E"/>
    <w:rsid w:val="7AA76ACD"/>
    <w:rsid w:val="7AA80AB2"/>
    <w:rsid w:val="7AAA08E1"/>
    <w:rsid w:val="7AAB3697"/>
    <w:rsid w:val="7AAC0AB8"/>
    <w:rsid w:val="7AAD4924"/>
    <w:rsid w:val="7AB056C1"/>
    <w:rsid w:val="7AB47055"/>
    <w:rsid w:val="7AB74AF2"/>
    <w:rsid w:val="7AB7636F"/>
    <w:rsid w:val="7AB91427"/>
    <w:rsid w:val="7AB93568"/>
    <w:rsid w:val="7AB94C73"/>
    <w:rsid w:val="7AB96E75"/>
    <w:rsid w:val="7ABB519F"/>
    <w:rsid w:val="7ABC4A73"/>
    <w:rsid w:val="7ABD32D5"/>
    <w:rsid w:val="7ABE3F79"/>
    <w:rsid w:val="7ABE45B1"/>
    <w:rsid w:val="7ABE6226"/>
    <w:rsid w:val="7AC1208A"/>
    <w:rsid w:val="7AC31F0B"/>
    <w:rsid w:val="7AC35C76"/>
    <w:rsid w:val="7AC878BC"/>
    <w:rsid w:val="7AC9547C"/>
    <w:rsid w:val="7ACC26FE"/>
    <w:rsid w:val="7ACC27EA"/>
    <w:rsid w:val="7ACF0C4A"/>
    <w:rsid w:val="7ACF103E"/>
    <w:rsid w:val="7ACF50ED"/>
    <w:rsid w:val="7AD97996"/>
    <w:rsid w:val="7ADB5D7C"/>
    <w:rsid w:val="7ADC2EAD"/>
    <w:rsid w:val="7ADD3367"/>
    <w:rsid w:val="7ADF2268"/>
    <w:rsid w:val="7AE0780C"/>
    <w:rsid w:val="7AE364A4"/>
    <w:rsid w:val="7AE617A5"/>
    <w:rsid w:val="7AE71660"/>
    <w:rsid w:val="7AE83ABA"/>
    <w:rsid w:val="7AEA328E"/>
    <w:rsid w:val="7AEC6A7F"/>
    <w:rsid w:val="7AED20F4"/>
    <w:rsid w:val="7AEE7323"/>
    <w:rsid w:val="7AF1471D"/>
    <w:rsid w:val="7AF308E6"/>
    <w:rsid w:val="7AF366E7"/>
    <w:rsid w:val="7AF61B2F"/>
    <w:rsid w:val="7AF661D7"/>
    <w:rsid w:val="7AF67F85"/>
    <w:rsid w:val="7AF75AAB"/>
    <w:rsid w:val="7AF93484"/>
    <w:rsid w:val="7AF97265"/>
    <w:rsid w:val="7AFA0BD9"/>
    <w:rsid w:val="7AFA2A9C"/>
    <w:rsid w:val="7AFB47D7"/>
    <w:rsid w:val="7AFE32DE"/>
    <w:rsid w:val="7B030585"/>
    <w:rsid w:val="7B0364AE"/>
    <w:rsid w:val="7B050B8D"/>
    <w:rsid w:val="7B0719FD"/>
    <w:rsid w:val="7B077E5E"/>
    <w:rsid w:val="7B086BAA"/>
    <w:rsid w:val="7B095F0A"/>
    <w:rsid w:val="7B0A208E"/>
    <w:rsid w:val="7B0A3A31"/>
    <w:rsid w:val="7B0B6E94"/>
    <w:rsid w:val="7B0B6F75"/>
    <w:rsid w:val="7B0C280D"/>
    <w:rsid w:val="7B0C3667"/>
    <w:rsid w:val="7B0F7DA6"/>
    <w:rsid w:val="7B141D9F"/>
    <w:rsid w:val="7B1A0118"/>
    <w:rsid w:val="7B1B3E90"/>
    <w:rsid w:val="7B1D4B83"/>
    <w:rsid w:val="7B1E6D01"/>
    <w:rsid w:val="7B1E74DC"/>
    <w:rsid w:val="7B1F19C3"/>
    <w:rsid w:val="7B234AF2"/>
    <w:rsid w:val="7B247F12"/>
    <w:rsid w:val="7B25686F"/>
    <w:rsid w:val="7B2965AD"/>
    <w:rsid w:val="7B2E5EF7"/>
    <w:rsid w:val="7B2E771F"/>
    <w:rsid w:val="7B2F3497"/>
    <w:rsid w:val="7B310290"/>
    <w:rsid w:val="7B315BCA"/>
    <w:rsid w:val="7B333706"/>
    <w:rsid w:val="7B334D35"/>
    <w:rsid w:val="7B34479B"/>
    <w:rsid w:val="7B354F51"/>
    <w:rsid w:val="7B3560B5"/>
    <w:rsid w:val="7B3960C4"/>
    <w:rsid w:val="7B3A2568"/>
    <w:rsid w:val="7B3B62E0"/>
    <w:rsid w:val="7B407452"/>
    <w:rsid w:val="7B42141C"/>
    <w:rsid w:val="7B430CF1"/>
    <w:rsid w:val="7B4428FF"/>
    <w:rsid w:val="7B466960"/>
    <w:rsid w:val="7B476A33"/>
    <w:rsid w:val="7B4C229B"/>
    <w:rsid w:val="7B4C5A3F"/>
    <w:rsid w:val="7B4C5DF7"/>
    <w:rsid w:val="7B533629"/>
    <w:rsid w:val="7B5557A7"/>
    <w:rsid w:val="7B567A6A"/>
    <w:rsid w:val="7B574D28"/>
    <w:rsid w:val="7B587689"/>
    <w:rsid w:val="7B5C5099"/>
    <w:rsid w:val="7B5E6A3D"/>
    <w:rsid w:val="7B605BB1"/>
    <w:rsid w:val="7B611E85"/>
    <w:rsid w:val="7B62203D"/>
    <w:rsid w:val="7B647BB9"/>
    <w:rsid w:val="7B676110"/>
    <w:rsid w:val="7B69085B"/>
    <w:rsid w:val="7B697BC8"/>
    <w:rsid w:val="7B6A44CF"/>
    <w:rsid w:val="7B6D1114"/>
    <w:rsid w:val="7B6E0463"/>
    <w:rsid w:val="7B6E2211"/>
    <w:rsid w:val="7B6E6E23"/>
    <w:rsid w:val="7B6E75AC"/>
    <w:rsid w:val="7B7203D1"/>
    <w:rsid w:val="7B727D35"/>
    <w:rsid w:val="7B7320D1"/>
    <w:rsid w:val="7B743817"/>
    <w:rsid w:val="7B755EA9"/>
    <w:rsid w:val="7B75617B"/>
    <w:rsid w:val="7B7705CE"/>
    <w:rsid w:val="7B776EB0"/>
    <w:rsid w:val="7B783090"/>
    <w:rsid w:val="7B7A3A9F"/>
    <w:rsid w:val="7B7A6E08"/>
    <w:rsid w:val="7B7C7E68"/>
    <w:rsid w:val="7B7E261F"/>
    <w:rsid w:val="7B7F7970"/>
    <w:rsid w:val="7B810197"/>
    <w:rsid w:val="7B82077D"/>
    <w:rsid w:val="7B842E4D"/>
    <w:rsid w:val="7B88304C"/>
    <w:rsid w:val="7B883EA7"/>
    <w:rsid w:val="7B8C3EDF"/>
    <w:rsid w:val="7B8E6410"/>
    <w:rsid w:val="7B8F3F36"/>
    <w:rsid w:val="7B90291A"/>
    <w:rsid w:val="7B90295A"/>
    <w:rsid w:val="7B912423"/>
    <w:rsid w:val="7B915640"/>
    <w:rsid w:val="7B917CF0"/>
    <w:rsid w:val="7B9217FF"/>
    <w:rsid w:val="7B926B1B"/>
    <w:rsid w:val="7B9911EE"/>
    <w:rsid w:val="7B99512B"/>
    <w:rsid w:val="7BA21EBB"/>
    <w:rsid w:val="7BA24AB8"/>
    <w:rsid w:val="7BA666DE"/>
    <w:rsid w:val="7BA800B0"/>
    <w:rsid w:val="7BAC4AE8"/>
    <w:rsid w:val="7BAC4B9C"/>
    <w:rsid w:val="7BAC4E2E"/>
    <w:rsid w:val="7BAE2851"/>
    <w:rsid w:val="7BAE6AB2"/>
    <w:rsid w:val="7BAF3867"/>
    <w:rsid w:val="7BB02769"/>
    <w:rsid w:val="7BB06386"/>
    <w:rsid w:val="7BB35E76"/>
    <w:rsid w:val="7BB458D1"/>
    <w:rsid w:val="7BB87930"/>
    <w:rsid w:val="7BB97A99"/>
    <w:rsid w:val="7BBB00AF"/>
    <w:rsid w:val="7BBB66E0"/>
    <w:rsid w:val="7BBE5399"/>
    <w:rsid w:val="7BC02341"/>
    <w:rsid w:val="7BC21811"/>
    <w:rsid w:val="7BC32905"/>
    <w:rsid w:val="7BC57958"/>
    <w:rsid w:val="7BCB09F3"/>
    <w:rsid w:val="7BCC1105"/>
    <w:rsid w:val="7BCD32F3"/>
    <w:rsid w:val="7BD22A4C"/>
    <w:rsid w:val="7BD352C4"/>
    <w:rsid w:val="7BD7023A"/>
    <w:rsid w:val="7BD83664"/>
    <w:rsid w:val="7BDC120C"/>
    <w:rsid w:val="7BDE3B26"/>
    <w:rsid w:val="7BE032F8"/>
    <w:rsid w:val="7BE705B1"/>
    <w:rsid w:val="7BE7476B"/>
    <w:rsid w:val="7BE826DA"/>
    <w:rsid w:val="7BEB5018"/>
    <w:rsid w:val="7BEE62DE"/>
    <w:rsid w:val="7BEF0492"/>
    <w:rsid w:val="7BEF2A9A"/>
    <w:rsid w:val="7BF60AD3"/>
    <w:rsid w:val="7BF635CD"/>
    <w:rsid w:val="7BF85F7F"/>
    <w:rsid w:val="7BF922F6"/>
    <w:rsid w:val="7BFA03D9"/>
    <w:rsid w:val="7BFA3AA5"/>
    <w:rsid w:val="7BFC49EE"/>
    <w:rsid w:val="7BFE17E7"/>
    <w:rsid w:val="7C007A16"/>
    <w:rsid w:val="7C013085"/>
    <w:rsid w:val="7C025C57"/>
    <w:rsid w:val="7C030722"/>
    <w:rsid w:val="7C04027D"/>
    <w:rsid w:val="7C063E43"/>
    <w:rsid w:val="7C084AFC"/>
    <w:rsid w:val="7C0861C2"/>
    <w:rsid w:val="7C0901A3"/>
    <w:rsid w:val="7C091946"/>
    <w:rsid w:val="7C0B180E"/>
    <w:rsid w:val="7C0B6494"/>
    <w:rsid w:val="7C0B6A1C"/>
    <w:rsid w:val="7C0E094E"/>
    <w:rsid w:val="7C0E57A2"/>
    <w:rsid w:val="7C145E69"/>
    <w:rsid w:val="7C152E9F"/>
    <w:rsid w:val="7C164ACD"/>
    <w:rsid w:val="7C16520B"/>
    <w:rsid w:val="7C183F2B"/>
    <w:rsid w:val="7C1923D4"/>
    <w:rsid w:val="7C1A5EF5"/>
    <w:rsid w:val="7C1B2863"/>
    <w:rsid w:val="7C1C102D"/>
    <w:rsid w:val="7C1C1C6D"/>
    <w:rsid w:val="7C1E59E5"/>
    <w:rsid w:val="7C1E7368"/>
    <w:rsid w:val="7C1F48E2"/>
    <w:rsid w:val="7C211032"/>
    <w:rsid w:val="7C223616"/>
    <w:rsid w:val="7C244823"/>
    <w:rsid w:val="7C2569FF"/>
    <w:rsid w:val="7C262AEC"/>
    <w:rsid w:val="7C26563D"/>
    <w:rsid w:val="7C277638"/>
    <w:rsid w:val="7C290E6E"/>
    <w:rsid w:val="7C2D5C29"/>
    <w:rsid w:val="7C2D79D7"/>
    <w:rsid w:val="7C2E19A1"/>
    <w:rsid w:val="7C2E374F"/>
    <w:rsid w:val="7C2E5BC7"/>
    <w:rsid w:val="7C320615"/>
    <w:rsid w:val="7C330D65"/>
    <w:rsid w:val="7C345209"/>
    <w:rsid w:val="7C352D2F"/>
    <w:rsid w:val="7C360F1A"/>
    <w:rsid w:val="7C361ACD"/>
    <w:rsid w:val="7C3A2A38"/>
    <w:rsid w:val="7C3A6597"/>
    <w:rsid w:val="7C3A7E5C"/>
    <w:rsid w:val="7C3B241B"/>
    <w:rsid w:val="7C3D1A58"/>
    <w:rsid w:val="7C3D6C04"/>
    <w:rsid w:val="7C3F3BAE"/>
    <w:rsid w:val="7C40031D"/>
    <w:rsid w:val="7C4411C4"/>
    <w:rsid w:val="7C44358A"/>
    <w:rsid w:val="7C455078"/>
    <w:rsid w:val="7C4A26B9"/>
    <w:rsid w:val="7C4B4301"/>
    <w:rsid w:val="7C4D0079"/>
    <w:rsid w:val="7C4D378E"/>
    <w:rsid w:val="7C4D6D9E"/>
    <w:rsid w:val="7C4E22A3"/>
    <w:rsid w:val="7C4F4E6D"/>
    <w:rsid w:val="7C505842"/>
    <w:rsid w:val="7C554C53"/>
    <w:rsid w:val="7C556F2D"/>
    <w:rsid w:val="7C570EF7"/>
    <w:rsid w:val="7C5803CF"/>
    <w:rsid w:val="7C581C9E"/>
    <w:rsid w:val="7C585A8B"/>
    <w:rsid w:val="7C587757"/>
    <w:rsid w:val="7C594C70"/>
    <w:rsid w:val="7C5E2286"/>
    <w:rsid w:val="7C5E2BFE"/>
    <w:rsid w:val="7C6333F8"/>
    <w:rsid w:val="7C644C8C"/>
    <w:rsid w:val="7C6453C2"/>
    <w:rsid w:val="7C662018"/>
    <w:rsid w:val="7C66738C"/>
    <w:rsid w:val="7C683105"/>
    <w:rsid w:val="7C694787"/>
    <w:rsid w:val="7C6B4256"/>
    <w:rsid w:val="7C713F97"/>
    <w:rsid w:val="7C742A2B"/>
    <w:rsid w:val="7C75312C"/>
    <w:rsid w:val="7C773348"/>
    <w:rsid w:val="7C796E5A"/>
    <w:rsid w:val="7C7D6545"/>
    <w:rsid w:val="7C7F2B5A"/>
    <w:rsid w:val="7C7F41F8"/>
    <w:rsid w:val="7C803A5B"/>
    <w:rsid w:val="7C813612"/>
    <w:rsid w:val="7C823588"/>
    <w:rsid w:val="7C8415C1"/>
    <w:rsid w:val="7C843250"/>
    <w:rsid w:val="7C8577DB"/>
    <w:rsid w:val="7C865339"/>
    <w:rsid w:val="7C8966C6"/>
    <w:rsid w:val="7C8B0BA1"/>
    <w:rsid w:val="7C8D0D98"/>
    <w:rsid w:val="7C8D1B73"/>
    <w:rsid w:val="7C9002AD"/>
    <w:rsid w:val="7C906278"/>
    <w:rsid w:val="7C9537CE"/>
    <w:rsid w:val="7C96684D"/>
    <w:rsid w:val="7C9673F2"/>
    <w:rsid w:val="7C9851E3"/>
    <w:rsid w:val="7C991510"/>
    <w:rsid w:val="7C9C2340"/>
    <w:rsid w:val="7C9C690A"/>
    <w:rsid w:val="7C9D494A"/>
    <w:rsid w:val="7CA11F51"/>
    <w:rsid w:val="7CA4142A"/>
    <w:rsid w:val="7CA659DB"/>
    <w:rsid w:val="7CA77295"/>
    <w:rsid w:val="7CA90909"/>
    <w:rsid w:val="7CA928B5"/>
    <w:rsid w:val="7CAB0562"/>
    <w:rsid w:val="7CAB6CF8"/>
    <w:rsid w:val="7CAF2AE1"/>
    <w:rsid w:val="7CB00608"/>
    <w:rsid w:val="7CB17DCF"/>
    <w:rsid w:val="7CB35C1B"/>
    <w:rsid w:val="7CB4634A"/>
    <w:rsid w:val="7CB77BE8"/>
    <w:rsid w:val="7CB84FA7"/>
    <w:rsid w:val="7CB87122"/>
    <w:rsid w:val="7CB974BC"/>
    <w:rsid w:val="7CBA2277"/>
    <w:rsid w:val="7CBA436F"/>
    <w:rsid w:val="7CC3033B"/>
    <w:rsid w:val="7CC37DE1"/>
    <w:rsid w:val="7CC72903"/>
    <w:rsid w:val="7CC83BA3"/>
    <w:rsid w:val="7CC90386"/>
    <w:rsid w:val="7CCD740C"/>
    <w:rsid w:val="7CCE711F"/>
    <w:rsid w:val="7CD07565"/>
    <w:rsid w:val="7CD22998"/>
    <w:rsid w:val="7CD47CD9"/>
    <w:rsid w:val="7CD662C0"/>
    <w:rsid w:val="7CD96DD5"/>
    <w:rsid w:val="7CD97B5E"/>
    <w:rsid w:val="7CDC13FD"/>
    <w:rsid w:val="7CDC6690"/>
    <w:rsid w:val="7CDE5B46"/>
    <w:rsid w:val="7CE441D6"/>
    <w:rsid w:val="7CE534D0"/>
    <w:rsid w:val="7CE553F8"/>
    <w:rsid w:val="7CE8577A"/>
    <w:rsid w:val="7CEA1D6C"/>
    <w:rsid w:val="7CED7ADA"/>
    <w:rsid w:val="7CEE28CE"/>
    <w:rsid w:val="7CEF5DB6"/>
    <w:rsid w:val="7CF063A6"/>
    <w:rsid w:val="7CF15862"/>
    <w:rsid w:val="7CF404F4"/>
    <w:rsid w:val="7CF55180"/>
    <w:rsid w:val="7CF55509"/>
    <w:rsid w:val="7CF6366E"/>
    <w:rsid w:val="7CF7272E"/>
    <w:rsid w:val="7CFC3FC2"/>
    <w:rsid w:val="7CFE11E6"/>
    <w:rsid w:val="7CFE1373"/>
    <w:rsid w:val="7D012C11"/>
    <w:rsid w:val="7D016511"/>
    <w:rsid w:val="7D017254"/>
    <w:rsid w:val="7D020E63"/>
    <w:rsid w:val="7D027039"/>
    <w:rsid w:val="7D04146B"/>
    <w:rsid w:val="7D0562FB"/>
    <w:rsid w:val="7D0B18E1"/>
    <w:rsid w:val="7D0D15B6"/>
    <w:rsid w:val="7D0E1AC0"/>
    <w:rsid w:val="7D0F084F"/>
    <w:rsid w:val="7D11554A"/>
    <w:rsid w:val="7D126BCC"/>
    <w:rsid w:val="7D1312C2"/>
    <w:rsid w:val="7D172435"/>
    <w:rsid w:val="7D193162"/>
    <w:rsid w:val="7D1943FF"/>
    <w:rsid w:val="7D1A1367"/>
    <w:rsid w:val="7D1D0498"/>
    <w:rsid w:val="7D20017F"/>
    <w:rsid w:val="7D20753B"/>
    <w:rsid w:val="7D221166"/>
    <w:rsid w:val="7D227619"/>
    <w:rsid w:val="7D232E8C"/>
    <w:rsid w:val="7D252DA4"/>
    <w:rsid w:val="7D256900"/>
    <w:rsid w:val="7D2708CA"/>
    <w:rsid w:val="7D282873"/>
    <w:rsid w:val="7D285B2C"/>
    <w:rsid w:val="7D2B6D5C"/>
    <w:rsid w:val="7D2C5EE0"/>
    <w:rsid w:val="7D2E36BD"/>
    <w:rsid w:val="7D377D87"/>
    <w:rsid w:val="7D383387"/>
    <w:rsid w:val="7D384550"/>
    <w:rsid w:val="7D3940E3"/>
    <w:rsid w:val="7D3B00B0"/>
    <w:rsid w:val="7D3B4D52"/>
    <w:rsid w:val="7D3C0648"/>
    <w:rsid w:val="7D3C6AEC"/>
    <w:rsid w:val="7D40198C"/>
    <w:rsid w:val="7D404CAF"/>
    <w:rsid w:val="7D407BDD"/>
    <w:rsid w:val="7D425704"/>
    <w:rsid w:val="7D44147C"/>
    <w:rsid w:val="7D4508F1"/>
    <w:rsid w:val="7D4638A1"/>
    <w:rsid w:val="7D4679B8"/>
    <w:rsid w:val="7D474AC8"/>
    <w:rsid w:val="7D480840"/>
    <w:rsid w:val="7D4850B8"/>
    <w:rsid w:val="7D4A3420"/>
    <w:rsid w:val="7D4A45B8"/>
    <w:rsid w:val="7D4E22FA"/>
    <w:rsid w:val="7D513B99"/>
    <w:rsid w:val="7D52739A"/>
    <w:rsid w:val="7D541A79"/>
    <w:rsid w:val="7D545BD7"/>
    <w:rsid w:val="7D553689"/>
    <w:rsid w:val="7D5611AF"/>
    <w:rsid w:val="7D563F2F"/>
    <w:rsid w:val="7D5A365E"/>
    <w:rsid w:val="7D5C5774"/>
    <w:rsid w:val="7D5E727E"/>
    <w:rsid w:val="7D5F0A87"/>
    <w:rsid w:val="7D603DDC"/>
    <w:rsid w:val="7D6123AB"/>
    <w:rsid w:val="7D652812"/>
    <w:rsid w:val="7D676D13"/>
    <w:rsid w:val="7D676F18"/>
    <w:rsid w:val="7D685B33"/>
    <w:rsid w:val="7D6A5EA2"/>
    <w:rsid w:val="7D6B2233"/>
    <w:rsid w:val="7D6C09D3"/>
    <w:rsid w:val="7D6E0AEB"/>
    <w:rsid w:val="7D70021F"/>
    <w:rsid w:val="7D710A6E"/>
    <w:rsid w:val="7D760254"/>
    <w:rsid w:val="7D761851"/>
    <w:rsid w:val="7D796C4C"/>
    <w:rsid w:val="7D7B0C16"/>
    <w:rsid w:val="7D7B6E68"/>
    <w:rsid w:val="7D7C3765"/>
    <w:rsid w:val="7D7D4F2C"/>
    <w:rsid w:val="7D7F1671"/>
    <w:rsid w:val="7D80342D"/>
    <w:rsid w:val="7D80447E"/>
    <w:rsid w:val="7D822437"/>
    <w:rsid w:val="7D830FD5"/>
    <w:rsid w:val="7D8361C8"/>
    <w:rsid w:val="7D851A94"/>
    <w:rsid w:val="7D86534A"/>
    <w:rsid w:val="7D8976C0"/>
    <w:rsid w:val="7D8A3F8D"/>
    <w:rsid w:val="7D8C054B"/>
    <w:rsid w:val="7D8E26F7"/>
    <w:rsid w:val="7D910439"/>
    <w:rsid w:val="7D9304AE"/>
    <w:rsid w:val="7D933278"/>
    <w:rsid w:val="7D935F5F"/>
    <w:rsid w:val="7D943A85"/>
    <w:rsid w:val="7D957F29"/>
    <w:rsid w:val="7D9670FE"/>
    <w:rsid w:val="7D9817C8"/>
    <w:rsid w:val="7D9877E5"/>
    <w:rsid w:val="7D99109C"/>
    <w:rsid w:val="7D9A29C3"/>
    <w:rsid w:val="7D9B2D4A"/>
    <w:rsid w:val="7D9C446B"/>
    <w:rsid w:val="7D9F4260"/>
    <w:rsid w:val="7D9F4904"/>
    <w:rsid w:val="7DA01FFB"/>
    <w:rsid w:val="7DA3764F"/>
    <w:rsid w:val="7DA44728"/>
    <w:rsid w:val="7DA61AEA"/>
    <w:rsid w:val="7DA63EE4"/>
    <w:rsid w:val="7DA72B3D"/>
    <w:rsid w:val="7DA912DF"/>
    <w:rsid w:val="7DA93A1F"/>
    <w:rsid w:val="7DAD4496"/>
    <w:rsid w:val="7DAE1720"/>
    <w:rsid w:val="7DAF3D55"/>
    <w:rsid w:val="7DB12889"/>
    <w:rsid w:val="7DB163E5"/>
    <w:rsid w:val="7DB2665D"/>
    <w:rsid w:val="7DB53444"/>
    <w:rsid w:val="7DBA34EC"/>
    <w:rsid w:val="7DBB158C"/>
    <w:rsid w:val="7DBC48B4"/>
    <w:rsid w:val="7DBE23C9"/>
    <w:rsid w:val="7DC0078B"/>
    <w:rsid w:val="7DC13416"/>
    <w:rsid w:val="7DC37CA5"/>
    <w:rsid w:val="7DC4191F"/>
    <w:rsid w:val="7DC62B9E"/>
    <w:rsid w:val="7DCB0BE8"/>
    <w:rsid w:val="7DCB56F9"/>
    <w:rsid w:val="7DCF408E"/>
    <w:rsid w:val="7DD21DB9"/>
    <w:rsid w:val="7DD30A52"/>
    <w:rsid w:val="7DD81BC4"/>
    <w:rsid w:val="7DD92846"/>
    <w:rsid w:val="7DD92A0E"/>
    <w:rsid w:val="7DDA320F"/>
    <w:rsid w:val="7DDB3462"/>
    <w:rsid w:val="7DDD6462"/>
    <w:rsid w:val="7DDE6E72"/>
    <w:rsid w:val="7DE4509E"/>
    <w:rsid w:val="7DE629D0"/>
    <w:rsid w:val="7DE87EE7"/>
    <w:rsid w:val="7DE92023"/>
    <w:rsid w:val="7DE94DF5"/>
    <w:rsid w:val="7DEA4049"/>
    <w:rsid w:val="7DEB56BA"/>
    <w:rsid w:val="7DEE3196"/>
    <w:rsid w:val="7DEF2AA1"/>
    <w:rsid w:val="7DF02F5D"/>
    <w:rsid w:val="7DF12F4A"/>
    <w:rsid w:val="7DF13E34"/>
    <w:rsid w:val="7DF1608E"/>
    <w:rsid w:val="7DF215BB"/>
    <w:rsid w:val="7DF21853"/>
    <w:rsid w:val="7DF2712A"/>
    <w:rsid w:val="7DF27724"/>
    <w:rsid w:val="7DF30FF9"/>
    <w:rsid w:val="7DF42109"/>
    <w:rsid w:val="7DF472E8"/>
    <w:rsid w:val="7DF54524"/>
    <w:rsid w:val="7DF67CA9"/>
    <w:rsid w:val="7DF764EE"/>
    <w:rsid w:val="7DF7793E"/>
    <w:rsid w:val="7DFA0C35"/>
    <w:rsid w:val="7DFD5E1C"/>
    <w:rsid w:val="7E0878EE"/>
    <w:rsid w:val="7E0A321E"/>
    <w:rsid w:val="7E0B3D48"/>
    <w:rsid w:val="7E0F72E1"/>
    <w:rsid w:val="7E104DBE"/>
    <w:rsid w:val="7E110594"/>
    <w:rsid w:val="7E122121"/>
    <w:rsid w:val="7E144742"/>
    <w:rsid w:val="7E1B0636"/>
    <w:rsid w:val="7E1F491B"/>
    <w:rsid w:val="7E215319"/>
    <w:rsid w:val="7E233F3E"/>
    <w:rsid w:val="7E237156"/>
    <w:rsid w:val="7E253062"/>
    <w:rsid w:val="7E25402F"/>
    <w:rsid w:val="7E29448A"/>
    <w:rsid w:val="7E2C35D6"/>
    <w:rsid w:val="7E2E3EDA"/>
    <w:rsid w:val="7E331802"/>
    <w:rsid w:val="7E335C49"/>
    <w:rsid w:val="7E340E8C"/>
    <w:rsid w:val="7E3653C4"/>
    <w:rsid w:val="7E371030"/>
    <w:rsid w:val="7E374B3D"/>
    <w:rsid w:val="7E3922FD"/>
    <w:rsid w:val="7E3977F9"/>
    <w:rsid w:val="7E3C65F7"/>
    <w:rsid w:val="7E3F1C43"/>
    <w:rsid w:val="7E3F7186"/>
    <w:rsid w:val="7E401D34"/>
    <w:rsid w:val="7E424E3D"/>
    <w:rsid w:val="7E425C36"/>
    <w:rsid w:val="7E4454AB"/>
    <w:rsid w:val="7E464D80"/>
    <w:rsid w:val="7E47478D"/>
    <w:rsid w:val="7E474839"/>
    <w:rsid w:val="7E486D4A"/>
    <w:rsid w:val="7E494870"/>
    <w:rsid w:val="7E4E1E86"/>
    <w:rsid w:val="7E51400F"/>
    <w:rsid w:val="7E516066"/>
    <w:rsid w:val="7E527BC8"/>
    <w:rsid w:val="7E5403A7"/>
    <w:rsid w:val="7E5476C8"/>
    <w:rsid w:val="7E565C3D"/>
    <w:rsid w:val="7E58097F"/>
    <w:rsid w:val="7E584AB3"/>
    <w:rsid w:val="7E590F57"/>
    <w:rsid w:val="7E5D4AD8"/>
    <w:rsid w:val="7E5E47BF"/>
    <w:rsid w:val="7E5F22E5"/>
    <w:rsid w:val="7E6054A8"/>
    <w:rsid w:val="7E6170D9"/>
    <w:rsid w:val="7E633B84"/>
    <w:rsid w:val="7E634251"/>
    <w:rsid w:val="7E6416AA"/>
    <w:rsid w:val="7E665422"/>
    <w:rsid w:val="7E670088"/>
    <w:rsid w:val="7E68119A"/>
    <w:rsid w:val="7E694F12"/>
    <w:rsid w:val="7E6B6EDC"/>
    <w:rsid w:val="7E6C215B"/>
    <w:rsid w:val="7E6D67B0"/>
    <w:rsid w:val="7E6E4AAA"/>
    <w:rsid w:val="7E7503C2"/>
    <w:rsid w:val="7E781837"/>
    <w:rsid w:val="7E7A097B"/>
    <w:rsid w:val="7E7D1D1B"/>
    <w:rsid w:val="7E7D576A"/>
    <w:rsid w:val="7E8035FA"/>
    <w:rsid w:val="7E81400A"/>
    <w:rsid w:val="7E8274A1"/>
    <w:rsid w:val="7E835A05"/>
    <w:rsid w:val="7E8A7362"/>
    <w:rsid w:val="7E8B6C36"/>
    <w:rsid w:val="7E8C5C26"/>
    <w:rsid w:val="7E8F0222"/>
    <w:rsid w:val="7E915E11"/>
    <w:rsid w:val="7E9243BD"/>
    <w:rsid w:val="7E97382D"/>
    <w:rsid w:val="7E9A585D"/>
    <w:rsid w:val="7E9B7BEE"/>
    <w:rsid w:val="7E9C52E7"/>
    <w:rsid w:val="7E9E2815"/>
    <w:rsid w:val="7E9E4967"/>
    <w:rsid w:val="7EA0663F"/>
    <w:rsid w:val="7EA36676"/>
    <w:rsid w:val="7EA4473B"/>
    <w:rsid w:val="7EA504B9"/>
    <w:rsid w:val="7EA604CC"/>
    <w:rsid w:val="7EA96C28"/>
    <w:rsid w:val="7EAA664C"/>
    <w:rsid w:val="7EAD5454"/>
    <w:rsid w:val="7EAE120E"/>
    <w:rsid w:val="7EAF0B77"/>
    <w:rsid w:val="7EB02421"/>
    <w:rsid w:val="7EB10D93"/>
    <w:rsid w:val="7EB6236F"/>
    <w:rsid w:val="7EB67EBB"/>
    <w:rsid w:val="7EB76A8F"/>
    <w:rsid w:val="7EB813A9"/>
    <w:rsid w:val="7EB948AB"/>
    <w:rsid w:val="7EBB5047"/>
    <w:rsid w:val="7EBB576E"/>
    <w:rsid w:val="7EBC727C"/>
    <w:rsid w:val="7EBD2265"/>
    <w:rsid w:val="7EBF1F77"/>
    <w:rsid w:val="7EC01947"/>
    <w:rsid w:val="7EC14D4E"/>
    <w:rsid w:val="7EC531C6"/>
    <w:rsid w:val="7EC551E9"/>
    <w:rsid w:val="7EC87E8B"/>
    <w:rsid w:val="7ECA3C03"/>
    <w:rsid w:val="7ECB34D7"/>
    <w:rsid w:val="7ECD36F3"/>
    <w:rsid w:val="7ED037C4"/>
    <w:rsid w:val="7ED20D09"/>
    <w:rsid w:val="7ED450A6"/>
    <w:rsid w:val="7ED749DC"/>
    <w:rsid w:val="7ED836A5"/>
    <w:rsid w:val="7ED933BF"/>
    <w:rsid w:val="7EDB034B"/>
    <w:rsid w:val="7EDC56E4"/>
    <w:rsid w:val="7EDE2954"/>
    <w:rsid w:val="7EDF3971"/>
    <w:rsid w:val="7EDF6216"/>
    <w:rsid w:val="7EE051D4"/>
    <w:rsid w:val="7EE05369"/>
    <w:rsid w:val="7EE4744B"/>
    <w:rsid w:val="7EE747B5"/>
    <w:rsid w:val="7EEA2C24"/>
    <w:rsid w:val="7EEB5927"/>
    <w:rsid w:val="7EEC53BA"/>
    <w:rsid w:val="7EEF3669"/>
    <w:rsid w:val="7EEF6BA4"/>
    <w:rsid w:val="7EF17992"/>
    <w:rsid w:val="7EF26CB5"/>
    <w:rsid w:val="7EF51423"/>
    <w:rsid w:val="7EF66A44"/>
    <w:rsid w:val="7EF7251E"/>
    <w:rsid w:val="7EF90044"/>
    <w:rsid w:val="7EFB200E"/>
    <w:rsid w:val="7F01339C"/>
    <w:rsid w:val="7F030863"/>
    <w:rsid w:val="7F030EC3"/>
    <w:rsid w:val="7F034330"/>
    <w:rsid w:val="7F0362ED"/>
    <w:rsid w:val="7F037115"/>
    <w:rsid w:val="7F04174A"/>
    <w:rsid w:val="7F042B70"/>
    <w:rsid w:val="7F052E8D"/>
    <w:rsid w:val="7F057AD7"/>
    <w:rsid w:val="7F08472B"/>
    <w:rsid w:val="7F0864D9"/>
    <w:rsid w:val="7F0B0F81"/>
    <w:rsid w:val="7F0C5FC9"/>
    <w:rsid w:val="7F0F5AB9"/>
    <w:rsid w:val="7F10064C"/>
    <w:rsid w:val="7F105081"/>
    <w:rsid w:val="7F111CCD"/>
    <w:rsid w:val="7F127358"/>
    <w:rsid w:val="7F1354B0"/>
    <w:rsid w:val="7F140769"/>
    <w:rsid w:val="7F181549"/>
    <w:rsid w:val="7F187304"/>
    <w:rsid w:val="7F1A7033"/>
    <w:rsid w:val="7F1E58E5"/>
    <w:rsid w:val="7F1E5E60"/>
    <w:rsid w:val="7F1F5E32"/>
    <w:rsid w:val="7F207834"/>
    <w:rsid w:val="7F233313"/>
    <w:rsid w:val="7F272B9C"/>
    <w:rsid w:val="7F2736D3"/>
    <w:rsid w:val="7F2826D7"/>
    <w:rsid w:val="7F286B7B"/>
    <w:rsid w:val="7F2C21C7"/>
    <w:rsid w:val="7F2D7CEE"/>
    <w:rsid w:val="7F327C1F"/>
    <w:rsid w:val="7F334E29"/>
    <w:rsid w:val="7F361298"/>
    <w:rsid w:val="7F3717BC"/>
    <w:rsid w:val="7F397EF6"/>
    <w:rsid w:val="7F3B240A"/>
    <w:rsid w:val="7F3E0819"/>
    <w:rsid w:val="7F3E1EFB"/>
    <w:rsid w:val="7F3F2762"/>
    <w:rsid w:val="7F40386D"/>
    <w:rsid w:val="7F4079CE"/>
    <w:rsid w:val="7F4559DF"/>
    <w:rsid w:val="7F4650BE"/>
    <w:rsid w:val="7F475253"/>
    <w:rsid w:val="7F492CFC"/>
    <w:rsid w:val="7F4C2A21"/>
    <w:rsid w:val="7F4E51D0"/>
    <w:rsid w:val="7F5175D1"/>
    <w:rsid w:val="7F533205"/>
    <w:rsid w:val="7F54171E"/>
    <w:rsid w:val="7F577F01"/>
    <w:rsid w:val="7F5A383A"/>
    <w:rsid w:val="7F5A6CDB"/>
    <w:rsid w:val="7F5C09DC"/>
    <w:rsid w:val="7F5C29EC"/>
    <w:rsid w:val="7F5C6C5D"/>
    <w:rsid w:val="7F5D4A77"/>
    <w:rsid w:val="7F604567"/>
    <w:rsid w:val="7F671451"/>
    <w:rsid w:val="7F6740FD"/>
    <w:rsid w:val="7F675F54"/>
    <w:rsid w:val="7F676669"/>
    <w:rsid w:val="7F686F1C"/>
    <w:rsid w:val="7F6A7194"/>
    <w:rsid w:val="7F6C2F0C"/>
    <w:rsid w:val="7F6D27E0"/>
    <w:rsid w:val="7F6F47AA"/>
    <w:rsid w:val="7F710522"/>
    <w:rsid w:val="7F71407E"/>
    <w:rsid w:val="7F7211CD"/>
    <w:rsid w:val="7F73110F"/>
    <w:rsid w:val="7F757CBD"/>
    <w:rsid w:val="7F78365F"/>
    <w:rsid w:val="7F78542B"/>
    <w:rsid w:val="7F792F33"/>
    <w:rsid w:val="7F7C456C"/>
    <w:rsid w:val="7F7F2C3F"/>
    <w:rsid w:val="7F7F7A74"/>
    <w:rsid w:val="7F7F7AFD"/>
    <w:rsid w:val="7F8106C0"/>
    <w:rsid w:val="7F842003"/>
    <w:rsid w:val="7F8518D8"/>
    <w:rsid w:val="7F857B2A"/>
    <w:rsid w:val="7F864517"/>
    <w:rsid w:val="7F865762"/>
    <w:rsid w:val="7F871AF4"/>
    <w:rsid w:val="7F8A1F8A"/>
    <w:rsid w:val="7F8A3392"/>
    <w:rsid w:val="7F8D69DE"/>
    <w:rsid w:val="7F8E270D"/>
    <w:rsid w:val="7F8F3F77"/>
    <w:rsid w:val="7F8F56A4"/>
    <w:rsid w:val="7F945003"/>
    <w:rsid w:val="7F961332"/>
    <w:rsid w:val="7F9A4EAC"/>
    <w:rsid w:val="7F9B10FB"/>
    <w:rsid w:val="7F9B4FBA"/>
    <w:rsid w:val="7F9B559F"/>
    <w:rsid w:val="7F9B7359"/>
    <w:rsid w:val="7F9D40A6"/>
    <w:rsid w:val="7F9F121C"/>
    <w:rsid w:val="7FA13619"/>
    <w:rsid w:val="7FA26305"/>
    <w:rsid w:val="7FA32CA7"/>
    <w:rsid w:val="7FA44454"/>
    <w:rsid w:val="7FA54BD5"/>
    <w:rsid w:val="7FA620FD"/>
    <w:rsid w:val="7FA73F44"/>
    <w:rsid w:val="7FA86A8D"/>
    <w:rsid w:val="7FAC50B6"/>
    <w:rsid w:val="7FAE0E2E"/>
    <w:rsid w:val="7FAF2AD1"/>
    <w:rsid w:val="7FB0506B"/>
    <w:rsid w:val="7FB14DC3"/>
    <w:rsid w:val="7FB16B71"/>
    <w:rsid w:val="7FB20BCE"/>
    <w:rsid w:val="7FB25E03"/>
    <w:rsid w:val="7FB33F68"/>
    <w:rsid w:val="7FB405E1"/>
    <w:rsid w:val="7FB41061"/>
    <w:rsid w:val="7FB56661"/>
    <w:rsid w:val="7FBA12C1"/>
    <w:rsid w:val="7FBB4163"/>
    <w:rsid w:val="7FBB6241"/>
    <w:rsid w:val="7FBC304D"/>
    <w:rsid w:val="7FBF142B"/>
    <w:rsid w:val="7FBF4385"/>
    <w:rsid w:val="7FC05006"/>
    <w:rsid w:val="7FC11BE6"/>
    <w:rsid w:val="7FC35B70"/>
    <w:rsid w:val="7FC40652"/>
    <w:rsid w:val="7FC66911"/>
    <w:rsid w:val="7FC67178"/>
    <w:rsid w:val="7FC67846"/>
    <w:rsid w:val="7FC71EF0"/>
    <w:rsid w:val="7FC750CD"/>
    <w:rsid w:val="7FC9686A"/>
    <w:rsid w:val="7FCD73C7"/>
    <w:rsid w:val="7FCF6FF7"/>
    <w:rsid w:val="7FD02408"/>
    <w:rsid w:val="7FD0349B"/>
    <w:rsid w:val="7FD64829"/>
    <w:rsid w:val="7FD70452"/>
    <w:rsid w:val="7FD9752A"/>
    <w:rsid w:val="7FDA60C7"/>
    <w:rsid w:val="7FDB05F8"/>
    <w:rsid w:val="7FDB599C"/>
    <w:rsid w:val="7FDC569F"/>
    <w:rsid w:val="7FDD1679"/>
    <w:rsid w:val="7FDF0871"/>
    <w:rsid w:val="7FDF3F12"/>
    <w:rsid w:val="7FDF548C"/>
    <w:rsid w:val="7FEA5986"/>
    <w:rsid w:val="7FEC6C93"/>
    <w:rsid w:val="7FF52F01"/>
    <w:rsid w:val="7FF55E96"/>
    <w:rsid w:val="7FF73810"/>
    <w:rsid w:val="7FF95BA3"/>
    <w:rsid w:val="7FFC23FC"/>
    <w:rsid w:val="7FFD76F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qFormat="1" w:unhideWhenUsed="0" w:uiPriority="0" w:semiHidden="0" w:name="Table Simple 2"/>
    <w:lsdException w:unhideWhenUsed="0" w:uiPriority="0" w:semiHidden="0" w:name="Table Simple 3"/>
    <w:lsdException w:qFormat="1"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562"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63"/>
    <w:qFormat/>
    <w:uiPriority w:val="0"/>
    <w:pPr>
      <w:keepNext/>
      <w:keepLines/>
      <w:spacing w:beforeLines="0" w:afterLines="0" w:line="480" w:lineRule="auto"/>
      <w:ind w:firstLine="0" w:firstLineChars="0"/>
      <w:jc w:val="left"/>
      <w:outlineLvl w:val="0"/>
    </w:pPr>
    <w:rPr>
      <w:rFonts w:ascii="Times New Roman" w:hAnsi="Times New Roman"/>
      <w:b/>
      <w:bCs/>
      <w:kern w:val="44"/>
      <w:sz w:val="28"/>
      <w:szCs w:val="44"/>
    </w:rPr>
  </w:style>
  <w:style w:type="paragraph" w:styleId="3">
    <w:name w:val="heading 2"/>
    <w:basedOn w:val="1"/>
    <w:next w:val="1"/>
    <w:link w:val="64"/>
    <w:qFormat/>
    <w:uiPriority w:val="0"/>
    <w:pPr>
      <w:pageBreakBefore/>
      <w:tabs>
        <w:tab w:val="right" w:leader="dot" w:pos="8165"/>
      </w:tabs>
      <w:adjustRightInd w:val="0"/>
      <w:spacing w:line="360" w:lineRule="auto"/>
      <w:ind w:left="0"/>
      <w:jc w:val="left"/>
      <w:outlineLvl w:val="1"/>
    </w:pPr>
    <w:rPr>
      <w:rFonts w:hint="eastAsia" w:ascii="黑体" w:hAnsi="黑体" w:cs="Arial Unicode MS"/>
      <w:b/>
      <w:kern w:val="0"/>
      <w:szCs w:val="20"/>
    </w:rPr>
  </w:style>
  <w:style w:type="paragraph" w:styleId="4">
    <w:name w:val="heading 3"/>
    <w:basedOn w:val="1"/>
    <w:next w:val="1"/>
    <w:link w:val="65"/>
    <w:qFormat/>
    <w:uiPriority w:val="0"/>
    <w:pPr>
      <w:keepNext/>
      <w:keepLines/>
      <w:spacing w:beforeLines="0" w:afterLines="0" w:line="360" w:lineRule="auto"/>
      <w:outlineLvl w:val="2"/>
    </w:pPr>
    <w:rPr>
      <w:rFonts w:ascii="Times New Roman" w:hAnsi="Times New Roman"/>
      <w:b/>
      <w:bCs/>
      <w:szCs w:val="32"/>
    </w:rPr>
  </w:style>
  <w:style w:type="paragraph" w:styleId="5">
    <w:name w:val="heading 4"/>
    <w:basedOn w:val="1"/>
    <w:next w:val="1"/>
    <w:link w:val="66"/>
    <w:qFormat/>
    <w:uiPriority w:val="0"/>
    <w:pPr>
      <w:keepNext/>
      <w:keepLines/>
      <w:spacing w:before="280" w:after="290" w:line="376" w:lineRule="atLeast"/>
      <w:outlineLvl w:val="3"/>
    </w:pPr>
    <w:rPr>
      <w:rFonts w:ascii="Cambria" w:hAnsi="Cambria"/>
      <w:b/>
      <w:bCs/>
      <w:kern w:val="2"/>
      <w:sz w:val="28"/>
      <w:szCs w:val="28"/>
    </w:rPr>
  </w:style>
  <w:style w:type="paragraph" w:styleId="6">
    <w:name w:val="heading 9"/>
    <w:basedOn w:val="1"/>
    <w:next w:val="1"/>
    <w:link w:val="67"/>
    <w:qFormat/>
    <w:uiPriority w:val="0"/>
    <w:pPr>
      <w:keepNext/>
      <w:keepLines/>
      <w:spacing w:before="240" w:after="64" w:line="320" w:lineRule="auto"/>
      <w:outlineLvl w:val="8"/>
    </w:pPr>
    <w:rPr>
      <w:rFonts w:ascii="Arial" w:hAnsi="Arial" w:eastAsia="黑体"/>
      <w:kern w:val="2"/>
      <w:sz w:val="21"/>
      <w:szCs w:val="21"/>
    </w:rPr>
  </w:style>
  <w:style w:type="character" w:default="1" w:styleId="47">
    <w:name w:val="Default Paragraph Font"/>
    <w:qFormat/>
    <w:uiPriority w:val="0"/>
  </w:style>
  <w:style w:type="table" w:default="1" w:styleId="43">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Normal Indent"/>
    <w:basedOn w:val="1"/>
    <w:next w:val="8"/>
    <w:link w:val="68"/>
    <w:qFormat/>
    <w:uiPriority w:val="0"/>
    <w:pPr>
      <w:tabs>
        <w:tab w:val="left" w:pos="5530"/>
      </w:tabs>
      <w:adjustRightInd w:val="0"/>
      <w:snapToGrid w:val="0"/>
      <w:spacing w:line="320" w:lineRule="atLeast"/>
      <w:jc w:val="center"/>
    </w:pPr>
    <w:rPr>
      <w:rFonts w:ascii="宋体" w:hAnsi="宋体"/>
      <w:bCs/>
      <w:sz w:val="24"/>
      <w:szCs w:val="24"/>
    </w:rPr>
  </w:style>
  <w:style w:type="paragraph" w:customStyle="1" w:styleId="8">
    <w:name w:val="表头"/>
    <w:basedOn w:val="9"/>
    <w:next w:val="1"/>
    <w:link w:val="83"/>
    <w:qFormat/>
    <w:uiPriority w:val="0"/>
    <w:pPr>
      <w:tabs>
        <w:tab w:val="left" w:pos="5530"/>
      </w:tabs>
      <w:spacing w:line="240" w:lineRule="auto"/>
      <w:ind w:firstLine="0" w:firstLineChars="0"/>
      <w:jc w:val="center"/>
    </w:pPr>
    <w:rPr>
      <w:rFonts w:ascii="Times New Roman" w:hAnsi="Times New Roman" w:eastAsia="宋体"/>
      <w:b/>
      <w:bCs/>
      <w:sz w:val="21"/>
      <w:szCs w:val="21"/>
    </w:rPr>
  </w:style>
  <w:style w:type="paragraph" w:customStyle="1" w:styleId="9">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styleId="10">
    <w:name w:val="caption"/>
    <w:basedOn w:val="1"/>
    <w:next w:val="1"/>
    <w:qFormat/>
    <w:uiPriority w:val="99"/>
    <w:rPr>
      <w:rFonts w:ascii="Cambria" w:hAnsi="Cambria" w:eastAsia="黑体"/>
      <w:sz w:val="20"/>
    </w:rPr>
  </w:style>
  <w:style w:type="paragraph" w:styleId="11">
    <w:name w:val="Document Map"/>
    <w:basedOn w:val="1"/>
    <w:qFormat/>
    <w:uiPriority w:val="0"/>
    <w:pPr>
      <w:shd w:val="clear" w:color="auto" w:fill="000080"/>
    </w:pPr>
  </w:style>
  <w:style w:type="paragraph" w:styleId="12">
    <w:name w:val="toa heading"/>
    <w:basedOn w:val="1"/>
    <w:next w:val="1"/>
    <w:unhideWhenUsed/>
    <w:qFormat/>
    <w:uiPriority w:val="99"/>
    <w:pPr>
      <w:spacing w:before="120"/>
    </w:pPr>
    <w:rPr>
      <w:rFonts w:ascii="Arial" w:hAnsi="Arial" w:cs="Arial"/>
      <w:sz w:val="24"/>
    </w:rPr>
  </w:style>
  <w:style w:type="paragraph" w:styleId="13">
    <w:name w:val="annotation text"/>
    <w:basedOn w:val="1"/>
    <w:qFormat/>
    <w:uiPriority w:val="0"/>
    <w:pPr>
      <w:jc w:val="left"/>
    </w:pPr>
  </w:style>
  <w:style w:type="paragraph" w:styleId="14">
    <w:name w:val="Salutation"/>
    <w:basedOn w:val="1"/>
    <w:next w:val="1"/>
    <w:link w:val="70"/>
    <w:qFormat/>
    <w:uiPriority w:val="0"/>
  </w:style>
  <w:style w:type="paragraph" w:styleId="15">
    <w:name w:val="Body Text 3"/>
    <w:basedOn w:val="1"/>
    <w:qFormat/>
    <w:uiPriority w:val="0"/>
    <w:pPr>
      <w:spacing w:after="120" w:afterLines="0"/>
    </w:pPr>
    <w:rPr>
      <w:sz w:val="16"/>
      <w:szCs w:val="16"/>
    </w:rPr>
  </w:style>
  <w:style w:type="paragraph" w:styleId="16">
    <w:name w:val="Body Text"/>
    <w:basedOn w:val="1"/>
    <w:next w:val="17"/>
    <w:link w:val="84"/>
    <w:qFormat/>
    <w:uiPriority w:val="0"/>
    <w:pPr>
      <w:adjustRightInd w:val="0"/>
      <w:spacing w:line="360" w:lineRule="auto"/>
      <w:ind w:firstLine="562" w:firstLineChars="200"/>
      <w:jc w:val="left"/>
      <w:textAlignment w:val="baseline"/>
    </w:pPr>
    <w:rPr>
      <w:w w:val="95"/>
    </w:rPr>
  </w:style>
  <w:style w:type="paragraph" w:customStyle="1" w:styleId="17">
    <w:name w:val="明显引用1"/>
    <w:next w:val="1"/>
    <w:qFormat/>
    <w:uiPriority w:val="0"/>
    <w:pPr>
      <w:wordWrap w:val="0"/>
      <w:spacing w:before="360" w:after="360"/>
      <w:ind w:left="950" w:right="950"/>
      <w:jc w:val="center"/>
    </w:pPr>
    <w:rPr>
      <w:rFonts w:ascii="Calibri" w:hAnsi="Calibri" w:eastAsia="宋体" w:cs="Times New Roman"/>
      <w:i/>
      <w:sz w:val="21"/>
      <w:lang w:val="en-US" w:eastAsia="zh-CN" w:bidi="ar-SA"/>
    </w:rPr>
  </w:style>
  <w:style w:type="paragraph" w:styleId="18">
    <w:name w:val="Body Text Indent"/>
    <w:basedOn w:val="1"/>
    <w:next w:val="19"/>
    <w:link w:val="72"/>
    <w:qFormat/>
    <w:uiPriority w:val="0"/>
    <w:pPr>
      <w:adjustRightInd w:val="0"/>
      <w:snapToGrid w:val="0"/>
      <w:spacing w:line="300" w:lineRule="auto"/>
      <w:ind w:firstLine="570"/>
    </w:pPr>
    <w:rPr>
      <w:kern w:val="2"/>
      <w:sz w:val="28"/>
      <w:szCs w:val="24"/>
    </w:rPr>
  </w:style>
  <w:style w:type="paragraph" w:customStyle="1" w:styleId="19">
    <w:name w:val="Default"/>
    <w:basedOn w:val="20"/>
    <w:link w:val="160"/>
    <w:qFormat/>
    <w:uiPriority w:val="0"/>
    <w:pPr>
      <w:autoSpaceDE w:val="0"/>
      <w:autoSpaceDN w:val="0"/>
      <w:adjustRightInd w:val="0"/>
      <w:spacing w:line="240" w:lineRule="auto"/>
      <w:jc w:val="left"/>
    </w:pPr>
    <w:rPr>
      <w:rFonts w:ascii="宋体" w:hAnsi="宋体" w:cs="宋体"/>
      <w:color w:val="000000"/>
      <w:kern w:val="0"/>
      <w:sz w:val="24"/>
    </w:rPr>
  </w:style>
  <w:style w:type="paragraph" w:customStyle="1" w:styleId="20">
    <w:name w:val="文本"/>
    <w:basedOn w:val="1"/>
    <w:next w:val="1"/>
    <w:qFormat/>
    <w:uiPriority w:val="0"/>
    <w:pPr>
      <w:widowControl w:val="0"/>
      <w:adjustRightInd/>
      <w:snapToGrid/>
      <w:spacing w:line="360" w:lineRule="auto"/>
      <w:ind w:firstLine="200" w:firstLineChars="200"/>
    </w:pPr>
    <w:rPr>
      <w:rFonts w:ascii="宋体" w:hAnsi="宋体"/>
      <w:sz w:val="28"/>
      <w:szCs w:val="28"/>
    </w:rPr>
  </w:style>
  <w:style w:type="paragraph" w:styleId="21">
    <w:name w:val="List 2"/>
    <w:basedOn w:val="1"/>
    <w:qFormat/>
    <w:uiPriority w:val="0"/>
    <w:pPr>
      <w:ind w:left="100" w:leftChars="200" w:hanging="200" w:hangingChars="200"/>
    </w:pPr>
  </w:style>
  <w:style w:type="paragraph" w:styleId="22">
    <w:name w:val="toc 3"/>
    <w:basedOn w:val="1"/>
    <w:next w:val="1"/>
    <w:unhideWhenUsed/>
    <w:qFormat/>
    <w:uiPriority w:val="39"/>
    <w:pPr>
      <w:widowControl/>
      <w:spacing w:after="100" w:line="276" w:lineRule="auto"/>
      <w:ind w:left="440"/>
      <w:jc w:val="left"/>
    </w:pPr>
    <w:rPr>
      <w:rFonts w:ascii="Calibri" w:hAnsi="Calibri" w:eastAsia="宋体" w:cs="Times New Roman"/>
      <w:kern w:val="0"/>
      <w:sz w:val="22"/>
      <w:szCs w:val="22"/>
    </w:rPr>
  </w:style>
  <w:style w:type="paragraph" w:styleId="23">
    <w:name w:val="Plain Text"/>
    <w:basedOn w:val="1"/>
    <w:next w:val="1"/>
    <w:link w:val="85"/>
    <w:qFormat/>
    <w:uiPriority w:val="99"/>
    <w:rPr>
      <w:rFonts w:ascii="宋体" w:hAnsi="Courier New"/>
      <w:kern w:val="2"/>
      <w:sz w:val="28"/>
      <w:szCs w:val="21"/>
    </w:rPr>
  </w:style>
  <w:style w:type="paragraph" w:styleId="24">
    <w:name w:val="Date"/>
    <w:basedOn w:val="1"/>
    <w:next w:val="1"/>
    <w:qFormat/>
    <w:uiPriority w:val="0"/>
    <w:rPr>
      <w:sz w:val="28"/>
      <w:szCs w:val="20"/>
    </w:rPr>
  </w:style>
  <w:style w:type="paragraph" w:styleId="25">
    <w:name w:val="Body Text Indent 2"/>
    <w:basedOn w:val="1"/>
    <w:qFormat/>
    <w:uiPriority w:val="0"/>
    <w:pPr>
      <w:spacing w:after="120" w:afterLines="0" w:line="480" w:lineRule="auto"/>
      <w:ind w:left="420" w:leftChars="200"/>
    </w:pPr>
  </w:style>
  <w:style w:type="paragraph" w:styleId="26">
    <w:name w:val="Balloon Text"/>
    <w:basedOn w:val="1"/>
    <w:link w:val="74"/>
    <w:qFormat/>
    <w:uiPriority w:val="0"/>
    <w:rPr>
      <w:sz w:val="18"/>
      <w:szCs w:val="18"/>
    </w:rPr>
  </w:style>
  <w:style w:type="paragraph" w:styleId="27">
    <w:name w:val="footer"/>
    <w:basedOn w:val="1"/>
    <w:link w:val="75"/>
    <w:qFormat/>
    <w:uiPriority w:val="99"/>
    <w:pPr>
      <w:tabs>
        <w:tab w:val="center" w:pos="4153"/>
        <w:tab w:val="right" w:pos="8306"/>
      </w:tabs>
      <w:snapToGrid w:val="0"/>
      <w:jc w:val="left"/>
    </w:pPr>
    <w:rPr>
      <w:kern w:val="2"/>
      <w:sz w:val="18"/>
      <w:szCs w:val="18"/>
    </w:rPr>
  </w:style>
  <w:style w:type="paragraph" w:styleId="28">
    <w:name w:val="header"/>
    <w:basedOn w:val="1"/>
    <w:next w:val="1"/>
    <w:link w:val="76"/>
    <w:qFormat/>
    <w:uiPriority w:val="0"/>
    <w:pPr>
      <w:pBdr>
        <w:bottom w:val="single" w:color="auto" w:sz="6" w:space="1"/>
      </w:pBdr>
      <w:tabs>
        <w:tab w:val="center" w:pos="4153"/>
        <w:tab w:val="right" w:pos="8306"/>
      </w:tabs>
      <w:adjustRightInd w:val="0"/>
      <w:jc w:val="center"/>
      <w:textAlignment w:val="baseline"/>
    </w:pPr>
    <w:rPr>
      <w:rFonts w:ascii="宋体"/>
      <w:sz w:val="18"/>
    </w:rPr>
  </w:style>
  <w:style w:type="paragraph" w:styleId="29">
    <w:name w:val="toc 1"/>
    <w:basedOn w:val="1"/>
    <w:next w:val="1"/>
    <w:qFormat/>
    <w:uiPriority w:val="39"/>
    <w:pPr>
      <w:adjustRightInd w:val="0"/>
      <w:snapToGrid w:val="0"/>
      <w:spacing w:line="360" w:lineRule="auto"/>
      <w:jc w:val="left"/>
    </w:pPr>
    <w:rPr>
      <w:sz w:val="28"/>
      <w:szCs w:val="28"/>
    </w:rPr>
  </w:style>
  <w:style w:type="paragraph" w:styleId="30">
    <w:name w:val="index heading"/>
    <w:basedOn w:val="1"/>
    <w:next w:val="31"/>
    <w:qFormat/>
    <w:uiPriority w:val="0"/>
    <w:pPr>
      <w:spacing w:line="240" w:lineRule="auto"/>
      <w:ind w:firstLine="0"/>
    </w:pPr>
    <w:rPr>
      <w:rFonts w:ascii="Arial" w:hAnsi="Arial" w:cs="Arial"/>
      <w:b/>
      <w:bCs/>
      <w:sz w:val="21"/>
    </w:rPr>
  </w:style>
  <w:style w:type="paragraph" w:styleId="31">
    <w:name w:val="index 1"/>
    <w:basedOn w:val="1"/>
    <w:next w:val="1"/>
    <w:semiHidden/>
    <w:qFormat/>
    <w:uiPriority w:val="0"/>
    <w:pPr>
      <w:spacing w:line="240" w:lineRule="auto"/>
      <w:ind w:firstLine="0"/>
    </w:pPr>
    <w:rPr>
      <w:kern w:val="28"/>
    </w:rPr>
  </w:style>
  <w:style w:type="paragraph" w:styleId="32">
    <w:name w:val="Subtitle"/>
    <w:basedOn w:val="1"/>
    <w:link w:val="77"/>
    <w:qFormat/>
    <w:uiPriority w:val="0"/>
    <w:pPr>
      <w:adjustRightInd w:val="0"/>
      <w:spacing w:before="240" w:beforeLines="0" w:after="60" w:afterLines="0" w:line="312" w:lineRule="atLeast"/>
      <w:jc w:val="center"/>
      <w:textAlignment w:val="baseline"/>
      <w:outlineLvl w:val="1"/>
    </w:pPr>
    <w:rPr>
      <w:rFonts w:ascii="Arial" w:hAnsi="Arial"/>
      <w:b/>
      <w:bCs/>
      <w:kern w:val="28"/>
      <w:sz w:val="32"/>
      <w:szCs w:val="32"/>
    </w:rPr>
  </w:style>
  <w:style w:type="paragraph" w:styleId="33">
    <w:name w:val="List"/>
    <w:basedOn w:val="1"/>
    <w:qFormat/>
    <w:uiPriority w:val="0"/>
    <w:pPr>
      <w:ind w:left="200" w:hanging="200" w:hangingChars="200"/>
    </w:pPr>
  </w:style>
  <w:style w:type="paragraph" w:styleId="34">
    <w:name w:val="Body Text Indent 3"/>
    <w:basedOn w:val="1"/>
    <w:qFormat/>
    <w:uiPriority w:val="0"/>
    <w:pPr>
      <w:adjustRightInd w:val="0"/>
      <w:spacing w:after="120" w:afterLines="0" w:line="480" w:lineRule="atLeast"/>
      <w:ind w:left="420" w:leftChars="200"/>
      <w:jc w:val="left"/>
      <w:textAlignment w:val="baseline"/>
    </w:pPr>
    <w:rPr>
      <w:rFonts w:ascii="宋体"/>
      <w:kern w:val="0"/>
      <w:sz w:val="16"/>
      <w:szCs w:val="16"/>
    </w:rPr>
  </w:style>
  <w:style w:type="paragraph" w:styleId="35">
    <w:name w:val="toc 2"/>
    <w:basedOn w:val="1"/>
    <w:next w:val="1"/>
    <w:qFormat/>
    <w:uiPriority w:val="39"/>
    <w:pPr>
      <w:ind w:left="420"/>
    </w:pPr>
  </w:style>
  <w:style w:type="paragraph" w:styleId="36">
    <w:name w:val="Body Text 2"/>
    <w:basedOn w:val="1"/>
    <w:link w:val="78"/>
    <w:qFormat/>
    <w:uiPriority w:val="0"/>
    <w:pPr>
      <w:spacing w:after="120" w:afterLines="0" w:line="480" w:lineRule="auto"/>
    </w:pPr>
  </w:style>
  <w:style w:type="paragraph" w:styleId="3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rial" w:hAnsi="Arial" w:cs="Arial"/>
      <w:kern w:val="0"/>
      <w:sz w:val="24"/>
    </w:rPr>
  </w:style>
  <w:style w:type="paragraph" w:styleId="38">
    <w:name w:val="Normal (Web)"/>
    <w:basedOn w:val="1"/>
    <w:link w:val="79"/>
    <w:qFormat/>
    <w:uiPriority w:val="0"/>
    <w:pPr>
      <w:widowControl/>
      <w:spacing w:before="100" w:beforeLines="0" w:beforeAutospacing="1" w:after="100" w:afterLines="0" w:afterAutospacing="1" w:line="240" w:lineRule="auto"/>
      <w:jc w:val="left"/>
    </w:pPr>
    <w:rPr>
      <w:rFonts w:ascii="宋体" w:hAnsi="宋体"/>
      <w:color w:val="000000"/>
      <w:sz w:val="24"/>
      <w:szCs w:val="24"/>
    </w:rPr>
  </w:style>
  <w:style w:type="paragraph" w:styleId="39">
    <w:name w:val="Title"/>
    <w:basedOn w:val="1"/>
    <w:link w:val="80"/>
    <w:qFormat/>
    <w:uiPriority w:val="0"/>
    <w:pPr>
      <w:adjustRightInd w:val="0"/>
      <w:spacing w:line="480" w:lineRule="atLeast"/>
      <w:jc w:val="left"/>
      <w:textAlignment w:val="baseline"/>
    </w:pPr>
    <w:rPr>
      <w:rFonts w:ascii="宋体" w:hAnsi="Arial"/>
      <w:kern w:val="28"/>
      <w:sz w:val="24"/>
    </w:rPr>
  </w:style>
  <w:style w:type="paragraph" w:styleId="40">
    <w:name w:val="annotation subject"/>
    <w:basedOn w:val="13"/>
    <w:next w:val="13"/>
    <w:qFormat/>
    <w:uiPriority w:val="0"/>
    <w:rPr>
      <w:b/>
      <w:bCs/>
    </w:rPr>
  </w:style>
  <w:style w:type="paragraph" w:styleId="41">
    <w:name w:val="Body Text First Indent"/>
    <w:basedOn w:val="16"/>
    <w:next w:val="1"/>
    <w:link w:val="81"/>
    <w:qFormat/>
    <w:uiPriority w:val="0"/>
    <w:pPr>
      <w:adjustRightInd/>
      <w:spacing w:after="120"/>
      <w:ind w:firstLine="420" w:firstLineChars="100"/>
      <w:jc w:val="both"/>
      <w:textAlignment w:val="auto"/>
    </w:pPr>
    <w:rPr>
      <w:kern w:val="2"/>
      <w:sz w:val="21"/>
    </w:rPr>
  </w:style>
  <w:style w:type="paragraph" w:styleId="42">
    <w:name w:val="Body Text First Indent 2"/>
    <w:basedOn w:val="18"/>
    <w:next w:val="41"/>
    <w:link w:val="82"/>
    <w:qFormat/>
    <w:uiPriority w:val="0"/>
    <w:pPr>
      <w:adjustRightInd/>
      <w:snapToGrid/>
      <w:spacing w:after="120" w:line="240" w:lineRule="atLeast"/>
      <w:ind w:left="420" w:leftChars="200" w:firstLine="420" w:firstLineChars="200"/>
    </w:pPr>
    <w:rPr>
      <w:sz w:val="21"/>
    </w:rPr>
  </w:style>
  <w:style w:type="table" w:styleId="44">
    <w:name w:val="Table Grid"/>
    <w:basedOn w:val="43"/>
    <w:qFormat/>
    <w:uiPriority w:val="0"/>
    <w:pPr>
      <w:widowControl w:val="0"/>
      <w:spacing w:line="240" w:lineRule="atLeas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5">
    <w:name w:val="Table Classic 1"/>
    <w:basedOn w:val="43"/>
    <w:qFormat/>
    <w:uiPriority w:val="0"/>
    <w:pPr>
      <w:widowControl w:val="0"/>
      <w:spacing w:line="240" w:lineRule="atLeast"/>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46">
    <w:name w:val="Table Simple 2"/>
    <w:basedOn w:val="43"/>
    <w:qFormat/>
    <w:uiPriority w:val="0"/>
    <w:pPr>
      <w:widowControl w:val="0"/>
      <w:spacing w:line="240" w:lineRule="atLeast"/>
      <w:jc w:val="both"/>
    </w:pPr>
    <w:tblPr/>
    <w:tblStylePr w:type="firstRow">
      <w:rPr>
        <w:b/>
        <w:bCs/>
      </w:rPr>
      <w:tblPr/>
      <w:tcPr>
        <w:tcBorders>
          <w:top w:val="nil"/>
          <w:left w:val="single" w:color="000000" w:sz="12" w:space="0"/>
          <w:bottom w:val="nil"/>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nil"/>
          <w:bottom w:val="single" w:color="000000" w:sz="6" w:space="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character" w:styleId="48">
    <w:name w:val="Strong"/>
    <w:qFormat/>
    <w:uiPriority w:val="22"/>
    <w:rPr>
      <w:b/>
      <w:bCs/>
    </w:rPr>
  </w:style>
  <w:style w:type="character" w:styleId="49">
    <w:name w:val="page number"/>
    <w:qFormat/>
    <w:uiPriority w:val="0"/>
  </w:style>
  <w:style w:type="character" w:styleId="50">
    <w:name w:val="FollowedHyperlink"/>
    <w:qFormat/>
    <w:uiPriority w:val="0"/>
    <w:rPr>
      <w:color w:val="338DE6"/>
      <w:u w:val="none"/>
    </w:rPr>
  </w:style>
  <w:style w:type="character" w:styleId="51">
    <w:name w:val="Emphasis"/>
    <w:qFormat/>
    <w:uiPriority w:val="20"/>
    <w:rPr>
      <w:color w:val="CC0000"/>
    </w:rPr>
  </w:style>
  <w:style w:type="character" w:styleId="52">
    <w:name w:val="HTML Definition"/>
    <w:qFormat/>
    <w:uiPriority w:val="0"/>
  </w:style>
  <w:style w:type="character" w:styleId="53">
    <w:name w:val="HTML Variable"/>
    <w:qFormat/>
    <w:uiPriority w:val="0"/>
  </w:style>
  <w:style w:type="character" w:styleId="54">
    <w:name w:val="Hyperlink"/>
    <w:qFormat/>
    <w:uiPriority w:val="99"/>
    <w:rPr>
      <w:color w:val="0000FF"/>
      <w:u w:val="none"/>
    </w:rPr>
  </w:style>
  <w:style w:type="character" w:styleId="55">
    <w:name w:val="HTML Code"/>
    <w:qFormat/>
    <w:uiPriority w:val="0"/>
    <w:rPr>
      <w:rFonts w:ascii="serif" w:hAnsi="serif" w:eastAsia="serif" w:cs="serif"/>
      <w:sz w:val="21"/>
      <w:szCs w:val="21"/>
    </w:rPr>
  </w:style>
  <w:style w:type="character" w:styleId="56">
    <w:name w:val="annotation reference"/>
    <w:qFormat/>
    <w:uiPriority w:val="0"/>
    <w:rPr>
      <w:sz w:val="21"/>
      <w:szCs w:val="21"/>
    </w:rPr>
  </w:style>
  <w:style w:type="character" w:styleId="57">
    <w:name w:val="HTML Cite"/>
    <w:qFormat/>
    <w:uiPriority w:val="0"/>
  </w:style>
  <w:style w:type="character" w:styleId="58">
    <w:name w:val="HTML Keyboard"/>
    <w:qFormat/>
    <w:uiPriority w:val="0"/>
    <w:rPr>
      <w:rFonts w:hint="default" w:ascii="serif" w:hAnsi="serif" w:eastAsia="serif" w:cs="serif"/>
      <w:sz w:val="21"/>
      <w:szCs w:val="21"/>
    </w:rPr>
  </w:style>
  <w:style w:type="character" w:styleId="59">
    <w:name w:val="HTML Sample"/>
    <w:qFormat/>
    <w:uiPriority w:val="0"/>
    <w:rPr>
      <w:rFonts w:hint="default" w:ascii="serif" w:hAnsi="serif" w:eastAsia="serif" w:cs="serif"/>
      <w:sz w:val="21"/>
      <w:szCs w:val="21"/>
    </w:rPr>
  </w:style>
  <w:style w:type="paragraph" w:customStyle="1" w:styleId="60">
    <w:name w:val="初稿正文"/>
    <w:basedOn w:val="1"/>
    <w:link w:val="192"/>
    <w:qFormat/>
    <w:uiPriority w:val="0"/>
    <w:pPr>
      <w:ind w:firstLine="720"/>
    </w:pPr>
    <w:rPr>
      <w:color w:val="FF0000"/>
      <w:sz w:val="21"/>
      <w:szCs w:val="21"/>
    </w:rPr>
  </w:style>
  <w:style w:type="paragraph" w:customStyle="1" w:styleId="61">
    <w:name w:val="表格标题"/>
    <w:basedOn w:val="1"/>
    <w:next w:val="1"/>
    <w:qFormat/>
    <w:uiPriority w:val="0"/>
    <w:pPr>
      <w:adjustRightInd w:val="0"/>
      <w:snapToGrid w:val="0"/>
      <w:spacing w:before="40" w:beforeLines="0" w:after="40" w:afterLines="0" w:line="360" w:lineRule="auto"/>
      <w:ind w:firstLine="624"/>
      <w:jc w:val="center"/>
    </w:pPr>
    <w:rPr>
      <w:rFonts w:eastAsia="黑体"/>
      <w:spacing w:val="14"/>
      <w:sz w:val="28"/>
      <w:szCs w:val="20"/>
    </w:rPr>
  </w:style>
  <w:style w:type="paragraph" w:customStyle="1" w:styleId="62">
    <w:name w:val="表格"/>
    <w:basedOn w:val="7"/>
    <w:next w:val="1"/>
    <w:link w:val="89"/>
    <w:qFormat/>
    <w:uiPriority w:val="0"/>
    <w:pPr>
      <w:adjustRightInd w:val="0"/>
      <w:snapToGrid w:val="0"/>
      <w:spacing w:line="240" w:lineRule="atLeast"/>
      <w:ind w:firstLine="0" w:firstLineChars="0"/>
      <w:jc w:val="center"/>
    </w:pPr>
    <w:rPr>
      <w:rFonts w:ascii="Times New Roman" w:hAnsi="Times New Roman"/>
      <w:bCs w:val="0"/>
      <w:color w:val="000000"/>
      <w:spacing w:val="0"/>
      <w:sz w:val="21"/>
      <w:szCs w:val="21"/>
    </w:rPr>
  </w:style>
  <w:style w:type="character" w:customStyle="1" w:styleId="63">
    <w:name w:val="标题 1 字符"/>
    <w:link w:val="2"/>
    <w:qFormat/>
    <w:uiPriority w:val="0"/>
    <w:rPr>
      <w:rFonts w:ascii="Times New Roman" w:hAnsi="Times New Roman"/>
      <w:b/>
      <w:bCs/>
      <w:kern w:val="44"/>
      <w:sz w:val="28"/>
      <w:szCs w:val="44"/>
    </w:rPr>
  </w:style>
  <w:style w:type="character" w:customStyle="1" w:styleId="64">
    <w:name w:val="标题 2 字符"/>
    <w:link w:val="3"/>
    <w:qFormat/>
    <w:uiPriority w:val="0"/>
    <w:rPr>
      <w:rFonts w:hint="eastAsia" w:ascii="黑体" w:hAnsi="黑体" w:cs="Arial Unicode MS"/>
      <w:b/>
      <w:kern w:val="0"/>
      <w:szCs w:val="20"/>
    </w:rPr>
  </w:style>
  <w:style w:type="character" w:customStyle="1" w:styleId="65">
    <w:name w:val="标题 3 字符"/>
    <w:link w:val="4"/>
    <w:qFormat/>
    <w:uiPriority w:val="0"/>
    <w:rPr>
      <w:rFonts w:ascii="Times New Roman" w:hAnsi="Times New Roman" w:eastAsia="宋体"/>
      <w:b/>
      <w:bCs/>
      <w:kern w:val="2"/>
      <w:sz w:val="24"/>
      <w:szCs w:val="32"/>
      <w:lang w:val="en-US" w:eastAsia="zh-CN" w:bidi="ar-SA"/>
    </w:rPr>
  </w:style>
  <w:style w:type="character" w:customStyle="1" w:styleId="66">
    <w:name w:val="标题 4 字符"/>
    <w:link w:val="5"/>
    <w:semiHidden/>
    <w:qFormat/>
    <w:uiPriority w:val="0"/>
    <w:rPr>
      <w:rFonts w:ascii="Cambria" w:hAnsi="Cambria" w:eastAsia="宋体" w:cs="Times New Roman"/>
      <w:b/>
      <w:bCs/>
      <w:kern w:val="2"/>
      <w:sz w:val="28"/>
      <w:szCs w:val="28"/>
    </w:rPr>
  </w:style>
  <w:style w:type="character" w:customStyle="1" w:styleId="67">
    <w:name w:val="标题 9 字符"/>
    <w:link w:val="6"/>
    <w:qFormat/>
    <w:uiPriority w:val="0"/>
    <w:rPr>
      <w:rFonts w:ascii="Arial" w:hAnsi="Arial" w:eastAsia="黑体"/>
      <w:kern w:val="2"/>
      <w:sz w:val="21"/>
      <w:szCs w:val="21"/>
    </w:rPr>
  </w:style>
  <w:style w:type="character" w:customStyle="1" w:styleId="68">
    <w:name w:val="正文缩进 字符"/>
    <w:link w:val="7"/>
    <w:qFormat/>
    <w:uiPriority w:val="0"/>
    <w:rPr>
      <w:rFonts w:ascii="宋体" w:hAnsi="宋体" w:cs="TimesNewRomanPSMT"/>
      <w:bCs/>
      <w:sz w:val="24"/>
      <w:szCs w:val="24"/>
    </w:rPr>
  </w:style>
  <w:style w:type="character" w:customStyle="1" w:styleId="69">
    <w:name w:val="表头 Char1"/>
    <w:link w:val="8"/>
    <w:qFormat/>
    <w:uiPriority w:val="0"/>
    <w:rPr>
      <w:rFonts w:ascii="Times New Roman" w:hAnsi="Times New Roman" w:eastAsia="宋体"/>
      <w:b/>
      <w:bCs/>
      <w:sz w:val="21"/>
      <w:szCs w:val="21"/>
    </w:rPr>
  </w:style>
  <w:style w:type="character" w:customStyle="1" w:styleId="70">
    <w:name w:val="称呼 字符"/>
    <w:basedOn w:val="47"/>
    <w:link w:val="14"/>
    <w:qFormat/>
    <w:uiPriority w:val="0"/>
    <w:rPr>
      <w:kern w:val="2"/>
      <w:sz w:val="21"/>
      <w:szCs w:val="24"/>
    </w:rPr>
  </w:style>
  <w:style w:type="character" w:customStyle="1" w:styleId="71">
    <w:name w:val="正文文本 字符"/>
    <w:link w:val="16"/>
    <w:qFormat/>
    <w:uiPriority w:val="0"/>
    <w:rPr>
      <w:rFonts w:ascii="Times New Roman" w:hAnsi="Times New Roman" w:eastAsia="宋体"/>
      <w:w w:val="95"/>
      <w:sz w:val="24"/>
      <w:szCs w:val="24"/>
    </w:rPr>
  </w:style>
  <w:style w:type="character" w:customStyle="1" w:styleId="72">
    <w:name w:val="正文文本缩进 字符"/>
    <w:link w:val="18"/>
    <w:qFormat/>
    <w:uiPriority w:val="0"/>
    <w:rPr>
      <w:kern w:val="2"/>
      <w:sz w:val="28"/>
      <w:szCs w:val="24"/>
    </w:rPr>
  </w:style>
  <w:style w:type="character" w:customStyle="1" w:styleId="73">
    <w:name w:val="纯文本 字符"/>
    <w:link w:val="23"/>
    <w:qFormat/>
    <w:uiPriority w:val="0"/>
    <w:rPr>
      <w:rFonts w:ascii="宋体" w:hAnsi="Courier New"/>
      <w:kern w:val="2"/>
      <w:sz w:val="28"/>
      <w:szCs w:val="21"/>
    </w:rPr>
  </w:style>
  <w:style w:type="character" w:customStyle="1" w:styleId="74">
    <w:name w:val="批注框文本 字符"/>
    <w:link w:val="26"/>
    <w:qFormat/>
    <w:uiPriority w:val="0"/>
    <w:rPr>
      <w:sz w:val="18"/>
      <w:szCs w:val="18"/>
    </w:rPr>
  </w:style>
  <w:style w:type="character" w:customStyle="1" w:styleId="75">
    <w:name w:val="页脚 字符"/>
    <w:link w:val="27"/>
    <w:qFormat/>
    <w:uiPriority w:val="99"/>
    <w:rPr>
      <w:kern w:val="2"/>
      <w:sz w:val="18"/>
      <w:szCs w:val="18"/>
    </w:rPr>
  </w:style>
  <w:style w:type="character" w:customStyle="1" w:styleId="76">
    <w:name w:val="页眉 字符"/>
    <w:link w:val="28"/>
    <w:qFormat/>
    <w:uiPriority w:val="0"/>
    <w:rPr>
      <w:rFonts w:ascii="宋体"/>
      <w:sz w:val="18"/>
    </w:rPr>
  </w:style>
  <w:style w:type="character" w:customStyle="1" w:styleId="77">
    <w:name w:val="副标题 字符"/>
    <w:link w:val="32"/>
    <w:qFormat/>
    <w:uiPriority w:val="0"/>
    <w:rPr>
      <w:rFonts w:ascii="Arial" w:hAnsi="Arial" w:cs="Arial"/>
      <w:b/>
      <w:bCs/>
      <w:kern w:val="28"/>
      <w:sz w:val="32"/>
      <w:szCs w:val="32"/>
    </w:rPr>
  </w:style>
  <w:style w:type="character" w:customStyle="1" w:styleId="78">
    <w:name w:val="正文文本 2 字符"/>
    <w:basedOn w:val="47"/>
    <w:link w:val="36"/>
    <w:qFormat/>
    <w:uiPriority w:val="0"/>
    <w:rPr>
      <w:kern w:val="2"/>
      <w:sz w:val="21"/>
      <w:szCs w:val="24"/>
    </w:rPr>
  </w:style>
  <w:style w:type="character" w:customStyle="1" w:styleId="79">
    <w:name w:val="普通(网站) 字符"/>
    <w:link w:val="38"/>
    <w:qFormat/>
    <w:uiPriority w:val="0"/>
    <w:rPr>
      <w:rFonts w:ascii="宋体" w:hAnsi="宋体" w:cs="宋体"/>
      <w:color w:val="000000"/>
      <w:sz w:val="24"/>
      <w:szCs w:val="24"/>
    </w:rPr>
  </w:style>
  <w:style w:type="character" w:customStyle="1" w:styleId="80">
    <w:name w:val="标题 字符"/>
    <w:link w:val="39"/>
    <w:qFormat/>
    <w:uiPriority w:val="0"/>
    <w:rPr>
      <w:rFonts w:ascii="宋体" w:hAnsi="Arial"/>
      <w:kern w:val="28"/>
      <w:sz w:val="24"/>
    </w:rPr>
  </w:style>
  <w:style w:type="character" w:customStyle="1" w:styleId="81">
    <w:name w:val="正文文本首行缩进 字符"/>
    <w:link w:val="41"/>
    <w:qFormat/>
    <w:uiPriority w:val="0"/>
    <w:rPr>
      <w:rFonts w:ascii="宋体"/>
      <w:w w:val="95"/>
      <w:kern w:val="2"/>
      <w:sz w:val="21"/>
    </w:rPr>
  </w:style>
  <w:style w:type="character" w:customStyle="1" w:styleId="82">
    <w:name w:val="正文文本首行缩进 2 字符"/>
    <w:link w:val="42"/>
    <w:qFormat/>
    <w:uiPriority w:val="0"/>
    <w:rPr>
      <w:kern w:val="2"/>
      <w:sz w:val="21"/>
      <w:szCs w:val="24"/>
    </w:rPr>
  </w:style>
  <w:style w:type="character" w:customStyle="1" w:styleId="83">
    <w:name w:val="表头 Char"/>
    <w:link w:val="8"/>
    <w:qFormat/>
    <w:uiPriority w:val="0"/>
    <w:rPr>
      <w:rFonts w:ascii="Calibri" w:hAnsi="Calibri" w:eastAsia="宋体" w:cs="Times New Roman"/>
      <w:b/>
      <w:bCs/>
      <w:color w:val="000000"/>
      <w:kern w:val="0"/>
      <w:sz w:val="24"/>
      <w:szCs w:val="28"/>
      <w:lang w:val="en-US" w:eastAsia="zh-CN" w:bidi="ar-SA"/>
    </w:rPr>
  </w:style>
  <w:style w:type="character" w:customStyle="1" w:styleId="84">
    <w:name w:val="正文文本 字符2"/>
    <w:basedOn w:val="47"/>
    <w:link w:val="16"/>
    <w:qFormat/>
    <w:uiPriority w:val="0"/>
    <w:rPr>
      <w:sz w:val="18"/>
    </w:rPr>
  </w:style>
  <w:style w:type="character" w:customStyle="1" w:styleId="85">
    <w:name w:val="纯文本 字符1"/>
    <w:basedOn w:val="47"/>
    <w:link w:val="23"/>
    <w:qFormat/>
    <w:uiPriority w:val="0"/>
    <w:rPr>
      <w:rFonts w:hint="eastAsia" w:ascii="宋体" w:hAnsi="Courier New" w:eastAsia="宋体" w:cs="宋体"/>
      <w:kern w:val="2"/>
      <w:sz w:val="21"/>
    </w:rPr>
  </w:style>
  <w:style w:type="paragraph" w:customStyle="1" w:styleId="86">
    <w:name w:val="样式 标题 1 + 四号 段前: 0 磅 段后: 0 磅 行距: 1.5 倍行距"/>
    <w:basedOn w:val="87"/>
    <w:next w:val="88"/>
    <w:qFormat/>
    <w:uiPriority w:val="0"/>
    <w:pPr>
      <w:adjustRightInd w:val="0"/>
      <w:snapToGrid w:val="0"/>
      <w:spacing w:line="360" w:lineRule="auto"/>
      <w:jc w:val="center"/>
    </w:pPr>
    <w:rPr>
      <w:rFonts w:ascii="Times New Roman" w:hAnsi="Times New Roman"/>
      <w:sz w:val="24"/>
      <w:szCs w:val="24"/>
    </w:rPr>
  </w:style>
  <w:style w:type="paragraph" w:customStyle="1" w:styleId="87">
    <w:name w:val="1正文"/>
    <w:basedOn w:val="1"/>
    <w:qFormat/>
    <w:uiPriority w:val="0"/>
    <w:pPr>
      <w:spacing w:line="500" w:lineRule="exact"/>
      <w:ind w:firstLine="588" w:firstLineChars="196"/>
    </w:pPr>
    <w:rPr>
      <w:rFonts w:eastAsia="楷体_GB2312"/>
      <w:sz w:val="30"/>
      <w:szCs w:val="30"/>
    </w:rPr>
  </w:style>
  <w:style w:type="paragraph" w:customStyle="1" w:styleId="88">
    <w:name w:val="文本正文"/>
    <w:basedOn w:val="1"/>
    <w:qFormat/>
    <w:uiPriority w:val="0"/>
    <w:pPr>
      <w:snapToGrid w:val="0"/>
      <w:spacing w:line="360" w:lineRule="auto"/>
      <w:ind w:firstLine="510"/>
      <w:jc w:val="left"/>
    </w:pPr>
    <w:rPr>
      <w:spacing w:val="4"/>
      <w:kern w:val="24"/>
      <w:szCs w:val="24"/>
      <w:lang w:val="zh-CN"/>
    </w:rPr>
  </w:style>
  <w:style w:type="character" w:customStyle="1" w:styleId="89">
    <w:name w:val="表格 Char Char"/>
    <w:link w:val="62"/>
    <w:qFormat/>
    <w:uiPriority w:val="0"/>
    <w:rPr>
      <w:rFonts w:ascii="Times New Roman" w:hAnsi="Times New Roman" w:eastAsia="宋体"/>
      <w:snapToGrid/>
      <w:color w:val="000000"/>
      <w:spacing w:val="0"/>
      <w:sz w:val="21"/>
      <w:szCs w:val="21"/>
    </w:rPr>
  </w:style>
  <w:style w:type="paragraph" w:customStyle="1" w:styleId="90">
    <w:name w:val="WPSOffice手动目录 1"/>
    <w:qFormat/>
    <w:uiPriority w:val="0"/>
    <w:pPr>
      <w:spacing w:line="360" w:lineRule="auto"/>
    </w:pPr>
    <w:rPr>
      <w:rFonts w:ascii="Times New Roman" w:hAnsi="Times New Roman" w:eastAsia="宋体" w:cs="Times New Roman"/>
      <w:sz w:val="28"/>
      <w:lang w:val="en-US" w:eastAsia="zh-CN" w:bidi="ar-SA"/>
    </w:rPr>
  </w:style>
  <w:style w:type="paragraph" w:customStyle="1" w:styleId="91">
    <w:name w:val="表格文字"/>
    <w:basedOn w:val="8"/>
    <w:next w:val="1"/>
    <w:link w:val="92"/>
    <w:qFormat/>
    <w:uiPriority w:val="0"/>
    <w:pPr>
      <w:autoSpaceDE w:val="0"/>
      <w:autoSpaceDN w:val="0"/>
      <w:adjustRightInd w:val="0"/>
      <w:spacing w:line="240" w:lineRule="atLeast"/>
      <w:ind w:firstLine="0" w:firstLineChars="0"/>
      <w:jc w:val="center"/>
      <w:textAlignment w:val="bottom"/>
    </w:pPr>
    <w:rPr>
      <w:color w:val="000000"/>
      <w:kern w:val="0"/>
      <w:sz w:val="21"/>
      <w:szCs w:val="21"/>
    </w:rPr>
  </w:style>
  <w:style w:type="character" w:customStyle="1" w:styleId="92">
    <w:name w:val="表格文字 Char"/>
    <w:link w:val="91"/>
    <w:qFormat/>
    <w:uiPriority w:val="0"/>
    <w:rPr>
      <w:b/>
      <w:bCs/>
      <w:color w:val="000000"/>
      <w:sz w:val="21"/>
      <w:szCs w:val="21"/>
    </w:rPr>
  </w:style>
  <w:style w:type="paragraph" w:customStyle="1" w:styleId="93">
    <w:name w:val="Table Paragraph"/>
    <w:basedOn w:val="1"/>
    <w:qFormat/>
    <w:uiPriority w:val="1"/>
    <w:pPr>
      <w:spacing w:line="240" w:lineRule="auto"/>
      <w:jc w:val="left"/>
    </w:pPr>
    <w:rPr>
      <w:rFonts w:ascii="Calibri" w:hAnsi="Calibri" w:eastAsia="宋体" w:cs="Times New Roman"/>
      <w:kern w:val="0"/>
      <w:sz w:val="22"/>
      <w:szCs w:val="22"/>
      <w:lang w:eastAsia="en-US"/>
    </w:rPr>
  </w:style>
  <w:style w:type="paragraph" w:styleId="94">
    <w:name w:val="List Paragraph"/>
    <w:basedOn w:val="1"/>
    <w:qFormat/>
    <w:uiPriority w:val="34"/>
    <w:pPr>
      <w:adjustRightInd w:val="0"/>
      <w:snapToGrid w:val="0"/>
      <w:spacing w:line="360" w:lineRule="auto"/>
      <w:ind w:firstLine="420" w:firstLineChars="200"/>
      <w:outlineLvl w:val="0"/>
    </w:pPr>
    <w:rPr>
      <w:rFonts w:ascii="仿宋_GB2312" w:hAnsi="仿宋" w:eastAsia="仿宋_GB2312" w:cs="宋体"/>
      <w:sz w:val="32"/>
      <w:szCs w:val="32"/>
    </w:rPr>
  </w:style>
  <w:style w:type="paragraph" w:customStyle="1" w:styleId="95">
    <w:name w:val="表格格式"/>
    <w:basedOn w:val="1"/>
    <w:next w:val="1"/>
    <w:qFormat/>
    <w:uiPriority w:val="0"/>
    <w:pPr>
      <w:adjustRightInd w:val="0"/>
      <w:snapToGrid w:val="0"/>
      <w:spacing w:line="240" w:lineRule="auto"/>
      <w:ind w:left="-120" w:leftChars="-50" w:right="-120" w:rightChars="-50"/>
      <w:jc w:val="center"/>
    </w:pPr>
    <w:rPr>
      <w:sz w:val="18"/>
    </w:rPr>
  </w:style>
  <w:style w:type="paragraph" w:customStyle="1" w:styleId="96">
    <w:name w:val="表格1"/>
    <w:basedOn w:val="1"/>
    <w:qFormat/>
    <w:uiPriority w:val="0"/>
    <w:pPr>
      <w:tabs>
        <w:tab w:val="left" w:pos="1440"/>
        <w:tab w:val="left" w:pos="1680"/>
      </w:tabs>
      <w:jc w:val="center"/>
    </w:pPr>
    <w:rPr>
      <w:rFonts w:ascii="宋体"/>
      <w:spacing w:val="20"/>
      <w:w w:val="95"/>
      <w:kern w:val="0"/>
      <w:szCs w:val="20"/>
    </w:rPr>
  </w:style>
  <w:style w:type="paragraph" w:customStyle="1" w:styleId="97">
    <w:name w:val="翔一正文"/>
    <w:basedOn w:val="1"/>
    <w:next w:val="1"/>
    <w:semiHidden/>
    <w:qFormat/>
    <w:uiPriority w:val="0"/>
    <w:pPr>
      <w:spacing w:line="360" w:lineRule="auto"/>
      <w:ind w:firstLine="1446" w:firstLineChars="200"/>
    </w:pPr>
    <w:rPr>
      <w:sz w:val="24"/>
      <w:szCs w:val="21"/>
    </w:rPr>
  </w:style>
  <w:style w:type="paragraph" w:customStyle="1" w:styleId="98">
    <w:name w:val="正文首行缩进2"/>
    <w:basedOn w:val="1"/>
    <w:qFormat/>
    <w:uiPriority w:val="99"/>
    <w:pPr>
      <w:spacing w:line="500" w:lineRule="atLeast"/>
      <w:ind w:firstLine="560"/>
    </w:pPr>
  </w:style>
  <w:style w:type="paragraph" w:customStyle="1" w:styleId="99">
    <w:name w:val=" Char"/>
    <w:basedOn w:val="1"/>
    <w:qFormat/>
    <w:uiPriority w:val="0"/>
    <w:pPr>
      <w:spacing w:line="240" w:lineRule="auto"/>
    </w:pPr>
    <w:rPr>
      <w:sz w:val="24"/>
    </w:rPr>
  </w:style>
  <w:style w:type="character" w:customStyle="1" w:styleId="100">
    <w:name w:val="apple-style-span"/>
    <w:qFormat/>
    <w:uiPriority w:val="0"/>
  </w:style>
  <w:style w:type="character" w:customStyle="1" w:styleId="101">
    <w:name w:val="房-表格内容（五号） Char"/>
    <w:link w:val="102"/>
    <w:qFormat/>
    <w:uiPriority w:val="0"/>
    <w:rPr>
      <w:color w:val="000000"/>
      <w:kern w:val="44"/>
      <w:sz w:val="21"/>
      <w:szCs w:val="21"/>
    </w:rPr>
  </w:style>
  <w:style w:type="paragraph" w:customStyle="1" w:styleId="102">
    <w:name w:val="房-表格内容（五号）"/>
    <w:basedOn w:val="1"/>
    <w:link w:val="101"/>
    <w:qFormat/>
    <w:uiPriority w:val="0"/>
    <w:pPr>
      <w:adjustRightInd w:val="0"/>
      <w:snapToGrid w:val="0"/>
      <w:spacing w:line="240" w:lineRule="auto"/>
      <w:jc w:val="center"/>
    </w:pPr>
    <w:rPr>
      <w:color w:val="000000"/>
      <w:kern w:val="44"/>
      <w:sz w:val="21"/>
      <w:szCs w:val="21"/>
    </w:rPr>
  </w:style>
  <w:style w:type="character" w:customStyle="1" w:styleId="103">
    <w:name w:val="样式 正文首行缩进 2 + Char"/>
    <w:link w:val="104"/>
    <w:qFormat/>
    <w:uiPriority w:val="0"/>
    <w:rPr>
      <w:kern w:val="2"/>
      <w:sz w:val="28"/>
      <w:szCs w:val="24"/>
    </w:rPr>
  </w:style>
  <w:style w:type="paragraph" w:customStyle="1" w:styleId="104">
    <w:name w:val="样式 正文首行缩进 2 +"/>
    <w:basedOn w:val="42"/>
    <w:link w:val="103"/>
    <w:qFormat/>
    <w:uiPriority w:val="0"/>
    <w:pPr>
      <w:spacing w:after="0" w:line="360" w:lineRule="auto"/>
      <w:ind w:left="0" w:leftChars="0" w:firstLine="454" w:firstLineChars="0"/>
    </w:pPr>
    <w:rPr>
      <w:sz w:val="28"/>
    </w:rPr>
  </w:style>
  <w:style w:type="character" w:customStyle="1" w:styleId="105">
    <w:name w:val="font21"/>
    <w:qFormat/>
    <w:uiPriority w:val="0"/>
    <w:rPr>
      <w:rFonts w:hint="eastAsia" w:ascii="宋体" w:hAnsi="宋体" w:eastAsia="宋体"/>
      <w:b/>
      <w:bCs/>
      <w:color w:val="000000"/>
      <w:sz w:val="36"/>
      <w:szCs w:val="36"/>
      <w:u w:val="none"/>
    </w:rPr>
  </w:style>
  <w:style w:type="character" w:customStyle="1" w:styleId="106">
    <w:name w:val="无间隔 Char"/>
    <w:qFormat/>
    <w:uiPriority w:val="0"/>
    <w:rPr>
      <w:rFonts w:ascii="Times New Roman" w:hAnsi="Times New Roman" w:cs="Times New Roman"/>
      <w:sz w:val="18"/>
      <w:szCs w:val="18"/>
    </w:rPr>
  </w:style>
  <w:style w:type="character" w:customStyle="1" w:styleId="107">
    <w:name w:val="昆明中海正文 Char Char"/>
    <w:link w:val="108"/>
    <w:qFormat/>
    <w:uiPriority w:val="0"/>
    <w:rPr>
      <w:rFonts w:ascii="宋体" w:hAnsi="宋体" w:cs="宋体"/>
      <w:bCs/>
      <w:snapToGrid/>
      <w:spacing w:val="12"/>
      <w:sz w:val="24"/>
      <w:szCs w:val="24"/>
    </w:rPr>
  </w:style>
  <w:style w:type="paragraph" w:customStyle="1" w:styleId="108">
    <w:name w:val="昆明中海正文"/>
    <w:basedOn w:val="1"/>
    <w:link w:val="107"/>
    <w:qFormat/>
    <w:uiPriority w:val="0"/>
    <w:pPr>
      <w:spacing w:line="360" w:lineRule="auto"/>
      <w:ind w:firstLine="567"/>
    </w:pPr>
    <w:rPr>
      <w:rFonts w:ascii="宋体" w:hAnsi="宋体"/>
      <w:bCs/>
      <w:spacing w:val="12"/>
      <w:sz w:val="24"/>
      <w:szCs w:val="24"/>
    </w:rPr>
  </w:style>
  <w:style w:type="character" w:customStyle="1" w:styleId="109">
    <w:name w:val="grame"/>
    <w:qFormat/>
    <w:uiPriority w:val="0"/>
  </w:style>
  <w:style w:type="character" w:customStyle="1" w:styleId="110">
    <w:name w:val="apple-converted-space"/>
    <w:qFormat/>
    <w:uiPriority w:val="0"/>
  </w:style>
  <w:style w:type="character" w:customStyle="1" w:styleId="111">
    <w:name w:val="postbody1"/>
    <w:qFormat/>
    <w:uiPriority w:val="0"/>
    <w:rPr>
      <w:spacing w:val="270"/>
      <w:sz w:val="21"/>
      <w:szCs w:val="21"/>
    </w:rPr>
  </w:style>
  <w:style w:type="character" w:customStyle="1" w:styleId="112">
    <w:name w:val="样式"/>
    <w:qFormat/>
    <w:uiPriority w:val="0"/>
    <w:rPr>
      <w:color w:val="auto"/>
      <w:spacing w:val="8"/>
      <w:w w:val="100"/>
      <w:position w:val="0"/>
    </w:rPr>
  </w:style>
  <w:style w:type="character" w:customStyle="1" w:styleId="113">
    <w:name w:val="表格文字1 Char Char"/>
    <w:link w:val="114"/>
    <w:qFormat/>
    <w:uiPriority w:val="0"/>
    <w:rPr>
      <w:kern w:val="2"/>
      <w:sz w:val="21"/>
      <w:szCs w:val="21"/>
    </w:rPr>
  </w:style>
  <w:style w:type="paragraph" w:customStyle="1" w:styleId="114">
    <w:name w:val="表格文字1"/>
    <w:basedOn w:val="1"/>
    <w:link w:val="113"/>
    <w:qFormat/>
    <w:uiPriority w:val="0"/>
    <w:pPr>
      <w:snapToGrid w:val="0"/>
      <w:spacing w:line="300" w:lineRule="atLeast"/>
      <w:jc w:val="center"/>
    </w:pPr>
    <w:rPr>
      <w:kern w:val="2"/>
      <w:sz w:val="21"/>
      <w:szCs w:val="21"/>
    </w:rPr>
  </w:style>
  <w:style w:type="character" w:customStyle="1" w:styleId="115">
    <w:name w:val="郭-正文 Char"/>
    <w:link w:val="116"/>
    <w:qFormat/>
    <w:uiPriority w:val="0"/>
    <w:rPr>
      <w:rFonts w:ascii="宋体" w:hAnsi="宋体" w:cs="仿宋_GB2312"/>
      <w:kern w:val="2"/>
      <w:sz w:val="24"/>
      <w:szCs w:val="24"/>
    </w:rPr>
  </w:style>
  <w:style w:type="paragraph" w:customStyle="1" w:styleId="116">
    <w:name w:val="郭-正文"/>
    <w:basedOn w:val="23"/>
    <w:link w:val="115"/>
    <w:qFormat/>
    <w:uiPriority w:val="0"/>
    <w:pPr>
      <w:spacing w:line="360" w:lineRule="auto"/>
      <w:ind w:firstLine="200" w:firstLineChars="200"/>
    </w:pPr>
    <w:rPr>
      <w:rFonts w:hAnsi="宋体"/>
      <w:sz w:val="24"/>
      <w:szCs w:val="24"/>
    </w:rPr>
  </w:style>
  <w:style w:type="character" w:customStyle="1" w:styleId="117">
    <w:name w:val="报告正文邹 Char"/>
    <w:link w:val="118"/>
    <w:qFormat/>
    <w:uiPriority w:val="0"/>
    <w:rPr>
      <w:spacing w:val="10"/>
      <w:kern w:val="2"/>
      <w:sz w:val="24"/>
      <w:szCs w:val="24"/>
    </w:rPr>
  </w:style>
  <w:style w:type="paragraph" w:customStyle="1" w:styleId="118">
    <w:name w:val="报告正文邹"/>
    <w:basedOn w:val="1"/>
    <w:next w:val="1"/>
    <w:link w:val="117"/>
    <w:qFormat/>
    <w:uiPriority w:val="0"/>
    <w:pPr>
      <w:spacing w:before="156" w:beforeLines="50" w:after="62" w:afterLines="20" w:line="324" w:lineRule="auto"/>
      <w:ind w:firstLine="200" w:firstLineChars="200"/>
    </w:pPr>
    <w:rPr>
      <w:spacing w:val="10"/>
      <w:kern w:val="2"/>
      <w:sz w:val="24"/>
      <w:szCs w:val="24"/>
    </w:rPr>
  </w:style>
  <w:style w:type="character" w:customStyle="1" w:styleId="119">
    <w:name w:val="网格型 Char"/>
    <w:qFormat/>
    <w:locked/>
    <w:uiPriority w:val="0"/>
    <w:rPr>
      <w:rFonts w:hint="eastAsia" w:ascii="宋体" w:hAnsi="宋体" w:eastAsia="宋体"/>
      <w:spacing w:val="10"/>
      <w:kern w:val="2"/>
      <w:sz w:val="21"/>
      <w:szCs w:val="21"/>
      <w:lang w:val="en-US" w:eastAsia="zh-CN" w:bidi="ar-SA"/>
    </w:rPr>
  </w:style>
  <w:style w:type="character" w:customStyle="1" w:styleId="120">
    <w:name w:val="房-表格内容（五号） Char Char"/>
    <w:qFormat/>
    <w:uiPriority w:val="0"/>
    <w:rPr>
      <w:rFonts w:eastAsia="宋体" w:cs="TimesNewRomanPSMT"/>
      <w:bCs/>
      <w:color w:val="000000"/>
      <w:kern w:val="44"/>
      <w:sz w:val="21"/>
      <w:szCs w:val="21"/>
      <w:lang w:val="en-US" w:eastAsia="zh-CN" w:bidi="ar-SA"/>
    </w:rPr>
  </w:style>
  <w:style w:type="character" w:customStyle="1" w:styleId="121">
    <w:name w:val="表格文字1 Char"/>
    <w:qFormat/>
    <w:uiPriority w:val="0"/>
    <w:rPr>
      <w:rFonts w:eastAsia="宋体"/>
      <w:spacing w:val="10"/>
      <w:kern w:val="2"/>
      <w:sz w:val="24"/>
      <w:szCs w:val="24"/>
      <w:lang w:val="en-US" w:eastAsia="zh-CN" w:bidi="ar-SA"/>
    </w:rPr>
  </w:style>
  <w:style w:type="character" w:customStyle="1" w:styleId="122">
    <w:name w:val="公文标题"/>
    <w:qFormat/>
    <w:uiPriority w:val="0"/>
    <w:rPr>
      <w:rFonts w:hint="eastAsia" w:ascii="金山简标宋" w:eastAsia="金山简标宋"/>
      <w:sz w:val="44"/>
    </w:rPr>
  </w:style>
  <w:style w:type="character" w:customStyle="1" w:styleId="123">
    <w:name w:val="font11"/>
    <w:qFormat/>
    <w:uiPriority w:val="0"/>
    <w:rPr>
      <w:rFonts w:hint="eastAsia" w:ascii="宋体" w:hAnsi="宋体" w:eastAsia="宋体"/>
      <w:color w:val="000000"/>
      <w:sz w:val="36"/>
      <w:szCs w:val="36"/>
      <w:u w:val="none"/>
    </w:rPr>
  </w:style>
  <w:style w:type="character" w:customStyle="1" w:styleId="124">
    <w:name w:val="魏秀珍   正文 Char"/>
    <w:link w:val="125"/>
    <w:qFormat/>
    <w:uiPriority w:val="0"/>
    <w:rPr>
      <w:rFonts w:ascii="宋体" w:hAnsi="宋体"/>
      <w:b/>
      <w:snapToGrid/>
      <w:spacing w:val="4"/>
      <w:sz w:val="24"/>
      <w:szCs w:val="28"/>
      <w:lang w:val="en-GB" w:bidi="he-IL"/>
    </w:rPr>
  </w:style>
  <w:style w:type="paragraph" w:customStyle="1" w:styleId="125">
    <w:name w:val="魏秀珍   正文"/>
    <w:basedOn w:val="7"/>
    <w:link w:val="124"/>
    <w:qFormat/>
    <w:uiPriority w:val="0"/>
    <w:pPr>
      <w:tabs>
        <w:tab w:val="left" w:pos="574"/>
        <w:tab w:val="clear" w:pos="5530"/>
      </w:tabs>
      <w:adjustRightInd/>
      <w:snapToGrid/>
      <w:spacing w:line="360" w:lineRule="auto"/>
      <w:jc w:val="both"/>
    </w:pPr>
    <w:rPr>
      <w:b/>
      <w:bCs w:val="0"/>
      <w:spacing w:val="4"/>
      <w:szCs w:val="28"/>
      <w:lang w:val="en-GB" w:bidi="he-IL"/>
    </w:rPr>
  </w:style>
  <w:style w:type="character" w:customStyle="1" w:styleId="126">
    <w:name w:val="方案正文样式 Char"/>
    <w:link w:val="127"/>
    <w:qFormat/>
    <w:uiPriority w:val="0"/>
    <w:rPr>
      <w:snapToGrid/>
      <w:sz w:val="24"/>
      <w:szCs w:val="24"/>
    </w:rPr>
  </w:style>
  <w:style w:type="paragraph" w:customStyle="1" w:styleId="127">
    <w:name w:val="方案正文样式"/>
    <w:basedOn w:val="1"/>
    <w:link w:val="126"/>
    <w:qFormat/>
    <w:uiPriority w:val="0"/>
    <w:pPr>
      <w:adjustRightInd w:val="0"/>
      <w:snapToGrid w:val="0"/>
      <w:spacing w:line="360" w:lineRule="auto"/>
      <w:ind w:firstLine="454"/>
      <w:textAlignment w:val="baseline"/>
    </w:pPr>
    <w:rPr>
      <w:sz w:val="24"/>
      <w:szCs w:val="24"/>
    </w:rPr>
  </w:style>
  <w:style w:type="character" w:customStyle="1" w:styleId="128">
    <w:name w:val="unnamed41"/>
    <w:qFormat/>
    <w:uiPriority w:val="0"/>
    <w:rPr>
      <w:color w:val="333333"/>
      <w:sz w:val="21"/>
      <w:szCs w:val="21"/>
    </w:rPr>
  </w:style>
  <w:style w:type="character" w:customStyle="1" w:styleId="129">
    <w:name w:val="表格2 Char"/>
    <w:link w:val="130"/>
    <w:qFormat/>
    <w:locked/>
    <w:uiPriority w:val="0"/>
    <w:rPr>
      <w:snapToGrid/>
      <w:color w:val="000000"/>
      <w:sz w:val="21"/>
      <w:szCs w:val="21"/>
    </w:rPr>
  </w:style>
  <w:style w:type="paragraph" w:customStyle="1" w:styleId="130">
    <w:name w:val="表格2"/>
    <w:basedOn w:val="1"/>
    <w:next w:val="1"/>
    <w:link w:val="129"/>
    <w:qFormat/>
    <w:uiPriority w:val="0"/>
    <w:pPr>
      <w:spacing w:line="360" w:lineRule="exact"/>
      <w:jc w:val="center"/>
    </w:pPr>
    <w:rPr>
      <w:color w:val="000000"/>
      <w:sz w:val="21"/>
      <w:szCs w:val="21"/>
    </w:rPr>
  </w:style>
  <w:style w:type="character" w:customStyle="1" w:styleId="131">
    <w:name w:val="puntext"/>
    <w:qFormat/>
    <w:uiPriority w:val="0"/>
  </w:style>
  <w:style w:type="character" w:customStyle="1" w:styleId="132">
    <w:name w:val="房-报告正文 Char"/>
    <w:qFormat/>
    <w:uiPriority w:val="0"/>
    <w:rPr>
      <w:rFonts w:hAnsi="宋体"/>
      <w:snapToGrid/>
      <w:spacing w:val="10"/>
      <w:sz w:val="28"/>
      <w:szCs w:val="28"/>
    </w:rPr>
  </w:style>
  <w:style w:type="character" w:customStyle="1" w:styleId="133">
    <w:name w:val="表内格式 Char1"/>
    <w:link w:val="134"/>
    <w:qFormat/>
    <w:uiPriority w:val="0"/>
    <w:rPr>
      <w:rFonts w:eastAsia="楷体_GB2312"/>
      <w:kern w:val="2"/>
      <w:sz w:val="24"/>
    </w:rPr>
  </w:style>
  <w:style w:type="paragraph" w:customStyle="1" w:styleId="134">
    <w:name w:val="表内格式"/>
    <w:basedOn w:val="1"/>
    <w:link w:val="133"/>
    <w:qFormat/>
    <w:uiPriority w:val="0"/>
    <w:pPr>
      <w:spacing w:line="240" w:lineRule="auto"/>
      <w:jc w:val="center"/>
    </w:pPr>
    <w:rPr>
      <w:rFonts w:eastAsia="楷体_GB2312"/>
      <w:kern w:val="2"/>
      <w:sz w:val="24"/>
    </w:rPr>
  </w:style>
  <w:style w:type="character" w:customStyle="1" w:styleId="135">
    <w:name w:val="表标题 Char"/>
    <w:link w:val="136"/>
    <w:qFormat/>
    <w:uiPriority w:val="0"/>
    <w:rPr>
      <w:rFonts w:eastAsia="黑体"/>
      <w:snapToGrid/>
      <w:color w:val="000000"/>
      <w:sz w:val="24"/>
      <w:szCs w:val="24"/>
    </w:rPr>
  </w:style>
  <w:style w:type="paragraph" w:customStyle="1" w:styleId="136">
    <w:name w:val="表标题"/>
    <w:basedOn w:val="1"/>
    <w:next w:val="1"/>
    <w:link w:val="135"/>
    <w:qFormat/>
    <w:uiPriority w:val="0"/>
    <w:pPr>
      <w:adjustRightInd w:val="0"/>
      <w:snapToGrid w:val="0"/>
      <w:spacing w:before="312" w:beforeLines="100" w:after="62" w:afterLines="20" w:line="240" w:lineRule="auto"/>
      <w:ind w:left="238" w:right="238"/>
      <w:jc w:val="center"/>
    </w:pPr>
    <w:rPr>
      <w:rFonts w:eastAsia="黑体"/>
      <w:color w:val="000000"/>
      <w:sz w:val="24"/>
      <w:szCs w:val="24"/>
    </w:rPr>
  </w:style>
  <w:style w:type="character" w:customStyle="1" w:styleId="137">
    <w:name w:val="spelle"/>
    <w:qFormat/>
    <w:uiPriority w:val="0"/>
  </w:style>
  <w:style w:type="character" w:customStyle="1" w:styleId="138">
    <w:name w:val="contents1"/>
    <w:qFormat/>
    <w:uiPriority w:val="0"/>
    <w:rPr>
      <w:color w:val="000000"/>
      <w:sz w:val="21"/>
      <w:szCs w:val="21"/>
      <w:u w:val="none"/>
    </w:rPr>
  </w:style>
  <w:style w:type="character" w:customStyle="1" w:styleId="139">
    <w:name w:val="纯文本 Char2"/>
    <w:qFormat/>
    <w:uiPriority w:val="0"/>
    <w:rPr>
      <w:rFonts w:ascii="宋体" w:hAnsi="Courier New" w:eastAsia="宋体" w:cs="仿宋_GB2312"/>
      <w:kern w:val="2"/>
      <w:sz w:val="21"/>
      <w:szCs w:val="21"/>
      <w:lang w:val="en-US" w:eastAsia="zh-CN" w:bidi="ar-SA"/>
    </w:rPr>
  </w:style>
  <w:style w:type="character" w:customStyle="1" w:styleId="140">
    <w:name w:val="wj样式 Char Char"/>
    <w:link w:val="141"/>
    <w:qFormat/>
    <w:uiPriority w:val="0"/>
    <w:rPr>
      <w:spacing w:val="14"/>
      <w:kern w:val="2"/>
      <w:sz w:val="24"/>
      <w:szCs w:val="24"/>
    </w:rPr>
  </w:style>
  <w:style w:type="paragraph" w:customStyle="1" w:styleId="141">
    <w:name w:val="wj样式"/>
    <w:basedOn w:val="1"/>
    <w:next w:val="1"/>
    <w:link w:val="140"/>
    <w:qFormat/>
    <w:uiPriority w:val="0"/>
    <w:pPr>
      <w:spacing w:line="360" w:lineRule="auto"/>
      <w:ind w:firstLine="200" w:firstLineChars="200"/>
    </w:pPr>
    <w:rPr>
      <w:spacing w:val="14"/>
      <w:kern w:val="2"/>
      <w:sz w:val="24"/>
      <w:szCs w:val="24"/>
    </w:rPr>
  </w:style>
  <w:style w:type="character" w:customStyle="1" w:styleId="142">
    <w:name w:val="tx131"/>
    <w:qFormat/>
    <w:uiPriority w:val="0"/>
    <w:rPr>
      <w:rFonts w:hint="eastAsia" w:ascii="宋体" w:hAnsi="宋体" w:eastAsia="宋体"/>
      <w:sz w:val="20"/>
      <w:szCs w:val="20"/>
    </w:rPr>
  </w:style>
  <w:style w:type="character" w:customStyle="1" w:styleId="143">
    <w:name w:val="房-报告正文 Char Char"/>
    <w:link w:val="144"/>
    <w:qFormat/>
    <w:uiPriority w:val="0"/>
    <w:rPr>
      <w:rFonts w:ascii="ˎ̥" w:hAnsi="宋体" w:eastAsia="宋体"/>
      <w:snapToGrid w:val="0"/>
      <w:spacing w:val="10"/>
      <w:sz w:val="24"/>
      <w:szCs w:val="24"/>
      <w:lang w:val="en-US" w:eastAsia="zh-CN" w:bidi="ar-SA"/>
    </w:rPr>
  </w:style>
  <w:style w:type="paragraph" w:customStyle="1" w:styleId="144">
    <w:name w:val="房-报告正文"/>
    <w:basedOn w:val="1"/>
    <w:link w:val="143"/>
    <w:qFormat/>
    <w:uiPriority w:val="0"/>
    <w:pPr>
      <w:adjustRightInd w:val="0"/>
      <w:snapToGrid w:val="0"/>
      <w:spacing w:before="120" w:beforeLines="0" w:line="360" w:lineRule="auto"/>
      <w:ind w:firstLine="520" w:firstLineChars="200"/>
    </w:pPr>
    <w:rPr>
      <w:rFonts w:ascii="ˎ̥" w:hAnsi="宋体"/>
      <w:snapToGrid w:val="0"/>
      <w:spacing w:val="10"/>
      <w:sz w:val="24"/>
      <w:szCs w:val="24"/>
    </w:rPr>
  </w:style>
  <w:style w:type="paragraph" w:customStyle="1" w:styleId="145">
    <w:name w:val="表格小4"/>
    <w:basedOn w:val="1"/>
    <w:qFormat/>
    <w:uiPriority w:val="0"/>
    <w:pPr>
      <w:adjustRightInd w:val="0"/>
      <w:snapToGrid w:val="0"/>
      <w:spacing w:line="240" w:lineRule="auto"/>
    </w:pPr>
    <w:rPr>
      <w:rFonts w:ascii="宋体" w:hAnsi="宋体"/>
      <w:snapToGrid w:val="0"/>
      <w:color w:val="000000"/>
      <w:kern w:val="0"/>
      <w:sz w:val="24"/>
      <w:szCs w:val="20"/>
    </w:rPr>
  </w:style>
  <w:style w:type="paragraph" w:customStyle="1" w:styleId="146">
    <w:name w:val="表格小五"/>
    <w:basedOn w:val="1"/>
    <w:qFormat/>
    <w:uiPriority w:val="0"/>
    <w:pPr>
      <w:adjustRightInd w:val="0"/>
      <w:snapToGrid w:val="0"/>
      <w:spacing w:after="93" w:afterLines="30"/>
      <w:ind w:firstLine="510"/>
      <w:jc w:val="left"/>
    </w:pPr>
    <w:rPr>
      <w:spacing w:val="16"/>
      <w:kern w:val="0"/>
      <w:sz w:val="18"/>
      <w:szCs w:val="20"/>
    </w:rPr>
  </w:style>
  <w:style w:type="paragraph" w:customStyle="1" w:styleId="147">
    <w:name w:val="芮家村"/>
    <w:basedOn w:val="1"/>
    <w:qFormat/>
    <w:uiPriority w:val="0"/>
    <w:pPr>
      <w:spacing w:line="360" w:lineRule="auto"/>
      <w:ind w:firstLine="200" w:firstLineChars="200"/>
      <w:jc w:val="left"/>
    </w:pPr>
    <w:rPr>
      <w:sz w:val="24"/>
    </w:rPr>
  </w:style>
  <w:style w:type="paragraph" w:customStyle="1" w:styleId="148">
    <w:name w:val=" Char Char Char Char Char Char1 Char"/>
    <w:basedOn w:val="1"/>
    <w:qFormat/>
    <w:uiPriority w:val="0"/>
    <w:pPr>
      <w:spacing w:line="360" w:lineRule="auto"/>
      <w:ind w:firstLine="200" w:firstLineChars="200"/>
    </w:pPr>
    <w:rPr>
      <w:rFonts w:ascii="宋体" w:hAnsi="宋体" w:cs="宋体"/>
      <w:kern w:val="0"/>
      <w:sz w:val="24"/>
      <w:szCs w:val="28"/>
    </w:rPr>
  </w:style>
  <w:style w:type="paragraph" w:customStyle="1" w:styleId="149">
    <w:name w:val="a"/>
    <w:basedOn w:val="1"/>
    <w:qFormat/>
    <w:uiPriority w:val="0"/>
    <w:pPr>
      <w:widowControl/>
      <w:spacing w:before="100" w:beforeAutospacing="1" w:after="100" w:afterAutospacing="1" w:line="240" w:lineRule="auto"/>
      <w:jc w:val="left"/>
    </w:pPr>
    <w:rPr>
      <w:rFonts w:ascii="宋体" w:hAnsi="宋体" w:cs="宋体"/>
      <w:kern w:val="0"/>
      <w:sz w:val="24"/>
    </w:rPr>
  </w:style>
  <w:style w:type="paragraph" w:customStyle="1" w:styleId="150">
    <w:name w:val="默认段落字体 Para Char Char Char Char"/>
    <w:basedOn w:val="1"/>
    <w:qFormat/>
    <w:uiPriority w:val="0"/>
    <w:pPr>
      <w:spacing w:line="240" w:lineRule="auto"/>
    </w:pPr>
    <w:rPr>
      <w:sz w:val="24"/>
    </w:rPr>
  </w:style>
  <w:style w:type="paragraph" w:customStyle="1" w:styleId="151">
    <w:name w:val="zhang正文 Char Char"/>
    <w:basedOn w:val="18"/>
    <w:qFormat/>
    <w:uiPriority w:val="0"/>
    <w:pPr>
      <w:autoSpaceDE w:val="0"/>
      <w:autoSpaceDN w:val="0"/>
      <w:spacing w:line="500" w:lineRule="exact"/>
      <w:ind w:firstLine="539"/>
      <w:textAlignment w:val="baseline"/>
    </w:pPr>
    <w:rPr>
      <w:rFonts w:eastAsia="楷体_GB2312"/>
      <w:kern w:val="0"/>
      <w:szCs w:val="20"/>
    </w:rPr>
  </w:style>
  <w:style w:type="paragraph" w:customStyle="1" w:styleId="152">
    <w:name w:val=" Char Char Char Char Char Char Char Char Char Char Char Char Char Char Char Char Char Char Char"/>
    <w:basedOn w:val="1"/>
    <w:qFormat/>
    <w:uiPriority w:val="0"/>
    <w:pPr>
      <w:spacing w:line="240" w:lineRule="auto"/>
    </w:pPr>
  </w:style>
  <w:style w:type="paragraph" w:customStyle="1" w:styleId="153">
    <w:name w:val="样式 文本正文 + 首行缩进:  2 字符3"/>
    <w:basedOn w:val="1"/>
    <w:qFormat/>
    <w:uiPriority w:val="0"/>
    <w:pPr>
      <w:autoSpaceDE w:val="0"/>
      <w:autoSpaceDN w:val="0"/>
      <w:adjustRightInd w:val="0"/>
      <w:spacing w:line="360" w:lineRule="auto"/>
      <w:ind w:firstLine="496" w:firstLineChars="200"/>
      <w:textAlignment w:val="baseline"/>
    </w:pPr>
    <w:rPr>
      <w:rFonts w:ascii="宋体" w:hAnsi="宋体" w:cs="宋体"/>
      <w:snapToGrid w:val="0"/>
      <w:color w:val="000000"/>
      <w:kern w:val="21"/>
      <w:sz w:val="24"/>
      <w:szCs w:val="24"/>
    </w:rPr>
  </w:style>
  <w:style w:type="paragraph" w:customStyle="1" w:styleId="154">
    <w:name w:val="表格内容"/>
    <w:basedOn w:val="61"/>
    <w:next w:val="1"/>
    <w:qFormat/>
    <w:uiPriority w:val="0"/>
    <w:pPr>
      <w:adjustRightInd w:val="0"/>
      <w:snapToGrid w:val="0"/>
      <w:spacing w:before="100" w:beforeAutospacing="1" w:line="240" w:lineRule="auto"/>
      <w:ind w:hanging="40"/>
      <w:jc w:val="center"/>
    </w:pPr>
    <w:rPr>
      <w:rFonts w:ascii="宋体" w:hAnsi="宋体"/>
      <w:spacing w:val="8"/>
      <w:kern w:val="0"/>
      <w:sz w:val="24"/>
      <w:lang w:val="zh-CN"/>
    </w:rPr>
  </w:style>
  <w:style w:type="paragraph" w:customStyle="1" w:styleId="155">
    <w:name w:val="Normal"/>
    <w:qFormat/>
    <w:uiPriority w:val="0"/>
    <w:pPr>
      <w:jc w:val="both"/>
    </w:pPr>
    <w:rPr>
      <w:rFonts w:ascii="Times New Roman" w:hAnsi="Times New Roman" w:eastAsia="宋体" w:cs="Times New Roman"/>
      <w:kern w:val="2"/>
      <w:sz w:val="24"/>
      <w:szCs w:val="24"/>
      <w:lang w:val="en-US" w:eastAsia="zh-CN" w:bidi="ar-SA"/>
    </w:rPr>
  </w:style>
  <w:style w:type="paragraph" w:customStyle="1" w:styleId="156">
    <w:name w:val="无悬挂正文5号"/>
    <w:basedOn w:val="1"/>
    <w:qFormat/>
    <w:uiPriority w:val="0"/>
    <w:pPr>
      <w:spacing w:line="240" w:lineRule="auto"/>
      <w:jc w:val="center"/>
    </w:pPr>
  </w:style>
  <w:style w:type="paragraph" w:customStyle="1" w:styleId="157">
    <w:name w:val=" Char Char Char1 Char Char Char Char"/>
    <w:basedOn w:val="1"/>
    <w:semiHidden/>
    <w:qFormat/>
    <w:uiPriority w:val="0"/>
    <w:pPr>
      <w:spacing w:line="240" w:lineRule="auto"/>
    </w:pPr>
  </w:style>
  <w:style w:type="paragraph" w:customStyle="1" w:styleId="158">
    <w:name w:val="Char Char Char1 Char"/>
    <w:basedOn w:val="1"/>
    <w:qFormat/>
    <w:uiPriority w:val="0"/>
    <w:pPr>
      <w:spacing w:line="240" w:lineRule="auto"/>
    </w:pPr>
    <w:rPr>
      <w:rFonts w:eastAsia="仿宋_GB2312"/>
      <w:kern w:val="0"/>
      <w:sz w:val="32"/>
      <w:szCs w:val="20"/>
    </w:rPr>
  </w:style>
  <w:style w:type="paragraph" w:customStyle="1" w:styleId="159">
    <w:name w:val="reader-word-layer"/>
    <w:basedOn w:val="1"/>
    <w:qFormat/>
    <w:uiPriority w:val="0"/>
    <w:pPr>
      <w:widowControl/>
      <w:spacing w:before="100" w:beforeAutospacing="1" w:after="100" w:afterAutospacing="1" w:line="240" w:lineRule="auto"/>
      <w:jc w:val="left"/>
    </w:pPr>
    <w:rPr>
      <w:rFonts w:ascii="宋体" w:hAnsi="宋体" w:cs="宋体"/>
      <w:sz w:val="24"/>
      <w:szCs w:val="24"/>
    </w:rPr>
  </w:style>
  <w:style w:type="character" w:customStyle="1" w:styleId="160">
    <w:name w:val="Default Char Char"/>
    <w:link w:val="19"/>
    <w:qFormat/>
    <w:uiPriority w:val="0"/>
    <w:rPr>
      <w:rFonts w:ascii="宋体" w:hAnsi="宋体" w:cs="宋体"/>
      <w:color w:val="000000"/>
      <w:sz w:val="24"/>
      <w:szCs w:val="24"/>
    </w:rPr>
  </w:style>
  <w:style w:type="paragraph" w:customStyle="1" w:styleId="161">
    <w:name w:val="_Style 158"/>
    <w:unhideWhenUsed/>
    <w:qFormat/>
    <w:uiPriority w:val="99"/>
    <w:rPr>
      <w:rFonts w:ascii="Times New Roman" w:hAnsi="Times New Roman" w:eastAsia="宋体" w:cs="Times New Roman"/>
      <w:lang w:val="en-US" w:eastAsia="zh-CN" w:bidi="ar-SA"/>
    </w:rPr>
  </w:style>
  <w:style w:type="paragraph" w:customStyle="1" w:styleId="162">
    <w:name w:val="正文修改"/>
    <w:basedOn w:val="1"/>
    <w:qFormat/>
    <w:uiPriority w:val="0"/>
    <w:pPr>
      <w:spacing w:line="360" w:lineRule="auto"/>
      <w:ind w:firstLine="480" w:firstLineChars="200"/>
    </w:pPr>
    <w:rPr>
      <w:rFonts w:cs="宋体"/>
      <w:sz w:val="24"/>
      <w:szCs w:val="20"/>
    </w:rPr>
  </w:style>
  <w:style w:type="paragraph" w:customStyle="1" w:styleId="163">
    <w:name w:val="正文文本缩进 22"/>
    <w:basedOn w:val="1"/>
    <w:qFormat/>
    <w:uiPriority w:val="0"/>
    <w:pPr>
      <w:adjustRightInd w:val="0"/>
      <w:spacing w:line="240" w:lineRule="auto"/>
      <w:ind w:left="718" w:firstLine="720"/>
      <w:textAlignment w:val="baseline"/>
    </w:pPr>
    <w:rPr>
      <w:sz w:val="32"/>
      <w:szCs w:val="20"/>
    </w:rPr>
  </w:style>
  <w:style w:type="paragraph" w:customStyle="1" w:styleId="164">
    <w:name w:val="4 Char Char Char Char Char Char Char Char Char Char Char Char Char Char Char Char Char Char Char Char Char Char Char Char Char Char Char Char"/>
    <w:basedOn w:val="1"/>
    <w:qFormat/>
    <w:uiPriority w:val="0"/>
    <w:pPr>
      <w:spacing w:line="240" w:lineRule="auto"/>
    </w:pPr>
  </w:style>
  <w:style w:type="paragraph" w:customStyle="1" w:styleId="165">
    <w:name w:val="表格文字2"/>
    <w:basedOn w:val="1"/>
    <w:qFormat/>
    <w:uiPriority w:val="0"/>
    <w:pPr>
      <w:tabs>
        <w:tab w:val="left" w:pos="277"/>
        <w:tab w:val="left" w:pos="600"/>
        <w:tab w:val="left" w:pos="780"/>
        <w:tab w:val="left" w:pos="2517"/>
      </w:tabs>
      <w:adjustRightInd w:val="0"/>
      <w:spacing w:line="240" w:lineRule="auto"/>
      <w:jc w:val="center"/>
      <w:textAlignment w:val="baseline"/>
    </w:pPr>
    <w:rPr>
      <w:kern w:val="0"/>
      <w:szCs w:val="21"/>
    </w:rPr>
  </w:style>
  <w:style w:type="paragraph" w:customStyle="1" w:styleId="166">
    <w:name w:val="Char Char Char"/>
    <w:basedOn w:val="1"/>
    <w:qFormat/>
    <w:uiPriority w:val="0"/>
    <w:pPr>
      <w:spacing w:line="240" w:lineRule="auto"/>
    </w:pPr>
  </w:style>
  <w:style w:type="paragraph" w:customStyle="1" w:styleId="167">
    <w:name w:val="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68">
    <w:name w:val=" Char Char Char Char"/>
    <w:basedOn w:val="1"/>
    <w:qFormat/>
    <w:uiPriority w:val="0"/>
    <w:pPr>
      <w:spacing w:line="240" w:lineRule="auto"/>
    </w:pPr>
  </w:style>
  <w:style w:type="paragraph" w:customStyle="1" w:styleId="169">
    <w:name w:val="_Style 167"/>
    <w:basedOn w:val="2"/>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170">
    <w:name w:val="标题四"/>
    <w:basedOn w:val="1"/>
    <w:qFormat/>
    <w:uiPriority w:val="0"/>
    <w:pPr>
      <w:snapToGrid w:val="0"/>
      <w:spacing w:line="360" w:lineRule="auto"/>
      <w:jc w:val="center"/>
    </w:pPr>
    <w:rPr>
      <w:rFonts w:ascii="宋体" w:hAnsi="宋体"/>
      <w:sz w:val="24"/>
    </w:rPr>
  </w:style>
  <w:style w:type="paragraph" w:customStyle="1" w:styleId="171">
    <w:name w:val="p0"/>
    <w:basedOn w:val="1"/>
    <w:qFormat/>
    <w:uiPriority w:val="0"/>
    <w:pPr>
      <w:widowControl/>
    </w:pPr>
    <w:rPr>
      <w:kern w:val="0"/>
      <w:szCs w:val="21"/>
    </w:rPr>
  </w:style>
  <w:style w:type="paragraph" w:customStyle="1" w:styleId="172">
    <w:name w:val="zhang正文"/>
    <w:basedOn w:val="18"/>
    <w:qFormat/>
    <w:uiPriority w:val="0"/>
    <w:pPr>
      <w:autoSpaceDE w:val="0"/>
      <w:autoSpaceDN w:val="0"/>
      <w:spacing w:line="500" w:lineRule="exact"/>
      <w:ind w:firstLine="539"/>
      <w:textAlignment w:val="baseline"/>
    </w:pPr>
    <w:rPr>
      <w:rFonts w:eastAsia="楷体_GB2312"/>
      <w:kern w:val="0"/>
      <w:szCs w:val="20"/>
    </w:rPr>
  </w:style>
  <w:style w:type="paragraph" w:customStyle="1" w:styleId="173">
    <w:name w:val="Char"/>
    <w:basedOn w:val="1"/>
    <w:qFormat/>
    <w:uiPriority w:val="0"/>
    <w:pPr>
      <w:spacing w:line="240" w:lineRule="auto"/>
    </w:pPr>
    <w:rPr>
      <w:sz w:val="24"/>
    </w:rPr>
  </w:style>
  <w:style w:type="paragraph" w:customStyle="1" w:styleId="174">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75">
    <w:name w:val="样式 小四 段前: 7.8 磅 段后: 7.8 磅 行距: 1.5 倍行距"/>
    <w:basedOn w:val="1"/>
    <w:qFormat/>
    <w:uiPriority w:val="0"/>
    <w:pPr>
      <w:spacing w:line="360" w:lineRule="auto"/>
      <w:ind w:firstLine="480" w:firstLineChars="200"/>
    </w:pPr>
    <w:rPr>
      <w:sz w:val="24"/>
      <w:szCs w:val="21"/>
    </w:rPr>
  </w:style>
  <w:style w:type="paragraph" w:customStyle="1" w:styleId="176">
    <w:name w:val="中文报告书样式"/>
    <w:basedOn w:val="1"/>
    <w:qFormat/>
    <w:uiPriority w:val="0"/>
    <w:pPr>
      <w:adjustRightInd w:val="0"/>
      <w:spacing w:line="480" w:lineRule="atLeast"/>
      <w:ind w:firstLine="482" w:firstLineChars="200"/>
      <w:textAlignment w:val="baseline"/>
    </w:pPr>
    <w:rPr>
      <w:kern w:val="24"/>
      <w:sz w:val="24"/>
    </w:rPr>
  </w:style>
  <w:style w:type="table" w:customStyle="1" w:styleId="177">
    <w:name w:val="Table Normal"/>
    <w:unhideWhenUsed/>
    <w:qFormat/>
    <w:uiPriority w:val="2"/>
    <w:pPr>
      <w:widowControl w:val="0"/>
    </w:pPr>
    <w:rPr>
      <w:rFonts w:ascii="Calibri" w:hAnsi="Calibri"/>
      <w:sz w:val="22"/>
      <w:szCs w:val="22"/>
      <w:lang w:val="en-US" w:eastAsia="en-US" w:bidi="ar-SA"/>
    </w:rPr>
    <w:tblPr>
      <w:tblCellMar>
        <w:top w:w="0" w:type="dxa"/>
        <w:left w:w="0" w:type="dxa"/>
        <w:bottom w:w="0" w:type="dxa"/>
        <w:right w:w="0" w:type="dxa"/>
      </w:tblCellMar>
    </w:tblPr>
  </w:style>
  <w:style w:type="table" w:customStyle="1" w:styleId="178">
    <w:name w:val="Grid Table 6 Colorful"/>
    <w:basedOn w:val="43"/>
    <w:qFormat/>
    <w:uiPriority w:val="79"/>
    <w:rPr>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w w:val="100"/>
        <w:sz w:val="20"/>
        <w:szCs w:val="20"/>
        <w:shd w:val="clear" w:color="auto" w:fill="auto"/>
      </w:rPr>
      <w:tcPr>
        <w:tcBorders>
          <w:top w:val="nil"/>
          <w:left w:val="single" w:color="666666" w:sz="4" w:space="0"/>
          <w:bottom w:val="nil"/>
          <w:right w:val="nil"/>
          <w:insideH w:val="nil"/>
          <w:insideV w:val="nil"/>
          <w:tl2br w:val="nil"/>
          <w:tr2bl w:val="nil"/>
        </w:tcBorders>
      </w:tcPr>
    </w:tblStylePr>
    <w:tblStylePr w:type="lastRow">
      <w:rPr>
        <w:b/>
        <w:w w:val="100"/>
        <w:sz w:val="20"/>
        <w:szCs w:val="20"/>
        <w:shd w:val="clear" w:color="auto" w:fill="auto"/>
      </w:rPr>
      <w:tcPr>
        <w:tcBorders>
          <w:top w:val="single" w:color="666666" w:sz="4" w:space="0"/>
          <w:left w:val="nil"/>
          <w:bottom w:val="nil"/>
          <w:right w:val="nil"/>
          <w:insideH w:val="nil"/>
          <w:insideV w:val="nil"/>
          <w:tl2br w:val="nil"/>
          <w:tr2bl w:val="nil"/>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CCCCCC"/>
      </w:tcPr>
    </w:tblStylePr>
    <w:tblStylePr w:type="band1Horz">
      <w:tcPr>
        <w:shd w:val="clear" w:color="000000" w:fill="CCCCCC"/>
      </w:tcPr>
    </w:tblStylePr>
  </w:style>
  <w:style w:type="paragraph" w:customStyle="1" w:styleId="179">
    <w:name w:val="表格式"/>
    <w:basedOn w:val="33"/>
    <w:qFormat/>
    <w:uiPriority w:val="0"/>
    <w:pPr>
      <w:spacing w:line="400" w:lineRule="exact"/>
      <w:ind w:left="0" w:firstLine="0" w:firstLineChars="0"/>
      <w:jc w:val="center"/>
    </w:pPr>
    <w:rPr>
      <w:rFonts w:ascii="宋体"/>
    </w:rPr>
  </w:style>
  <w:style w:type="paragraph" w:customStyle="1" w:styleId="180">
    <w:name w:val="正常段落"/>
    <w:basedOn w:val="7"/>
    <w:qFormat/>
    <w:uiPriority w:val="0"/>
    <w:pPr>
      <w:spacing w:line="440" w:lineRule="exact"/>
    </w:pPr>
    <w:rPr>
      <w:rFonts w:ascii="宋体" w:hAnsi="Times New Roman"/>
    </w:rPr>
  </w:style>
  <w:style w:type="paragraph" w:customStyle="1" w:styleId="181">
    <w:name w:val="【正文】"/>
    <w:basedOn w:val="1"/>
    <w:qFormat/>
    <w:uiPriority w:val="0"/>
    <w:pPr>
      <w:spacing w:line="360" w:lineRule="auto"/>
      <w:ind w:firstLine="200" w:firstLineChars="200"/>
    </w:pPr>
    <w:rPr>
      <w:rFonts w:ascii="Times New Roman" w:hAnsi="Times New Roman" w:cs="宋体"/>
      <w:sz w:val="24"/>
    </w:rPr>
  </w:style>
  <w:style w:type="paragraph" w:customStyle="1" w:styleId="182">
    <w:name w:val="11"/>
    <w:basedOn w:val="16"/>
    <w:qFormat/>
    <w:uiPriority w:val="0"/>
    <w:pPr>
      <w:widowControl w:val="0"/>
      <w:autoSpaceDE w:val="0"/>
      <w:autoSpaceDN w:val="0"/>
      <w:adjustRightInd w:val="0"/>
      <w:snapToGrid/>
      <w:spacing w:before="0" w:after="0" w:line="360" w:lineRule="auto"/>
      <w:ind w:right="0" w:firstLine="1320" w:firstLineChars="550"/>
    </w:pPr>
    <w:rPr>
      <w:kern w:val="24"/>
      <w:sz w:val="21"/>
    </w:rPr>
  </w:style>
  <w:style w:type="paragraph" w:customStyle="1" w:styleId="183">
    <w:name w:val="Default1"/>
    <w:basedOn w:val="1"/>
    <w:qFormat/>
    <w:uiPriority w:val="0"/>
    <w:pPr>
      <w:keepNext w:val="0"/>
      <w:keepLines w:val="0"/>
      <w:widowControl w:val="0"/>
      <w:suppressLineNumbers w:val="0"/>
      <w:autoSpaceDE w:val="0"/>
      <w:autoSpaceDN w:val="0"/>
      <w:adjustRightInd w:val="0"/>
      <w:spacing w:before="0" w:beforeAutospacing="0" w:after="0" w:afterAutospacing="0"/>
      <w:ind w:left="0" w:right="0"/>
      <w:jc w:val="left"/>
    </w:pPr>
    <w:rPr>
      <w:rFonts w:hint="eastAsia" w:ascii="宋体" w:hAnsi="Times New Roman" w:eastAsia="宋体" w:cs="宋体"/>
      <w:color w:val="000000"/>
      <w:kern w:val="0"/>
      <w:sz w:val="24"/>
      <w:szCs w:val="24"/>
      <w:lang w:val="en-US" w:eastAsia="zh-CN" w:bidi="ar"/>
    </w:rPr>
  </w:style>
  <w:style w:type="character" w:customStyle="1" w:styleId="184">
    <w:name w:val="font31"/>
    <w:qFormat/>
    <w:uiPriority w:val="0"/>
    <w:rPr>
      <w:rFonts w:hint="default" w:ascii="Calibri" w:hAnsi="Calibri" w:cs="Calibri"/>
      <w:color w:val="000000"/>
      <w:sz w:val="21"/>
      <w:szCs w:val="21"/>
      <w:u w:val="none"/>
    </w:rPr>
  </w:style>
  <w:style w:type="paragraph" w:customStyle="1" w:styleId="185">
    <w:name w:val="表格内文字格式"/>
    <w:basedOn w:val="1"/>
    <w:next w:val="1"/>
    <w:qFormat/>
    <w:uiPriority w:val="0"/>
    <w:pPr>
      <w:spacing w:line="360" w:lineRule="auto"/>
      <w:ind w:right="-49" w:rightChars="-26" w:firstLine="436" w:firstLineChars="200"/>
    </w:pPr>
    <w:rPr>
      <w:rFonts w:ascii="Arial" w:hAnsi="Arial" w:cs="Arial"/>
      <w:bCs/>
      <w:kern w:val="10"/>
      <w:szCs w:val="21"/>
    </w:rPr>
  </w:style>
  <w:style w:type="paragraph" w:customStyle="1" w:styleId="186">
    <w:name w:val="环科院正文"/>
    <w:basedOn w:val="1"/>
    <w:qFormat/>
    <w:uiPriority w:val="0"/>
    <w:pPr>
      <w:tabs>
        <w:tab w:val="left" w:pos="5760"/>
      </w:tabs>
      <w:spacing w:line="360" w:lineRule="auto"/>
      <w:ind w:firstLine="480" w:firstLineChars="200"/>
    </w:pPr>
    <w:rPr>
      <w:rFonts w:hAnsi="宋体"/>
      <w:bCs/>
      <w:sz w:val="24"/>
      <w:szCs w:val="20"/>
    </w:rPr>
  </w:style>
  <w:style w:type="character" w:customStyle="1" w:styleId="187">
    <w:name w:val="fontstrikethrough"/>
    <w:qFormat/>
    <w:uiPriority w:val="0"/>
    <w:rPr>
      <w:strike/>
    </w:rPr>
  </w:style>
  <w:style w:type="character" w:customStyle="1" w:styleId="188">
    <w:name w:val="fontborder"/>
    <w:qFormat/>
    <w:uiPriority w:val="0"/>
    <w:rPr>
      <w:bdr w:val="single" w:color="000000" w:sz="6" w:space="0"/>
    </w:rPr>
  </w:style>
  <w:style w:type="paragraph" w:customStyle="1" w:styleId="189">
    <w:name w:val="A表头"/>
    <w:basedOn w:val="1"/>
    <w:qFormat/>
    <w:uiPriority w:val="0"/>
    <w:pPr>
      <w:ind w:firstLine="402"/>
      <w:jc w:val="both"/>
    </w:pPr>
    <w:rPr>
      <w:rFonts w:ascii="宋体" w:hAnsi="宋体" w:eastAsia="宋体" w:cs="Times New Roman"/>
      <w:b/>
      <w:snapToGrid w:val="0"/>
      <w:kern w:val="2"/>
      <w:sz w:val="21"/>
      <w:szCs w:val="20"/>
      <w:lang w:eastAsia="zh-CN"/>
    </w:rPr>
  </w:style>
  <w:style w:type="paragraph" w:customStyle="1" w:styleId="190">
    <w:name w:val="表体"/>
    <w:basedOn w:val="1"/>
    <w:link w:val="191"/>
    <w:qFormat/>
    <w:uiPriority w:val="0"/>
    <w:pPr>
      <w:widowControl/>
      <w:tabs>
        <w:tab w:val="left" w:pos="540"/>
        <w:tab w:val="left" w:pos="851"/>
        <w:tab w:val="left" w:pos="994"/>
        <w:tab w:val="left" w:pos="1260"/>
        <w:tab w:val="left" w:pos="3108"/>
        <w:tab w:val="left" w:pos="3150"/>
      </w:tabs>
      <w:overflowPunct w:val="0"/>
      <w:adjustRightInd w:val="0"/>
      <w:spacing w:line="340" w:lineRule="exact"/>
      <w:ind w:firstLine="0" w:firstLineChars="0"/>
      <w:jc w:val="center"/>
      <w:textAlignment w:val="baseline"/>
    </w:pPr>
    <w:rPr>
      <w:bCs/>
      <w:snapToGrid w:val="0"/>
      <w:color w:val="000000"/>
      <w:kern w:val="32"/>
      <w:sz w:val="21"/>
      <w:szCs w:val="20"/>
      <w:lang w:val="zh-CN"/>
    </w:rPr>
  </w:style>
  <w:style w:type="character" w:customStyle="1" w:styleId="191">
    <w:name w:val="表体 Char Char"/>
    <w:link w:val="190"/>
    <w:qFormat/>
    <w:locked/>
    <w:uiPriority w:val="0"/>
    <w:rPr>
      <w:bCs/>
      <w:snapToGrid/>
      <w:color w:val="000000"/>
      <w:kern w:val="32"/>
      <w:sz w:val="21"/>
      <w:lang w:val="zh-CN"/>
    </w:rPr>
  </w:style>
  <w:style w:type="character" w:customStyle="1" w:styleId="192">
    <w:name w:val="初稿正文 Char"/>
    <w:link w:val="60"/>
    <w:qFormat/>
    <w:uiPriority w:val="0"/>
    <w:rPr>
      <w:color w:val="FF0000"/>
      <w:kern w:val="2"/>
      <w:sz w:val="21"/>
      <w:szCs w:val="21"/>
    </w:rPr>
  </w:style>
  <w:style w:type="paragraph" w:customStyle="1" w:styleId="193">
    <w:name w:val="无间隔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4">
    <w:name w:val="赵"/>
    <w:basedOn w:val="1"/>
    <w:link w:val="195"/>
    <w:qFormat/>
    <w:uiPriority w:val="0"/>
    <w:pPr>
      <w:ind w:firstLine="200"/>
    </w:pPr>
    <w:rPr>
      <w:szCs w:val="30"/>
    </w:rPr>
  </w:style>
  <w:style w:type="character" w:customStyle="1" w:styleId="195">
    <w:name w:val="赵 Char"/>
    <w:link w:val="194"/>
    <w:qFormat/>
    <w:uiPriority w:val="0"/>
    <w:rPr>
      <w:kern w:val="2"/>
      <w:sz w:val="24"/>
      <w:szCs w:val="30"/>
    </w:rPr>
  </w:style>
  <w:style w:type="character" w:customStyle="1" w:styleId="196">
    <w:name w:val="GT正文 Char"/>
    <w:basedOn w:val="47"/>
    <w:link w:val="197"/>
    <w:qFormat/>
    <w:uiPriority w:val="0"/>
    <w:rPr>
      <w:sz w:val="24"/>
    </w:rPr>
  </w:style>
  <w:style w:type="paragraph" w:customStyle="1" w:styleId="197">
    <w:name w:val="GT正文"/>
    <w:basedOn w:val="1"/>
    <w:link w:val="196"/>
    <w:qFormat/>
    <w:uiPriority w:val="0"/>
    <w:pPr>
      <w:keepNext w:val="0"/>
      <w:keepLines w:val="0"/>
      <w:widowControl w:val="0"/>
      <w:suppressLineNumbers w:val="0"/>
      <w:topLinePunct/>
      <w:adjustRightInd w:val="0"/>
      <w:snapToGrid w:val="0"/>
      <w:spacing w:before="0" w:beforeAutospacing="0" w:after="0" w:afterAutospacing="0" w:line="360" w:lineRule="auto"/>
      <w:ind w:left="0" w:right="0" w:firstLine="480" w:firstLineChars="200"/>
      <w:jc w:val="both"/>
    </w:pPr>
    <w:rPr>
      <w:rFonts w:hint="default" w:ascii="Times New Roman" w:hAnsi="Times New Roman" w:eastAsia="宋体" w:cs="Times New Roman"/>
      <w:kern w:val="0"/>
      <w:sz w:val="24"/>
      <w:szCs w:val="20"/>
      <w:lang w:val="en-US" w:eastAsia="zh-CN" w:bidi="ar"/>
    </w:rPr>
  </w:style>
  <w:style w:type="character" w:customStyle="1" w:styleId="198">
    <w:name w:val="GT表格格式 Char"/>
    <w:basedOn w:val="47"/>
    <w:link w:val="199"/>
    <w:qFormat/>
    <w:uiPriority w:val="0"/>
    <w:rPr>
      <w:szCs w:val="21"/>
    </w:rPr>
  </w:style>
  <w:style w:type="paragraph" w:customStyle="1" w:styleId="199">
    <w:name w:val="GT表格格式"/>
    <w:basedOn w:val="1"/>
    <w:link w:val="198"/>
    <w:qFormat/>
    <w:uiPriority w:val="0"/>
    <w:pPr>
      <w:keepNext w:val="0"/>
      <w:keepLines w:val="0"/>
      <w:widowControl w:val="0"/>
      <w:suppressLineNumbers w:val="0"/>
      <w:topLinePunct/>
      <w:adjustRightInd w:val="0"/>
      <w:snapToGrid w:val="0"/>
      <w:spacing w:before="0" w:beforeAutospacing="0" w:after="0" w:afterAutospacing="0"/>
      <w:ind w:left="0" w:right="0"/>
      <w:jc w:val="center"/>
    </w:pPr>
    <w:rPr>
      <w:rFonts w:hint="default" w:ascii="Times New Roman" w:hAnsi="Times New Roman" w:eastAsia="宋体" w:cs="Times New Roman"/>
      <w:kern w:val="0"/>
      <w:sz w:val="20"/>
      <w:szCs w:val="21"/>
      <w:lang w:val="en-US" w:eastAsia="zh-CN" w:bidi="ar"/>
    </w:rPr>
  </w:style>
  <w:style w:type="paragraph" w:customStyle="1" w:styleId="200">
    <w:name w:val="Table Text"/>
    <w:basedOn w:val="1"/>
    <w:qFormat/>
    <w:uiPriority w:val="0"/>
    <w:pPr>
      <w:keepNext w:val="0"/>
      <w:keepLines w:val="0"/>
      <w:widowControl w:val="0"/>
      <w:suppressLineNumbers w:val="0"/>
      <w:spacing w:before="0" w:beforeAutospacing="0" w:after="0" w:afterAutospacing="0"/>
      <w:ind w:left="0" w:right="0"/>
      <w:jc w:val="both"/>
    </w:pPr>
    <w:rPr>
      <w:rFonts w:hint="eastAsia" w:ascii="宋体" w:hAnsi="宋体" w:eastAsia="宋体" w:cs="宋体"/>
      <w:kern w:val="2"/>
      <w:sz w:val="22"/>
      <w:szCs w:val="22"/>
      <w:lang w:val="en-US" w:eastAsia="zh-CN" w:bidi="ar"/>
    </w:rPr>
  </w:style>
  <w:style w:type="character" w:customStyle="1" w:styleId="201">
    <w:name w:val="font61"/>
    <w:basedOn w:val="47"/>
    <w:qFormat/>
    <w:uiPriority w:val="0"/>
    <w:rPr>
      <w:rFonts w:hint="default" w:ascii="Times New Roman" w:hAnsi="Times New Roman" w:cs="Times New Roman"/>
      <w:color w:val="000000"/>
      <w:sz w:val="21"/>
      <w:szCs w:val="21"/>
      <w:u w:val="none"/>
      <w:vertAlign w:val="subscript"/>
    </w:rPr>
  </w:style>
  <w:style w:type="paragraph" w:customStyle="1" w:styleId="202">
    <w:name w:val="报告表格"/>
    <w:basedOn w:val="1"/>
    <w:next w:val="1"/>
    <w:qFormat/>
    <w:uiPriority w:val="0"/>
    <w:pPr>
      <w:keepNext w:val="0"/>
      <w:keepLines w:val="0"/>
      <w:widowControl w:val="0"/>
      <w:suppressLineNumbers w:val="0"/>
      <w:autoSpaceDE w:val="0"/>
      <w:autoSpaceDN w:val="0"/>
      <w:adjustRightInd w:val="0"/>
      <w:spacing w:before="0" w:beforeAutospacing="0" w:after="0" w:afterAutospacing="0" w:line="318" w:lineRule="atLeast"/>
      <w:ind w:left="0" w:right="0"/>
      <w:jc w:val="center"/>
    </w:pPr>
    <w:rPr>
      <w:rFonts w:hint="default" w:ascii="Times New Roman" w:hAnsi="Times New Roman" w:eastAsia="宋体" w:cs="Times New Roman"/>
      <w:kern w:val="0"/>
      <w:sz w:val="21"/>
      <w:szCs w:val="20"/>
      <w:lang w:val="en-US" w:eastAsia="zh-CN" w:bidi="ar"/>
    </w:rPr>
  </w:style>
  <w:style w:type="paragraph" w:customStyle="1" w:styleId="203">
    <w:name w:val="标准正文"/>
    <w:basedOn w:val="1"/>
    <w:link w:val="204"/>
    <w:qFormat/>
    <w:uiPriority w:val="0"/>
    <w:pPr>
      <w:keepNext w:val="0"/>
      <w:keepLines w:val="0"/>
      <w:widowControl w:val="0"/>
      <w:suppressLineNumbers w:val="0"/>
      <w:spacing w:before="0" w:beforeAutospacing="0" w:after="0" w:afterAutospacing="0" w:line="540" w:lineRule="exact"/>
      <w:ind w:left="0" w:right="0" w:firstLine="480" w:firstLineChars="200"/>
      <w:jc w:val="both"/>
    </w:pPr>
    <w:rPr>
      <w:rFonts w:hint="default" w:ascii="Times New Roman" w:hAnsi="Times New Roman" w:eastAsia="宋体" w:cs="Times New Roman"/>
      <w:bCs/>
      <w:kern w:val="2"/>
      <w:sz w:val="24"/>
      <w:szCs w:val="20"/>
      <w:lang w:val="en-US" w:eastAsia="zh-CN" w:bidi="ar"/>
    </w:rPr>
  </w:style>
  <w:style w:type="character" w:customStyle="1" w:styleId="204">
    <w:name w:val="标准正文 Char"/>
    <w:basedOn w:val="47"/>
    <w:link w:val="203"/>
    <w:qFormat/>
    <w:uiPriority w:val="0"/>
    <w:rPr>
      <w:bCs/>
      <w:kern w:val="2"/>
      <w:sz w:val="24"/>
    </w:rPr>
  </w:style>
  <w:style w:type="paragraph" w:customStyle="1" w:styleId="205">
    <w:name w:val="0"/>
    <w:basedOn w:val="1"/>
    <w:qFormat/>
    <w:uiPriority w:val="0"/>
    <w:pPr>
      <w:keepNext w:val="0"/>
      <w:keepLines w:val="0"/>
      <w:widowControl/>
      <w:suppressLineNumbers w:val="0"/>
      <w:snapToGrid w:val="0"/>
      <w:spacing w:before="0" w:beforeAutospacing="0" w:after="0" w:afterAutospacing="0" w:line="360" w:lineRule="auto"/>
      <w:ind w:left="0" w:right="0" w:firstLine="640" w:firstLineChars="200"/>
      <w:jc w:val="both"/>
    </w:pPr>
    <w:rPr>
      <w:rFonts w:hint="default" w:ascii="Times New Roman" w:hAnsi="Times New Roman" w:eastAsia="宋体" w:cs="Times New Roman"/>
      <w:kern w:val="0"/>
      <w:sz w:val="24"/>
      <w:szCs w:val="21"/>
      <w:lang w:val="en-US" w:eastAsia="zh-CN" w:bidi="ar"/>
    </w:rPr>
  </w:style>
  <w:style w:type="paragraph" w:customStyle="1" w:styleId="206">
    <w:name w:val="正文内容"/>
    <w:basedOn w:val="18"/>
    <w:qFormat/>
    <w:uiPriority w:val="0"/>
    <w:pPr>
      <w:spacing w:after="120" w:line="360" w:lineRule="auto"/>
      <w:ind w:left="420" w:leftChars="200" w:firstLine="200" w:firstLineChars="200"/>
      <w:jc w:val="both"/>
    </w:pPr>
    <w:rPr>
      <w:kern w:val="0"/>
      <w:sz w:val="24"/>
      <w:szCs w:val="21"/>
    </w:rPr>
  </w:style>
  <w:style w:type="paragraph" w:customStyle="1" w:styleId="207">
    <w:name w:val="Normal Indent1"/>
    <w:basedOn w:val="1"/>
    <w:autoRedefine/>
    <w:qFormat/>
    <w:uiPriority w:val="0"/>
    <w:pPr>
      <w:ind w:firstLine="420" w:firstLineChars="200"/>
    </w:pPr>
  </w:style>
  <w:style w:type="paragraph" w:customStyle="1" w:styleId="208">
    <w:name w:val="样式 样式 左 首行缩进:  2 字符 + 首行缩进:  2 字符"/>
    <w:basedOn w:val="1"/>
    <w:autoRedefine/>
    <w:qFormat/>
    <w:uiPriority w:val="0"/>
    <w:pPr>
      <w:adjustRightInd w:val="0"/>
      <w:snapToGrid w:val="0"/>
      <w:ind w:left="1134" w:firstLine="480"/>
      <w:jc w:val="left"/>
    </w:pPr>
    <w:rPr>
      <w:rFonts w:cs="宋体"/>
      <w:color w:val="00000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6" Type="http://schemas.openxmlformats.org/officeDocument/2006/relationships/fontTable" Target="fontTable.xml"/><Relationship Id="rId55" Type="http://schemas.microsoft.com/office/2006/relationships/keyMapCustomizations" Target="customizations.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wmf"/><Relationship Id="rId45" Type="http://schemas.openxmlformats.org/officeDocument/2006/relationships/oleObject" Target="embeddings/oleObject7.bin"/><Relationship Id="rId44" Type="http://schemas.openxmlformats.org/officeDocument/2006/relationships/image" Target="media/image22.png"/><Relationship Id="rId43" Type="http://schemas.openxmlformats.org/officeDocument/2006/relationships/image" Target="media/image21.wmf"/><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png"/><Relationship Id="rId4" Type="http://schemas.openxmlformats.org/officeDocument/2006/relationships/endnotes" Target="endnotes.xml"/><Relationship Id="rId39" Type="http://schemas.openxmlformats.org/officeDocument/2006/relationships/image" Target="media/image17.png"/><Relationship Id="rId38" Type="http://schemas.openxmlformats.org/officeDocument/2006/relationships/image" Target="media/image16.wmf"/><Relationship Id="rId37" Type="http://schemas.openxmlformats.org/officeDocument/2006/relationships/image" Target="media/image15.wmf"/><Relationship Id="rId36" Type="http://schemas.openxmlformats.org/officeDocument/2006/relationships/image" Target="media/image14.wmf"/><Relationship Id="rId35" Type="http://schemas.openxmlformats.org/officeDocument/2006/relationships/image" Target="media/image13.png"/><Relationship Id="rId34" Type="http://schemas.openxmlformats.org/officeDocument/2006/relationships/image" Target="media/image12.emf"/><Relationship Id="rId33" Type="http://schemas.openxmlformats.org/officeDocument/2006/relationships/oleObject" Target="embeddings/oleObject6.bin"/><Relationship Id="rId32" Type="http://schemas.openxmlformats.org/officeDocument/2006/relationships/image" Target="media/image11.wmf"/><Relationship Id="rId31" Type="http://schemas.openxmlformats.org/officeDocument/2006/relationships/oleObject" Target="embeddings/oleObject5.bin"/><Relationship Id="rId30" Type="http://schemas.openxmlformats.org/officeDocument/2006/relationships/image" Target="media/image10.wmf"/><Relationship Id="rId3" Type="http://schemas.openxmlformats.org/officeDocument/2006/relationships/footnotes" Target="footnotes.xml"/><Relationship Id="rId29" Type="http://schemas.openxmlformats.org/officeDocument/2006/relationships/oleObject" Target="embeddings/oleObject4.bin"/><Relationship Id="rId28" Type="http://schemas.openxmlformats.org/officeDocument/2006/relationships/image" Target="media/image9.wmf"/><Relationship Id="rId27" Type="http://schemas.openxmlformats.org/officeDocument/2006/relationships/oleObject" Target="embeddings/oleObject3.bin"/><Relationship Id="rId26" Type="http://schemas.openxmlformats.org/officeDocument/2006/relationships/image" Target="media/image8.wmf"/><Relationship Id="rId25" Type="http://schemas.openxmlformats.org/officeDocument/2006/relationships/oleObject" Target="embeddings/oleObject2.bin"/><Relationship Id="rId24" Type="http://schemas.openxmlformats.org/officeDocument/2006/relationships/image" Target="media/image7.wmf"/><Relationship Id="rId23" Type="http://schemas.openxmlformats.org/officeDocument/2006/relationships/oleObject" Target="embeddings/oleObject1.bin"/><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3073" textRotate="1"/>
    <customShpInfo spid="_x0000_s3074" textRotate="1"/>
    <customShpInfo spid="_x0000_s2378"/>
    <customShpInfo spid="_x0000_s226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88</Pages>
  <Words>63119</Words>
  <Characters>69996</Characters>
  <Lines>1</Lines>
  <Paragraphs>1</Paragraphs>
  <TotalTime>4</TotalTime>
  <ScaleCrop>false</ScaleCrop>
  <LinksUpToDate>false</LinksUpToDate>
  <CharactersWithSpaces>70282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2022-07-07T01:14:00Z</dcterms:created>
  <dc:creator>Administrator</dc:creator>
  <cp:lastModifiedBy>杨瑜</cp:lastModifiedBy>
  <cp:lastPrinted>2022-05-23T05:24:00Z</cp:lastPrinted>
  <dcterms:modified xsi:type="dcterms:W3CDTF">2025-05-21T02:25:07Z</dcterms:modified>
  <dc:title>建设项目环境影响报告表</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2A128DF179D8478484E0989084ED1C15_13</vt:lpwstr>
  </property>
  <property fmtid="{D5CDD505-2E9C-101B-9397-08002B2CF9AE}" pid="4" name="KSOTemplateDocerSaveRecord">
    <vt:lpwstr>eyJoZGlkIjoiMTdlYzg4MzdlNzIwZjE1MDBlYzI5MzE0ZDU0OTg3ZTQiLCJ1c2VySWQiOiIyMDE4MjA1MTYifQ==</vt:lpwstr>
  </property>
</Properties>
</file>