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2.vsd" ContentType="application/vnd.visio"/>
  <Override PartName="/word/embeddings/Microsoft_Visio___1.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46221">
      <w:pPr>
        <w:pStyle w:val="59"/>
        <w:ind w:firstLine="422"/>
        <w:rPr>
          <w:rFonts w:hint="eastAsia"/>
        </w:rPr>
      </w:pPr>
    </w:p>
    <w:p w14:paraId="65457D6E">
      <w:pPr>
        <w:jc w:val="center"/>
        <w:rPr>
          <w:rFonts w:eastAsia="方正小标宋_GBK"/>
          <w:bCs/>
          <w:sz w:val="72"/>
          <w:szCs w:val="72"/>
        </w:rPr>
      </w:pPr>
      <w:r>
        <w:rPr>
          <w:rFonts w:eastAsia="方正小标宋_GBK"/>
          <w:bCs/>
          <w:sz w:val="72"/>
          <w:szCs w:val="72"/>
        </w:rPr>
        <w:t>建设项目环境影响报告表</w:t>
      </w:r>
    </w:p>
    <w:p w14:paraId="35E9BEF3">
      <w:pPr>
        <w:adjustRightInd w:val="0"/>
        <w:snapToGrid w:val="0"/>
        <w:spacing w:before="192" w:beforeLines="80"/>
        <w:jc w:val="center"/>
        <w:rPr>
          <w:rFonts w:eastAsia="楷体_GB2312"/>
          <w:bCs/>
          <w:sz w:val="48"/>
          <w:szCs w:val="48"/>
        </w:rPr>
      </w:pPr>
      <w:r>
        <w:rPr>
          <w:rFonts w:eastAsia="楷体_GB2312"/>
          <w:bCs/>
          <w:sz w:val="48"/>
          <w:szCs w:val="48"/>
        </w:rPr>
        <w:t>（污染影响类）</w:t>
      </w:r>
    </w:p>
    <w:p w14:paraId="634F4FE2">
      <w:pPr>
        <w:ind w:firstLine="1040"/>
        <w:rPr>
          <w:rFonts w:eastAsia="仿宋"/>
          <w:sz w:val="44"/>
          <w:szCs w:val="44"/>
        </w:rPr>
      </w:pPr>
    </w:p>
    <w:p w14:paraId="74B8889C">
      <w:pPr>
        <w:ind w:firstLine="1040"/>
        <w:rPr>
          <w:rFonts w:eastAsia="仿宋"/>
          <w:sz w:val="44"/>
          <w:szCs w:val="44"/>
        </w:rPr>
      </w:pPr>
    </w:p>
    <w:p w14:paraId="665DBE02">
      <w:pPr>
        <w:pStyle w:val="31"/>
      </w:pPr>
    </w:p>
    <w:p w14:paraId="354F3DF3">
      <w:pPr>
        <w:ind w:firstLine="1040"/>
        <w:rPr>
          <w:rFonts w:eastAsia="仿宋"/>
          <w:sz w:val="44"/>
          <w:szCs w:val="44"/>
        </w:rPr>
      </w:pPr>
    </w:p>
    <w:p w14:paraId="3C086A58">
      <w:pPr>
        <w:ind w:firstLine="1040"/>
        <w:rPr>
          <w:rFonts w:eastAsia="仿宋"/>
          <w:sz w:val="44"/>
          <w:szCs w:val="44"/>
        </w:rPr>
      </w:pPr>
    </w:p>
    <w:p w14:paraId="29E48E5B">
      <w:pPr>
        <w:adjustRightInd w:val="0"/>
        <w:snapToGrid w:val="0"/>
        <w:spacing w:line="360" w:lineRule="auto"/>
        <w:ind w:left="1981" w:leftChars="86" w:hanging="1800" w:hangingChars="500"/>
        <w:rPr>
          <w:rFonts w:eastAsia="仿宋_GB2312"/>
          <w:sz w:val="36"/>
          <w:szCs w:val="36"/>
          <w:u w:val="single"/>
        </w:rPr>
      </w:pPr>
      <w:r>
        <w:rPr>
          <w:rFonts w:eastAsia="仿宋_GB2312"/>
          <w:sz w:val="36"/>
          <w:szCs w:val="36"/>
        </w:rPr>
        <w:t>项目名称：</w:t>
      </w:r>
      <w:r>
        <w:rPr>
          <w:rFonts w:hint="eastAsia" w:eastAsia="仿宋_GB2312"/>
          <w:sz w:val="36"/>
          <w:szCs w:val="36"/>
          <w:u w:val="single"/>
        </w:rPr>
        <w:t xml:space="preserve"> </w:t>
      </w:r>
      <w:r>
        <w:rPr>
          <w:rFonts w:eastAsia="仿宋_GB2312"/>
          <w:sz w:val="36"/>
          <w:szCs w:val="36"/>
          <w:u w:val="single"/>
        </w:rPr>
        <w:t xml:space="preserve"> </w:t>
      </w:r>
      <w:r>
        <w:rPr>
          <w:rFonts w:hint="eastAsia" w:ascii="仿宋_GB2312" w:eastAsia="仿宋_GB2312"/>
          <w:sz w:val="36"/>
          <w:szCs w:val="36"/>
          <w:u w:val="single"/>
        </w:rPr>
        <w:t>新建年产20万吨高频直缝焊管建设项目</w:t>
      </w:r>
      <w:r>
        <w:rPr>
          <w:rFonts w:hint="eastAsia" w:ascii="仿宋_GB2312" w:eastAsia="仿宋_GB2312"/>
          <w:sz w:val="32"/>
          <w:szCs w:val="32"/>
          <w:u w:val="single"/>
        </w:rPr>
        <w:t xml:space="preserve"> </w:t>
      </w:r>
    </w:p>
    <w:p w14:paraId="40361179">
      <w:pPr>
        <w:adjustRightInd w:val="0"/>
        <w:snapToGrid w:val="0"/>
        <w:spacing w:line="360" w:lineRule="auto"/>
        <w:ind w:firstLine="180" w:firstLineChars="50"/>
        <w:rPr>
          <w:rFonts w:eastAsia="仿宋_GB2312"/>
          <w:sz w:val="36"/>
          <w:szCs w:val="36"/>
          <w:u w:val="single"/>
        </w:rPr>
      </w:pPr>
      <w:r>
        <w:rPr>
          <w:rFonts w:eastAsia="仿宋_GB2312"/>
          <w:sz w:val="36"/>
          <w:szCs w:val="36"/>
        </w:rPr>
        <w:t>建设单位（盖章）：</w:t>
      </w:r>
      <w:r>
        <w:rPr>
          <w:rFonts w:hint="eastAsia" w:eastAsia="仿宋_GB2312"/>
          <w:sz w:val="36"/>
          <w:szCs w:val="36"/>
          <w:u w:val="single"/>
        </w:rPr>
        <w:t xml:space="preserve"> </w:t>
      </w:r>
      <w:r>
        <w:rPr>
          <w:rFonts w:eastAsia="仿宋_GB2312"/>
          <w:sz w:val="36"/>
          <w:szCs w:val="36"/>
          <w:u w:val="single"/>
        </w:rPr>
        <w:t xml:space="preserve">    </w:t>
      </w:r>
      <w:r>
        <w:rPr>
          <w:rFonts w:hint="eastAsia" w:ascii="仿宋_GB2312" w:eastAsia="仿宋_GB2312"/>
          <w:sz w:val="36"/>
          <w:szCs w:val="36"/>
          <w:u w:val="single"/>
        </w:rPr>
        <w:t xml:space="preserve">通海齐拓金属制品有限公司 </w:t>
      </w:r>
      <w:r>
        <w:rPr>
          <w:rFonts w:ascii="仿宋_GB2312" w:eastAsia="仿宋_GB2312"/>
          <w:sz w:val="36"/>
          <w:szCs w:val="36"/>
          <w:u w:val="single"/>
        </w:rPr>
        <w:t xml:space="preserve"> </w:t>
      </w:r>
    </w:p>
    <w:p w14:paraId="754935AE">
      <w:pPr>
        <w:adjustRightInd w:val="0"/>
        <w:snapToGrid w:val="0"/>
        <w:spacing w:line="360" w:lineRule="auto"/>
        <w:ind w:firstLine="180" w:firstLineChars="50"/>
        <w:rPr>
          <w:rFonts w:eastAsia="仿宋_GB2312"/>
          <w:sz w:val="36"/>
          <w:szCs w:val="36"/>
          <w:u w:val="single"/>
        </w:rPr>
      </w:pPr>
      <w:r>
        <w:rPr>
          <w:rFonts w:eastAsia="仿宋_GB2312"/>
          <w:sz w:val="36"/>
          <w:szCs w:val="36"/>
        </w:rPr>
        <w:t>编制日期：</w:t>
      </w:r>
      <w:r>
        <w:rPr>
          <w:rFonts w:hint="eastAsia" w:eastAsia="仿宋_GB2312"/>
          <w:sz w:val="36"/>
          <w:szCs w:val="36"/>
          <w:u w:val="single"/>
        </w:rPr>
        <w:t xml:space="preserve">           </w:t>
      </w:r>
      <w:r>
        <w:rPr>
          <w:rFonts w:eastAsia="仿宋_GB2312"/>
          <w:sz w:val="36"/>
          <w:szCs w:val="36"/>
          <w:u w:val="single"/>
        </w:rPr>
        <w:t xml:space="preserve"> </w:t>
      </w:r>
      <w:r>
        <w:rPr>
          <w:rFonts w:hint="eastAsia" w:ascii="仿宋_GB2312" w:eastAsia="仿宋_GB2312"/>
          <w:sz w:val="36"/>
          <w:szCs w:val="36"/>
          <w:u w:val="single"/>
        </w:rPr>
        <w:t>202</w:t>
      </w:r>
      <w:r>
        <w:rPr>
          <w:rFonts w:ascii="仿宋_GB2312" w:eastAsia="仿宋_GB2312"/>
          <w:sz w:val="36"/>
          <w:szCs w:val="36"/>
          <w:u w:val="single"/>
        </w:rPr>
        <w:t>5</w:t>
      </w:r>
      <w:r>
        <w:rPr>
          <w:rFonts w:hint="eastAsia" w:ascii="仿宋_GB2312" w:eastAsia="仿宋_GB2312"/>
          <w:sz w:val="36"/>
          <w:szCs w:val="36"/>
          <w:u w:val="single"/>
        </w:rPr>
        <w:t>年</w:t>
      </w:r>
      <w:r>
        <w:rPr>
          <w:rFonts w:ascii="仿宋_GB2312" w:eastAsia="仿宋_GB2312"/>
          <w:sz w:val="36"/>
          <w:szCs w:val="36"/>
          <w:u w:val="single"/>
        </w:rPr>
        <w:t>4</w:t>
      </w:r>
      <w:r>
        <w:rPr>
          <w:rFonts w:hint="eastAsia" w:ascii="仿宋_GB2312" w:eastAsia="仿宋_GB2312"/>
          <w:sz w:val="36"/>
          <w:szCs w:val="36"/>
          <w:u w:val="single"/>
        </w:rPr>
        <w:t xml:space="preserve">月           </w:t>
      </w:r>
      <w:r>
        <w:rPr>
          <w:rFonts w:ascii="仿宋_GB2312" w:eastAsia="仿宋_GB2312"/>
          <w:sz w:val="36"/>
          <w:szCs w:val="36"/>
          <w:u w:val="single"/>
        </w:rPr>
        <w:t xml:space="preserve">    </w:t>
      </w:r>
    </w:p>
    <w:p w14:paraId="149D558A">
      <w:pPr>
        <w:adjustRightInd w:val="0"/>
        <w:snapToGrid w:val="0"/>
        <w:spacing w:line="288" w:lineRule="auto"/>
        <w:ind w:firstLine="1040"/>
        <w:rPr>
          <w:rFonts w:eastAsia="仿宋_GB2312"/>
          <w:sz w:val="36"/>
          <w:szCs w:val="36"/>
          <w:u w:val="single"/>
        </w:rPr>
      </w:pPr>
      <w:bookmarkStart w:id="0" w:name="_Hlk57884087"/>
    </w:p>
    <w:p w14:paraId="72E75663">
      <w:pPr>
        <w:adjustRightInd w:val="0"/>
        <w:snapToGrid w:val="0"/>
        <w:spacing w:line="288" w:lineRule="auto"/>
        <w:ind w:firstLine="1040"/>
        <w:rPr>
          <w:rFonts w:eastAsia="仿宋_GB2312"/>
          <w:sz w:val="36"/>
          <w:szCs w:val="36"/>
        </w:rPr>
      </w:pPr>
    </w:p>
    <w:p w14:paraId="2FEA0A34">
      <w:pPr>
        <w:adjustRightInd w:val="0"/>
        <w:snapToGrid w:val="0"/>
        <w:spacing w:line="288" w:lineRule="auto"/>
        <w:ind w:firstLine="1040"/>
        <w:rPr>
          <w:rFonts w:eastAsia="仿宋_GB2312"/>
          <w:sz w:val="36"/>
          <w:szCs w:val="36"/>
        </w:rPr>
      </w:pPr>
    </w:p>
    <w:p w14:paraId="409638A5">
      <w:pPr>
        <w:adjustRightInd w:val="0"/>
        <w:snapToGrid w:val="0"/>
        <w:spacing w:line="288" w:lineRule="auto"/>
        <w:ind w:firstLine="1040"/>
        <w:rPr>
          <w:rFonts w:eastAsia="仿宋_GB2312"/>
          <w:sz w:val="36"/>
          <w:szCs w:val="36"/>
        </w:rPr>
      </w:pPr>
    </w:p>
    <w:p w14:paraId="5E07DDEB">
      <w:pPr>
        <w:adjustRightInd w:val="0"/>
        <w:snapToGrid w:val="0"/>
        <w:spacing w:line="288" w:lineRule="auto"/>
        <w:ind w:firstLine="1040"/>
        <w:rPr>
          <w:rFonts w:eastAsia="仿宋_GB2312"/>
          <w:sz w:val="36"/>
          <w:szCs w:val="36"/>
        </w:rPr>
      </w:pPr>
    </w:p>
    <w:p w14:paraId="6ED96140">
      <w:pPr>
        <w:adjustRightInd w:val="0"/>
        <w:snapToGrid w:val="0"/>
        <w:spacing w:line="288" w:lineRule="auto"/>
        <w:ind w:firstLine="1040"/>
        <w:rPr>
          <w:rFonts w:eastAsia="仿宋_GB2312"/>
          <w:sz w:val="36"/>
          <w:szCs w:val="36"/>
        </w:rPr>
      </w:pPr>
    </w:p>
    <w:p w14:paraId="2474CF22">
      <w:pPr>
        <w:adjustRightInd w:val="0"/>
        <w:snapToGrid w:val="0"/>
        <w:spacing w:line="288" w:lineRule="auto"/>
        <w:ind w:firstLine="1040"/>
        <w:rPr>
          <w:rFonts w:eastAsia="仿宋_GB2312"/>
          <w:sz w:val="36"/>
          <w:szCs w:val="36"/>
        </w:rPr>
      </w:pPr>
    </w:p>
    <w:p w14:paraId="68CBDA15">
      <w:pPr>
        <w:adjustRightInd w:val="0"/>
        <w:snapToGrid w:val="0"/>
        <w:spacing w:line="288" w:lineRule="auto"/>
        <w:ind w:firstLine="1040"/>
        <w:rPr>
          <w:rFonts w:eastAsia="仿宋_GB2312"/>
          <w:sz w:val="36"/>
          <w:szCs w:val="36"/>
        </w:rPr>
      </w:pPr>
    </w:p>
    <w:p w14:paraId="4337DBAC">
      <w:pPr>
        <w:adjustRightInd w:val="0"/>
        <w:snapToGrid w:val="0"/>
        <w:spacing w:line="288" w:lineRule="auto"/>
        <w:ind w:firstLine="1040"/>
        <w:rPr>
          <w:rFonts w:eastAsia="仿宋_GB2312"/>
          <w:sz w:val="36"/>
          <w:szCs w:val="36"/>
        </w:rPr>
      </w:pPr>
    </w:p>
    <w:p w14:paraId="303B20FF">
      <w:pPr>
        <w:adjustRightInd w:val="0"/>
        <w:snapToGrid w:val="0"/>
        <w:spacing w:line="288" w:lineRule="auto"/>
        <w:ind w:firstLine="1040"/>
        <w:rPr>
          <w:rFonts w:eastAsia="仿宋_GB2312"/>
          <w:sz w:val="36"/>
          <w:szCs w:val="36"/>
        </w:rPr>
      </w:pPr>
    </w:p>
    <w:bookmarkEnd w:id="0"/>
    <w:p w14:paraId="676DA1B6">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14:paraId="73E1C377"/>
    <w:p w14:paraId="3714B234">
      <w:pPr>
        <w:pStyle w:val="28"/>
        <w:jc w:val="center"/>
        <w:rPr>
          <w:rFonts w:hint="eastAsia" w:ascii="Times New Roman" w:hAnsi="黑体" w:eastAsia="黑体"/>
          <w:snapToGrid w:val="0"/>
          <w:sz w:val="30"/>
          <w:szCs w:val="30"/>
        </w:rPr>
      </w:pPr>
    </w:p>
    <w:p w14:paraId="70862CE8">
      <w:pPr>
        <w:pStyle w:val="28"/>
        <w:jc w:val="center"/>
        <w:outlineLvl w:val="0"/>
        <w:rPr>
          <w:rFonts w:hint="eastAsia" w:ascii="Times New Roman" w:hAnsi="黑体" w:eastAsia="黑体"/>
          <w:snapToGrid w:val="0"/>
          <w:sz w:val="30"/>
          <w:szCs w:val="30"/>
        </w:rPr>
        <w:sectPr>
          <w:footerReference r:id="rId3" w:type="default"/>
          <w:pgSz w:w="11906" w:h="16838"/>
          <w:pgMar w:top="1701" w:right="1531" w:bottom="1701" w:left="1531" w:header="851" w:footer="1077" w:gutter="0"/>
          <w:pgNumType w:start="1"/>
          <w:cols w:space="720" w:num="1"/>
          <w:docGrid w:linePitch="312" w:charSpace="0"/>
        </w:sectPr>
      </w:pPr>
    </w:p>
    <w:p w14:paraId="4E9C462C">
      <w:pPr>
        <w:pStyle w:val="28"/>
        <w:jc w:val="center"/>
        <w:rPr>
          <w:rFonts w:hint="eastAsia" w:ascii="Times New Roman" w:hAnsi="黑体" w:eastAsia="黑体"/>
          <w:snapToGrid w:val="0"/>
          <w:sz w:val="32"/>
          <w:szCs w:val="32"/>
        </w:rPr>
      </w:pPr>
      <w:r>
        <w:rPr>
          <w:rFonts w:ascii="Times New Roman" w:hAnsi="黑体" w:eastAsia="黑体"/>
          <w:snapToGrid w:val="0"/>
          <w:sz w:val="32"/>
          <w:szCs w:val="32"/>
        </w:rPr>
        <w:t>目</w:t>
      </w:r>
      <w:r>
        <w:rPr>
          <w:rFonts w:hint="eastAsia" w:ascii="Times New Roman" w:hAnsi="黑体" w:eastAsia="黑体"/>
          <w:snapToGrid w:val="0"/>
          <w:sz w:val="32"/>
          <w:szCs w:val="32"/>
        </w:rPr>
        <w:t xml:space="preserve">   </w:t>
      </w:r>
      <w:r>
        <w:rPr>
          <w:rFonts w:ascii="Times New Roman" w:hAnsi="黑体" w:eastAsia="黑体"/>
          <w:snapToGrid w:val="0"/>
          <w:sz w:val="32"/>
          <w:szCs w:val="32"/>
        </w:rPr>
        <w:t>录</w:t>
      </w:r>
    </w:p>
    <w:p w14:paraId="78F8E70B">
      <w:pPr>
        <w:pStyle w:val="23"/>
        <w:tabs>
          <w:tab w:val="right" w:leader="dot" w:pos="9174"/>
        </w:tabs>
        <w:rPr>
          <w:rFonts w:ascii="Times New Roman" w:hAnsi="Times New Roman" w:cs="Times New Roman" w:eastAsiaTheme="minorEastAsia"/>
          <w:caps w:val="0"/>
          <w:sz w:val="24"/>
          <w:szCs w:val="24"/>
        </w:rPr>
      </w:pPr>
      <w:r>
        <w:rPr>
          <w:rFonts w:ascii="Times New Roman" w:hAnsi="Times New Roman" w:cs="Times New Roman" w:eastAsiaTheme="minorEastAsia"/>
          <w:snapToGrid w:val="0"/>
          <w:sz w:val="24"/>
          <w:szCs w:val="24"/>
        </w:rPr>
        <w:fldChar w:fldCharType="begin"/>
      </w:r>
      <w:r>
        <w:rPr>
          <w:rFonts w:ascii="Times New Roman" w:hAnsi="Times New Roman" w:cs="Times New Roman" w:eastAsiaTheme="minorEastAsia"/>
          <w:snapToGrid w:val="0"/>
          <w:sz w:val="24"/>
          <w:szCs w:val="24"/>
        </w:rPr>
        <w:instrText xml:space="preserve"> TOC \o "1-1" \h \z \u </w:instrText>
      </w:r>
      <w:r>
        <w:rPr>
          <w:rFonts w:ascii="Times New Roman" w:hAnsi="Times New Roman" w:cs="Times New Roman" w:eastAsiaTheme="minorEastAsia"/>
          <w:snapToGrid w:val="0"/>
          <w:sz w:val="24"/>
          <w:szCs w:val="24"/>
        </w:rPr>
        <w:fldChar w:fldCharType="separate"/>
      </w:r>
      <w:r>
        <w:fldChar w:fldCharType="begin"/>
      </w:r>
      <w:r>
        <w:instrText xml:space="preserve"> HYPERLINK \l "_Toc127436950" </w:instrText>
      </w:r>
      <w:r>
        <w:fldChar w:fldCharType="separate"/>
      </w:r>
      <w:r>
        <w:rPr>
          <w:rStyle w:val="37"/>
          <w:rFonts w:ascii="Times New Roman" w:hAnsi="Times New Roman" w:cs="Times New Roman" w:eastAsiaTheme="minorEastAsia"/>
          <w:snapToGrid w:val="0"/>
          <w:color w:val="auto"/>
          <w:sz w:val="24"/>
          <w:szCs w:val="24"/>
        </w:rPr>
        <w:t>一、建设项目基本情况</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_Toc127436950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14:paraId="7FC49CBC">
      <w:pPr>
        <w:pStyle w:val="23"/>
        <w:tabs>
          <w:tab w:val="right" w:leader="dot" w:pos="9174"/>
        </w:tabs>
        <w:rPr>
          <w:rFonts w:ascii="Times New Roman" w:hAnsi="Times New Roman" w:cs="Times New Roman" w:eastAsiaTheme="minorEastAsia"/>
          <w:caps w:val="0"/>
          <w:sz w:val="24"/>
          <w:szCs w:val="24"/>
        </w:rPr>
      </w:pPr>
      <w:r>
        <w:fldChar w:fldCharType="begin"/>
      </w:r>
      <w:r>
        <w:instrText xml:space="preserve"> HYPERLINK \l "_Toc127436951" </w:instrText>
      </w:r>
      <w:r>
        <w:fldChar w:fldCharType="separate"/>
      </w:r>
      <w:r>
        <w:rPr>
          <w:rStyle w:val="37"/>
          <w:rFonts w:ascii="Times New Roman" w:hAnsi="Times New Roman" w:cs="Times New Roman" w:eastAsiaTheme="minorEastAsia"/>
          <w:snapToGrid w:val="0"/>
          <w:color w:val="auto"/>
          <w:sz w:val="24"/>
          <w:szCs w:val="24"/>
        </w:rPr>
        <w:t>二、建设项目工程分析</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_Toc127436951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14:paraId="34BDCF5C">
      <w:pPr>
        <w:pStyle w:val="23"/>
        <w:tabs>
          <w:tab w:val="right" w:leader="dot" w:pos="9174"/>
        </w:tabs>
        <w:rPr>
          <w:rFonts w:ascii="Times New Roman" w:hAnsi="Times New Roman" w:cs="Times New Roman" w:eastAsiaTheme="minorEastAsia"/>
          <w:caps w:val="0"/>
          <w:sz w:val="24"/>
          <w:szCs w:val="24"/>
        </w:rPr>
      </w:pPr>
      <w:r>
        <w:fldChar w:fldCharType="begin"/>
      </w:r>
      <w:r>
        <w:instrText xml:space="preserve"> HYPERLINK \l "_Toc127436952" </w:instrText>
      </w:r>
      <w:r>
        <w:fldChar w:fldCharType="separate"/>
      </w:r>
      <w:r>
        <w:rPr>
          <w:rStyle w:val="37"/>
          <w:rFonts w:ascii="Times New Roman" w:hAnsi="Times New Roman" w:cs="Times New Roman" w:eastAsiaTheme="minorEastAsia"/>
          <w:snapToGrid w:val="0"/>
          <w:color w:val="auto"/>
          <w:sz w:val="24"/>
          <w:szCs w:val="24"/>
        </w:rPr>
        <w:t>三、区域环境质量现状、环境保护目标及评价标准</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_Toc127436952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32</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14:paraId="70C8C806">
      <w:pPr>
        <w:pStyle w:val="23"/>
        <w:tabs>
          <w:tab w:val="right" w:leader="dot" w:pos="9174"/>
        </w:tabs>
        <w:rPr>
          <w:rFonts w:ascii="Times New Roman" w:hAnsi="Times New Roman" w:cs="Times New Roman" w:eastAsiaTheme="minorEastAsia"/>
          <w:caps w:val="0"/>
          <w:sz w:val="24"/>
          <w:szCs w:val="24"/>
        </w:rPr>
      </w:pPr>
      <w:r>
        <w:fldChar w:fldCharType="begin"/>
      </w:r>
      <w:r>
        <w:instrText xml:space="preserve"> HYPERLINK \l "_Toc127436953" </w:instrText>
      </w:r>
      <w:r>
        <w:fldChar w:fldCharType="separate"/>
      </w:r>
      <w:r>
        <w:rPr>
          <w:rStyle w:val="37"/>
          <w:rFonts w:ascii="Times New Roman" w:hAnsi="Times New Roman" w:cs="Times New Roman" w:eastAsiaTheme="minorEastAsia"/>
          <w:snapToGrid w:val="0"/>
          <w:color w:val="auto"/>
          <w:sz w:val="24"/>
          <w:szCs w:val="24"/>
        </w:rPr>
        <w:t>四、主要环境影响和保护措施</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_Toc127436953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14:paraId="61AE7295">
      <w:pPr>
        <w:pStyle w:val="23"/>
        <w:tabs>
          <w:tab w:val="right" w:leader="dot" w:pos="9174"/>
        </w:tabs>
        <w:rPr>
          <w:rFonts w:ascii="Times New Roman" w:hAnsi="Times New Roman" w:cs="Times New Roman" w:eastAsiaTheme="minorEastAsia"/>
          <w:caps w:val="0"/>
          <w:sz w:val="24"/>
          <w:szCs w:val="24"/>
        </w:rPr>
      </w:pPr>
      <w:r>
        <w:fldChar w:fldCharType="begin"/>
      </w:r>
      <w:r>
        <w:instrText xml:space="preserve"> HYPERLINK \l "_Toc127436954" </w:instrText>
      </w:r>
      <w:r>
        <w:fldChar w:fldCharType="separate"/>
      </w:r>
      <w:r>
        <w:rPr>
          <w:rStyle w:val="37"/>
          <w:rFonts w:ascii="Times New Roman" w:hAnsi="Times New Roman" w:cs="Times New Roman" w:eastAsiaTheme="minorEastAsia"/>
          <w:snapToGrid w:val="0"/>
          <w:color w:val="auto"/>
          <w:sz w:val="24"/>
          <w:szCs w:val="24"/>
        </w:rPr>
        <w:t>五、环境保护措施监督检查清单</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_Toc127436954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69</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14:paraId="7C6EA740">
      <w:pPr>
        <w:pStyle w:val="23"/>
        <w:tabs>
          <w:tab w:val="right" w:leader="dot" w:pos="9174"/>
        </w:tabs>
        <w:rPr>
          <w:rFonts w:ascii="Times New Roman" w:hAnsi="Times New Roman" w:cs="Times New Roman" w:eastAsiaTheme="minorEastAsia"/>
          <w:caps w:val="0"/>
          <w:sz w:val="24"/>
          <w:szCs w:val="24"/>
        </w:rPr>
      </w:pPr>
      <w:r>
        <w:fldChar w:fldCharType="begin"/>
      </w:r>
      <w:r>
        <w:instrText xml:space="preserve"> HYPERLINK \l "_Toc127436955" </w:instrText>
      </w:r>
      <w:r>
        <w:fldChar w:fldCharType="separate"/>
      </w:r>
      <w:r>
        <w:rPr>
          <w:rStyle w:val="37"/>
          <w:rFonts w:ascii="Times New Roman" w:hAnsi="Times New Roman" w:cs="Times New Roman" w:eastAsiaTheme="minorEastAsia"/>
          <w:snapToGrid w:val="0"/>
          <w:color w:val="auto"/>
          <w:sz w:val="24"/>
          <w:szCs w:val="24"/>
        </w:rPr>
        <w:t>六、结论</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_Toc127436955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74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14:paraId="3C133C62">
      <w:pPr>
        <w:pStyle w:val="23"/>
        <w:tabs>
          <w:tab w:val="right" w:leader="dot" w:pos="9174"/>
        </w:tabs>
        <w:rPr>
          <w:rFonts w:ascii="Times New Roman" w:hAnsi="Times New Roman" w:cs="Times New Roman" w:eastAsiaTheme="minorEastAsia"/>
          <w:caps w:val="0"/>
          <w:sz w:val="24"/>
          <w:szCs w:val="24"/>
        </w:rPr>
      </w:pPr>
      <w:r>
        <w:fldChar w:fldCharType="begin"/>
      </w:r>
      <w:r>
        <w:instrText xml:space="preserve"> HYPERLINK \l "_Toc127436956" </w:instrText>
      </w:r>
      <w:r>
        <w:fldChar w:fldCharType="separate"/>
      </w:r>
      <w:r>
        <w:rPr>
          <w:rStyle w:val="37"/>
          <w:rFonts w:ascii="Times New Roman" w:hAnsi="Times New Roman" w:cs="Times New Roman" w:eastAsiaTheme="minorEastAsia"/>
          <w:snapToGrid w:val="0"/>
          <w:color w:val="auto"/>
          <w:sz w:val="24"/>
          <w:szCs w:val="24"/>
        </w:rPr>
        <w:t>附表</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_Toc127436956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75</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14:paraId="49005870">
      <w:pPr>
        <w:pStyle w:val="23"/>
        <w:tabs>
          <w:tab w:val="right" w:leader="dot" w:pos="9174"/>
        </w:tabs>
        <w:rPr>
          <w:rFonts w:ascii="Times New Roman" w:hAnsi="Times New Roman" w:cs="Times New Roman" w:eastAsiaTheme="minorEastAsia"/>
          <w:b w:val="0"/>
          <w:bCs w:val="0"/>
          <w:caps w:val="0"/>
          <w:sz w:val="24"/>
          <w:szCs w:val="24"/>
        </w:rPr>
      </w:pPr>
      <w:r>
        <w:fldChar w:fldCharType="begin"/>
      </w:r>
      <w:r>
        <w:instrText xml:space="preserve"> HYPERLINK \l "_Toc127436957" </w:instrText>
      </w:r>
      <w:r>
        <w:fldChar w:fldCharType="separate"/>
      </w:r>
      <w:r>
        <w:rPr>
          <w:rStyle w:val="37"/>
          <w:rFonts w:ascii="Times New Roman" w:hAnsi="Times New Roman" w:cs="Times New Roman" w:eastAsiaTheme="minorEastAsia"/>
          <w:snapToGrid w:val="0"/>
          <w:color w:val="auto"/>
          <w:sz w:val="24"/>
          <w:szCs w:val="24"/>
        </w:rPr>
        <w:t>建设项目污染物排放量汇总表</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_Toc127436957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75</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14:paraId="5E975A41">
      <w:pPr>
        <w:pStyle w:val="28"/>
        <w:adjustRightInd w:val="0"/>
        <w:snapToGrid w:val="0"/>
        <w:spacing w:before="0" w:beforeAutospacing="0" w:after="0" w:afterAutospacing="0" w:line="360" w:lineRule="auto"/>
        <w:jc w:val="center"/>
        <w:rPr>
          <w:rFonts w:ascii="Times New Roman" w:hAnsi="Times New Roman" w:eastAsiaTheme="minorEastAsia"/>
          <w:b/>
          <w:snapToGrid w:val="0"/>
          <w:szCs w:val="24"/>
        </w:rPr>
      </w:pPr>
      <w:r>
        <w:rPr>
          <w:rFonts w:ascii="Times New Roman" w:hAnsi="Times New Roman" w:eastAsiaTheme="minorEastAsia"/>
          <w:b/>
          <w:snapToGrid w:val="0"/>
          <w:szCs w:val="24"/>
        </w:rPr>
        <w:fldChar w:fldCharType="end"/>
      </w:r>
    </w:p>
    <w:p w14:paraId="6F6E4900">
      <w:pPr>
        <w:pStyle w:val="28"/>
        <w:adjustRightInd w:val="0"/>
        <w:snapToGrid w:val="0"/>
        <w:spacing w:before="0" w:beforeAutospacing="0" w:after="0" w:afterAutospacing="0" w:line="360" w:lineRule="exact"/>
        <w:rPr>
          <w:rFonts w:ascii="Times New Roman" w:hAnsi="Times New Roman" w:eastAsia="黑体"/>
          <w:snapToGrid w:val="0"/>
          <w:sz w:val="21"/>
          <w:szCs w:val="21"/>
        </w:rPr>
      </w:pPr>
      <w:r>
        <w:rPr>
          <w:rFonts w:ascii="Times New Roman" w:hAnsi="Times New Roman" w:eastAsia="黑体"/>
          <w:snapToGrid w:val="0"/>
          <w:sz w:val="21"/>
          <w:szCs w:val="21"/>
        </w:rPr>
        <w:t>附图：</w:t>
      </w:r>
    </w:p>
    <w:p w14:paraId="59833964">
      <w:pPr>
        <w:pStyle w:val="28"/>
        <w:adjustRightInd w:val="0"/>
        <w:snapToGrid w:val="0"/>
        <w:spacing w:before="0" w:beforeAutospacing="0" w:after="0" w:afterAutospacing="0" w:line="36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附图1、项目地理位置图</w:t>
      </w:r>
    </w:p>
    <w:p w14:paraId="3B8C619C">
      <w:pPr>
        <w:pStyle w:val="28"/>
        <w:adjustRightInd w:val="0"/>
        <w:snapToGrid w:val="0"/>
        <w:spacing w:before="0" w:beforeAutospacing="0" w:after="0" w:afterAutospacing="0" w:line="36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附图</w:t>
      </w:r>
      <w:r>
        <w:rPr>
          <w:rFonts w:ascii="Times New Roman" w:hAnsi="Times New Roman" w:eastAsiaTheme="minorEastAsia"/>
          <w:snapToGrid w:val="0"/>
          <w:sz w:val="21"/>
          <w:szCs w:val="21"/>
        </w:rPr>
        <w:t>2</w:t>
      </w:r>
      <w:r>
        <w:rPr>
          <w:rFonts w:hint="eastAsia" w:ascii="Times New Roman" w:hAnsi="Times New Roman" w:eastAsiaTheme="minorEastAsia"/>
          <w:snapToGrid w:val="0"/>
          <w:sz w:val="21"/>
          <w:szCs w:val="21"/>
        </w:rPr>
        <w:t>、项目厂区平面布置图</w:t>
      </w:r>
    </w:p>
    <w:p w14:paraId="138969BA">
      <w:pPr>
        <w:pStyle w:val="28"/>
        <w:adjustRightInd w:val="0"/>
        <w:snapToGrid w:val="0"/>
        <w:spacing w:before="0" w:beforeAutospacing="0" w:after="0" w:afterAutospacing="0" w:line="36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附图3、项目环境保护目标分布及周边环境关系图</w:t>
      </w:r>
    </w:p>
    <w:p w14:paraId="68010376">
      <w:pPr>
        <w:pStyle w:val="28"/>
        <w:adjustRightInd w:val="0"/>
        <w:snapToGrid w:val="0"/>
        <w:spacing w:before="0" w:beforeAutospacing="0" w:after="0" w:afterAutospacing="0" w:line="36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附图4、项目所在流域水系图</w:t>
      </w:r>
    </w:p>
    <w:p w14:paraId="14EC284E">
      <w:pPr>
        <w:pStyle w:val="28"/>
        <w:adjustRightInd w:val="0"/>
        <w:snapToGrid w:val="0"/>
        <w:spacing w:before="0" w:beforeAutospacing="0" w:after="0" w:afterAutospacing="0" w:line="36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附图5、项目环境现状监测布点图</w:t>
      </w:r>
    </w:p>
    <w:p w14:paraId="2F688AD9">
      <w:pPr>
        <w:pStyle w:val="28"/>
        <w:adjustRightInd w:val="0"/>
        <w:snapToGrid w:val="0"/>
        <w:spacing w:before="0" w:beforeAutospacing="0" w:after="0" w:afterAutospacing="0" w:line="36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附图6、项目与杞麓湖湖滨生态红线位置关系图</w:t>
      </w:r>
    </w:p>
    <w:p w14:paraId="1446EFC1">
      <w:pPr>
        <w:pStyle w:val="28"/>
        <w:adjustRightInd w:val="0"/>
        <w:snapToGrid w:val="0"/>
        <w:spacing w:before="0" w:beforeAutospacing="0" w:after="0" w:afterAutospacing="0" w:line="36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附图7、项目区水文地质图</w:t>
      </w:r>
    </w:p>
    <w:p w14:paraId="1C5EAF60">
      <w:pPr>
        <w:pStyle w:val="28"/>
        <w:adjustRightInd w:val="0"/>
        <w:snapToGrid w:val="0"/>
        <w:spacing w:before="0" w:beforeAutospacing="0" w:after="0" w:afterAutospacing="0" w:line="36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附图</w:t>
      </w:r>
      <w:r>
        <w:rPr>
          <w:rFonts w:ascii="Times New Roman" w:hAnsi="Times New Roman" w:eastAsiaTheme="minorEastAsia"/>
          <w:snapToGrid w:val="0"/>
          <w:sz w:val="21"/>
          <w:szCs w:val="21"/>
        </w:rPr>
        <w:t>8</w:t>
      </w:r>
      <w:r>
        <w:rPr>
          <w:rFonts w:hint="eastAsia" w:ascii="Times New Roman" w:hAnsi="Times New Roman" w:eastAsiaTheme="minorEastAsia"/>
          <w:snapToGrid w:val="0"/>
          <w:sz w:val="21"/>
          <w:szCs w:val="21"/>
        </w:rPr>
        <w:t>、项目区现场照片</w:t>
      </w:r>
    </w:p>
    <w:p w14:paraId="6AF58070">
      <w:pPr>
        <w:pStyle w:val="28"/>
        <w:adjustRightInd w:val="0"/>
        <w:snapToGrid w:val="0"/>
        <w:spacing w:before="0" w:beforeAutospacing="0" w:after="0" w:afterAutospacing="0" w:line="360" w:lineRule="exact"/>
        <w:rPr>
          <w:rFonts w:ascii="Times New Roman" w:hAnsi="Times New Roman" w:eastAsiaTheme="minorEastAsia"/>
          <w:snapToGrid w:val="0"/>
          <w:sz w:val="21"/>
          <w:szCs w:val="21"/>
        </w:rPr>
      </w:pPr>
    </w:p>
    <w:p w14:paraId="18E9C9C1">
      <w:pPr>
        <w:pStyle w:val="28"/>
        <w:adjustRightInd w:val="0"/>
        <w:snapToGrid w:val="0"/>
        <w:spacing w:before="0" w:beforeAutospacing="0" w:after="0" w:afterAutospacing="0" w:line="360" w:lineRule="exact"/>
        <w:rPr>
          <w:rFonts w:ascii="Times New Roman" w:hAnsi="Times New Roman" w:eastAsia="黑体"/>
          <w:snapToGrid w:val="0"/>
          <w:sz w:val="21"/>
          <w:szCs w:val="21"/>
        </w:rPr>
      </w:pPr>
      <w:r>
        <w:rPr>
          <w:rFonts w:ascii="Times New Roman" w:hAnsi="Times New Roman" w:eastAsia="黑体"/>
          <w:snapToGrid w:val="0"/>
          <w:sz w:val="21"/>
          <w:szCs w:val="21"/>
        </w:rPr>
        <w:t>附件：</w:t>
      </w:r>
    </w:p>
    <w:p w14:paraId="5BEDB67F">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ascii="Times New Roman" w:hAnsi="Times New Roman" w:eastAsiaTheme="minorEastAsia"/>
          <w:snapToGrid w:val="0"/>
          <w:sz w:val="21"/>
          <w:szCs w:val="21"/>
        </w:rPr>
        <w:t>附件1、项目委托书</w:t>
      </w:r>
    </w:p>
    <w:p w14:paraId="497F079E">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ascii="Times New Roman" w:hAnsi="Times New Roman" w:eastAsiaTheme="minorEastAsia"/>
          <w:snapToGrid w:val="0"/>
          <w:sz w:val="21"/>
          <w:szCs w:val="21"/>
        </w:rPr>
        <w:t>附件2、</w:t>
      </w:r>
      <w:r>
        <w:rPr>
          <w:rFonts w:hint="eastAsia" w:ascii="Times New Roman" w:hAnsi="Times New Roman" w:eastAsiaTheme="minorEastAsia"/>
          <w:snapToGrid w:val="0"/>
          <w:sz w:val="21"/>
          <w:szCs w:val="21"/>
        </w:rPr>
        <w:t>投资项目备案证</w:t>
      </w:r>
    </w:p>
    <w:p w14:paraId="3A6C0259">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附件3、通海县国土空间规划三区三线查询结果</w:t>
      </w:r>
    </w:p>
    <w:p w14:paraId="7065D527">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附件</w:t>
      </w:r>
      <w:r>
        <w:rPr>
          <w:rFonts w:ascii="Times New Roman" w:hAnsi="Times New Roman" w:eastAsiaTheme="minorEastAsia"/>
          <w:snapToGrid w:val="0"/>
          <w:sz w:val="21"/>
          <w:szCs w:val="21"/>
        </w:rPr>
        <w:t>4</w:t>
      </w:r>
      <w:r>
        <w:rPr>
          <w:rFonts w:hint="eastAsia" w:ascii="Times New Roman" w:hAnsi="Times New Roman" w:eastAsiaTheme="minorEastAsia"/>
          <w:snapToGrid w:val="0"/>
          <w:sz w:val="21"/>
          <w:szCs w:val="21"/>
        </w:rPr>
        <w:t>、项目“三线一单”管控单元查询结果</w:t>
      </w:r>
    </w:p>
    <w:p w14:paraId="57F3E68B">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附件</w:t>
      </w:r>
      <w:r>
        <w:rPr>
          <w:rFonts w:ascii="Times New Roman" w:hAnsi="Times New Roman" w:eastAsiaTheme="minorEastAsia"/>
          <w:snapToGrid w:val="0"/>
          <w:sz w:val="21"/>
          <w:szCs w:val="21"/>
        </w:rPr>
        <w:t>5</w:t>
      </w:r>
      <w:r>
        <w:rPr>
          <w:rFonts w:hint="eastAsia" w:ascii="Times New Roman" w:hAnsi="Times New Roman" w:eastAsiaTheme="minorEastAsia"/>
          <w:snapToGrid w:val="0"/>
          <w:sz w:val="21"/>
          <w:szCs w:val="21"/>
        </w:rPr>
        <w:t>、项目与杞麓湖“两线三区”管控要求的选址意见</w:t>
      </w:r>
    </w:p>
    <w:p w14:paraId="394682C9">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附件</w:t>
      </w:r>
      <w:r>
        <w:rPr>
          <w:rFonts w:ascii="Times New Roman" w:hAnsi="Times New Roman" w:eastAsiaTheme="minorEastAsia"/>
          <w:snapToGrid w:val="0"/>
          <w:sz w:val="21"/>
          <w:szCs w:val="21"/>
        </w:rPr>
        <w:t>6</w:t>
      </w:r>
      <w:r>
        <w:rPr>
          <w:rFonts w:hint="eastAsia" w:ascii="Times New Roman" w:hAnsi="Times New Roman" w:eastAsiaTheme="minorEastAsia"/>
          <w:snapToGrid w:val="0"/>
          <w:sz w:val="21"/>
          <w:szCs w:val="21"/>
        </w:rPr>
        <w:t>、通海县纳古镇人民政府关于通海齐拓金属制品有限公司进行技改的选址意见</w:t>
      </w:r>
    </w:p>
    <w:p w14:paraId="65D1CCD0">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附件</w:t>
      </w:r>
      <w:r>
        <w:rPr>
          <w:rFonts w:ascii="Times New Roman" w:hAnsi="Times New Roman" w:eastAsiaTheme="minorEastAsia"/>
          <w:snapToGrid w:val="0"/>
          <w:sz w:val="21"/>
          <w:szCs w:val="21"/>
        </w:rPr>
        <w:t>7</w:t>
      </w:r>
      <w:r>
        <w:rPr>
          <w:rFonts w:hint="eastAsia" w:ascii="Times New Roman" w:hAnsi="Times New Roman" w:eastAsiaTheme="minorEastAsia"/>
          <w:snapToGrid w:val="0"/>
          <w:sz w:val="21"/>
          <w:szCs w:val="21"/>
        </w:rPr>
        <w:t>、通海齐拓金属制品有限公司与通海华宇工贸有限责任公司的收购证明</w:t>
      </w:r>
    </w:p>
    <w:p w14:paraId="3CA34E91">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附件</w:t>
      </w:r>
      <w:r>
        <w:rPr>
          <w:rFonts w:ascii="Times New Roman" w:hAnsi="Times New Roman" w:eastAsiaTheme="minorEastAsia"/>
          <w:snapToGrid w:val="0"/>
          <w:sz w:val="21"/>
          <w:szCs w:val="21"/>
        </w:rPr>
        <w:t>8</w:t>
      </w:r>
      <w:r>
        <w:rPr>
          <w:rFonts w:hint="eastAsia" w:ascii="Times New Roman" w:hAnsi="Times New Roman" w:eastAsiaTheme="minorEastAsia"/>
          <w:snapToGrid w:val="0"/>
          <w:sz w:val="21"/>
          <w:szCs w:val="21"/>
        </w:rPr>
        <w:t>、现有项目竣工环境保护验收意见</w:t>
      </w:r>
    </w:p>
    <w:p w14:paraId="064CF0BB">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附件</w:t>
      </w:r>
      <w:r>
        <w:rPr>
          <w:rFonts w:ascii="Times New Roman" w:hAnsi="Times New Roman" w:eastAsiaTheme="minorEastAsia"/>
          <w:snapToGrid w:val="0"/>
          <w:sz w:val="21"/>
          <w:szCs w:val="21"/>
        </w:rPr>
        <w:t>9</w:t>
      </w:r>
      <w:r>
        <w:rPr>
          <w:rFonts w:hint="eastAsia" w:ascii="Times New Roman" w:hAnsi="Times New Roman" w:eastAsiaTheme="minorEastAsia"/>
          <w:snapToGrid w:val="0"/>
          <w:sz w:val="21"/>
          <w:szCs w:val="21"/>
        </w:rPr>
        <w:t>、现有项目固定污染源排污登记表</w:t>
      </w:r>
    </w:p>
    <w:p w14:paraId="6C307A3A">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附件</w:t>
      </w:r>
      <w:r>
        <w:rPr>
          <w:rFonts w:ascii="Times New Roman" w:hAnsi="Times New Roman" w:eastAsiaTheme="minorEastAsia"/>
          <w:snapToGrid w:val="0"/>
          <w:sz w:val="21"/>
          <w:szCs w:val="21"/>
        </w:rPr>
        <w:t>10</w:t>
      </w:r>
      <w:r>
        <w:rPr>
          <w:rFonts w:hint="eastAsia" w:ascii="Times New Roman" w:hAnsi="Times New Roman" w:eastAsiaTheme="minorEastAsia"/>
          <w:snapToGrid w:val="0"/>
          <w:sz w:val="21"/>
          <w:szCs w:val="21"/>
        </w:rPr>
        <w:t>、项目环境质量现状检测报告</w:t>
      </w:r>
    </w:p>
    <w:p w14:paraId="51C153E9">
      <w:pPr>
        <w:pStyle w:val="28"/>
        <w:adjustRightInd w:val="0"/>
        <w:snapToGrid w:val="0"/>
        <w:spacing w:before="0" w:beforeAutospacing="0" w:after="0" w:afterAutospacing="0" w:line="320" w:lineRule="exact"/>
        <w:rPr>
          <w:rFonts w:ascii="Times New Roman" w:hAnsi="Times New Roman" w:eastAsiaTheme="minorEastAsia"/>
          <w:snapToGrid w:val="0"/>
          <w:sz w:val="21"/>
          <w:szCs w:val="21"/>
        </w:rPr>
      </w:pPr>
      <w:r>
        <w:rPr>
          <w:rFonts w:hint="eastAsia" w:ascii="Times New Roman" w:hAnsi="Times New Roman" w:eastAsiaTheme="minorEastAsia"/>
          <w:snapToGrid w:val="0"/>
          <w:sz w:val="21"/>
          <w:szCs w:val="21"/>
        </w:rPr>
        <w:t>附件11、玉溪市生态环境局对本项目未批先建违法行为的立案审批表</w:t>
      </w:r>
    </w:p>
    <w:p w14:paraId="041D3E64">
      <w:pPr>
        <w:pStyle w:val="28"/>
        <w:jc w:val="center"/>
        <w:outlineLvl w:val="0"/>
        <w:rPr>
          <w:rFonts w:hint="eastAsia" w:ascii="Times New Roman" w:hAnsi="黑体" w:eastAsia="黑体"/>
          <w:snapToGrid w:val="0"/>
          <w:sz w:val="30"/>
          <w:szCs w:val="30"/>
        </w:rPr>
        <w:sectPr>
          <w:pgSz w:w="11906" w:h="16838"/>
          <w:pgMar w:top="1701" w:right="1361" w:bottom="1701" w:left="1361" w:header="851" w:footer="1077" w:gutter="0"/>
          <w:pgNumType w:start="1"/>
          <w:cols w:space="720" w:num="1"/>
          <w:docGrid w:linePitch="312" w:charSpace="0"/>
        </w:sectPr>
      </w:pPr>
    </w:p>
    <w:p w14:paraId="3ADCC3D6">
      <w:pPr>
        <w:pStyle w:val="28"/>
        <w:jc w:val="center"/>
        <w:outlineLvl w:val="0"/>
        <w:rPr>
          <w:rFonts w:hint="eastAsia" w:ascii="Times New Roman" w:hAnsi="黑体" w:eastAsia="黑体"/>
          <w:snapToGrid w:val="0"/>
          <w:sz w:val="30"/>
          <w:szCs w:val="30"/>
        </w:rPr>
      </w:pPr>
      <w:bookmarkStart w:id="1" w:name="_Toc127436950"/>
      <w:r>
        <w:rPr>
          <w:rFonts w:ascii="Times New Roman" w:hAnsi="黑体" w:eastAsia="黑体"/>
          <w:snapToGrid w:val="0"/>
          <w:sz w:val="30"/>
          <w:szCs w:val="30"/>
        </w:rPr>
        <w:t>一、建设项目基本情况</w:t>
      </w:r>
      <w:bookmarkEnd w:id="1"/>
    </w:p>
    <w:tbl>
      <w:tblPr>
        <w:tblStyle w:val="32"/>
        <w:tblW w:w="9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30"/>
        <w:gridCol w:w="914"/>
        <w:gridCol w:w="2555"/>
        <w:gridCol w:w="406"/>
        <w:gridCol w:w="1904"/>
        <w:gridCol w:w="3130"/>
      </w:tblGrid>
      <w:tr w14:paraId="75F9D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4" w:type="dxa"/>
            <w:gridSpan w:val="2"/>
            <w:tcMar>
              <w:top w:w="16" w:type="dxa"/>
              <w:left w:w="16" w:type="dxa"/>
              <w:right w:w="16" w:type="dxa"/>
            </w:tcMar>
            <w:vAlign w:val="center"/>
          </w:tcPr>
          <w:p w14:paraId="000B27A8">
            <w:pPr>
              <w:adjustRightInd w:val="0"/>
              <w:snapToGrid w:val="0"/>
              <w:jc w:val="center"/>
              <w:rPr>
                <w:sz w:val="24"/>
              </w:rPr>
            </w:pPr>
            <w:r>
              <w:rPr>
                <w:rFonts w:hAnsi="宋体"/>
                <w:sz w:val="24"/>
              </w:rPr>
              <w:t>建设项目名称</w:t>
            </w:r>
          </w:p>
        </w:tc>
        <w:tc>
          <w:tcPr>
            <w:tcW w:w="7995" w:type="dxa"/>
            <w:gridSpan w:val="4"/>
            <w:vAlign w:val="center"/>
          </w:tcPr>
          <w:p w14:paraId="46FD1420">
            <w:pPr>
              <w:adjustRightInd w:val="0"/>
              <w:snapToGrid w:val="0"/>
              <w:jc w:val="center"/>
              <w:rPr>
                <w:sz w:val="24"/>
              </w:rPr>
            </w:pPr>
            <w:r>
              <w:rPr>
                <w:rFonts w:hint="eastAsia" w:hAnsi="宋体"/>
                <w:sz w:val="24"/>
              </w:rPr>
              <w:t>新建年产20万吨高频直缝焊管建设项目</w:t>
            </w:r>
          </w:p>
        </w:tc>
      </w:tr>
      <w:tr w14:paraId="2621C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4" w:type="dxa"/>
            <w:gridSpan w:val="2"/>
            <w:tcMar>
              <w:top w:w="16" w:type="dxa"/>
              <w:left w:w="16" w:type="dxa"/>
              <w:right w:w="16" w:type="dxa"/>
            </w:tcMar>
            <w:vAlign w:val="center"/>
          </w:tcPr>
          <w:p w14:paraId="0DA12F03">
            <w:pPr>
              <w:adjustRightInd w:val="0"/>
              <w:snapToGrid w:val="0"/>
              <w:jc w:val="center"/>
              <w:rPr>
                <w:sz w:val="24"/>
              </w:rPr>
            </w:pPr>
            <w:r>
              <w:rPr>
                <w:rFonts w:hAnsi="宋体"/>
                <w:sz w:val="24"/>
              </w:rPr>
              <w:t>项目代码</w:t>
            </w:r>
          </w:p>
        </w:tc>
        <w:tc>
          <w:tcPr>
            <w:tcW w:w="7995" w:type="dxa"/>
            <w:gridSpan w:val="4"/>
            <w:vAlign w:val="center"/>
          </w:tcPr>
          <w:p w14:paraId="7B953511">
            <w:pPr>
              <w:adjustRightInd w:val="0"/>
              <w:snapToGrid w:val="0"/>
              <w:jc w:val="center"/>
              <w:rPr>
                <w:sz w:val="24"/>
              </w:rPr>
            </w:pPr>
            <w:r>
              <w:rPr>
                <w:sz w:val="24"/>
              </w:rPr>
              <w:t>2302-530423-04-01-858562</w:t>
            </w:r>
          </w:p>
        </w:tc>
      </w:tr>
      <w:tr w14:paraId="0171F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4" w:type="dxa"/>
            <w:gridSpan w:val="2"/>
            <w:tcMar>
              <w:top w:w="16" w:type="dxa"/>
              <w:left w:w="16" w:type="dxa"/>
              <w:right w:w="16" w:type="dxa"/>
            </w:tcMar>
            <w:vAlign w:val="center"/>
          </w:tcPr>
          <w:p w14:paraId="792CFB6E">
            <w:pPr>
              <w:adjustRightInd w:val="0"/>
              <w:snapToGrid w:val="0"/>
              <w:jc w:val="center"/>
              <w:rPr>
                <w:szCs w:val="21"/>
              </w:rPr>
            </w:pPr>
            <w:r>
              <w:rPr>
                <w:rFonts w:hAnsi="宋体"/>
                <w:szCs w:val="21"/>
              </w:rPr>
              <w:t>建设单位联系人</w:t>
            </w:r>
          </w:p>
        </w:tc>
        <w:tc>
          <w:tcPr>
            <w:tcW w:w="2555" w:type="dxa"/>
            <w:vAlign w:val="center"/>
          </w:tcPr>
          <w:p w14:paraId="4DB69702">
            <w:pPr>
              <w:adjustRightInd w:val="0"/>
              <w:snapToGrid w:val="0"/>
              <w:jc w:val="center"/>
              <w:rPr>
                <w:sz w:val="24"/>
              </w:rPr>
            </w:pPr>
            <w:r>
              <w:rPr>
                <w:rFonts w:hint="eastAsia"/>
                <w:sz w:val="24"/>
              </w:rPr>
              <w:t>喻伟</w:t>
            </w:r>
          </w:p>
        </w:tc>
        <w:tc>
          <w:tcPr>
            <w:tcW w:w="2310" w:type="dxa"/>
            <w:gridSpan w:val="2"/>
            <w:vAlign w:val="center"/>
          </w:tcPr>
          <w:p w14:paraId="70CBFEDE">
            <w:pPr>
              <w:adjustRightInd w:val="0"/>
              <w:snapToGrid w:val="0"/>
              <w:jc w:val="center"/>
              <w:rPr>
                <w:sz w:val="24"/>
              </w:rPr>
            </w:pPr>
            <w:r>
              <w:rPr>
                <w:rFonts w:hAnsi="宋体"/>
                <w:sz w:val="24"/>
              </w:rPr>
              <w:t>联系方式</w:t>
            </w:r>
          </w:p>
        </w:tc>
        <w:tc>
          <w:tcPr>
            <w:tcW w:w="3130" w:type="dxa"/>
            <w:vAlign w:val="center"/>
          </w:tcPr>
          <w:p w14:paraId="5CFD6E00">
            <w:pPr>
              <w:adjustRightInd w:val="0"/>
              <w:snapToGrid w:val="0"/>
              <w:jc w:val="center"/>
              <w:rPr>
                <w:sz w:val="24"/>
              </w:rPr>
            </w:pPr>
            <w:r>
              <w:rPr>
                <w:sz w:val="24"/>
              </w:rPr>
              <w:t>13908899516</w:t>
            </w:r>
          </w:p>
        </w:tc>
      </w:tr>
      <w:tr w14:paraId="55252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4" w:type="dxa"/>
            <w:gridSpan w:val="2"/>
            <w:tcMar>
              <w:top w:w="16" w:type="dxa"/>
              <w:left w:w="16" w:type="dxa"/>
              <w:right w:w="16" w:type="dxa"/>
            </w:tcMar>
            <w:vAlign w:val="center"/>
          </w:tcPr>
          <w:p w14:paraId="0B3003E1">
            <w:pPr>
              <w:adjustRightInd w:val="0"/>
              <w:snapToGrid w:val="0"/>
              <w:jc w:val="center"/>
              <w:rPr>
                <w:sz w:val="24"/>
              </w:rPr>
            </w:pPr>
            <w:r>
              <w:rPr>
                <w:rFonts w:hAnsi="宋体"/>
                <w:sz w:val="24"/>
              </w:rPr>
              <w:t>建设地点</w:t>
            </w:r>
          </w:p>
        </w:tc>
        <w:tc>
          <w:tcPr>
            <w:tcW w:w="7995" w:type="dxa"/>
            <w:gridSpan w:val="4"/>
            <w:vAlign w:val="center"/>
          </w:tcPr>
          <w:p w14:paraId="4C117793">
            <w:pPr>
              <w:adjustRightInd w:val="0"/>
              <w:snapToGrid w:val="0"/>
              <w:jc w:val="center"/>
              <w:rPr>
                <w:sz w:val="24"/>
              </w:rPr>
            </w:pPr>
            <w:r>
              <w:rPr>
                <w:rFonts w:hint="eastAsia"/>
                <w:sz w:val="24"/>
              </w:rPr>
              <w:t>通海县纳古镇珠山顶</w:t>
            </w:r>
          </w:p>
        </w:tc>
      </w:tr>
      <w:tr w14:paraId="264B2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4" w:type="dxa"/>
            <w:gridSpan w:val="2"/>
            <w:tcMar>
              <w:top w:w="16" w:type="dxa"/>
              <w:left w:w="16" w:type="dxa"/>
              <w:right w:w="16" w:type="dxa"/>
            </w:tcMar>
            <w:vAlign w:val="center"/>
          </w:tcPr>
          <w:p w14:paraId="0D69E4B3">
            <w:pPr>
              <w:adjustRightInd w:val="0"/>
              <w:snapToGrid w:val="0"/>
              <w:jc w:val="center"/>
              <w:rPr>
                <w:sz w:val="24"/>
              </w:rPr>
            </w:pPr>
            <w:r>
              <w:rPr>
                <w:rFonts w:hAnsi="宋体"/>
                <w:sz w:val="24"/>
              </w:rPr>
              <w:t>地理坐标</w:t>
            </w:r>
          </w:p>
        </w:tc>
        <w:tc>
          <w:tcPr>
            <w:tcW w:w="7995" w:type="dxa"/>
            <w:gridSpan w:val="4"/>
            <w:vAlign w:val="center"/>
          </w:tcPr>
          <w:p w14:paraId="3277502A">
            <w:pPr>
              <w:jc w:val="center"/>
              <w:rPr>
                <w:sz w:val="24"/>
              </w:rPr>
            </w:pPr>
            <w:r>
              <w:rPr>
                <w:rFonts w:hAnsi="宋体"/>
                <w:sz w:val="24"/>
              </w:rPr>
              <w:t>（</w:t>
            </w:r>
            <w:r>
              <w:rPr>
                <w:sz w:val="24"/>
                <w:u w:val="single"/>
              </w:rPr>
              <w:t xml:space="preserve"> 102 </w:t>
            </w:r>
            <w:r>
              <w:rPr>
                <w:rFonts w:hAnsi="宋体"/>
                <w:sz w:val="24"/>
              </w:rPr>
              <w:t>度</w:t>
            </w:r>
            <w:r>
              <w:rPr>
                <w:sz w:val="24"/>
                <w:u w:val="single"/>
              </w:rPr>
              <w:t xml:space="preserve"> 44 </w:t>
            </w:r>
            <w:r>
              <w:rPr>
                <w:rFonts w:hAnsi="宋体"/>
                <w:sz w:val="24"/>
              </w:rPr>
              <w:t>分</w:t>
            </w:r>
            <w:r>
              <w:rPr>
                <w:sz w:val="24"/>
                <w:u w:val="single"/>
              </w:rPr>
              <w:t xml:space="preserve"> 27.512 </w:t>
            </w:r>
            <w:r>
              <w:rPr>
                <w:rFonts w:hAnsi="宋体"/>
                <w:sz w:val="24"/>
              </w:rPr>
              <w:t>秒，</w:t>
            </w:r>
            <w:r>
              <w:rPr>
                <w:sz w:val="24"/>
                <w:u w:val="single"/>
              </w:rPr>
              <w:t xml:space="preserve"> 24 </w:t>
            </w:r>
            <w:r>
              <w:rPr>
                <w:rFonts w:hAnsi="宋体"/>
                <w:sz w:val="24"/>
              </w:rPr>
              <w:t>度</w:t>
            </w:r>
            <w:r>
              <w:rPr>
                <w:sz w:val="24"/>
                <w:u w:val="single"/>
              </w:rPr>
              <w:t xml:space="preserve"> 11 </w:t>
            </w:r>
            <w:r>
              <w:rPr>
                <w:rFonts w:hAnsi="宋体"/>
                <w:sz w:val="24"/>
              </w:rPr>
              <w:t>分</w:t>
            </w:r>
            <w:r>
              <w:rPr>
                <w:sz w:val="24"/>
                <w:u w:val="single"/>
              </w:rPr>
              <w:t xml:space="preserve"> 54.171 </w:t>
            </w:r>
            <w:r>
              <w:rPr>
                <w:rFonts w:hAnsi="宋体"/>
                <w:sz w:val="24"/>
              </w:rPr>
              <w:t>秒）</w:t>
            </w:r>
          </w:p>
        </w:tc>
      </w:tr>
      <w:tr w14:paraId="44D24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44" w:type="dxa"/>
            <w:gridSpan w:val="2"/>
            <w:tcMar>
              <w:top w:w="16" w:type="dxa"/>
              <w:left w:w="16" w:type="dxa"/>
              <w:right w:w="16" w:type="dxa"/>
            </w:tcMar>
            <w:vAlign w:val="center"/>
          </w:tcPr>
          <w:p w14:paraId="2CA5C440">
            <w:pPr>
              <w:adjustRightInd w:val="0"/>
              <w:snapToGrid w:val="0"/>
              <w:jc w:val="center"/>
              <w:rPr>
                <w:sz w:val="24"/>
              </w:rPr>
            </w:pPr>
            <w:r>
              <w:rPr>
                <w:rFonts w:hAnsi="宋体"/>
                <w:sz w:val="24"/>
              </w:rPr>
              <w:t>国民经济</w:t>
            </w:r>
          </w:p>
          <w:p w14:paraId="6E668C23">
            <w:pPr>
              <w:adjustRightInd w:val="0"/>
              <w:snapToGrid w:val="0"/>
              <w:jc w:val="center"/>
              <w:rPr>
                <w:sz w:val="24"/>
              </w:rPr>
            </w:pPr>
            <w:r>
              <w:rPr>
                <w:rFonts w:hAnsi="宋体"/>
                <w:sz w:val="24"/>
              </w:rPr>
              <w:t>行业类别</w:t>
            </w:r>
          </w:p>
        </w:tc>
        <w:tc>
          <w:tcPr>
            <w:tcW w:w="2961" w:type="dxa"/>
            <w:gridSpan w:val="2"/>
            <w:vAlign w:val="center"/>
          </w:tcPr>
          <w:p w14:paraId="6F1B0017">
            <w:pPr>
              <w:adjustRightInd w:val="0"/>
              <w:snapToGrid w:val="0"/>
              <w:jc w:val="center"/>
              <w:rPr>
                <w:sz w:val="24"/>
              </w:rPr>
            </w:pPr>
            <w:r>
              <w:rPr>
                <w:rFonts w:hint="eastAsia"/>
                <w:sz w:val="24"/>
              </w:rPr>
              <w:t>C3130钢压延加工</w:t>
            </w:r>
          </w:p>
        </w:tc>
        <w:tc>
          <w:tcPr>
            <w:tcW w:w="1904" w:type="dxa"/>
            <w:vAlign w:val="center"/>
          </w:tcPr>
          <w:p w14:paraId="79DF696A">
            <w:pPr>
              <w:adjustRightInd w:val="0"/>
              <w:snapToGrid w:val="0"/>
              <w:jc w:val="center"/>
              <w:rPr>
                <w:sz w:val="24"/>
              </w:rPr>
            </w:pPr>
            <w:bookmarkStart w:id="2" w:name="_Hlk49843745"/>
            <w:r>
              <w:rPr>
                <w:rFonts w:hAnsi="宋体"/>
                <w:sz w:val="24"/>
              </w:rPr>
              <w:t>建设项目</w:t>
            </w:r>
          </w:p>
          <w:p w14:paraId="0ADBF97A">
            <w:pPr>
              <w:adjustRightInd w:val="0"/>
              <w:snapToGrid w:val="0"/>
              <w:jc w:val="center"/>
              <w:rPr>
                <w:sz w:val="24"/>
              </w:rPr>
            </w:pPr>
            <w:r>
              <w:rPr>
                <w:rFonts w:hAnsi="宋体"/>
                <w:sz w:val="24"/>
              </w:rPr>
              <w:t>行业类别</w:t>
            </w:r>
            <w:bookmarkEnd w:id="2"/>
          </w:p>
        </w:tc>
        <w:tc>
          <w:tcPr>
            <w:tcW w:w="3130" w:type="dxa"/>
            <w:vAlign w:val="center"/>
          </w:tcPr>
          <w:p w14:paraId="33FE7B70">
            <w:pPr>
              <w:adjustRightInd w:val="0"/>
              <w:snapToGrid w:val="0"/>
              <w:rPr>
                <w:sz w:val="24"/>
              </w:rPr>
            </w:pPr>
            <w:r>
              <w:rPr>
                <w:rFonts w:hint="eastAsia"/>
                <w:sz w:val="24"/>
              </w:rPr>
              <w:t>二十八、黑色金属冶炼和压延加工业3</w:t>
            </w:r>
            <w:r>
              <w:rPr>
                <w:sz w:val="24"/>
              </w:rPr>
              <w:t xml:space="preserve">1 </w:t>
            </w:r>
            <w:r>
              <w:rPr>
                <w:rFonts w:hint="eastAsia"/>
                <w:sz w:val="24"/>
              </w:rPr>
              <w:t>钢压延加工313</w:t>
            </w:r>
          </w:p>
        </w:tc>
      </w:tr>
      <w:tr w14:paraId="7123A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44" w:type="dxa"/>
            <w:gridSpan w:val="2"/>
            <w:tcMar>
              <w:top w:w="16" w:type="dxa"/>
              <w:left w:w="16" w:type="dxa"/>
              <w:right w:w="16" w:type="dxa"/>
            </w:tcMar>
            <w:vAlign w:val="center"/>
          </w:tcPr>
          <w:p w14:paraId="51247585">
            <w:pPr>
              <w:adjustRightInd w:val="0"/>
              <w:snapToGrid w:val="0"/>
              <w:jc w:val="center"/>
              <w:rPr>
                <w:rFonts w:hint="eastAsia" w:asciiTheme="minorEastAsia" w:hAnsiTheme="minorEastAsia" w:eastAsiaTheme="minorEastAsia"/>
                <w:sz w:val="24"/>
              </w:rPr>
            </w:pPr>
            <w:r>
              <w:rPr>
                <w:rFonts w:asciiTheme="minorEastAsia" w:hAnsiTheme="minorEastAsia" w:eastAsiaTheme="minorEastAsia"/>
                <w:sz w:val="24"/>
              </w:rPr>
              <w:t>建设性质</w:t>
            </w:r>
          </w:p>
        </w:tc>
        <w:tc>
          <w:tcPr>
            <w:tcW w:w="2961" w:type="dxa"/>
            <w:gridSpan w:val="2"/>
            <w:vAlign w:val="center"/>
          </w:tcPr>
          <w:p w14:paraId="7EBD4C60">
            <w:pPr>
              <w:jc w:val="left"/>
              <w:rPr>
                <w:rFonts w:hint="eastAsia" w:asciiTheme="minorEastAsia" w:hAnsiTheme="minorEastAsia" w:eastAsiaTheme="minorEastAsia"/>
                <w:sz w:val="24"/>
              </w:rPr>
            </w:pPr>
            <w:r>
              <w:rPr>
                <w:rFonts w:asciiTheme="minorEastAsia" w:hAnsiTheme="minorEastAsia" w:eastAsiaTheme="minorEastAsia"/>
                <w:sz w:val="24"/>
              </w:rPr>
              <w:sym w:font="Wingdings" w:char="F0FE"/>
            </w:r>
            <w:r>
              <w:rPr>
                <w:rFonts w:asciiTheme="minorEastAsia" w:hAnsiTheme="minorEastAsia" w:eastAsiaTheme="minorEastAsia"/>
                <w:sz w:val="24"/>
              </w:rPr>
              <w:t>新建（迁建）</w:t>
            </w:r>
          </w:p>
          <w:p w14:paraId="3F27EFA4">
            <w:pPr>
              <w:jc w:val="left"/>
              <w:rPr>
                <w:rFonts w:hint="eastAsia" w:asciiTheme="minorEastAsia" w:hAnsiTheme="minorEastAsia" w:eastAsiaTheme="minorEastAsia"/>
                <w:sz w:val="24"/>
              </w:rPr>
            </w:pPr>
            <w:r>
              <w:rPr>
                <w:rFonts w:asciiTheme="minorEastAsia" w:hAnsiTheme="minorEastAsia" w:eastAsiaTheme="minorEastAsia"/>
                <w:sz w:val="24"/>
              </w:rPr>
              <w:t>□改建</w:t>
            </w:r>
          </w:p>
          <w:p w14:paraId="7A214EA6">
            <w:pPr>
              <w:jc w:val="left"/>
              <w:rPr>
                <w:rFonts w:hint="eastAsia" w:asciiTheme="minorEastAsia" w:hAnsiTheme="minorEastAsia" w:eastAsiaTheme="minorEastAsia"/>
                <w:sz w:val="24"/>
              </w:rPr>
            </w:pPr>
            <w:r>
              <w:rPr>
                <w:rFonts w:asciiTheme="minorEastAsia" w:hAnsiTheme="minorEastAsia" w:eastAsiaTheme="minorEastAsia"/>
                <w:sz w:val="24"/>
              </w:rPr>
              <w:t>□扩建</w:t>
            </w:r>
          </w:p>
          <w:p w14:paraId="6AD341F8">
            <w:pPr>
              <w:jc w:val="left"/>
              <w:rPr>
                <w:rFonts w:hint="eastAsia" w:asciiTheme="minorEastAsia" w:hAnsiTheme="minorEastAsia" w:eastAsiaTheme="minorEastAsia"/>
                <w:sz w:val="24"/>
              </w:rPr>
            </w:pPr>
            <w:r>
              <w:rPr>
                <w:rFonts w:asciiTheme="minorEastAsia" w:hAnsiTheme="minorEastAsia" w:eastAsiaTheme="minorEastAsia"/>
                <w:sz w:val="24"/>
              </w:rPr>
              <w:t>□技术改造</w:t>
            </w:r>
          </w:p>
        </w:tc>
        <w:tc>
          <w:tcPr>
            <w:tcW w:w="1904" w:type="dxa"/>
            <w:vAlign w:val="center"/>
          </w:tcPr>
          <w:p w14:paraId="4596B71D">
            <w:pPr>
              <w:adjustRightInd w:val="0"/>
              <w:snapToGrid w:val="0"/>
              <w:jc w:val="center"/>
              <w:rPr>
                <w:sz w:val="24"/>
              </w:rPr>
            </w:pPr>
            <w:r>
              <w:rPr>
                <w:rFonts w:hAnsi="宋体"/>
                <w:sz w:val="24"/>
              </w:rPr>
              <w:t>建设项目</w:t>
            </w:r>
          </w:p>
          <w:p w14:paraId="41FB9C4A">
            <w:pPr>
              <w:adjustRightInd w:val="0"/>
              <w:snapToGrid w:val="0"/>
              <w:jc w:val="center"/>
              <w:rPr>
                <w:sz w:val="24"/>
              </w:rPr>
            </w:pPr>
            <w:r>
              <w:rPr>
                <w:rFonts w:hAnsi="宋体"/>
                <w:sz w:val="24"/>
              </w:rPr>
              <w:t>申报情形</w:t>
            </w:r>
          </w:p>
        </w:tc>
        <w:tc>
          <w:tcPr>
            <w:tcW w:w="3130" w:type="dxa"/>
            <w:vAlign w:val="center"/>
          </w:tcPr>
          <w:p w14:paraId="6CA7AB08">
            <w:pPr>
              <w:jc w:val="left"/>
              <w:rPr>
                <w:rFonts w:hint="eastAsia" w:asciiTheme="minorEastAsia" w:hAnsiTheme="minorEastAsia" w:eastAsiaTheme="minorEastAsia"/>
                <w:sz w:val="24"/>
              </w:rPr>
            </w:pPr>
            <w:r>
              <w:rPr>
                <w:rFonts w:asciiTheme="minorEastAsia" w:hAnsiTheme="minorEastAsia" w:eastAsiaTheme="minorEastAsia"/>
                <w:sz w:val="24"/>
              </w:rPr>
              <w:sym w:font="Wingdings" w:char="F0FE"/>
            </w:r>
            <w:r>
              <w:rPr>
                <w:rFonts w:asciiTheme="minorEastAsia" w:hAnsiTheme="minorEastAsia" w:eastAsiaTheme="minorEastAsia"/>
                <w:sz w:val="24"/>
              </w:rPr>
              <w:t xml:space="preserve">首次申报项目             </w:t>
            </w:r>
          </w:p>
          <w:p w14:paraId="77593E2D">
            <w:pPr>
              <w:jc w:val="left"/>
              <w:rPr>
                <w:rFonts w:hint="eastAsia" w:asciiTheme="minorEastAsia" w:hAnsiTheme="minorEastAsia" w:eastAsiaTheme="minorEastAsia"/>
                <w:sz w:val="24"/>
              </w:rPr>
            </w:pPr>
            <w:r>
              <w:rPr>
                <w:rFonts w:asciiTheme="minorEastAsia" w:hAnsiTheme="minorEastAsia" w:eastAsiaTheme="minorEastAsia"/>
                <w:sz w:val="24"/>
              </w:rPr>
              <w:t>□不予批准后再次申报项目</w:t>
            </w:r>
          </w:p>
          <w:p w14:paraId="35B33052">
            <w:pPr>
              <w:jc w:val="left"/>
              <w:rPr>
                <w:rFonts w:hint="eastAsia" w:asciiTheme="minorEastAsia" w:hAnsiTheme="minorEastAsia" w:eastAsiaTheme="minorEastAsia"/>
                <w:sz w:val="24"/>
              </w:rPr>
            </w:pPr>
            <w:r>
              <w:rPr>
                <w:rFonts w:asciiTheme="minorEastAsia" w:hAnsiTheme="minorEastAsia" w:eastAsiaTheme="minorEastAsia"/>
                <w:sz w:val="24"/>
              </w:rPr>
              <w:sym w:font="Wingdings 2" w:char="00A3"/>
            </w:r>
            <w:r>
              <w:rPr>
                <w:rFonts w:asciiTheme="minorEastAsia" w:hAnsiTheme="minorEastAsia" w:eastAsiaTheme="minorEastAsia"/>
                <w:sz w:val="24"/>
              </w:rPr>
              <w:t xml:space="preserve">超五年重新审核项目     </w:t>
            </w:r>
          </w:p>
          <w:p w14:paraId="365189E3">
            <w:pPr>
              <w:jc w:val="left"/>
              <w:rPr>
                <w:sz w:val="24"/>
              </w:rPr>
            </w:pPr>
            <w:r>
              <w:rPr>
                <w:rFonts w:asciiTheme="minorEastAsia" w:hAnsiTheme="minorEastAsia" w:eastAsiaTheme="minorEastAsia"/>
                <w:sz w:val="24"/>
              </w:rPr>
              <w:t>□重大变动重新报批项目</w:t>
            </w:r>
          </w:p>
        </w:tc>
      </w:tr>
      <w:tr w14:paraId="20572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44" w:type="dxa"/>
            <w:gridSpan w:val="2"/>
            <w:tcMar>
              <w:top w:w="16" w:type="dxa"/>
              <w:left w:w="16" w:type="dxa"/>
              <w:right w:w="16" w:type="dxa"/>
            </w:tcMar>
            <w:vAlign w:val="center"/>
          </w:tcPr>
          <w:p w14:paraId="003C8D81">
            <w:pPr>
              <w:adjustRightInd w:val="0"/>
              <w:snapToGrid w:val="0"/>
              <w:jc w:val="center"/>
              <w:rPr>
                <w:szCs w:val="21"/>
              </w:rPr>
            </w:pPr>
            <w:r>
              <w:rPr>
                <w:rFonts w:hAnsi="宋体"/>
                <w:szCs w:val="21"/>
              </w:rPr>
              <w:t>项目审批（核准</w:t>
            </w:r>
            <w:r>
              <w:rPr>
                <w:szCs w:val="21"/>
              </w:rPr>
              <w:t>/</w:t>
            </w:r>
          </w:p>
          <w:p w14:paraId="2E0D2B76">
            <w:pPr>
              <w:adjustRightInd w:val="0"/>
              <w:snapToGrid w:val="0"/>
              <w:jc w:val="center"/>
              <w:rPr>
                <w:sz w:val="24"/>
              </w:rPr>
            </w:pPr>
            <w:r>
              <w:rPr>
                <w:rFonts w:hAnsi="宋体"/>
                <w:szCs w:val="21"/>
              </w:rPr>
              <w:t>备案）部门（选填）</w:t>
            </w:r>
          </w:p>
        </w:tc>
        <w:tc>
          <w:tcPr>
            <w:tcW w:w="2961" w:type="dxa"/>
            <w:gridSpan w:val="2"/>
            <w:vAlign w:val="center"/>
          </w:tcPr>
          <w:p w14:paraId="4A491E0B">
            <w:pPr>
              <w:adjustRightInd w:val="0"/>
              <w:snapToGrid w:val="0"/>
              <w:jc w:val="center"/>
              <w:rPr>
                <w:sz w:val="24"/>
              </w:rPr>
            </w:pPr>
            <w:r>
              <w:rPr>
                <w:rFonts w:hint="eastAsia"/>
                <w:sz w:val="24"/>
              </w:rPr>
              <w:t>通海县发展和改革局</w:t>
            </w:r>
          </w:p>
        </w:tc>
        <w:tc>
          <w:tcPr>
            <w:tcW w:w="1904" w:type="dxa"/>
            <w:vAlign w:val="center"/>
          </w:tcPr>
          <w:p w14:paraId="72125B7E">
            <w:pPr>
              <w:adjustRightInd w:val="0"/>
              <w:snapToGrid w:val="0"/>
              <w:jc w:val="center"/>
              <w:rPr>
                <w:szCs w:val="21"/>
              </w:rPr>
            </w:pPr>
            <w:r>
              <w:rPr>
                <w:rFonts w:hAnsi="宋体"/>
                <w:szCs w:val="21"/>
              </w:rPr>
              <w:t>项目审批（核准</w:t>
            </w:r>
            <w:r>
              <w:rPr>
                <w:szCs w:val="21"/>
              </w:rPr>
              <w:t>/</w:t>
            </w:r>
          </w:p>
          <w:p w14:paraId="454CE643">
            <w:pPr>
              <w:adjustRightInd w:val="0"/>
              <w:snapToGrid w:val="0"/>
              <w:jc w:val="center"/>
              <w:rPr>
                <w:sz w:val="24"/>
              </w:rPr>
            </w:pPr>
            <w:r>
              <w:rPr>
                <w:rFonts w:hAnsi="宋体"/>
                <w:szCs w:val="21"/>
              </w:rPr>
              <w:t>备案）文号（选填）</w:t>
            </w:r>
          </w:p>
        </w:tc>
        <w:tc>
          <w:tcPr>
            <w:tcW w:w="3130" w:type="dxa"/>
            <w:vAlign w:val="center"/>
          </w:tcPr>
          <w:p w14:paraId="322A6AFD">
            <w:pPr>
              <w:adjustRightInd w:val="0"/>
              <w:snapToGrid w:val="0"/>
              <w:jc w:val="center"/>
              <w:rPr>
                <w:sz w:val="24"/>
              </w:rPr>
            </w:pPr>
            <w:r>
              <w:rPr>
                <w:sz w:val="24"/>
              </w:rPr>
              <w:t>2302-530423-04-01-858562</w:t>
            </w:r>
          </w:p>
        </w:tc>
      </w:tr>
      <w:tr w14:paraId="60DB8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4" w:type="dxa"/>
            <w:gridSpan w:val="2"/>
            <w:tcMar>
              <w:top w:w="16" w:type="dxa"/>
              <w:left w:w="16" w:type="dxa"/>
              <w:right w:w="16" w:type="dxa"/>
            </w:tcMar>
            <w:vAlign w:val="center"/>
          </w:tcPr>
          <w:p w14:paraId="4B5E737D">
            <w:pPr>
              <w:adjustRightInd w:val="0"/>
              <w:snapToGrid w:val="0"/>
              <w:jc w:val="center"/>
              <w:rPr>
                <w:sz w:val="24"/>
              </w:rPr>
            </w:pPr>
            <w:r>
              <w:rPr>
                <w:rFonts w:hAnsi="宋体"/>
                <w:sz w:val="24"/>
              </w:rPr>
              <w:t>总投资（万元）</w:t>
            </w:r>
          </w:p>
        </w:tc>
        <w:tc>
          <w:tcPr>
            <w:tcW w:w="2961" w:type="dxa"/>
            <w:gridSpan w:val="2"/>
            <w:vAlign w:val="center"/>
          </w:tcPr>
          <w:p w14:paraId="0181530A">
            <w:pPr>
              <w:adjustRightInd w:val="0"/>
              <w:snapToGrid w:val="0"/>
              <w:jc w:val="center"/>
              <w:rPr>
                <w:sz w:val="24"/>
              </w:rPr>
            </w:pPr>
            <w:r>
              <w:rPr>
                <w:sz w:val="24"/>
              </w:rPr>
              <w:t>600</w:t>
            </w:r>
          </w:p>
        </w:tc>
        <w:tc>
          <w:tcPr>
            <w:tcW w:w="1904" w:type="dxa"/>
            <w:tcMar>
              <w:top w:w="16" w:type="dxa"/>
              <w:left w:w="16" w:type="dxa"/>
              <w:right w:w="16" w:type="dxa"/>
            </w:tcMar>
            <w:vAlign w:val="center"/>
          </w:tcPr>
          <w:p w14:paraId="595B44D4">
            <w:pPr>
              <w:adjustRightInd w:val="0"/>
              <w:snapToGrid w:val="0"/>
              <w:jc w:val="center"/>
              <w:rPr>
                <w:sz w:val="24"/>
              </w:rPr>
            </w:pPr>
            <w:r>
              <w:rPr>
                <w:rFonts w:hAnsi="宋体"/>
                <w:sz w:val="24"/>
              </w:rPr>
              <w:t>环保投资（万元）</w:t>
            </w:r>
          </w:p>
        </w:tc>
        <w:tc>
          <w:tcPr>
            <w:tcW w:w="3130" w:type="dxa"/>
            <w:vAlign w:val="center"/>
          </w:tcPr>
          <w:p w14:paraId="1D6C5A93">
            <w:pPr>
              <w:adjustRightInd w:val="0"/>
              <w:snapToGrid w:val="0"/>
              <w:jc w:val="center"/>
              <w:rPr>
                <w:sz w:val="24"/>
              </w:rPr>
            </w:pPr>
            <w:r>
              <w:rPr>
                <w:sz w:val="24"/>
              </w:rPr>
              <w:t>60</w:t>
            </w:r>
          </w:p>
        </w:tc>
      </w:tr>
      <w:tr w14:paraId="68F75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4" w:type="dxa"/>
            <w:gridSpan w:val="2"/>
            <w:tcMar>
              <w:top w:w="16" w:type="dxa"/>
              <w:left w:w="16" w:type="dxa"/>
              <w:right w:w="16" w:type="dxa"/>
            </w:tcMar>
            <w:vAlign w:val="center"/>
          </w:tcPr>
          <w:p w14:paraId="617EB0C6">
            <w:pPr>
              <w:adjustRightInd w:val="0"/>
              <w:snapToGrid w:val="0"/>
              <w:jc w:val="center"/>
              <w:rPr>
                <w:sz w:val="24"/>
              </w:rPr>
            </w:pPr>
            <w:r>
              <w:rPr>
                <w:rFonts w:hAnsi="宋体"/>
                <w:sz w:val="24"/>
              </w:rPr>
              <w:t>环保投资占比（</w:t>
            </w:r>
            <w:r>
              <w:rPr>
                <w:sz w:val="24"/>
              </w:rPr>
              <w:t>%</w:t>
            </w:r>
            <w:r>
              <w:rPr>
                <w:rFonts w:hAnsi="宋体"/>
                <w:sz w:val="24"/>
              </w:rPr>
              <w:t>）</w:t>
            </w:r>
          </w:p>
        </w:tc>
        <w:tc>
          <w:tcPr>
            <w:tcW w:w="2961" w:type="dxa"/>
            <w:gridSpan w:val="2"/>
            <w:vAlign w:val="center"/>
          </w:tcPr>
          <w:p w14:paraId="54508008">
            <w:pPr>
              <w:adjustRightInd w:val="0"/>
              <w:snapToGrid w:val="0"/>
              <w:jc w:val="center"/>
              <w:rPr>
                <w:sz w:val="24"/>
              </w:rPr>
            </w:pPr>
            <w:r>
              <w:rPr>
                <w:sz w:val="24"/>
              </w:rPr>
              <w:t>1</w:t>
            </w:r>
            <w:r>
              <w:rPr>
                <w:rFonts w:hint="eastAsia"/>
                <w:sz w:val="24"/>
              </w:rPr>
              <w:t>0</w:t>
            </w:r>
          </w:p>
        </w:tc>
        <w:tc>
          <w:tcPr>
            <w:tcW w:w="1904" w:type="dxa"/>
            <w:tcMar>
              <w:top w:w="16" w:type="dxa"/>
              <w:left w:w="16" w:type="dxa"/>
              <w:right w:w="16" w:type="dxa"/>
            </w:tcMar>
            <w:vAlign w:val="center"/>
          </w:tcPr>
          <w:p w14:paraId="2F4CA686">
            <w:pPr>
              <w:adjustRightInd w:val="0"/>
              <w:snapToGrid w:val="0"/>
              <w:jc w:val="center"/>
              <w:rPr>
                <w:sz w:val="24"/>
              </w:rPr>
            </w:pPr>
            <w:r>
              <w:rPr>
                <w:rFonts w:hAnsi="宋体"/>
                <w:sz w:val="24"/>
              </w:rPr>
              <w:t>施工工期</w:t>
            </w:r>
          </w:p>
        </w:tc>
        <w:tc>
          <w:tcPr>
            <w:tcW w:w="3130" w:type="dxa"/>
            <w:vAlign w:val="center"/>
          </w:tcPr>
          <w:p w14:paraId="2A9D2092">
            <w:pPr>
              <w:adjustRightInd w:val="0"/>
              <w:snapToGrid w:val="0"/>
              <w:jc w:val="center"/>
              <w:rPr>
                <w:sz w:val="24"/>
              </w:rPr>
            </w:pPr>
            <w:r>
              <w:rPr>
                <w:sz w:val="24"/>
              </w:rPr>
              <w:t>10</w:t>
            </w:r>
            <w:r>
              <w:rPr>
                <w:rFonts w:hint="eastAsia"/>
                <w:sz w:val="24"/>
              </w:rPr>
              <w:t>个月</w:t>
            </w:r>
          </w:p>
        </w:tc>
      </w:tr>
      <w:tr w14:paraId="12811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25" w:hRule="atLeast"/>
          <w:jc w:val="center"/>
        </w:trPr>
        <w:tc>
          <w:tcPr>
            <w:tcW w:w="1644" w:type="dxa"/>
            <w:gridSpan w:val="2"/>
            <w:tcMar>
              <w:top w:w="16" w:type="dxa"/>
              <w:left w:w="16" w:type="dxa"/>
              <w:right w:w="16" w:type="dxa"/>
            </w:tcMar>
            <w:vAlign w:val="center"/>
          </w:tcPr>
          <w:p w14:paraId="7499F914">
            <w:pPr>
              <w:adjustRightInd w:val="0"/>
              <w:snapToGrid w:val="0"/>
              <w:jc w:val="center"/>
              <w:rPr>
                <w:sz w:val="24"/>
              </w:rPr>
            </w:pPr>
            <w:r>
              <w:rPr>
                <w:rFonts w:hAnsi="宋体"/>
                <w:sz w:val="24"/>
              </w:rPr>
              <w:t>是否开工建设</w:t>
            </w:r>
          </w:p>
        </w:tc>
        <w:tc>
          <w:tcPr>
            <w:tcW w:w="2961" w:type="dxa"/>
            <w:gridSpan w:val="2"/>
            <w:vAlign w:val="center"/>
          </w:tcPr>
          <w:p w14:paraId="0CEF9B60">
            <w:pPr>
              <w:adjustRightInd w:val="0"/>
              <w:snapToGrid w:val="0"/>
              <w:rPr>
                <w:sz w:val="24"/>
              </w:rPr>
            </w:pPr>
            <w:r>
              <w:rPr>
                <w:sz w:val="24"/>
              </w:rPr>
              <w:sym w:font="Wingdings 2" w:char="00A3"/>
            </w:r>
            <w:r>
              <w:rPr>
                <w:rFonts w:hAnsi="宋体"/>
                <w:sz w:val="24"/>
              </w:rPr>
              <w:t>否</w:t>
            </w:r>
          </w:p>
          <w:p w14:paraId="50D26DB8">
            <w:pPr>
              <w:adjustRightInd w:val="0"/>
              <w:snapToGrid w:val="0"/>
              <w:rPr>
                <w:sz w:val="24"/>
              </w:rPr>
            </w:pPr>
            <w:r>
              <w:rPr>
                <w:rFonts w:asciiTheme="minorEastAsia" w:hAnsiTheme="minorEastAsia" w:eastAsiaTheme="minorEastAsia"/>
                <w:sz w:val="24"/>
              </w:rPr>
              <w:sym w:font="Wingdings" w:char="F0FE"/>
            </w:r>
            <w:r>
              <w:rPr>
                <w:rFonts w:hAnsi="宋体"/>
                <w:sz w:val="24"/>
              </w:rPr>
              <w:t>是：</w:t>
            </w:r>
            <w:r>
              <w:rPr>
                <w:rFonts w:hint="eastAsia" w:hAnsi="宋体"/>
                <w:szCs w:val="21"/>
                <w:u w:val="single"/>
              </w:rPr>
              <w:t>（1）已建设内容</w:t>
            </w:r>
            <w:r>
              <w:rPr>
                <w:rFonts w:hint="eastAsia"/>
                <w:szCs w:val="21"/>
                <w:u w:val="single"/>
              </w:rPr>
              <w:t>：目前已建成 3条焊管生产线分别为: 位于三车间的1条焊管生产线，位于八车间的2条焊管生产线，自建成起未投入生产。（2）处罚及执行情况：玉溪市生态环境局于2</w:t>
            </w:r>
            <w:r>
              <w:rPr>
                <w:szCs w:val="21"/>
                <w:u w:val="single"/>
              </w:rPr>
              <w:t>025</w:t>
            </w:r>
            <w:r>
              <w:rPr>
                <w:rFonts w:hint="eastAsia"/>
                <w:szCs w:val="21"/>
                <w:u w:val="single"/>
              </w:rPr>
              <w:t>年4月3日对该项目未批先建问题进行了立案查处。正在办理行政处罚手续。</w:t>
            </w:r>
          </w:p>
        </w:tc>
        <w:tc>
          <w:tcPr>
            <w:tcW w:w="1904" w:type="dxa"/>
            <w:tcMar>
              <w:top w:w="16" w:type="dxa"/>
              <w:left w:w="16" w:type="dxa"/>
              <w:right w:w="16" w:type="dxa"/>
            </w:tcMar>
            <w:vAlign w:val="center"/>
          </w:tcPr>
          <w:p w14:paraId="33C80BE7">
            <w:pPr>
              <w:adjustRightInd w:val="0"/>
              <w:snapToGrid w:val="0"/>
              <w:jc w:val="center"/>
              <w:rPr>
                <w:spacing w:val="-6"/>
                <w:sz w:val="24"/>
              </w:rPr>
            </w:pPr>
            <w:r>
              <w:rPr>
                <w:rFonts w:hAnsi="宋体"/>
                <w:spacing w:val="-6"/>
                <w:sz w:val="24"/>
              </w:rPr>
              <w:t>用地（用海）</w:t>
            </w:r>
          </w:p>
          <w:p w14:paraId="1C7D7184">
            <w:pPr>
              <w:adjustRightInd w:val="0"/>
              <w:snapToGrid w:val="0"/>
              <w:jc w:val="center"/>
              <w:rPr>
                <w:sz w:val="24"/>
              </w:rPr>
            </w:pPr>
            <w:r>
              <w:rPr>
                <w:rFonts w:hAnsi="宋体"/>
                <w:spacing w:val="-6"/>
                <w:sz w:val="24"/>
              </w:rPr>
              <w:t>面积（</w:t>
            </w:r>
            <w:r>
              <w:rPr>
                <w:spacing w:val="-6"/>
                <w:sz w:val="24"/>
              </w:rPr>
              <w:t>m</w:t>
            </w:r>
            <w:r>
              <w:rPr>
                <w:spacing w:val="-6"/>
                <w:sz w:val="24"/>
                <w:vertAlign w:val="superscript"/>
              </w:rPr>
              <w:t>2</w:t>
            </w:r>
            <w:r>
              <w:rPr>
                <w:rFonts w:hAnsi="宋体"/>
                <w:spacing w:val="-6"/>
                <w:sz w:val="24"/>
              </w:rPr>
              <w:t>）</w:t>
            </w:r>
          </w:p>
        </w:tc>
        <w:tc>
          <w:tcPr>
            <w:tcW w:w="3130" w:type="dxa"/>
            <w:vAlign w:val="center"/>
          </w:tcPr>
          <w:p w14:paraId="13788B34">
            <w:pPr>
              <w:adjustRightInd w:val="0"/>
              <w:snapToGrid w:val="0"/>
              <w:jc w:val="center"/>
              <w:rPr>
                <w:sz w:val="24"/>
              </w:rPr>
            </w:pPr>
            <w:r>
              <w:rPr>
                <w:sz w:val="24"/>
              </w:rPr>
              <w:t>5466</w:t>
            </w:r>
          </w:p>
        </w:tc>
      </w:tr>
      <w:tr w14:paraId="15744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44" w:type="dxa"/>
            <w:gridSpan w:val="2"/>
            <w:vAlign w:val="center"/>
          </w:tcPr>
          <w:p w14:paraId="7C702F31">
            <w:pPr>
              <w:autoSpaceDE w:val="0"/>
              <w:autoSpaceDN w:val="0"/>
              <w:adjustRightInd w:val="0"/>
              <w:snapToGrid w:val="0"/>
              <w:jc w:val="center"/>
              <w:rPr>
                <w:kern w:val="0"/>
                <w:sz w:val="24"/>
              </w:rPr>
            </w:pPr>
            <w:r>
              <w:rPr>
                <w:rFonts w:hAnsi="宋体"/>
                <w:kern w:val="0"/>
                <w:sz w:val="24"/>
              </w:rPr>
              <w:t>专项评价设置情况</w:t>
            </w:r>
          </w:p>
        </w:tc>
        <w:tc>
          <w:tcPr>
            <w:tcW w:w="7995" w:type="dxa"/>
            <w:gridSpan w:val="4"/>
            <w:vAlign w:val="center"/>
          </w:tcPr>
          <w:p w14:paraId="76CF6D3F">
            <w:pPr>
              <w:autoSpaceDE w:val="0"/>
              <w:autoSpaceDN w:val="0"/>
              <w:adjustRightInd w:val="0"/>
              <w:snapToGrid w:val="0"/>
              <w:ind w:firstLine="480" w:firstLineChars="200"/>
              <w:jc w:val="left"/>
              <w:rPr>
                <w:kern w:val="0"/>
                <w:sz w:val="24"/>
              </w:rPr>
            </w:pPr>
            <w:r>
              <w:rPr>
                <w:rFonts w:hint="eastAsia"/>
                <w:kern w:val="0"/>
                <w:sz w:val="24"/>
              </w:rPr>
              <w:t>无。</w:t>
            </w:r>
          </w:p>
          <w:p w14:paraId="0E9F133C">
            <w:pPr>
              <w:autoSpaceDE w:val="0"/>
              <w:autoSpaceDN w:val="0"/>
              <w:adjustRightInd w:val="0"/>
              <w:snapToGrid w:val="0"/>
              <w:ind w:firstLine="480" w:firstLineChars="200"/>
              <w:jc w:val="left"/>
              <w:rPr>
                <w:kern w:val="0"/>
                <w:sz w:val="24"/>
              </w:rPr>
            </w:pPr>
            <w:r>
              <w:rPr>
                <w:rFonts w:hint="eastAsia"/>
                <w:kern w:val="0"/>
                <w:sz w:val="24"/>
              </w:rPr>
              <w:t>依据《建设项目环境影响报告表编制技术指南（污染影响类）》专项评价设置原则表，本项目无需进行专项评价，具体专项评价设置原则及本项目判定情况见下表。</w:t>
            </w:r>
          </w:p>
          <w:p w14:paraId="07B19654">
            <w:pPr>
              <w:autoSpaceDE w:val="0"/>
              <w:autoSpaceDN w:val="0"/>
              <w:adjustRightInd w:val="0"/>
              <w:snapToGrid w:val="0"/>
              <w:jc w:val="center"/>
              <w:rPr>
                <w:kern w:val="0"/>
                <w:sz w:val="24"/>
              </w:rPr>
            </w:pPr>
            <w:r>
              <w:rPr>
                <w:rFonts w:hint="eastAsia"/>
                <w:kern w:val="0"/>
                <w:sz w:val="24"/>
              </w:rPr>
              <w:t>表1-1 专项评价设置原则表</w:t>
            </w:r>
          </w:p>
          <w:tbl>
            <w:tblPr>
              <w:tblStyle w:val="33"/>
              <w:tblW w:w="7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977"/>
              <w:gridCol w:w="2693"/>
              <w:gridCol w:w="906"/>
            </w:tblGrid>
            <w:tr w14:paraId="1C26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42E0CA77">
                  <w:pPr>
                    <w:autoSpaceDE w:val="0"/>
                    <w:autoSpaceDN w:val="0"/>
                    <w:adjustRightInd w:val="0"/>
                    <w:snapToGrid w:val="0"/>
                    <w:jc w:val="center"/>
                    <w:rPr>
                      <w:kern w:val="0"/>
                      <w:szCs w:val="21"/>
                    </w:rPr>
                  </w:pPr>
                  <w:r>
                    <w:rPr>
                      <w:rFonts w:hint="eastAsia"/>
                      <w:kern w:val="0"/>
                      <w:szCs w:val="21"/>
                    </w:rPr>
                    <w:t>专项评价的类别</w:t>
                  </w:r>
                </w:p>
              </w:tc>
              <w:tc>
                <w:tcPr>
                  <w:tcW w:w="2977" w:type="dxa"/>
                  <w:vAlign w:val="center"/>
                </w:tcPr>
                <w:p w14:paraId="44C408AD">
                  <w:pPr>
                    <w:autoSpaceDE w:val="0"/>
                    <w:autoSpaceDN w:val="0"/>
                    <w:adjustRightInd w:val="0"/>
                    <w:snapToGrid w:val="0"/>
                    <w:jc w:val="center"/>
                    <w:rPr>
                      <w:kern w:val="0"/>
                      <w:szCs w:val="21"/>
                    </w:rPr>
                  </w:pPr>
                  <w:r>
                    <w:rPr>
                      <w:rFonts w:hint="eastAsia"/>
                      <w:kern w:val="0"/>
                      <w:szCs w:val="21"/>
                    </w:rPr>
                    <w:t>设置原则</w:t>
                  </w:r>
                </w:p>
              </w:tc>
              <w:tc>
                <w:tcPr>
                  <w:tcW w:w="2693" w:type="dxa"/>
                  <w:vAlign w:val="center"/>
                </w:tcPr>
                <w:p w14:paraId="2F8DBFB2">
                  <w:pPr>
                    <w:autoSpaceDE w:val="0"/>
                    <w:autoSpaceDN w:val="0"/>
                    <w:adjustRightInd w:val="0"/>
                    <w:snapToGrid w:val="0"/>
                    <w:jc w:val="center"/>
                    <w:rPr>
                      <w:kern w:val="0"/>
                      <w:szCs w:val="21"/>
                    </w:rPr>
                  </w:pPr>
                  <w:r>
                    <w:rPr>
                      <w:rFonts w:hint="eastAsia"/>
                      <w:kern w:val="0"/>
                      <w:szCs w:val="21"/>
                    </w:rPr>
                    <w:t>本项目情况</w:t>
                  </w:r>
                </w:p>
              </w:tc>
              <w:tc>
                <w:tcPr>
                  <w:tcW w:w="906" w:type="dxa"/>
                  <w:vAlign w:val="center"/>
                </w:tcPr>
                <w:p w14:paraId="6BFFEA40">
                  <w:pPr>
                    <w:autoSpaceDE w:val="0"/>
                    <w:autoSpaceDN w:val="0"/>
                    <w:adjustRightInd w:val="0"/>
                    <w:snapToGrid w:val="0"/>
                    <w:jc w:val="center"/>
                    <w:rPr>
                      <w:kern w:val="0"/>
                      <w:szCs w:val="21"/>
                    </w:rPr>
                  </w:pPr>
                  <w:r>
                    <w:rPr>
                      <w:rFonts w:hint="eastAsia"/>
                      <w:kern w:val="0"/>
                      <w:szCs w:val="21"/>
                    </w:rPr>
                    <w:t>专项</w:t>
                  </w:r>
                </w:p>
                <w:p w14:paraId="53CA8A3E">
                  <w:pPr>
                    <w:autoSpaceDE w:val="0"/>
                    <w:autoSpaceDN w:val="0"/>
                    <w:adjustRightInd w:val="0"/>
                    <w:snapToGrid w:val="0"/>
                    <w:jc w:val="center"/>
                    <w:rPr>
                      <w:kern w:val="0"/>
                      <w:szCs w:val="21"/>
                    </w:rPr>
                  </w:pPr>
                  <w:r>
                    <w:rPr>
                      <w:rFonts w:hint="eastAsia"/>
                      <w:kern w:val="0"/>
                      <w:szCs w:val="21"/>
                    </w:rPr>
                    <w:t>设置</w:t>
                  </w:r>
                </w:p>
              </w:tc>
            </w:tr>
            <w:tr w14:paraId="0A8C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02E7B527">
                  <w:pPr>
                    <w:autoSpaceDE w:val="0"/>
                    <w:autoSpaceDN w:val="0"/>
                    <w:adjustRightInd w:val="0"/>
                    <w:snapToGrid w:val="0"/>
                    <w:jc w:val="center"/>
                    <w:rPr>
                      <w:kern w:val="0"/>
                      <w:szCs w:val="21"/>
                    </w:rPr>
                  </w:pPr>
                  <w:r>
                    <w:rPr>
                      <w:rFonts w:hint="eastAsia"/>
                      <w:kern w:val="0"/>
                      <w:szCs w:val="21"/>
                    </w:rPr>
                    <w:t>大气</w:t>
                  </w:r>
                </w:p>
              </w:tc>
              <w:tc>
                <w:tcPr>
                  <w:tcW w:w="2977" w:type="dxa"/>
                  <w:vAlign w:val="center"/>
                </w:tcPr>
                <w:p w14:paraId="0E1D41B5">
                  <w:pPr>
                    <w:autoSpaceDE w:val="0"/>
                    <w:autoSpaceDN w:val="0"/>
                    <w:adjustRightInd w:val="0"/>
                    <w:snapToGrid w:val="0"/>
                    <w:jc w:val="center"/>
                    <w:rPr>
                      <w:kern w:val="0"/>
                      <w:szCs w:val="21"/>
                    </w:rPr>
                  </w:pPr>
                  <w:r>
                    <w:rPr>
                      <w:rFonts w:hint="eastAsia"/>
                      <w:kern w:val="0"/>
                      <w:szCs w:val="21"/>
                    </w:rPr>
                    <w:t>排放废气含有毒有害污染物、二噁英、苯并[a]芘、氰化物、氯气且厂界外500米范围内有环境空气保护目标的建设项目</w:t>
                  </w:r>
                </w:p>
              </w:tc>
              <w:tc>
                <w:tcPr>
                  <w:tcW w:w="2693" w:type="dxa"/>
                  <w:vAlign w:val="center"/>
                </w:tcPr>
                <w:p w14:paraId="136E7A80">
                  <w:pPr>
                    <w:autoSpaceDE w:val="0"/>
                    <w:autoSpaceDN w:val="0"/>
                    <w:adjustRightInd w:val="0"/>
                    <w:snapToGrid w:val="0"/>
                    <w:jc w:val="center"/>
                    <w:rPr>
                      <w:kern w:val="0"/>
                      <w:szCs w:val="21"/>
                    </w:rPr>
                  </w:pPr>
                  <w:r>
                    <w:rPr>
                      <w:rFonts w:hint="eastAsia"/>
                      <w:kern w:val="0"/>
                      <w:szCs w:val="21"/>
                    </w:rPr>
                    <w:t>本项目排放的废气主要为颗粒物，不涉及含有毒有害污染物、二噁英、苯并[a]芘、氰化物、氯气，厂界外500米范围内没有环境空气保护目标。</w:t>
                  </w:r>
                </w:p>
              </w:tc>
              <w:tc>
                <w:tcPr>
                  <w:tcW w:w="906" w:type="dxa"/>
                  <w:vAlign w:val="center"/>
                </w:tcPr>
                <w:p w14:paraId="105E3E65">
                  <w:pPr>
                    <w:autoSpaceDE w:val="0"/>
                    <w:autoSpaceDN w:val="0"/>
                    <w:adjustRightInd w:val="0"/>
                    <w:snapToGrid w:val="0"/>
                    <w:jc w:val="center"/>
                    <w:rPr>
                      <w:kern w:val="0"/>
                      <w:szCs w:val="21"/>
                    </w:rPr>
                  </w:pPr>
                  <w:r>
                    <w:rPr>
                      <w:rFonts w:hint="eastAsia"/>
                      <w:kern w:val="0"/>
                      <w:szCs w:val="21"/>
                    </w:rPr>
                    <w:t>不设置</w:t>
                  </w:r>
                </w:p>
              </w:tc>
            </w:tr>
            <w:tr w14:paraId="5C67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45EC6CF7">
                  <w:pPr>
                    <w:autoSpaceDE w:val="0"/>
                    <w:autoSpaceDN w:val="0"/>
                    <w:adjustRightInd w:val="0"/>
                    <w:snapToGrid w:val="0"/>
                    <w:jc w:val="center"/>
                    <w:rPr>
                      <w:kern w:val="0"/>
                      <w:szCs w:val="21"/>
                    </w:rPr>
                  </w:pPr>
                  <w:r>
                    <w:rPr>
                      <w:rFonts w:hint="eastAsia"/>
                      <w:kern w:val="0"/>
                      <w:szCs w:val="21"/>
                    </w:rPr>
                    <w:t>地表水</w:t>
                  </w:r>
                </w:p>
              </w:tc>
              <w:tc>
                <w:tcPr>
                  <w:tcW w:w="2977" w:type="dxa"/>
                  <w:vAlign w:val="center"/>
                </w:tcPr>
                <w:p w14:paraId="1A1D1BAC">
                  <w:pPr>
                    <w:autoSpaceDE w:val="0"/>
                    <w:autoSpaceDN w:val="0"/>
                    <w:adjustRightInd w:val="0"/>
                    <w:snapToGrid w:val="0"/>
                    <w:jc w:val="center"/>
                    <w:rPr>
                      <w:kern w:val="0"/>
                      <w:szCs w:val="21"/>
                    </w:rPr>
                  </w:pPr>
                  <w:r>
                    <w:rPr>
                      <w:rFonts w:hint="eastAsia"/>
                      <w:kern w:val="0"/>
                      <w:szCs w:val="21"/>
                    </w:rPr>
                    <w:t>新增工业废水直排建设项目（槽罐车外送污水处理厂的除外）；新增废水直排的污水集中处理厂</w:t>
                  </w:r>
                </w:p>
              </w:tc>
              <w:tc>
                <w:tcPr>
                  <w:tcW w:w="2693" w:type="dxa"/>
                  <w:vAlign w:val="center"/>
                </w:tcPr>
                <w:p w14:paraId="69BB4416">
                  <w:pPr>
                    <w:autoSpaceDE w:val="0"/>
                    <w:autoSpaceDN w:val="0"/>
                    <w:adjustRightInd w:val="0"/>
                    <w:snapToGrid w:val="0"/>
                    <w:jc w:val="center"/>
                    <w:rPr>
                      <w:kern w:val="0"/>
                      <w:szCs w:val="21"/>
                    </w:rPr>
                  </w:pPr>
                  <w:r>
                    <w:rPr>
                      <w:rFonts w:hint="eastAsia"/>
                      <w:kern w:val="0"/>
                      <w:szCs w:val="21"/>
                    </w:rPr>
                    <w:t>本项目无新增工业废水直排。</w:t>
                  </w:r>
                </w:p>
              </w:tc>
              <w:tc>
                <w:tcPr>
                  <w:tcW w:w="906" w:type="dxa"/>
                  <w:vAlign w:val="center"/>
                </w:tcPr>
                <w:p w14:paraId="502FFF72">
                  <w:pPr>
                    <w:autoSpaceDE w:val="0"/>
                    <w:autoSpaceDN w:val="0"/>
                    <w:adjustRightInd w:val="0"/>
                    <w:snapToGrid w:val="0"/>
                    <w:jc w:val="center"/>
                    <w:rPr>
                      <w:kern w:val="0"/>
                      <w:szCs w:val="21"/>
                    </w:rPr>
                  </w:pPr>
                  <w:r>
                    <w:rPr>
                      <w:rFonts w:hint="eastAsia"/>
                      <w:kern w:val="0"/>
                      <w:szCs w:val="21"/>
                    </w:rPr>
                    <w:t>不设置</w:t>
                  </w:r>
                </w:p>
              </w:tc>
            </w:tr>
            <w:tr w14:paraId="23D6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0C377B3A">
                  <w:pPr>
                    <w:autoSpaceDE w:val="0"/>
                    <w:autoSpaceDN w:val="0"/>
                    <w:adjustRightInd w:val="0"/>
                    <w:snapToGrid w:val="0"/>
                    <w:jc w:val="center"/>
                    <w:rPr>
                      <w:kern w:val="0"/>
                      <w:szCs w:val="21"/>
                    </w:rPr>
                  </w:pPr>
                  <w:r>
                    <w:rPr>
                      <w:rFonts w:hint="eastAsia"/>
                      <w:kern w:val="0"/>
                      <w:szCs w:val="21"/>
                    </w:rPr>
                    <w:t>环境风险</w:t>
                  </w:r>
                </w:p>
              </w:tc>
              <w:tc>
                <w:tcPr>
                  <w:tcW w:w="2977" w:type="dxa"/>
                  <w:vAlign w:val="center"/>
                </w:tcPr>
                <w:p w14:paraId="477F2A8D">
                  <w:pPr>
                    <w:autoSpaceDE w:val="0"/>
                    <w:autoSpaceDN w:val="0"/>
                    <w:adjustRightInd w:val="0"/>
                    <w:snapToGrid w:val="0"/>
                    <w:jc w:val="center"/>
                    <w:rPr>
                      <w:kern w:val="0"/>
                      <w:szCs w:val="21"/>
                    </w:rPr>
                  </w:pPr>
                  <w:r>
                    <w:rPr>
                      <w:rFonts w:hint="eastAsia"/>
                      <w:kern w:val="0"/>
                      <w:szCs w:val="21"/>
                    </w:rPr>
                    <w:t>有毒有害和易燃易爆危险物质存储量超过临界量的建设项目</w:t>
                  </w:r>
                </w:p>
              </w:tc>
              <w:tc>
                <w:tcPr>
                  <w:tcW w:w="2693" w:type="dxa"/>
                  <w:vAlign w:val="center"/>
                </w:tcPr>
                <w:p w14:paraId="74902BD3">
                  <w:pPr>
                    <w:autoSpaceDE w:val="0"/>
                    <w:autoSpaceDN w:val="0"/>
                    <w:adjustRightInd w:val="0"/>
                    <w:snapToGrid w:val="0"/>
                    <w:jc w:val="center"/>
                    <w:rPr>
                      <w:kern w:val="0"/>
                      <w:szCs w:val="21"/>
                    </w:rPr>
                  </w:pPr>
                  <w:r>
                    <w:rPr>
                      <w:rFonts w:hint="eastAsia"/>
                      <w:szCs w:val="21"/>
                    </w:rPr>
                    <w:t>本项目涉及的</w:t>
                  </w:r>
                  <w:r>
                    <w:rPr>
                      <w:rFonts w:hint="eastAsia"/>
                      <w:kern w:val="0"/>
                      <w:szCs w:val="21"/>
                    </w:rPr>
                    <w:t>有毒有害和易燃易爆危险物质</w:t>
                  </w:r>
                  <w:r>
                    <w:rPr>
                      <w:rFonts w:hint="eastAsia"/>
                      <w:szCs w:val="21"/>
                    </w:rPr>
                    <w:t>主要为废机油，项目贮存量未超过临界值。</w:t>
                  </w:r>
                </w:p>
              </w:tc>
              <w:tc>
                <w:tcPr>
                  <w:tcW w:w="906" w:type="dxa"/>
                  <w:vAlign w:val="center"/>
                </w:tcPr>
                <w:p w14:paraId="59EE3E3A">
                  <w:pPr>
                    <w:autoSpaceDE w:val="0"/>
                    <w:autoSpaceDN w:val="0"/>
                    <w:adjustRightInd w:val="0"/>
                    <w:snapToGrid w:val="0"/>
                    <w:jc w:val="center"/>
                    <w:rPr>
                      <w:kern w:val="0"/>
                      <w:szCs w:val="21"/>
                    </w:rPr>
                  </w:pPr>
                  <w:r>
                    <w:rPr>
                      <w:rFonts w:hint="eastAsia"/>
                      <w:kern w:val="0"/>
                      <w:szCs w:val="21"/>
                    </w:rPr>
                    <w:t>不设置</w:t>
                  </w:r>
                </w:p>
              </w:tc>
            </w:tr>
            <w:tr w14:paraId="1487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6A52DE46">
                  <w:pPr>
                    <w:autoSpaceDE w:val="0"/>
                    <w:autoSpaceDN w:val="0"/>
                    <w:adjustRightInd w:val="0"/>
                    <w:snapToGrid w:val="0"/>
                    <w:jc w:val="center"/>
                    <w:rPr>
                      <w:kern w:val="0"/>
                      <w:szCs w:val="21"/>
                    </w:rPr>
                  </w:pPr>
                  <w:r>
                    <w:rPr>
                      <w:rFonts w:hint="eastAsia"/>
                      <w:kern w:val="0"/>
                      <w:szCs w:val="21"/>
                    </w:rPr>
                    <w:t>生态</w:t>
                  </w:r>
                </w:p>
              </w:tc>
              <w:tc>
                <w:tcPr>
                  <w:tcW w:w="2977" w:type="dxa"/>
                  <w:vAlign w:val="center"/>
                </w:tcPr>
                <w:p w14:paraId="082619E5">
                  <w:pPr>
                    <w:autoSpaceDE w:val="0"/>
                    <w:autoSpaceDN w:val="0"/>
                    <w:adjustRightInd w:val="0"/>
                    <w:snapToGrid w:val="0"/>
                    <w:jc w:val="center"/>
                    <w:rPr>
                      <w:kern w:val="0"/>
                      <w:szCs w:val="21"/>
                    </w:rPr>
                  </w:pPr>
                  <w:r>
                    <w:rPr>
                      <w:rFonts w:hint="eastAsia"/>
                      <w:kern w:val="0"/>
                      <w:szCs w:val="21"/>
                    </w:rPr>
                    <w:t>取水口下游 500 米范围内有重要水生生物的自然产卵场、索饵场、越冬场和洄游通道的新增河道取水的污染类建设项目</w:t>
                  </w:r>
                </w:p>
              </w:tc>
              <w:tc>
                <w:tcPr>
                  <w:tcW w:w="2693" w:type="dxa"/>
                  <w:vAlign w:val="center"/>
                </w:tcPr>
                <w:p w14:paraId="38BC2056">
                  <w:pPr>
                    <w:autoSpaceDE w:val="0"/>
                    <w:autoSpaceDN w:val="0"/>
                    <w:adjustRightInd w:val="0"/>
                    <w:snapToGrid w:val="0"/>
                    <w:jc w:val="center"/>
                    <w:rPr>
                      <w:kern w:val="0"/>
                      <w:szCs w:val="21"/>
                    </w:rPr>
                  </w:pPr>
                  <w:r>
                    <w:rPr>
                      <w:rFonts w:hint="eastAsia"/>
                      <w:kern w:val="0"/>
                      <w:szCs w:val="21"/>
                    </w:rPr>
                    <w:t>本项目不设置河道取水口。</w:t>
                  </w:r>
                </w:p>
              </w:tc>
              <w:tc>
                <w:tcPr>
                  <w:tcW w:w="906" w:type="dxa"/>
                  <w:vAlign w:val="center"/>
                </w:tcPr>
                <w:p w14:paraId="24315B49">
                  <w:pPr>
                    <w:autoSpaceDE w:val="0"/>
                    <w:autoSpaceDN w:val="0"/>
                    <w:adjustRightInd w:val="0"/>
                    <w:snapToGrid w:val="0"/>
                    <w:jc w:val="center"/>
                    <w:rPr>
                      <w:kern w:val="0"/>
                      <w:szCs w:val="21"/>
                    </w:rPr>
                  </w:pPr>
                  <w:r>
                    <w:rPr>
                      <w:rFonts w:hint="eastAsia"/>
                      <w:kern w:val="0"/>
                      <w:szCs w:val="21"/>
                    </w:rPr>
                    <w:t>不设置</w:t>
                  </w:r>
                </w:p>
              </w:tc>
            </w:tr>
            <w:tr w14:paraId="5E3D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376035FD">
                  <w:pPr>
                    <w:autoSpaceDE w:val="0"/>
                    <w:autoSpaceDN w:val="0"/>
                    <w:adjustRightInd w:val="0"/>
                    <w:snapToGrid w:val="0"/>
                    <w:jc w:val="center"/>
                    <w:rPr>
                      <w:kern w:val="0"/>
                      <w:szCs w:val="21"/>
                    </w:rPr>
                  </w:pPr>
                  <w:r>
                    <w:rPr>
                      <w:rFonts w:hint="eastAsia"/>
                      <w:kern w:val="0"/>
                      <w:szCs w:val="21"/>
                    </w:rPr>
                    <w:t>海洋</w:t>
                  </w:r>
                </w:p>
              </w:tc>
              <w:tc>
                <w:tcPr>
                  <w:tcW w:w="2977" w:type="dxa"/>
                  <w:vAlign w:val="center"/>
                </w:tcPr>
                <w:p w14:paraId="0103F026">
                  <w:pPr>
                    <w:autoSpaceDE w:val="0"/>
                    <w:autoSpaceDN w:val="0"/>
                    <w:adjustRightInd w:val="0"/>
                    <w:snapToGrid w:val="0"/>
                    <w:jc w:val="center"/>
                    <w:rPr>
                      <w:kern w:val="0"/>
                      <w:szCs w:val="21"/>
                    </w:rPr>
                  </w:pPr>
                  <w:r>
                    <w:rPr>
                      <w:rFonts w:hint="eastAsia"/>
                      <w:kern w:val="0"/>
                      <w:szCs w:val="21"/>
                    </w:rPr>
                    <w:t>直接向海排放污染物的海洋工程建设项目</w:t>
                  </w:r>
                </w:p>
              </w:tc>
              <w:tc>
                <w:tcPr>
                  <w:tcW w:w="2693" w:type="dxa"/>
                  <w:vAlign w:val="center"/>
                </w:tcPr>
                <w:p w14:paraId="0F208EFD">
                  <w:pPr>
                    <w:autoSpaceDE w:val="0"/>
                    <w:autoSpaceDN w:val="0"/>
                    <w:adjustRightInd w:val="0"/>
                    <w:snapToGrid w:val="0"/>
                    <w:jc w:val="center"/>
                    <w:rPr>
                      <w:kern w:val="0"/>
                      <w:szCs w:val="21"/>
                    </w:rPr>
                  </w:pPr>
                  <w:r>
                    <w:rPr>
                      <w:rFonts w:hint="eastAsia"/>
                      <w:kern w:val="0"/>
                      <w:szCs w:val="21"/>
                    </w:rPr>
                    <w:t>本项目不涉及海洋工程。</w:t>
                  </w:r>
                </w:p>
              </w:tc>
              <w:tc>
                <w:tcPr>
                  <w:tcW w:w="906" w:type="dxa"/>
                  <w:vAlign w:val="center"/>
                </w:tcPr>
                <w:p w14:paraId="6F1A47B1">
                  <w:pPr>
                    <w:autoSpaceDE w:val="0"/>
                    <w:autoSpaceDN w:val="0"/>
                    <w:adjustRightInd w:val="0"/>
                    <w:snapToGrid w:val="0"/>
                    <w:jc w:val="center"/>
                    <w:rPr>
                      <w:kern w:val="0"/>
                      <w:szCs w:val="21"/>
                    </w:rPr>
                  </w:pPr>
                  <w:r>
                    <w:rPr>
                      <w:rFonts w:hint="eastAsia"/>
                      <w:kern w:val="0"/>
                      <w:szCs w:val="21"/>
                    </w:rPr>
                    <w:t>不设置</w:t>
                  </w:r>
                </w:p>
              </w:tc>
            </w:tr>
          </w:tbl>
          <w:p w14:paraId="6D77513C">
            <w:pPr>
              <w:autoSpaceDE w:val="0"/>
              <w:autoSpaceDN w:val="0"/>
              <w:adjustRightInd w:val="0"/>
              <w:snapToGrid w:val="0"/>
              <w:jc w:val="center"/>
              <w:rPr>
                <w:kern w:val="0"/>
                <w:sz w:val="24"/>
              </w:rPr>
            </w:pPr>
          </w:p>
        </w:tc>
      </w:tr>
      <w:tr w14:paraId="48949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644" w:type="dxa"/>
            <w:gridSpan w:val="2"/>
            <w:vAlign w:val="center"/>
          </w:tcPr>
          <w:p w14:paraId="2934CA7B">
            <w:pPr>
              <w:autoSpaceDE w:val="0"/>
              <w:autoSpaceDN w:val="0"/>
              <w:adjustRightInd w:val="0"/>
              <w:snapToGrid w:val="0"/>
              <w:jc w:val="center"/>
              <w:rPr>
                <w:kern w:val="0"/>
                <w:sz w:val="24"/>
              </w:rPr>
            </w:pPr>
            <w:r>
              <w:rPr>
                <w:rFonts w:hAnsi="宋体"/>
                <w:sz w:val="24"/>
              </w:rPr>
              <w:t>规划情况</w:t>
            </w:r>
          </w:p>
        </w:tc>
        <w:tc>
          <w:tcPr>
            <w:tcW w:w="7995" w:type="dxa"/>
            <w:gridSpan w:val="4"/>
            <w:vAlign w:val="center"/>
          </w:tcPr>
          <w:p w14:paraId="23CB47F7">
            <w:pPr>
              <w:autoSpaceDE w:val="0"/>
              <w:autoSpaceDN w:val="0"/>
              <w:adjustRightInd w:val="0"/>
              <w:snapToGrid w:val="0"/>
              <w:spacing w:line="360" w:lineRule="auto"/>
              <w:jc w:val="left"/>
              <w:rPr>
                <w:kern w:val="0"/>
                <w:sz w:val="24"/>
              </w:rPr>
            </w:pPr>
            <w:r>
              <w:rPr>
                <w:rFonts w:hint="eastAsia"/>
                <w:kern w:val="0"/>
                <w:sz w:val="24"/>
              </w:rPr>
              <w:t>无。</w:t>
            </w:r>
          </w:p>
        </w:tc>
      </w:tr>
      <w:tr w14:paraId="03B48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644" w:type="dxa"/>
            <w:gridSpan w:val="2"/>
            <w:vAlign w:val="center"/>
          </w:tcPr>
          <w:p w14:paraId="082830D4">
            <w:pPr>
              <w:adjustRightInd w:val="0"/>
              <w:snapToGrid w:val="0"/>
              <w:jc w:val="center"/>
              <w:rPr>
                <w:sz w:val="24"/>
              </w:rPr>
            </w:pPr>
            <w:r>
              <w:rPr>
                <w:rFonts w:hAnsi="宋体"/>
                <w:sz w:val="24"/>
              </w:rPr>
              <w:t>规划环境影响评价情况</w:t>
            </w:r>
          </w:p>
        </w:tc>
        <w:tc>
          <w:tcPr>
            <w:tcW w:w="7995" w:type="dxa"/>
            <w:gridSpan w:val="4"/>
            <w:vAlign w:val="center"/>
          </w:tcPr>
          <w:p w14:paraId="4F54CFCB">
            <w:pPr>
              <w:autoSpaceDE w:val="0"/>
              <w:autoSpaceDN w:val="0"/>
              <w:adjustRightInd w:val="0"/>
              <w:snapToGrid w:val="0"/>
              <w:spacing w:line="360" w:lineRule="auto"/>
              <w:rPr>
                <w:kern w:val="0"/>
                <w:sz w:val="24"/>
              </w:rPr>
            </w:pPr>
            <w:r>
              <w:rPr>
                <w:rFonts w:hint="eastAsia"/>
                <w:kern w:val="0"/>
                <w:sz w:val="24"/>
              </w:rPr>
              <w:t>无。</w:t>
            </w:r>
          </w:p>
        </w:tc>
      </w:tr>
      <w:tr w14:paraId="2CCB1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30" w:type="dxa"/>
            <w:vAlign w:val="center"/>
          </w:tcPr>
          <w:p w14:paraId="27641648">
            <w:pPr>
              <w:autoSpaceDE w:val="0"/>
              <w:autoSpaceDN w:val="0"/>
              <w:adjustRightInd w:val="0"/>
              <w:snapToGrid w:val="0"/>
              <w:jc w:val="center"/>
              <w:rPr>
                <w:kern w:val="0"/>
                <w:sz w:val="24"/>
              </w:rPr>
            </w:pPr>
            <w:r>
              <w:rPr>
                <w:rFonts w:hAnsi="宋体"/>
                <w:kern w:val="0"/>
                <w:sz w:val="24"/>
              </w:rPr>
              <w:t>规划及规划环境影响评价符合性分析</w:t>
            </w:r>
          </w:p>
        </w:tc>
        <w:tc>
          <w:tcPr>
            <w:tcW w:w="8907" w:type="dxa"/>
            <w:gridSpan w:val="5"/>
            <w:vAlign w:val="center"/>
          </w:tcPr>
          <w:p w14:paraId="7C701E6A">
            <w:pPr>
              <w:pStyle w:val="30"/>
              <w:spacing w:after="0" w:line="360" w:lineRule="auto"/>
              <w:ind w:firstLine="480" w:firstLineChars="200"/>
              <w:jc w:val="left"/>
              <w:rPr>
                <w:sz w:val="24"/>
              </w:rPr>
            </w:pPr>
            <w:r>
              <w:rPr>
                <w:rFonts w:hint="eastAsia"/>
                <w:sz w:val="24"/>
              </w:rPr>
              <w:t>无。</w:t>
            </w:r>
          </w:p>
          <w:p w14:paraId="3CA8A4E8">
            <w:pPr>
              <w:pStyle w:val="30"/>
              <w:spacing w:after="0" w:line="360" w:lineRule="auto"/>
              <w:ind w:firstLine="0" w:firstLineChars="0"/>
              <w:jc w:val="left"/>
              <w:rPr>
                <w:sz w:val="24"/>
              </w:rPr>
            </w:pPr>
          </w:p>
        </w:tc>
      </w:tr>
      <w:tr w14:paraId="5B888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9" w:hRule="atLeast"/>
          <w:jc w:val="center"/>
        </w:trPr>
        <w:tc>
          <w:tcPr>
            <w:tcW w:w="730" w:type="dxa"/>
            <w:vAlign w:val="center"/>
          </w:tcPr>
          <w:p w14:paraId="06B9AA31">
            <w:pPr>
              <w:autoSpaceDE w:val="0"/>
              <w:autoSpaceDN w:val="0"/>
              <w:adjustRightInd w:val="0"/>
              <w:snapToGrid w:val="0"/>
              <w:jc w:val="center"/>
              <w:rPr>
                <w:kern w:val="0"/>
                <w:sz w:val="24"/>
              </w:rPr>
            </w:pPr>
            <w:r>
              <w:rPr>
                <w:rFonts w:hAnsi="宋体"/>
                <w:kern w:val="0"/>
                <w:sz w:val="24"/>
              </w:rPr>
              <w:t>其他符合性分析</w:t>
            </w:r>
          </w:p>
        </w:tc>
        <w:tc>
          <w:tcPr>
            <w:tcW w:w="8907" w:type="dxa"/>
            <w:gridSpan w:val="5"/>
            <w:vAlign w:val="center"/>
          </w:tcPr>
          <w:p w14:paraId="46ECC08D">
            <w:pPr>
              <w:autoSpaceDE w:val="0"/>
              <w:autoSpaceDN w:val="0"/>
              <w:adjustRightInd w:val="0"/>
              <w:snapToGrid w:val="0"/>
              <w:spacing w:line="360" w:lineRule="auto"/>
              <w:jc w:val="left"/>
              <w:rPr>
                <w:b/>
                <w:bCs/>
                <w:kern w:val="0"/>
                <w:sz w:val="24"/>
              </w:rPr>
            </w:pPr>
            <w:r>
              <w:rPr>
                <w:b/>
                <w:kern w:val="0"/>
                <w:sz w:val="24"/>
              </w:rPr>
              <w:t>（</w:t>
            </w:r>
            <w:r>
              <w:rPr>
                <w:rFonts w:hint="eastAsia"/>
                <w:b/>
                <w:kern w:val="0"/>
                <w:sz w:val="24"/>
              </w:rPr>
              <w:t>一</w:t>
            </w:r>
            <w:r>
              <w:rPr>
                <w:b/>
                <w:kern w:val="0"/>
                <w:sz w:val="24"/>
              </w:rPr>
              <w:t>）建设项目与所在地“三线一单”</w:t>
            </w:r>
            <w:r>
              <w:rPr>
                <w:b/>
                <w:bCs/>
                <w:kern w:val="0"/>
                <w:sz w:val="24"/>
              </w:rPr>
              <w:t>符合性分析</w:t>
            </w:r>
          </w:p>
          <w:p w14:paraId="224C69F6">
            <w:pPr>
              <w:autoSpaceDE w:val="0"/>
              <w:autoSpaceDN w:val="0"/>
              <w:adjustRightInd w:val="0"/>
              <w:snapToGrid w:val="0"/>
              <w:spacing w:line="360" w:lineRule="auto"/>
              <w:ind w:firstLine="480" w:firstLineChars="200"/>
              <w:jc w:val="left"/>
              <w:rPr>
                <w:rFonts w:eastAsiaTheme="minorEastAsia"/>
                <w:kern w:val="0"/>
                <w:sz w:val="24"/>
              </w:rPr>
            </w:pPr>
            <w:r>
              <w:rPr>
                <w:rFonts w:hint="eastAsia" w:eastAsiaTheme="minorEastAsia"/>
                <w:kern w:val="0"/>
                <w:sz w:val="24"/>
              </w:rPr>
              <w:t>根据2021年12月6日玉溪市人民政府发布的《玉溪市“三线一单”生态环境分区管控实施意见》（玉政发〔2021〕15号）、202</w:t>
            </w:r>
            <w:r>
              <w:rPr>
                <w:rFonts w:eastAsiaTheme="minorEastAsia"/>
                <w:kern w:val="0"/>
                <w:sz w:val="24"/>
              </w:rPr>
              <w:t>4</w:t>
            </w:r>
            <w:r>
              <w:rPr>
                <w:rFonts w:hint="eastAsia" w:eastAsiaTheme="minorEastAsia"/>
                <w:kern w:val="0"/>
                <w:sz w:val="24"/>
              </w:rPr>
              <w:t>年</w:t>
            </w:r>
            <w:r>
              <w:rPr>
                <w:rFonts w:eastAsiaTheme="minorEastAsia"/>
                <w:kern w:val="0"/>
                <w:sz w:val="24"/>
              </w:rPr>
              <w:t>6</w:t>
            </w:r>
            <w:r>
              <w:rPr>
                <w:rFonts w:hint="eastAsia" w:eastAsiaTheme="minorEastAsia"/>
                <w:kern w:val="0"/>
                <w:sz w:val="24"/>
              </w:rPr>
              <w:t>月</w:t>
            </w:r>
            <w:r>
              <w:rPr>
                <w:rFonts w:eastAsiaTheme="minorEastAsia"/>
                <w:kern w:val="0"/>
                <w:sz w:val="24"/>
              </w:rPr>
              <w:t>7</w:t>
            </w:r>
            <w:r>
              <w:rPr>
                <w:rFonts w:hint="eastAsia" w:eastAsiaTheme="minorEastAsia"/>
                <w:kern w:val="0"/>
                <w:sz w:val="24"/>
              </w:rPr>
              <w:t>日玉溪市生态环境局发布的《玉溪市生态环境分区管控动态更新调整方案（2023年）》（玉市环〔2024〕40号），本项目属于通海县农业农村面源污染重点管控单元、通海县乡镇生活污染重点管控单元，经对照分析，项目符合所在地“三线一单”中与本项目有关的相关要求。</w:t>
            </w:r>
          </w:p>
          <w:p w14:paraId="390D405A">
            <w:pPr>
              <w:autoSpaceDE w:val="0"/>
              <w:autoSpaceDN w:val="0"/>
              <w:adjustRightInd w:val="0"/>
              <w:snapToGrid w:val="0"/>
              <w:spacing w:line="360" w:lineRule="auto"/>
              <w:ind w:firstLine="480" w:firstLineChars="200"/>
              <w:jc w:val="left"/>
              <w:rPr>
                <w:rFonts w:eastAsiaTheme="minorEastAsia"/>
                <w:kern w:val="0"/>
                <w:sz w:val="24"/>
              </w:rPr>
            </w:pPr>
            <w:r>
              <w:rPr>
                <w:rFonts w:hint="eastAsia" w:eastAsiaTheme="minorEastAsia"/>
                <w:kern w:val="0"/>
                <w:sz w:val="24"/>
              </w:rPr>
              <w:t>项目与其符合性分析详见下表1-</w:t>
            </w:r>
            <w:r>
              <w:rPr>
                <w:rFonts w:eastAsiaTheme="minorEastAsia"/>
                <w:kern w:val="0"/>
                <w:sz w:val="24"/>
              </w:rPr>
              <w:t>2</w:t>
            </w:r>
            <w:r>
              <w:rPr>
                <w:rFonts w:hint="eastAsia" w:eastAsiaTheme="minorEastAsia"/>
                <w:kern w:val="0"/>
                <w:sz w:val="24"/>
              </w:rPr>
              <w:t>。</w:t>
            </w:r>
          </w:p>
          <w:p w14:paraId="4C6A824E">
            <w:pPr>
              <w:autoSpaceDE w:val="0"/>
              <w:autoSpaceDN w:val="0"/>
              <w:adjustRightInd w:val="0"/>
              <w:snapToGrid w:val="0"/>
              <w:spacing w:line="360" w:lineRule="auto"/>
              <w:ind w:firstLine="482" w:firstLineChars="200"/>
              <w:jc w:val="center"/>
              <w:rPr>
                <w:b/>
                <w:bCs/>
                <w:kern w:val="0"/>
                <w:sz w:val="24"/>
              </w:rPr>
            </w:pPr>
            <w:r>
              <w:rPr>
                <w:b/>
                <w:bCs/>
                <w:kern w:val="0"/>
                <w:sz w:val="24"/>
              </w:rPr>
              <w:t>表</w:t>
            </w:r>
            <w:r>
              <w:rPr>
                <w:rFonts w:hint="eastAsia"/>
                <w:b/>
                <w:bCs/>
                <w:kern w:val="0"/>
                <w:sz w:val="24"/>
              </w:rPr>
              <w:t>1-</w:t>
            </w:r>
            <w:r>
              <w:rPr>
                <w:b/>
                <w:bCs/>
                <w:kern w:val="0"/>
                <w:sz w:val="24"/>
              </w:rPr>
              <w:t>2</w:t>
            </w:r>
            <w:r>
              <w:rPr>
                <w:rFonts w:hint="eastAsia"/>
                <w:b/>
                <w:bCs/>
                <w:kern w:val="0"/>
                <w:sz w:val="24"/>
              </w:rPr>
              <w:t xml:space="preserve"> </w:t>
            </w:r>
            <w:r>
              <w:rPr>
                <w:b/>
                <w:bCs/>
                <w:kern w:val="0"/>
                <w:sz w:val="24"/>
              </w:rPr>
              <w:t>项目与所在地“</w:t>
            </w:r>
            <w:r>
              <w:rPr>
                <w:rFonts w:hint="eastAsia"/>
                <w:b/>
                <w:bCs/>
                <w:kern w:val="0"/>
                <w:sz w:val="24"/>
              </w:rPr>
              <w:t>三线一单</w:t>
            </w:r>
            <w:r>
              <w:rPr>
                <w:b/>
                <w:bCs/>
                <w:kern w:val="0"/>
                <w:sz w:val="24"/>
              </w:rPr>
              <w:t>”符合性分析一览表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227"/>
              <w:gridCol w:w="3236"/>
              <w:gridCol w:w="1197"/>
            </w:tblGrid>
            <w:tr w14:paraId="167A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vAlign w:val="center"/>
                </w:tcPr>
                <w:p w14:paraId="1C00AA07">
                  <w:pPr>
                    <w:autoSpaceDE w:val="0"/>
                    <w:autoSpaceDN w:val="0"/>
                    <w:adjustRightInd w:val="0"/>
                    <w:snapToGrid w:val="0"/>
                    <w:jc w:val="center"/>
                    <w:rPr>
                      <w:kern w:val="0"/>
                      <w:szCs w:val="21"/>
                    </w:rPr>
                  </w:pPr>
                  <w:r>
                    <w:rPr>
                      <w:rFonts w:hint="eastAsia"/>
                      <w:kern w:val="0"/>
                      <w:szCs w:val="21"/>
                    </w:rPr>
                    <w:t>“三线一单”实施意见</w:t>
                  </w:r>
                </w:p>
              </w:tc>
              <w:tc>
                <w:tcPr>
                  <w:tcW w:w="3236" w:type="dxa"/>
                  <w:vAlign w:val="center"/>
                </w:tcPr>
                <w:p w14:paraId="60878A56">
                  <w:pPr>
                    <w:autoSpaceDE w:val="0"/>
                    <w:autoSpaceDN w:val="0"/>
                    <w:adjustRightInd w:val="0"/>
                    <w:snapToGrid w:val="0"/>
                    <w:jc w:val="center"/>
                    <w:rPr>
                      <w:kern w:val="0"/>
                      <w:szCs w:val="21"/>
                    </w:rPr>
                  </w:pPr>
                  <w:r>
                    <w:rPr>
                      <w:kern w:val="0"/>
                      <w:szCs w:val="21"/>
                    </w:rPr>
                    <w:t>项目情况</w:t>
                  </w:r>
                </w:p>
              </w:tc>
              <w:tc>
                <w:tcPr>
                  <w:tcW w:w="1197" w:type="dxa"/>
                  <w:vAlign w:val="center"/>
                </w:tcPr>
                <w:p w14:paraId="4AD2DD22">
                  <w:pPr>
                    <w:autoSpaceDE w:val="0"/>
                    <w:autoSpaceDN w:val="0"/>
                    <w:adjustRightInd w:val="0"/>
                    <w:snapToGrid w:val="0"/>
                    <w:jc w:val="center"/>
                    <w:rPr>
                      <w:kern w:val="0"/>
                      <w:szCs w:val="21"/>
                    </w:rPr>
                  </w:pPr>
                  <w:r>
                    <w:rPr>
                      <w:kern w:val="0"/>
                      <w:szCs w:val="21"/>
                    </w:rPr>
                    <w:t>符合情况</w:t>
                  </w:r>
                </w:p>
              </w:tc>
            </w:tr>
            <w:tr w14:paraId="0F22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3" w:type="dxa"/>
                  <w:gridSpan w:val="4"/>
                  <w:vAlign w:val="center"/>
                </w:tcPr>
                <w:p w14:paraId="6A9C7434">
                  <w:pPr>
                    <w:autoSpaceDE w:val="0"/>
                    <w:autoSpaceDN w:val="0"/>
                    <w:adjustRightInd w:val="0"/>
                    <w:snapToGrid w:val="0"/>
                    <w:jc w:val="center"/>
                    <w:rPr>
                      <w:kern w:val="0"/>
                      <w:szCs w:val="21"/>
                    </w:rPr>
                  </w:pPr>
                  <w:r>
                    <w:rPr>
                      <w:rFonts w:hint="eastAsia"/>
                      <w:kern w:val="0"/>
                      <w:szCs w:val="21"/>
                    </w:rPr>
                    <w:t>1、生态保护红线</w:t>
                  </w:r>
                </w:p>
              </w:tc>
            </w:tr>
            <w:tr w14:paraId="57FC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vAlign w:val="center"/>
                </w:tcPr>
                <w:p w14:paraId="47080240">
                  <w:pPr>
                    <w:autoSpaceDE w:val="0"/>
                    <w:autoSpaceDN w:val="0"/>
                    <w:adjustRightInd w:val="0"/>
                    <w:snapToGrid w:val="0"/>
                    <w:jc w:val="left"/>
                    <w:rPr>
                      <w:kern w:val="0"/>
                      <w:szCs w:val="21"/>
                    </w:rPr>
                  </w:pPr>
                  <w:r>
                    <w:rPr>
                      <w:rFonts w:hint="eastAsia"/>
                      <w:kern w:val="0"/>
                      <w:szCs w:val="21"/>
                    </w:rPr>
                    <w:t>执行《云南省人民政府关于发布云南省生态保护红线的通知》（云政发〔2018〕32号），生态保护红线评估调整成果获批后，按照批准成果执行。将未划入生态保护红线的自然保护地、饮用水水源保护区、重要湿地、基本草原、生态公益林、天然林等生态功能重要、生态环境敏感区域划为一般生态空间。</w:t>
                  </w:r>
                </w:p>
              </w:tc>
              <w:tc>
                <w:tcPr>
                  <w:tcW w:w="3236" w:type="dxa"/>
                  <w:vAlign w:val="center"/>
                </w:tcPr>
                <w:p w14:paraId="194B1BE2">
                  <w:pPr>
                    <w:autoSpaceDE w:val="0"/>
                    <w:autoSpaceDN w:val="0"/>
                    <w:adjustRightInd w:val="0"/>
                    <w:snapToGrid w:val="0"/>
                    <w:jc w:val="center"/>
                    <w:rPr>
                      <w:kern w:val="0"/>
                      <w:szCs w:val="21"/>
                    </w:rPr>
                  </w:pPr>
                  <w:r>
                    <w:rPr>
                      <w:rFonts w:hint="eastAsia"/>
                      <w:kern w:val="0"/>
                      <w:szCs w:val="21"/>
                    </w:rPr>
                    <w:t>本项目建设地点位于通海县纳古镇珠山顶，根据通海县自然资源局出具的生态保护红线查询结果，本项目不涉及生态保护红线。根据现场勘察，本项目不涉及一般生态空间。</w:t>
                  </w:r>
                </w:p>
              </w:tc>
              <w:tc>
                <w:tcPr>
                  <w:tcW w:w="1197" w:type="dxa"/>
                  <w:vAlign w:val="center"/>
                </w:tcPr>
                <w:p w14:paraId="71795D47">
                  <w:pPr>
                    <w:autoSpaceDE w:val="0"/>
                    <w:autoSpaceDN w:val="0"/>
                    <w:adjustRightInd w:val="0"/>
                    <w:snapToGrid w:val="0"/>
                    <w:jc w:val="center"/>
                    <w:rPr>
                      <w:kern w:val="0"/>
                      <w:szCs w:val="21"/>
                    </w:rPr>
                  </w:pPr>
                  <w:r>
                    <w:rPr>
                      <w:kern w:val="0"/>
                      <w:szCs w:val="21"/>
                    </w:rPr>
                    <w:t>符合</w:t>
                  </w:r>
                </w:p>
              </w:tc>
            </w:tr>
            <w:tr w14:paraId="59E3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3" w:type="dxa"/>
                  <w:gridSpan w:val="4"/>
                  <w:vAlign w:val="center"/>
                </w:tcPr>
                <w:p w14:paraId="08C0720B">
                  <w:pPr>
                    <w:autoSpaceDE w:val="0"/>
                    <w:autoSpaceDN w:val="0"/>
                    <w:adjustRightInd w:val="0"/>
                    <w:snapToGrid w:val="0"/>
                    <w:jc w:val="center"/>
                    <w:rPr>
                      <w:kern w:val="0"/>
                      <w:szCs w:val="21"/>
                    </w:rPr>
                  </w:pPr>
                  <w:r>
                    <w:rPr>
                      <w:rFonts w:hint="eastAsia"/>
                      <w:kern w:val="0"/>
                      <w:szCs w:val="21"/>
                    </w:rPr>
                    <w:t>2、环境质量底线</w:t>
                  </w:r>
                </w:p>
              </w:tc>
            </w:tr>
            <w:tr w14:paraId="45CD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vAlign w:val="center"/>
                </w:tcPr>
                <w:p w14:paraId="0FAF8313">
                  <w:pPr>
                    <w:autoSpaceDE w:val="0"/>
                    <w:autoSpaceDN w:val="0"/>
                    <w:adjustRightInd w:val="0"/>
                    <w:snapToGrid w:val="0"/>
                    <w:jc w:val="left"/>
                    <w:rPr>
                      <w:kern w:val="0"/>
                      <w:szCs w:val="21"/>
                    </w:rPr>
                  </w:pPr>
                  <w:r>
                    <w:rPr>
                      <w:rFonts w:hint="eastAsia"/>
                      <w:kern w:val="0"/>
                      <w:szCs w:val="21"/>
                    </w:rPr>
                    <w:t>1．水环境质量底线。到2025年，全市水环境质量持续改善，纳入国家和省级考核的地表水监测断面水质优良率稳步提升。抚仙湖水质稳定保持Ⅰ类水质标准，星云湖、杞麓湖水质指标均达到Ⅴ类水质标准。中心城区及县城集中式饮用水水源地水质达标率为100%。到2035年，全市水环境质量总体改善，水生生态系统功能恢复。地表水水体水质优良率全面提升，彻底消除劣V类水体。抚仙湖水质稳定保持Ⅰ类水质标准，星云湖和杞麓湖水质持续稳定向好。</w:t>
                  </w:r>
                </w:p>
              </w:tc>
              <w:tc>
                <w:tcPr>
                  <w:tcW w:w="3236" w:type="dxa"/>
                  <w:vAlign w:val="center"/>
                </w:tcPr>
                <w:p w14:paraId="13C5A395">
                  <w:pPr>
                    <w:autoSpaceDE w:val="0"/>
                    <w:autoSpaceDN w:val="0"/>
                    <w:adjustRightInd w:val="0"/>
                    <w:snapToGrid w:val="0"/>
                    <w:jc w:val="center"/>
                    <w:rPr>
                      <w:kern w:val="0"/>
                      <w:szCs w:val="21"/>
                    </w:rPr>
                  </w:pPr>
                  <w:r>
                    <w:rPr>
                      <w:rFonts w:hint="eastAsia"/>
                      <w:kern w:val="0"/>
                      <w:szCs w:val="21"/>
                    </w:rPr>
                    <w:t>项目区涉及地表水体为杞麓湖，水环境功能规划为Ⅲ类。根据《202</w:t>
                  </w:r>
                  <w:r>
                    <w:rPr>
                      <w:kern w:val="0"/>
                      <w:szCs w:val="21"/>
                    </w:rPr>
                    <w:t>3</w:t>
                  </w:r>
                  <w:r>
                    <w:rPr>
                      <w:rFonts w:hint="eastAsia"/>
                      <w:kern w:val="0"/>
                      <w:szCs w:val="21"/>
                    </w:rPr>
                    <w:t>年玉溪市生态环境状况公报》，杞麓湖202</w:t>
                  </w:r>
                  <w:r>
                    <w:rPr>
                      <w:kern w:val="0"/>
                      <w:szCs w:val="21"/>
                    </w:rPr>
                    <w:t>3</w:t>
                  </w:r>
                  <w:r>
                    <w:rPr>
                      <w:rFonts w:hint="eastAsia"/>
                      <w:kern w:val="0"/>
                      <w:szCs w:val="21"/>
                    </w:rPr>
                    <w:t>年水质综合类别为劣Ⅴ类，不满足水环境功能要求。</w:t>
                  </w:r>
                </w:p>
                <w:p w14:paraId="5B442E8B">
                  <w:pPr>
                    <w:autoSpaceDE w:val="0"/>
                    <w:autoSpaceDN w:val="0"/>
                    <w:adjustRightInd w:val="0"/>
                    <w:snapToGrid w:val="0"/>
                    <w:jc w:val="center"/>
                    <w:rPr>
                      <w:kern w:val="0"/>
                      <w:szCs w:val="21"/>
                    </w:rPr>
                  </w:pPr>
                  <w:r>
                    <w:rPr>
                      <w:rFonts w:hint="eastAsia"/>
                      <w:kern w:val="0"/>
                      <w:szCs w:val="21"/>
                    </w:rPr>
                    <w:t>项目生产废水循环使用不外排，</w:t>
                  </w:r>
                  <w:r>
                    <w:rPr>
                      <w:rFonts w:hint="eastAsia"/>
                      <w:szCs w:val="21"/>
                    </w:rPr>
                    <w:t>项目生活污水依托现有生活污水处理设施</w:t>
                  </w:r>
                  <w:r>
                    <w:rPr>
                      <w:szCs w:val="21"/>
                    </w:rPr>
                    <w:t>处理后，</w:t>
                  </w:r>
                  <w:r>
                    <w:rPr>
                      <w:rFonts w:hint="eastAsia"/>
                      <w:szCs w:val="21"/>
                    </w:rPr>
                    <w:t>回用于直接冷却水的补充水，不外排。</w:t>
                  </w:r>
                  <w:r>
                    <w:rPr>
                      <w:rFonts w:hint="eastAsia"/>
                      <w:kern w:val="0"/>
                      <w:szCs w:val="21"/>
                    </w:rPr>
                    <w:t>项目运营期污水不会改变区域水环境质量功能。</w:t>
                  </w:r>
                </w:p>
              </w:tc>
              <w:tc>
                <w:tcPr>
                  <w:tcW w:w="1197" w:type="dxa"/>
                  <w:vAlign w:val="center"/>
                </w:tcPr>
                <w:p w14:paraId="61BA5EA4">
                  <w:pPr>
                    <w:autoSpaceDE w:val="0"/>
                    <w:autoSpaceDN w:val="0"/>
                    <w:adjustRightInd w:val="0"/>
                    <w:snapToGrid w:val="0"/>
                    <w:jc w:val="center"/>
                    <w:rPr>
                      <w:kern w:val="0"/>
                      <w:szCs w:val="21"/>
                    </w:rPr>
                  </w:pPr>
                  <w:r>
                    <w:rPr>
                      <w:kern w:val="0"/>
                      <w:szCs w:val="21"/>
                    </w:rPr>
                    <w:t>符合</w:t>
                  </w:r>
                </w:p>
              </w:tc>
            </w:tr>
            <w:tr w14:paraId="4711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vAlign w:val="center"/>
                </w:tcPr>
                <w:p w14:paraId="7A8362B4">
                  <w:pPr>
                    <w:autoSpaceDE w:val="0"/>
                    <w:autoSpaceDN w:val="0"/>
                    <w:adjustRightInd w:val="0"/>
                    <w:snapToGrid w:val="0"/>
                    <w:jc w:val="left"/>
                    <w:rPr>
                      <w:kern w:val="0"/>
                      <w:szCs w:val="21"/>
                    </w:rPr>
                  </w:pPr>
                  <w:r>
                    <w:rPr>
                      <w:rFonts w:hint="eastAsia"/>
                      <w:kern w:val="0"/>
                      <w:szCs w:val="21"/>
                    </w:rPr>
                    <w:t>2．大气环境质量底线。到2025年，全市环境空气质量稳中向好，中心城区城市空气质量优良天数比率保持稳定，主要污染物排放量达到国家和省级污染物总量控制要求，单位GDP二氧化碳排放控制在省下达指标内。到2035年，全市环境空气质量持续保持优良，实现稳中向好，主要污染物排放总量和二氧化碳排放量持续减少。</w:t>
                  </w:r>
                </w:p>
              </w:tc>
              <w:tc>
                <w:tcPr>
                  <w:tcW w:w="3236" w:type="dxa"/>
                  <w:vAlign w:val="center"/>
                </w:tcPr>
                <w:p w14:paraId="67803849">
                  <w:pPr>
                    <w:autoSpaceDE w:val="0"/>
                    <w:autoSpaceDN w:val="0"/>
                    <w:adjustRightInd w:val="0"/>
                    <w:snapToGrid w:val="0"/>
                    <w:jc w:val="center"/>
                    <w:rPr>
                      <w:kern w:val="0"/>
                      <w:szCs w:val="21"/>
                    </w:rPr>
                  </w:pPr>
                  <w:r>
                    <w:rPr>
                      <w:rFonts w:hint="eastAsia"/>
                      <w:kern w:val="0"/>
                      <w:szCs w:val="21"/>
                    </w:rPr>
                    <w:t>根据</w:t>
                  </w:r>
                  <w:r>
                    <w:rPr>
                      <w:kern w:val="0"/>
                      <w:szCs w:val="21"/>
                    </w:rPr>
                    <w:t>202</w:t>
                  </w:r>
                  <w:r>
                    <w:rPr>
                      <w:rFonts w:hint="eastAsia"/>
                      <w:kern w:val="0"/>
                      <w:szCs w:val="21"/>
                    </w:rPr>
                    <w:t>3年通海县环境空气质量自动监测点监测数据，</w:t>
                  </w:r>
                  <w:r>
                    <w:rPr>
                      <w:kern w:val="0"/>
                      <w:szCs w:val="21"/>
                    </w:rPr>
                    <w:t>202</w:t>
                  </w:r>
                  <w:r>
                    <w:rPr>
                      <w:rFonts w:hint="eastAsia"/>
                      <w:kern w:val="0"/>
                      <w:szCs w:val="21"/>
                    </w:rPr>
                    <w:t>3年区域环境空气质量能够达到《环境空气质量标准》（GB3095-2012）二级标准要求。其他特征污染物</w:t>
                  </w:r>
                  <w:r>
                    <w:rPr>
                      <w:kern w:val="0"/>
                      <w:szCs w:val="21"/>
                    </w:rPr>
                    <w:t>TSP</w:t>
                  </w:r>
                  <w:r>
                    <w:rPr>
                      <w:rFonts w:hint="eastAsia"/>
                      <w:kern w:val="0"/>
                      <w:szCs w:val="21"/>
                    </w:rPr>
                    <w:t>满足《环境空气质量标准》（GB3095-2012）及2018年修改单的二级标准。</w:t>
                  </w:r>
                </w:p>
                <w:p w14:paraId="2BAC52C5">
                  <w:pPr>
                    <w:autoSpaceDE w:val="0"/>
                    <w:autoSpaceDN w:val="0"/>
                    <w:adjustRightInd w:val="0"/>
                    <w:snapToGrid w:val="0"/>
                    <w:jc w:val="center"/>
                    <w:rPr>
                      <w:kern w:val="0"/>
                      <w:szCs w:val="21"/>
                    </w:rPr>
                  </w:pPr>
                  <w:r>
                    <w:rPr>
                      <w:rFonts w:hint="eastAsia"/>
                      <w:kern w:val="0"/>
                      <w:szCs w:val="21"/>
                    </w:rPr>
                    <w:t>根据补充监测结果，项目区TSP满足《环境空气质量标准》（GB3095-2012）及2018年修改单的二级标准。</w:t>
                  </w:r>
                </w:p>
                <w:p w14:paraId="35DEE2DE">
                  <w:pPr>
                    <w:autoSpaceDE w:val="0"/>
                    <w:autoSpaceDN w:val="0"/>
                    <w:adjustRightInd w:val="0"/>
                    <w:snapToGrid w:val="0"/>
                    <w:jc w:val="center"/>
                    <w:rPr>
                      <w:kern w:val="0"/>
                      <w:szCs w:val="21"/>
                    </w:rPr>
                  </w:pPr>
                  <w:r>
                    <w:rPr>
                      <w:rFonts w:hint="eastAsia"/>
                      <w:kern w:val="0"/>
                      <w:szCs w:val="21"/>
                    </w:rPr>
                    <w:t>项目所在区域为环境空气质量达标区，项目运营期废气采取废气治理措施后均能够实现达标排放，不会改变区域环境空气质量功能。</w:t>
                  </w:r>
                </w:p>
              </w:tc>
              <w:tc>
                <w:tcPr>
                  <w:tcW w:w="1197" w:type="dxa"/>
                  <w:vAlign w:val="center"/>
                </w:tcPr>
                <w:p w14:paraId="42B223BC">
                  <w:pPr>
                    <w:autoSpaceDE w:val="0"/>
                    <w:autoSpaceDN w:val="0"/>
                    <w:adjustRightInd w:val="0"/>
                    <w:snapToGrid w:val="0"/>
                    <w:jc w:val="center"/>
                    <w:rPr>
                      <w:kern w:val="0"/>
                      <w:szCs w:val="21"/>
                    </w:rPr>
                  </w:pPr>
                  <w:r>
                    <w:rPr>
                      <w:kern w:val="0"/>
                      <w:szCs w:val="21"/>
                    </w:rPr>
                    <w:t>符合</w:t>
                  </w:r>
                </w:p>
              </w:tc>
            </w:tr>
            <w:tr w14:paraId="4925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vAlign w:val="center"/>
                </w:tcPr>
                <w:p w14:paraId="0B899C4F">
                  <w:pPr>
                    <w:autoSpaceDE w:val="0"/>
                    <w:autoSpaceDN w:val="0"/>
                    <w:adjustRightInd w:val="0"/>
                    <w:snapToGrid w:val="0"/>
                    <w:jc w:val="left"/>
                    <w:rPr>
                      <w:kern w:val="0"/>
                      <w:szCs w:val="21"/>
                    </w:rPr>
                  </w:pPr>
                  <w:r>
                    <w:rPr>
                      <w:rFonts w:hint="eastAsia"/>
                      <w:kern w:val="0"/>
                      <w:szCs w:val="21"/>
                    </w:rPr>
                    <w:t>3．土壤环境风险防控底线。到2025年，全市土壤环境风险防范体系进一步完善，受污染耕地安全利用率和污染地块安全利用率达到省下达的目标要求。到2035年，全市土壤环境质量稳中向好，农用地和建设用地土壤环境安全得到有效保障，受污染耕地安全利用率和污染地块安全利用率进一步提高，土壤环境风险得到全面管控。</w:t>
                  </w:r>
                </w:p>
              </w:tc>
              <w:tc>
                <w:tcPr>
                  <w:tcW w:w="3236" w:type="dxa"/>
                  <w:vAlign w:val="center"/>
                </w:tcPr>
                <w:p w14:paraId="393E35E0">
                  <w:pPr>
                    <w:autoSpaceDE w:val="0"/>
                    <w:autoSpaceDN w:val="0"/>
                    <w:adjustRightInd w:val="0"/>
                    <w:snapToGrid w:val="0"/>
                    <w:jc w:val="center"/>
                    <w:rPr>
                      <w:kern w:val="0"/>
                      <w:szCs w:val="21"/>
                    </w:rPr>
                  </w:pPr>
                  <w:r>
                    <w:rPr>
                      <w:rFonts w:hint="eastAsia"/>
                      <w:szCs w:val="21"/>
                    </w:rPr>
                    <w:t>本项目按相关规范要求采取了分区防渗措施，大气污染物主要为颗粒物，经处理后达标排放，</w:t>
                  </w:r>
                  <w:r>
                    <w:rPr>
                      <w:rFonts w:hint="eastAsia"/>
                      <w:kern w:val="0"/>
                      <w:szCs w:val="21"/>
                    </w:rPr>
                    <w:t>对土壤环境影响很小，</w:t>
                  </w:r>
                  <w:r>
                    <w:rPr>
                      <w:rFonts w:hint="eastAsia"/>
                      <w:szCs w:val="21"/>
                    </w:rPr>
                    <w:t>土壤环境影响可接受，满足土壤环境管控要求。</w:t>
                  </w:r>
                </w:p>
              </w:tc>
              <w:tc>
                <w:tcPr>
                  <w:tcW w:w="1197" w:type="dxa"/>
                  <w:vAlign w:val="center"/>
                </w:tcPr>
                <w:p w14:paraId="22A5AE8A">
                  <w:pPr>
                    <w:autoSpaceDE w:val="0"/>
                    <w:autoSpaceDN w:val="0"/>
                    <w:adjustRightInd w:val="0"/>
                    <w:snapToGrid w:val="0"/>
                    <w:jc w:val="center"/>
                    <w:rPr>
                      <w:kern w:val="0"/>
                      <w:szCs w:val="21"/>
                    </w:rPr>
                  </w:pPr>
                  <w:r>
                    <w:rPr>
                      <w:kern w:val="0"/>
                      <w:szCs w:val="21"/>
                    </w:rPr>
                    <w:t>符合</w:t>
                  </w:r>
                </w:p>
              </w:tc>
            </w:tr>
            <w:tr w14:paraId="5D8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3" w:type="dxa"/>
                  <w:gridSpan w:val="4"/>
                  <w:vAlign w:val="center"/>
                </w:tcPr>
                <w:p w14:paraId="449D31AB">
                  <w:pPr>
                    <w:autoSpaceDE w:val="0"/>
                    <w:autoSpaceDN w:val="0"/>
                    <w:adjustRightInd w:val="0"/>
                    <w:snapToGrid w:val="0"/>
                    <w:jc w:val="center"/>
                    <w:rPr>
                      <w:kern w:val="0"/>
                      <w:szCs w:val="21"/>
                    </w:rPr>
                  </w:pPr>
                  <w:r>
                    <w:rPr>
                      <w:rFonts w:hint="eastAsia"/>
                      <w:kern w:val="0"/>
                      <w:szCs w:val="21"/>
                    </w:rPr>
                    <w:t>3、资源利用上线</w:t>
                  </w:r>
                </w:p>
              </w:tc>
            </w:tr>
            <w:tr w14:paraId="25EE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vAlign w:val="center"/>
                </w:tcPr>
                <w:p w14:paraId="29BA1D0A">
                  <w:pPr>
                    <w:autoSpaceDE w:val="0"/>
                    <w:autoSpaceDN w:val="0"/>
                    <w:adjustRightInd w:val="0"/>
                    <w:snapToGrid w:val="0"/>
                    <w:jc w:val="left"/>
                    <w:rPr>
                      <w:kern w:val="0"/>
                      <w:szCs w:val="21"/>
                    </w:rPr>
                  </w:pPr>
                  <w:r>
                    <w:rPr>
                      <w:rFonts w:hint="eastAsia"/>
                      <w:kern w:val="0"/>
                      <w:szCs w:val="21"/>
                    </w:rPr>
                    <w:t>强化资源能源节约集约利用，持续提升资源能源利用效率，水资源、土地资源、能源消耗等达到或优于省下达的总量和强度控制目标。</w:t>
                  </w:r>
                </w:p>
                <w:p w14:paraId="63F8E205">
                  <w:pPr>
                    <w:autoSpaceDE w:val="0"/>
                    <w:autoSpaceDN w:val="0"/>
                    <w:adjustRightInd w:val="0"/>
                    <w:snapToGrid w:val="0"/>
                    <w:jc w:val="left"/>
                    <w:rPr>
                      <w:kern w:val="0"/>
                      <w:szCs w:val="21"/>
                    </w:rPr>
                  </w:pPr>
                  <w:r>
                    <w:rPr>
                      <w:rFonts w:hint="eastAsia"/>
                      <w:kern w:val="0"/>
                      <w:szCs w:val="21"/>
                    </w:rPr>
                    <w:t>1.水资源利用上线。到2020年底，全省年用水总量控制在214.6亿立方米以内。</w:t>
                  </w:r>
                </w:p>
                <w:p w14:paraId="5E03CE67">
                  <w:pPr>
                    <w:autoSpaceDE w:val="0"/>
                    <w:autoSpaceDN w:val="0"/>
                    <w:adjustRightInd w:val="0"/>
                    <w:snapToGrid w:val="0"/>
                    <w:jc w:val="left"/>
                    <w:rPr>
                      <w:kern w:val="0"/>
                      <w:szCs w:val="21"/>
                    </w:rPr>
                  </w:pPr>
                  <w:r>
                    <w:rPr>
                      <w:rFonts w:hint="eastAsia"/>
                      <w:kern w:val="0"/>
                      <w:szCs w:val="21"/>
                    </w:rPr>
                    <w:t>2.土地资源利用上线。到2020年底，全省耕地保有量不低于584.53万公顷，基本农田保护面积不低于489.4万公顷，建设用地总规模控制在115.4万公顷以内。</w:t>
                  </w:r>
                </w:p>
                <w:p w14:paraId="53123788">
                  <w:pPr>
                    <w:autoSpaceDE w:val="0"/>
                    <w:autoSpaceDN w:val="0"/>
                    <w:adjustRightInd w:val="0"/>
                    <w:snapToGrid w:val="0"/>
                    <w:jc w:val="left"/>
                    <w:rPr>
                      <w:kern w:val="0"/>
                      <w:szCs w:val="21"/>
                    </w:rPr>
                  </w:pPr>
                  <w:r>
                    <w:rPr>
                      <w:rFonts w:hint="eastAsia"/>
                      <w:kern w:val="0"/>
                      <w:szCs w:val="21"/>
                    </w:rPr>
                    <w:t>3.能源利用上线。到2020年底，全省万元地区生产总值能耗较2015年下降14%，能源消费总量控制在国家下达目标以内，非化石能源消费量占能源消费总量比重达到42%。</w:t>
                  </w:r>
                </w:p>
              </w:tc>
              <w:tc>
                <w:tcPr>
                  <w:tcW w:w="3236" w:type="dxa"/>
                  <w:vAlign w:val="center"/>
                </w:tcPr>
                <w:p w14:paraId="746976F3">
                  <w:pPr>
                    <w:autoSpaceDE w:val="0"/>
                    <w:autoSpaceDN w:val="0"/>
                    <w:adjustRightInd w:val="0"/>
                    <w:snapToGrid w:val="0"/>
                    <w:jc w:val="center"/>
                    <w:rPr>
                      <w:kern w:val="0"/>
                      <w:szCs w:val="21"/>
                    </w:rPr>
                  </w:pPr>
                  <w:r>
                    <w:rPr>
                      <w:rFonts w:hint="eastAsia"/>
                      <w:szCs w:val="21"/>
                    </w:rPr>
                    <w:t>本项目为高频焊管项目</w:t>
                  </w:r>
                  <w:r>
                    <w:rPr>
                      <w:rFonts w:hint="eastAsia"/>
                      <w:kern w:val="0"/>
                      <w:szCs w:val="21"/>
                    </w:rPr>
                    <w:t>，不属于高耗能行业。项目所消耗资源为生活用水、电能，项目营运期生活用水量、用电量不大，资源消耗量在区域资源利用总量占比较小，符合资源利用上限要求。</w:t>
                  </w:r>
                </w:p>
                <w:p w14:paraId="7CE94EBE">
                  <w:pPr>
                    <w:autoSpaceDE w:val="0"/>
                    <w:autoSpaceDN w:val="0"/>
                    <w:adjustRightInd w:val="0"/>
                    <w:snapToGrid w:val="0"/>
                    <w:jc w:val="center"/>
                    <w:rPr>
                      <w:kern w:val="0"/>
                      <w:szCs w:val="21"/>
                    </w:rPr>
                  </w:pPr>
                </w:p>
              </w:tc>
              <w:tc>
                <w:tcPr>
                  <w:tcW w:w="1197" w:type="dxa"/>
                  <w:vAlign w:val="center"/>
                </w:tcPr>
                <w:p w14:paraId="1D7ED645">
                  <w:pPr>
                    <w:autoSpaceDE w:val="0"/>
                    <w:autoSpaceDN w:val="0"/>
                    <w:adjustRightInd w:val="0"/>
                    <w:snapToGrid w:val="0"/>
                    <w:jc w:val="center"/>
                    <w:rPr>
                      <w:kern w:val="0"/>
                      <w:szCs w:val="21"/>
                    </w:rPr>
                  </w:pPr>
                  <w:r>
                    <w:rPr>
                      <w:kern w:val="0"/>
                      <w:szCs w:val="21"/>
                    </w:rPr>
                    <w:t>符合</w:t>
                  </w:r>
                </w:p>
              </w:tc>
            </w:tr>
            <w:tr w14:paraId="24A6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3" w:type="dxa"/>
                  <w:gridSpan w:val="4"/>
                  <w:vAlign w:val="center"/>
                </w:tcPr>
                <w:p w14:paraId="5986D501">
                  <w:pPr>
                    <w:autoSpaceDE w:val="0"/>
                    <w:autoSpaceDN w:val="0"/>
                    <w:adjustRightInd w:val="0"/>
                    <w:snapToGrid w:val="0"/>
                    <w:jc w:val="center"/>
                    <w:rPr>
                      <w:kern w:val="0"/>
                      <w:szCs w:val="21"/>
                    </w:rPr>
                  </w:pPr>
                  <w:r>
                    <w:rPr>
                      <w:szCs w:val="21"/>
                    </w:rPr>
                    <w:t>4、</w:t>
                  </w:r>
                  <w:r>
                    <w:rPr>
                      <w:rFonts w:hint="eastAsia"/>
                      <w:szCs w:val="21"/>
                    </w:rPr>
                    <w:t>通海县</w:t>
                  </w:r>
                  <w:r>
                    <w:rPr>
                      <w:szCs w:val="21"/>
                    </w:rPr>
                    <w:t>生态环境准入清单（</w:t>
                  </w:r>
                  <w:r>
                    <w:rPr>
                      <w:rFonts w:hint="eastAsia"/>
                      <w:kern w:val="0"/>
                      <w:szCs w:val="21"/>
                    </w:rPr>
                    <w:t>通海县农业面源污染重点管控单元</w:t>
                  </w:r>
                  <w:r>
                    <w:rPr>
                      <w:szCs w:val="21"/>
                    </w:rPr>
                    <w:t>）</w:t>
                  </w:r>
                </w:p>
              </w:tc>
            </w:tr>
            <w:tr w14:paraId="47FA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vAlign w:val="center"/>
                </w:tcPr>
                <w:p w14:paraId="20D737F1">
                  <w:pPr>
                    <w:autoSpaceDE w:val="0"/>
                    <w:autoSpaceDN w:val="0"/>
                    <w:adjustRightInd w:val="0"/>
                    <w:snapToGrid w:val="0"/>
                    <w:jc w:val="left"/>
                    <w:rPr>
                      <w:kern w:val="0"/>
                      <w:szCs w:val="21"/>
                    </w:rPr>
                  </w:pPr>
                  <w:r>
                    <w:rPr>
                      <w:szCs w:val="21"/>
                    </w:rPr>
                    <w:t>空间布局约束</w:t>
                  </w:r>
                </w:p>
              </w:tc>
              <w:tc>
                <w:tcPr>
                  <w:tcW w:w="3227" w:type="dxa"/>
                  <w:vAlign w:val="center"/>
                </w:tcPr>
                <w:p w14:paraId="7B89CE45">
                  <w:pPr>
                    <w:autoSpaceDE w:val="0"/>
                    <w:autoSpaceDN w:val="0"/>
                    <w:adjustRightInd w:val="0"/>
                    <w:snapToGrid w:val="0"/>
                    <w:jc w:val="left"/>
                    <w:rPr>
                      <w:kern w:val="0"/>
                      <w:szCs w:val="21"/>
                    </w:rPr>
                  </w:pPr>
                  <w:r>
                    <w:rPr>
                      <w:rFonts w:hint="eastAsia"/>
                      <w:kern w:val="0"/>
                      <w:szCs w:val="21"/>
                    </w:rPr>
                    <w:t>1.杞麓湖流域内开发建设活动必须严格遵守《云南省杞麓湖保护条例》要求。</w:t>
                  </w:r>
                </w:p>
              </w:tc>
              <w:tc>
                <w:tcPr>
                  <w:tcW w:w="3236" w:type="dxa"/>
                  <w:vAlign w:val="center"/>
                </w:tcPr>
                <w:p w14:paraId="70BB3655">
                  <w:pPr>
                    <w:autoSpaceDE w:val="0"/>
                    <w:autoSpaceDN w:val="0"/>
                    <w:adjustRightInd w:val="0"/>
                    <w:snapToGrid w:val="0"/>
                    <w:jc w:val="center"/>
                    <w:rPr>
                      <w:kern w:val="0"/>
                      <w:szCs w:val="21"/>
                    </w:rPr>
                  </w:pPr>
                  <w:r>
                    <w:rPr>
                      <w:rFonts w:hint="eastAsia"/>
                      <w:szCs w:val="21"/>
                    </w:rPr>
                    <w:t>项目位于《云南省杞麓湖保护条例》中规定的绿色发展区，不涉及绿色发展区的禁止行为，因此本项目的建设符合《云南省杞麓湖保护条例》规定的要求。</w:t>
                  </w:r>
                </w:p>
              </w:tc>
              <w:tc>
                <w:tcPr>
                  <w:tcW w:w="1197" w:type="dxa"/>
                  <w:vAlign w:val="center"/>
                </w:tcPr>
                <w:p w14:paraId="59205217">
                  <w:pPr>
                    <w:autoSpaceDE w:val="0"/>
                    <w:autoSpaceDN w:val="0"/>
                    <w:adjustRightInd w:val="0"/>
                    <w:snapToGrid w:val="0"/>
                    <w:jc w:val="center"/>
                    <w:rPr>
                      <w:kern w:val="0"/>
                      <w:szCs w:val="21"/>
                    </w:rPr>
                  </w:pPr>
                  <w:r>
                    <w:rPr>
                      <w:rFonts w:hint="eastAsia"/>
                      <w:szCs w:val="21"/>
                    </w:rPr>
                    <w:t>符合</w:t>
                  </w:r>
                </w:p>
              </w:tc>
            </w:tr>
            <w:tr w14:paraId="1528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0F3B475C">
                  <w:pPr>
                    <w:autoSpaceDE w:val="0"/>
                    <w:autoSpaceDN w:val="0"/>
                    <w:adjustRightInd w:val="0"/>
                    <w:snapToGrid w:val="0"/>
                    <w:jc w:val="left"/>
                    <w:rPr>
                      <w:kern w:val="0"/>
                      <w:szCs w:val="21"/>
                    </w:rPr>
                  </w:pPr>
                </w:p>
              </w:tc>
              <w:tc>
                <w:tcPr>
                  <w:tcW w:w="3227" w:type="dxa"/>
                  <w:vAlign w:val="center"/>
                </w:tcPr>
                <w:p w14:paraId="702D4456">
                  <w:pPr>
                    <w:autoSpaceDE w:val="0"/>
                    <w:autoSpaceDN w:val="0"/>
                    <w:adjustRightInd w:val="0"/>
                    <w:snapToGrid w:val="0"/>
                    <w:jc w:val="left"/>
                    <w:rPr>
                      <w:kern w:val="0"/>
                      <w:szCs w:val="21"/>
                    </w:rPr>
                  </w:pPr>
                  <w:r>
                    <w:rPr>
                      <w:rFonts w:hint="eastAsia"/>
                      <w:kern w:val="0"/>
                      <w:szCs w:val="21"/>
                    </w:rPr>
                    <w:t>2.严禁以任何形式围垦河湖、违法占用河湖水域，严格实施杞麓湖“四退三还”。</w:t>
                  </w:r>
                </w:p>
              </w:tc>
              <w:tc>
                <w:tcPr>
                  <w:tcW w:w="3236" w:type="dxa"/>
                  <w:vAlign w:val="center"/>
                </w:tcPr>
                <w:p w14:paraId="13A38A5F">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040028C5">
                  <w:pPr>
                    <w:autoSpaceDE w:val="0"/>
                    <w:autoSpaceDN w:val="0"/>
                    <w:adjustRightInd w:val="0"/>
                    <w:snapToGrid w:val="0"/>
                    <w:jc w:val="center"/>
                    <w:rPr>
                      <w:kern w:val="0"/>
                      <w:szCs w:val="21"/>
                    </w:rPr>
                  </w:pPr>
                  <w:r>
                    <w:rPr>
                      <w:szCs w:val="21"/>
                    </w:rPr>
                    <w:t>/</w:t>
                  </w:r>
                </w:p>
              </w:tc>
            </w:tr>
            <w:tr w14:paraId="27EF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3B8788E8">
                  <w:pPr>
                    <w:autoSpaceDE w:val="0"/>
                    <w:autoSpaceDN w:val="0"/>
                    <w:adjustRightInd w:val="0"/>
                    <w:snapToGrid w:val="0"/>
                    <w:jc w:val="left"/>
                    <w:rPr>
                      <w:kern w:val="0"/>
                      <w:szCs w:val="21"/>
                    </w:rPr>
                  </w:pPr>
                </w:p>
              </w:tc>
              <w:tc>
                <w:tcPr>
                  <w:tcW w:w="3227" w:type="dxa"/>
                  <w:vAlign w:val="center"/>
                </w:tcPr>
                <w:p w14:paraId="599C12C8">
                  <w:pPr>
                    <w:autoSpaceDE w:val="0"/>
                    <w:autoSpaceDN w:val="0"/>
                    <w:adjustRightInd w:val="0"/>
                    <w:snapToGrid w:val="0"/>
                    <w:jc w:val="left"/>
                    <w:rPr>
                      <w:kern w:val="0"/>
                      <w:szCs w:val="21"/>
                    </w:rPr>
                  </w:pPr>
                  <w:r>
                    <w:rPr>
                      <w:rFonts w:hint="eastAsia"/>
                      <w:kern w:val="0"/>
                      <w:szCs w:val="21"/>
                    </w:rPr>
                    <w:t xml:space="preserve">3.严格执行杞麓湖流域内畜禽养殖禁养限养规定。 </w:t>
                  </w:r>
                </w:p>
              </w:tc>
              <w:tc>
                <w:tcPr>
                  <w:tcW w:w="3236" w:type="dxa"/>
                  <w:vAlign w:val="center"/>
                </w:tcPr>
                <w:p w14:paraId="53896F14">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5A7725BC">
                  <w:pPr>
                    <w:autoSpaceDE w:val="0"/>
                    <w:autoSpaceDN w:val="0"/>
                    <w:adjustRightInd w:val="0"/>
                    <w:snapToGrid w:val="0"/>
                    <w:jc w:val="center"/>
                    <w:rPr>
                      <w:kern w:val="0"/>
                      <w:szCs w:val="21"/>
                    </w:rPr>
                  </w:pPr>
                  <w:r>
                    <w:rPr>
                      <w:szCs w:val="21"/>
                    </w:rPr>
                    <w:t>/</w:t>
                  </w:r>
                </w:p>
              </w:tc>
            </w:tr>
            <w:tr w14:paraId="0F5D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656F79C0">
                  <w:pPr>
                    <w:autoSpaceDE w:val="0"/>
                    <w:autoSpaceDN w:val="0"/>
                    <w:adjustRightInd w:val="0"/>
                    <w:snapToGrid w:val="0"/>
                    <w:jc w:val="left"/>
                    <w:rPr>
                      <w:kern w:val="0"/>
                      <w:szCs w:val="21"/>
                    </w:rPr>
                  </w:pPr>
                </w:p>
              </w:tc>
              <w:tc>
                <w:tcPr>
                  <w:tcW w:w="3227" w:type="dxa"/>
                  <w:vAlign w:val="center"/>
                </w:tcPr>
                <w:p w14:paraId="009EB629">
                  <w:pPr>
                    <w:autoSpaceDE w:val="0"/>
                    <w:autoSpaceDN w:val="0"/>
                    <w:adjustRightInd w:val="0"/>
                    <w:jc w:val="left"/>
                    <w:rPr>
                      <w:szCs w:val="21"/>
                    </w:rPr>
                  </w:pPr>
                  <w:r>
                    <w:rPr>
                      <w:rFonts w:hint="eastAsia"/>
                      <w:kern w:val="0"/>
                      <w:szCs w:val="21"/>
                    </w:rPr>
                    <w:t>4.调整种植结构，推进水旱轮作，压缩蔬菜种植面积。</w:t>
                  </w:r>
                </w:p>
              </w:tc>
              <w:tc>
                <w:tcPr>
                  <w:tcW w:w="3236" w:type="dxa"/>
                  <w:vAlign w:val="center"/>
                </w:tcPr>
                <w:p w14:paraId="63BEFC96">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30ED0174">
                  <w:pPr>
                    <w:autoSpaceDE w:val="0"/>
                    <w:autoSpaceDN w:val="0"/>
                    <w:adjustRightInd w:val="0"/>
                    <w:snapToGrid w:val="0"/>
                    <w:jc w:val="center"/>
                    <w:rPr>
                      <w:kern w:val="0"/>
                      <w:szCs w:val="21"/>
                    </w:rPr>
                  </w:pPr>
                  <w:r>
                    <w:rPr>
                      <w:szCs w:val="21"/>
                    </w:rPr>
                    <w:t>/</w:t>
                  </w:r>
                </w:p>
              </w:tc>
            </w:tr>
            <w:tr w14:paraId="31B5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vAlign w:val="center"/>
                </w:tcPr>
                <w:p w14:paraId="7AFC35FD">
                  <w:pPr>
                    <w:autoSpaceDE w:val="0"/>
                    <w:autoSpaceDN w:val="0"/>
                    <w:adjustRightInd w:val="0"/>
                    <w:snapToGrid w:val="0"/>
                    <w:jc w:val="left"/>
                    <w:rPr>
                      <w:kern w:val="0"/>
                      <w:szCs w:val="21"/>
                    </w:rPr>
                  </w:pPr>
                  <w:r>
                    <w:rPr>
                      <w:rFonts w:hint="eastAsia"/>
                      <w:kern w:val="0"/>
                      <w:szCs w:val="21"/>
                    </w:rPr>
                    <w:t>污染物排放管控</w:t>
                  </w:r>
                </w:p>
              </w:tc>
              <w:tc>
                <w:tcPr>
                  <w:tcW w:w="3227" w:type="dxa"/>
                  <w:vAlign w:val="center"/>
                </w:tcPr>
                <w:p w14:paraId="38B029EA">
                  <w:pPr>
                    <w:autoSpaceDE w:val="0"/>
                    <w:autoSpaceDN w:val="0"/>
                    <w:adjustRightInd w:val="0"/>
                    <w:snapToGrid w:val="0"/>
                    <w:jc w:val="left"/>
                    <w:rPr>
                      <w:kern w:val="0"/>
                      <w:szCs w:val="21"/>
                    </w:rPr>
                  </w:pPr>
                  <w:r>
                    <w:rPr>
                      <w:rFonts w:hint="eastAsia"/>
                      <w:kern w:val="0"/>
                      <w:szCs w:val="21"/>
                    </w:rPr>
                    <w:t>1.在杞麓湖实施退地减水，从源头控制农业面源入湖污染负荷。</w:t>
                  </w:r>
                </w:p>
              </w:tc>
              <w:tc>
                <w:tcPr>
                  <w:tcW w:w="3236" w:type="dxa"/>
                  <w:vAlign w:val="center"/>
                </w:tcPr>
                <w:p w14:paraId="5944CB5A">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3F3A1144">
                  <w:pPr>
                    <w:autoSpaceDE w:val="0"/>
                    <w:autoSpaceDN w:val="0"/>
                    <w:adjustRightInd w:val="0"/>
                    <w:snapToGrid w:val="0"/>
                    <w:jc w:val="center"/>
                    <w:rPr>
                      <w:kern w:val="0"/>
                      <w:szCs w:val="21"/>
                    </w:rPr>
                  </w:pPr>
                  <w:r>
                    <w:rPr>
                      <w:szCs w:val="21"/>
                    </w:rPr>
                    <w:t>/</w:t>
                  </w:r>
                </w:p>
              </w:tc>
            </w:tr>
            <w:tr w14:paraId="7E8C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0CDF06AD">
                  <w:pPr>
                    <w:autoSpaceDE w:val="0"/>
                    <w:autoSpaceDN w:val="0"/>
                    <w:adjustRightInd w:val="0"/>
                    <w:snapToGrid w:val="0"/>
                    <w:jc w:val="left"/>
                    <w:rPr>
                      <w:kern w:val="0"/>
                      <w:szCs w:val="21"/>
                    </w:rPr>
                  </w:pPr>
                </w:p>
              </w:tc>
              <w:tc>
                <w:tcPr>
                  <w:tcW w:w="3227" w:type="dxa"/>
                  <w:vAlign w:val="center"/>
                </w:tcPr>
                <w:p w14:paraId="630FD3B7">
                  <w:pPr>
                    <w:autoSpaceDE w:val="0"/>
                    <w:autoSpaceDN w:val="0"/>
                    <w:adjustRightInd w:val="0"/>
                    <w:snapToGrid w:val="0"/>
                    <w:jc w:val="left"/>
                    <w:rPr>
                      <w:kern w:val="0"/>
                      <w:szCs w:val="21"/>
                    </w:rPr>
                  </w:pPr>
                  <w:r>
                    <w:rPr>
                      <w:rFonts w:hint="eastAsia"/>
                      <w:kern w:val="0"/>
                      <w:szCs w:val="21"/>
                    </w:rPr>
                    <w:t>2.加强农村人居环境整治，垃圾及生活污水治理水平稳步提升，完成非正规垃圾堆放点整治，到2025年，农村生活污水治理率达95.71%。</w:t>
                  </w:r>
                </w:p>
              </w:tc>
              <w:tc>
                <w:tcPr>
                  <w:tcW w:w="3236" w:type="dxa"/>
                  <w:vAlign w:val="center"/>
                </w:tcPr>
                <w:p w14:paraId="713A0E83">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5B4B9B2B">
                  <w:pPr>
                    <w:autoSpaceDE w:val="0"/>
                    <w:autoSpaceDN w:val="0"/>
                    <w:adjustRightInd w:val="0"/>
                    <w:snapToGrid w:val="0"/>
                    <w:jc w:val="center"/>
                    <w:rPr>
                      <w:kern w:val="0"/>
                      <w:szCs w:val="21"/>
                    </w:rPr>
                  </w:pPr>
                  <w:r>
                    <w:rPr>
                      <w:szCs w:val="21"/>
                    </w:rPr>
                    <w:t>/</w:t>
                  </w:r>
                </w:p>
              </w:tc>
            </w:tr>
            <w:tr w14:paraId="69B9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755E97E5">
                  <w:pPr>
                    <w:autoSpaceDE w:val="0"/>
                    <w:autoSpaceDN w:val="0"/>
                    <w:adjustRightInd w:val="0"/>
                    <w:snapToGrid w:val="0"/>
                    <w:jc w:val="left"/>
                    <w:rPr>
                      <w:kern w:val="0"/>
                      <w:szCs w:val="21"/>
                    </w:rPr>
                  </w:pPr>
                </w:p>
              </w:tc>
              <w:tc>
                <w:tcPr>
                  <w:tcW w:w="3227" w:type="dxa"/>
                  <w:vAlign w:val="center"/>
                </w:tcPr>
                <w:p w14:paraId="48F62700">
                  <w:pPr>
                    <w:autoSpaceDE w:val="0"/>
                    <w:autoSpaceDN w:val="0"/>
                    <w:adjustRightInd w:val="0"/>
                    <w:snapToGrid w:val="0"/>
                    <w:jc w:val="left"/>
                    <w:rPr>
                      <w:kern w:val="0"/>
                      <w:szCs w:val="21"/>
                    </w:rPr>
                  </w:pPr>
                  <w:r>
                    <w:rPr>
                      <w:rFonts w:hint="eastAsia"/>
                      <w:kern w:val="0"/>
                      <w:szCs w:val="21"/>
                    </w:rPr>
                    <w:t>3.严禁未经处理或处理后未达标的农田尾水、养殖废水直接排入河道。严格执行禁养区制度，合理确定限养区内养殖总量。完善粪污资源化利用设施设备建设，实现粪污无害化处理，至2025年，畜禽粪便资源化利用率达到90%及以上。</w:t>
                  </w:r>
                </w:p>
              </w:tc>
              <w:tc>
                <w:tcPr>
                  <w:tcW w:w="3236" w:type="dxa"/>
                  <w:vAlign w:val="center"/>
                </w:tcPr>
                <w:p w14:paraId="2642F9C0">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727410EA">
                  <w:pPr>
                    <w:autoSpaceDE w:val="0"/>
                    <w:autoSpaceDN w:val="0"/>
                    <w:adjustRightInd w:val="0"/>
                    <w:snapToGrid w:val="0"/>
                    <w:jc w:val="center"/>
                    <w:rPr>
                      <w:kern w:val="0"/>
                      <w:szCs w:val="21"/>
                    </w:rPr>
                  </w:pPr>
                  <w:r>
                    <w:rPr>
                      <w:szCs w:val="21"/>
                    </w:rPr>
                    <w:t>/</w:t>
                  </w:r>
                </w:p>
              </w:tc>
            </w:tr>
            <w:tr w14:paraId="27FE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1A5AEDDE">
                  <w:pPr>
                    <w:autoSpaceDE w:val="0"/>
                    <w:autoSpaceDN w:val="0"/>
                    <w:adjustRightInd w:val="0"/>
                    <w:snapToGrid w:val="0"/>
                    <w:jc w:val="left"/>
                    <w:rPr>
                      <w:kern w:val="0"/>
                      <w:szCs w:val="21"/>
                    </w:rPr>
                  </w:pPr>
                </w:p>
              </w:tc>
              <w:tc>
                <w:tcPr>
                  <w:tcW w:w="3227" w:type="dxa"/>
                  <w:vAlign w:val="center"/>
                </w:tcPr>
                <w:p w14:paraId="2D64207C">
                  <w:pPr>
                    <w:autoSpaceDE w:val="0"/>
                    <w:autoSpaceDN w:val="0"/>
                    <w:adjustRightInd w:val="0"/>
                    <w:snapToGrid w:val="0"/>
                    <w:jc w:val="left"/>
                    <w:rPr>
                      <w:kern w:val="0"/>
                      <w:szCs w:val="21"/>
                    </w:rPr>
                  </w:pPr>
                  <w:r>
                    <w:rPr>
                      <w:rFonts w:hint="eastAsia"/>
                      <w:kern w:val="0"/>
                      <w:szCs w:val="21"/>
                    </w:rPr>
                    <w:t>4.不使用含磷洗涤用品，减少化肥农药施用量，主要农作物化肥农药使用量实现负增长，2025化肥施用量年比2020年减少10%以上。</w:t>
                  </w:r>
                </w:p>
              </w:tc>
              <w:tc>
                <w:tcPr>
                  <w:tcW w:w="3236" w:type="dxa"/>
                  <w:vAlign w:val="center"/>
                </w:tcPr>
                <w:p w14:paraId="753F0FC8">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0F4D6A97">
                  <w:pPr>
                    <w:autoSpaceDE w:val="0"/>
                    <w:autoSpaceDN w:val="0"/>
                    <w:adjustRightInd w:val="0"/>
                    <w:snapToGrid w:val="0"/>
                    <w:jc w:val="center"/>
                    <w:rPr>
                      <w:kern w:val="0"/>
                      <w:szCs w:val="21"/>
                    </w:rPr>
                  </w:pPr>
                  <w:r>
                    <w:rPr>
                      <w:szCs w:val="21"/>
                    </w:rPr>
                    <w:t>/</w:t>
                  </w:r>
                </w:p>
              </w:tc>
            </w:tr>
            <w:tr w14:paraId="3E06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vAlign w:val="center"/>
                </w:tcPr>
                <w:p w14:paraId="74BC6035">
                  <w:pPr>
                    <w:autoSpaceDE w:val="0"/>
                    <w:autoSpaceDN w:val="0"/>
                    <w:adjustRightInd w:val="0"/>
                    <w:snapToGrid w:val="0"/>
                    <w:jc w:val="left"/>
                    <w:rPr>
                      <w:kern w:val="0"/>
                      <w:szCs w:val="21"/>
                    </w:rPr>
                  </w:pPr>
                  <w:r>
                    <w:rPr>
                      <w:rFonts w:hint="eastAsia"/>
                      <w:kern w:val="0"/>
                      <w:szCs w:val="21"/>
                    </w:rPr>
                    <w:t>环境风险防控</w:t>
                  </w:r>
                </w:p>
              </w:tc>
              <w:tc>
                <w:tcPr>
                  <w:tcW w:w="3227" w:type="dxa"/>
                  <w:vAlign w:val="center"/>
                </w:tcPr>
                <w:p w14:paraId="79C3B73A">
                  <w:pPr>
                    <w:autoSpaceDE w:val="0"/>
                    <w:autoSpaceDN w:val="0"/>
                    <w:adjustRightInd w:val="0"/>
                    <w:snapToGrid w:val="0"/>
                    <w:jc w:val="left"/>
                    <w:rPr>
                      <w:kern w:val="0"/>
                      <w:szCs w:val="21"/>
                    </w:rPr>
                  </w:pPr>
                  <w:r>
                    <w:rPr>
                      <w:rFonts w:hint="eastAsia"/>
                      <w:kern w:val="0"/>
                      <w:szCs w:val="21"/>
                    </w:rPr>
                    <w:t>1.建立杞麓湖蓝藻水华和底泥防控体系。</w:t>
                  </w:r>
                </w:p>
              </w:tc>
              <w:tc>
                <w:tcPr>
                  <w:tcW w:w="3236" w:type="dxa"/>
                  <w:vAlign w:val="center"/>
                </w:tcPr>
                <w:p w14:paraId="64593483">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4D407CF3">
                  <w:pPr>
                    <w:autoSpaceDE w:val="0"/>
                    <w:autoSpaceDN w:val="0"/>
                    <w:adjustRightInd w:val="0"/>
                    <w:snapToGrid w:val="0"/>
                    <w:jc w:val="center"/>
                    <w:rPr>
                      <w:kern w:val="0"/>
                      <w:szCs w:val="21"/>
                    </w:rPr>
                  </w:pPr>
                  <w:r>
                    <w:rPr>
                      <w:szCs w:val="21"/>
                    </w:rPr>
                    <w:t>/</w:t>
                  </w:r>
                </w:p>
              </w:tc>
            </w:tr>
            <w:tr w14:paraId="2EBB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1544A92A">
                  <w:pPr>
                    <w:autoSpaceDE w:val="0"/>
                    <w:autoSpaceDN w:val="0"/>
                    <w:adjustRightInd w:val="0"/>
                    <w:snapToGrid w:val="0"/>
                    <w:jc w:val="left"/>
                    <w:rPr>
                      <w:kern w:val="0"/>
                      <w:szCs w:val="21"/>
                    </w:rPr>
                  </w:pPr>
                </w:p>
              </w:tc>
              <w:tc>
                <w:tcPr>
                  <w:tcW w:w="3227" w:type="dxa"/>
                  <w:vAlign w:val="center"/>
                </w:tcPr>
                <w:p w14:paraId="061A78A4">
                  <w:pPr>
                    <w:autoSpaceDE w:val="0"/>
                    <w:autoSpaceDN w:val="0"/>
                    <w:adjustRightInd w:val="0"/>
                    <w:snapToGrid w:val="0"/>
                    <w:jc w:val="left"/>
                    <w:rPr>
                      <w:kern w:val="0"/>
                      <w:szCs w:val="21"/>
                    </w:rPr>
                  </w:pPr>
                  <w:r>
                    <w:rPr>
                      <w:rFonts w:hint="eastAsia"/>
                      <w:kern w:val="0"/>
                      <w:szCs w:val="21"/>
                    </w:rPr>
                    <w:t>2.禁止向农田灌溉渠道排放工业废水或者医疗污水。</w:t>
                  </w:r>
                </w:p>
              </w:tc>
              <w:tc>
                <w:tcPr>
                  <w:tcW w:w="3236" w:type="dxa"/>
                  <w:vAlign w:val="center"/>
                </w:tcPr>
                <w:p w14:paraId="4092F0E3">
                  <w:pPr>
                    <w:autoSpaceDE w:val="0"/>
                    <w:autoSpaceDN w:val="0"/>
                    <w:adjustRightInd w:val="0"/>
                    <w:snapToGrid w:val="0"/>
                    <w:jc w:val="center"/>
                    <w:rPr>
                      <w:kern w:val="0"/>
                      <w:szCs w:val="21"/>
                    </w:rPr>
                  </w:pPr>
                  <w:r>
                    <w:rPr>
                      <w:rFonts w:hint="eastAsia"/>
                      <w:kern w:val="0"/>
                      <w:szCs w:val="21"/>
                    </w:rPr>
                    <w:t>项目生产废水循环使用不外排，</w:t>
                  </w:r>
                  <w:r>
                    <w:rPr>
                      <w:rFonts w:hint="eastAsia"/>
                      <w:szCs w:val="21"/>
                    </w:rPr>
                    <w:t>项目生活污水依托现有生活污水处理设施</w:t>
                  </w:r>
                  <w:r>
                    <w:rPr>
                      <w:szCs w:val="21"/>
                    </w:rPr>
                    <w:t>处理后，</w:t>
                  </w:r>
                  <w:r>
                    <w:rPr>
                      <w:rFonts w:hint="eastAsia"/>
                      <w:szCs w:val="21"/>
                    </w:rPr>
                    <w:t>回用于直接冷却水的补充水，不外排。</w:t>
                  </w:r>
                </w:p>
              </w:tc>
              <w:tc>
                <w:tcPr>
                  <w:tcW w:w="1197" w:type="dxa"/>
                  <w:vAlign w:val="center"/>
                </w:tcPr>
                <w:p w14:paraId="60300EFA">
                  <w:pPr>
                    <w:autoSpaceDE w:val="0"/>
                    <w:autoSpaceDN w:val="0"/>
                    <w:adjustRightInd w:val="0"/>
                    <w:snapToGrid w:val="0"/>
                    <w:jc w:val="center"/>
                    <w:rPr>
                      <w:kern w:val="0"/>
                      <w:szCs w:val="21"/>
                    </w:rPr>
                  </w:pPr>
                  <w:r>
                    <w:rPr>
                      <w:rFonts w:hint="eastAsia"/>
                      <w:szCs w:val="21"/>
                    </w:rPr>
                    <w:t>符合</w:t>
                  </w:r>
                </w:p>
              </w:tc>
            </w:tr>
            <w:tr w14:paraId="3214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137934E7">
                  <w:pPr>
                    <w:autoSpaceDE w:val="0"/>
                    <w:autoSpaceDN w:val="0"/>
                    <w:adjustRightInd w:val="0"/>
                    <w:snapToGrid w:val="0"/>
                    <w:jc w:val="left"/>
                    <w:rPr>
                      <w:kern w:val="0"/>
                      <w:szCs w:val="21"/>
                    </w:rPr>
                  </w:pPr>
                </w:p>
              </w:tc>
              <w:tc>
                <w:tcPr>
                  <w:tcW w:w="3227" w:type="dxa"/>
                  <w:vAlign w:val="center"/>
                </w:tcPr>
                <w:p w14:paraId="2BEF3A7E">
                  <w:pPr>
                    <w:autoSpaceDE w:val="0"/>
                    <w:autoSpaceDN w:val="0"/>
                    <w:adjustRightInd w:val="0"/>
                    <w:snapToGrid w:val="0"/>
                    <w:jc w:val="left"/>
                    <w:rPr>
                      <w:kern w:val="0"/>
                      <w:szCs w:val="21"/>
                    </w:rPr>
                  </w:pPr>
                  <w:r>
                    <w:rPr>
                      <w:rFonts w:hint="eastAsia"/>
                      <w:kern w:val="0"/>
                      <w:szCs w:val="21"/>
                    </w:rPr>
                    <w:t>3.农田灌溉用水应当符合相应的水质标准，防止土壤、地下水和农产品污染。</w:t>
                  </w:r>
                </w:p>
              </w:tc>
              <w:tc>
                <w:tcPr>
                  <w:tcW w:w="3236" w:type="dxa"/>
                  <w:vAlign w:val="center"/>
                </w:tcPr>
                <w:p w14:paraId="13A3AC92">
                  <w:pPr>
                    <w:autoSpaceDE w:val="0"/>
                    <w:autoSpaceDN w:val="0"/>
                    <w:adjustRightInd w:val="0"/>
                    <w:snapToGrid w:val="0"/>
                    <w:jc w:val="center"/>
                    <w:rPr>
                      <w:szCs w:val="21"/>
                    </w:rPr>
                  </w:pPr>
                  <w:r>
                    <w:rPr>
                      <w:rFonts w:hint="eastAsia"/>
                      <w:szCs w:val="21"/>
                    </w:rPr>
                    <w:t>本</w:t>
                  </w:r>
                  <w:r>
                    <w:rPr>
                      <w:szCs w:val="21"/>
                    </w:rPr>
                    <w:t>项目不涉及</w:t>
                  </w:r>
                  <w:r>
                    <w:rPr>
                      <w:rFonts w:hint="eastAsia"/>
                      <w:szCs w:val="21"/>
                    </w:rPr>
                    <w:t>。</w:t>
                  </w:r>
                </w:p>
              </w:tc>
              <w:tc>
                <w:tcPr>
                  <w:tcW w:w="1197" w:type="dxa"/>
                  <w:vAlign w:val="center"/>
                </w:tcPr>
                <w:p w14:paraId="09202ABE">
                  <w:pPr>
                    <w:autoSpaceDE w:val="0"/>
                    <w:autoSpaceDN w:val="0"/>
                    <w:adjustRightInd w:val="0"/>
                    <w:snapToGrid w:val="0"/>
                    <w:jc w:val="center"/>
                    <w:rPr>
                      <w:szCs w:val="21"/>
                    </w:rPr>
                  </w:pPr>
                  <w:r>
                    <w:rPr>
                      <w:szCs w:val="21"/>
                    </w:rPr>
                    <w:t>/</w:t>
                  </w:r>
                </w:p>
              </w:tc>
            </w:tr>
            <w:tr w14:paraId="4D0B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28529B33">
                  <w:pPr>
                    <w:autoSpaceDE w:val="0"/>
                    <w:autoSpaceDN w:val="0"/>
                    <w:adjustRightInd w:val="0"/>
                    <w:snapToGrid w:val="0"/>
                    <w:jc w:val="left"/>
                    <w:rPr>
                      <w:kern w:val="0"/>
                      <w:szCs w:val="21"/>
                    </w:rPr>
                  </w:pPr>
                </w:p>
              </w:tc>
              <w:tc>
                <w:tcPr>
                  <w:tcW w:w="3227" w:type="dxa"/>
                  <w:vAlign w:val="center"/>
                </w:tcPr>
                <w:p w14:paraId="0418AF53">
                  <w:pPr>
                    <w:autoSpaceDE w:val="0"/>
                    <w:autoSpaceDN w:val="0"/>
                    <w:adjustRightInd w:val="0"/>
                    <w:snapToGrid w:val="0"/>
                    <w:jc w:val="left"/>
                    <w:rPr>
                      <w:kern w:val="0"/>
                      <w:szCs w:val="21"/>
                    </w:rPr>
                  </w:pPr>
                  <w:r>
                    <w:rPr>
                      <w:rFonts w:hint="eastAsia"/>
                      <w:kern w:val="0"/>
                      <w:szCs w:val="21"/>
                    </w:rPr>
                    <w:t>4.实施农作物秸秆资源化利用，严防因秸秆露天焚烧造成区域性重污染天气。</w:t>
                  </w:r>
                </w:p>
              </w:tc>
              <w:tc>
                <w:tcPr>
                  <w:tcW w:w="3236" w:type="dxa"/>
                  <w:vAlign w:val="center"/>
                </w:tcPr>
                <w:p w14:paraId="420AB4AE">
                  <w:pPr>
                    <w:autoSpaceDE w:val="0"/>
                    <w:autoSpaceDN w:val="0"/>
                    <w:adjustRightInd w:val="0"/>
                    <w:snapToGrid w:val="0"/>
                    <w:jc w:val="center"/>
                    <w:rPr>
                      <w:szCs w:val="21"/>
                    </w:rPr>
                  </w:pPr>
                  <w:r>
                    <w:rPr>
                      <w:rFonts w:hint="eastAsia"/>
                      <w:szCs w:val="21"/>
                    </w:rPr>
                    <w:t>本</w:t>
                  </w:r>
                  <w:r>
                    <w:rPr>
                      <w:szCs w:val="21"/>
                    </w:rPr>
                    <w:t>项目不涉及</w:t>
                  </w:r>
                  <w:r>
                    <w:rPr>
                      <w:rFonts w:hint="eastAsia"/>
                      <w:szCs w:val="21"/>
                    </w:rPr>
                    <w:t>。</w:t>
                  </w:r>
                </w:p>
              </w:tc>
              <w:tc>
                <w:tcPr>
                  <w:tcW w:w="1197" w:type="dxa"/>
                  <w:vAlign w:val="center"/>
                </w:tcPr>
                <w:p w14:paraId="2FC25386">
                  <w:pPr>
                    <w:autoSpaceDE w:val="0"/>
                    <w:autoSpaceDN w:val="0"/>
                    <w:adjustRightInd w:val="0"/>
                    <w:snapToGrid w:val="0"/>
                    <w:jc w:val="center"/>
                    <w:rPr>
                      <w:szCs w:val="21"/>
                    </w:rPr>
                  </w:pPr>
                  <w:r>
                    <w:rPr>
                      <w:szCs w:val="21"/>
                    </w:rPr>
                    <w:t>/</w:t>
                  </w:r>
                </w:p>
              </w:tc>
            </w:tr>
            <w:tr w14:paraId="7DD4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0D15479E">
                  <w:pPr>
                    <w:autoSpaceDE w:val="0"/>
                    <w:autoSpaceDN w:val="0"/>
                    <w:adjustRightInd w:val="0"/>
                    <w:snapToGrid w:val="0"/>
                    <w:jc w:val="left"/>
                    <w:rPr>
                      <w:kern w:val="0"/>
                      <w:szCs w:val="21"/>
                    </w:rPr>
                  </w:pPr>
                </w:p>
              </w:tc>
              <w:tc>
                <w:tcPr>
                  <w:tcW w:w="3227" w:type="dxa"/>
                  <w:vAlign w:val="center"/>
                </w:tcPr>
                <w:p w14:paraId="046920F1">
                  <w:pPr>
                    <w:autoSpaceDE w:val="0"/>
                    <w:autoSpaceDN w:val="0"/>
                    <w:adjustRightInd w:val="0"/>
                    <w:snapToGrid w:val="0"/>
                    <w:jc w:val="left"/>
                    <w:rPr>
                      <w:kern w:val="0"/>
                      <w:szCs w:val="21"/>
                    </w:rPr>
                  </w:pPr>
                  <w:r>
                    <w:rPr>
                      <w:rFonts w:hint="eastAsia"/>
                      <w:kern w:val="0"/>
                      <w:szCs w:val="21"/>
                    </w:rPr>
                    <w:t>5.禁止生产、销售、使用国家明令禁止的农业投入品，开展农用地土壤污染防治宣传和技术培训活动，扶持农业生产专业化服务，指导农业生产者合理使用农药、兽药、肥料、饲料、农用薄膜等农业投入品，控制农药、兽药、化肥等的使用量。</w:t>
                  </w:r>
                </w:p>
              </w:tc>
              <w:tc>
                <w:tcPr>
                  <w:tcW w:w="3236" w:type="dxa"/>
                  <w:vAlign w:val="center"/>
                </w:tcPr>
                <w:p w14:paraId="5021606E">
                  <w:pPr>
                    <w:autoSpaceDE w:val="0"/>
                    <w:autoSpaceDN w:val="0"/>
                    <w:adjustRightInd w:val="0"/>
                    <w:snapToGrid w:val="0"/>
                    <w:jc w:val="center"/>
                    <w:rPr>
                      <w:szCs w:val="21"/>
                    </w:rPr>
                  </w:pPr>
                  <w:r>
                    <w:rPr>
                      <w:rFonts w:hint="eastAsia"/>
                      <w:szCs w:val="21"/>
                    </w:rPr>
                    <w:t>本</w:t>
                  </w:r>
                  <w:r>
                    <w:rPr>
                      <w:szCs w:val="21"/>
                    </w:rPr>
                    <w:t>项目不涉及</w:t>
                  </w:r>
                  <w:r>
                    <w:rPr>
                      <w:rFonts w:hint="eastAsia"/>
                      <w:szCs w:val="21"/>
                    </w:rPr>
                    <w:t>。</w:t>
                  </w:r>
                </w:p>
              </w:tc>
              <w:tc>
                <w:tcPr>
                  <w:tcW w:w="1197" w:type="dxa"/>
                  <w:vAlign w:val="center"/>
                </w:tcPr>
                <w:p w14:paraId="2B7D37DD">
                  <w:pPr>
                    <w:autoSpaceDE w:val="0"/>
                    <w:autoSpaceDN w:val="0"/>
                    <w:adjustRightInd w:val="0"/>
                    <w:snapToGrid w:val="0"/>
                    <w:jc w:val="center"/>
                    <w:rPr>
                      <w:szCs w:val="21"/>
                    </w:rPr>
                  </w:pPr>
                  <w:r>
                    <w:rPr>
                      <w:szCs w:val="21"/>
                    </w:rPr>
                    <w:t>/</w:t>
                  </w:r>
                </w:p>
              </w:tc>
            </w:tr>
            <w:tr w14:paraId="5CC9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567EEF2B">
                  <w:pPr>
                    <w:autoSpaceDE w:val="0"/>
                    <w:autoSpaceDN w:val="0"/>
                    <w:adjustRightInd w:val="0"/>
                    <w:snapToGrid w:val="0"/>
                    <w:jc w:val="left"/>
                    <w:rPr>
                      <w:kern w:val="0"/>
                      <w:szCs w:val="21"/>
                    </w:rPr>
                  </w:pPr>
                </w:p>
              </w:tc>
              <w:tc>
                <w:tcPr>
                  <w:tcW w:w="3227" w:type="dxa"/>
                  <w:vAlign w:val="center"/>
                </w:tcPr>
                <w:p w14:paraId="5EAA250D">
                  <w:pPr>
                    <w:autoSpaceDE w:val="0"/>
                    <w:autoSpaceDN w:val="0"/>
                    <w:adjustRightInd w:val="0"/>
                    <w:snapToGrid w:val="0"/>
                    <w:jc w:val="left"/>
                    <w:rPr>
                      <w:kern w:val="0"/>
                      <w:szCs w:val="21"/>
                    </w:rPr>
                  </w:pPr>
                  <w:r>
                    <w:rPr>
                      <w:rFonts w:hint="eastAsia"/>
                      <w:kern w:val="0"/>
                      <w:szCs w:val="21"/>
                    </w:rPr>
                    <w:t>6.增强废弃菜叶应急处置能力，防止废弃菜叶资源化工程二次污染。</w:t>
                  </w:r>
                </w:p>
              </w:tc>
              <w:tc>
                <w:tcPr>
                  <w:tcW w:w="3236" w:type="dxa"/>
                  <w:vAlign w:val="center"/>
                </w:tcPr>
                <w:p w14:paraId="405C5B29">
                  <w:pPr>
                    <w:autoSpaceDE w:val="0"/>
                    <w:autoSpaceDN w:val="0"/>
                    <w:adjustRightInd w:val="0"/>
                    <w:snapToGrid w:val="0"/>
                    <w:jc w:val="center"/>
                    <w:rPr>
                      <w:szCs w:val="21"/>
                    </w:rPr>
                  </w:pPr>
                  <w:r>
                    <w:rPr>
                      <w:rFonts w:hint="eastAsia"/>
                      <w:szCs w:val="21"/>
                    </w:rPr>
                    <w:t>本</w:t>
                  </w:r>
                  <w:r>
                    <w:rPr>
                      <w:szCs w:val="21"/>
                    </w:rPr>
                    <w:t>项目不涉及</w:t>
                  </w:r>
                  <w:r>
                    <w:rPr>
                      <w:rFonts w:hint="eastAsia"/>
                      <w:szCs w:val="21"/>
                    </w:rPr>
                    <w:t>。</w:t>
                  </w:r>
                </w:p>
              </w:tc>
              <w:tc>
                <w:tcPr>
                  <w:tcW w:w="1197" w:type="dxa"/>
                  <w:vAlign w:val="center"/>
                </w:tcPr>
                <w:p w14:paraId="3221FBE7">
                  <w:pPr>
                    <w:autoSpaceDE w:val="0"/>
                    <w:autoSpaceDN w:val="0"/>
                    <w:adjustRightInd w:val="0"/>
                    <w:snapToGrid w:val="0"/>
                    <w:jc w:val="center"/>
                    <w:rPr>
                      <w:szCs w:val="21"/>
                    </w:rPr>
                  </w:pPr>
                  <w:r>
                    <w:rPr>
                      <w:szCs w:val="21"/>
                    </w:rPr>
                    <w:t>/</w:t>
                  </w:r>
                </w:p>
              </w:tc>
            </w:tr>
            <w:tr w14:paraId="0EE9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vAlign w:val="center"/>
                </w:tcPr>
                <w:p w14:paraId="004E0177">
                  <w:pPr>
                    <w:autoSpaceDE w:val="0"/>
                    <w:autoSpaceDN w:val="0"/>
                    <w:adjustRightInd w:val="0"/>
                    <w:snapToGrid w:val="0"/>
                    <w:jc w:val="left"/>
                    <w:rPr>
                      <w:kern w:val="0"/>
                      <w:szCs w:val="21"/>
                    </w:rPr>
                  </w:pPr>
                  <w:r>
                    <w:rPr>
                      <w:rFonts w:hint="eastAsia"/>
                      <w:kern w:val="0"/>
                      <w:szCs w:val="21"/>
                    </w:rPr>
                    <w:t>资源开发效率要求</w:t>
                  </w:r>
                </w:p>
              </w:tc>
              <w:tc>
                <w:tcPr>
                  <w:tcW w:w="3227" w:type="dxa"/>
                  <w:vAlign w:val="center"/>
                </w:tcPr>
                <w:p w14:paraId="4B9AE52E">
                  <w:pPr>
                    <w:autoSpaceDE w:val="0"/>
                    <w:autoSpaceDN w:val="0"/>
                    <w:adjustRightInd w:val="0"/>
                    <w:snapToGrid w:val="0"/>
                    <w:jc w:val="left"/>
                    <w:rPr>
                      <w:kern w:val="0"/>
                      <w:szCs w:val="21"/>
                    </w:rPr>
                  </w:pPr>
                  <w:r>
                    <w:rPr>
                      <w:rFonts w:hint="eastAsia"/>
                      <w:shd w:val="clear" w:color="auto" w:fill="FFFFFF"/>
                    </w:rPr>
                    <w:t>1.严控农业杞麓湖取水量，截留后的雨水经适度处理后通过水资源的循环利用用于农田灌溉，农田灌溉水有效利用系数达到0.52以上。</w:t>
                  </w:r>
                </w:p>
              </w:tc>
              <w:tc>
                <w:tcPr>
                  <w:tcW w:w="3236" w:type="dxa"/>
                  <w:vAlign w:val="center"/>
                </w:tcPr>
                <w:p w14:paraId="10570356">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7527B223">
                  <w:pPr>
                    <w:autoSpaceDE w:val="0"/>
                    <w:autoSpaceDN w:val="0"/>
                    <w:adjustRightInd w:val="0"/>
                    <w:snapToGrid w:val="0"/>
                    <w:jc w:val="center"/>
                    <w:rPr>
                      <w:kern w:val="0"/>
                      <w:szCs w:val="21"/>
                    </w:rPr>
                  </w:pPr>
                  <w:r>
                    <w:rPr>
                      <w:szCs w:val="21"/>
                    </w:rPr>
                    <w:t>/</w:t>
                  </w:r>
                </w:p>
              </w:tc>
            </w:tr>
            <w:tr w14:paraId="094D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7E298FAE">
                  <w:pPr>
                    <w:autoSpaceDE w:val="0"/>
                    <w:autoSpaceDN w:val="0"/>
                    <w:adjustRightInd w:val="0"/>
                    <w:snapToGrid w:val="0"/>
                    <w:jc w:val="left"/>
                    <w:rPr>
                      <w:kern w:val="0"/>
                      <w:szCs w:val="21"/>
                    </w:rPr>
                  </w:pPr>
                </w:p>
              </w:tc>
              <w:tc>
                <w:tcPr>
                  <w:tcW w:w="3227" w:type="dxa"/>
                  <w:vAlign w:val="center"/>
                </w:tcPr>
                <w:p w14:paraId="1B7A01D8">
                  <w:pPr>
                    <w:autoSpaceDE w:val="0"/>
                    <w:autoSpaceDN w:val="0"/>
                    <w:adjustRightInd w:val="0"/>
                    <w:snapToGrid w:val="0"/>
                    <w:jc w:val="left"/>
                    <w:rPr>
                      <w:kern w:val="0"/>
                      <w:szCs w:val="21"/>
                    </w:rPr>
                  </w:pPr>
                  <w:r>
                    <w:rPr>
                      <w:rFonts w:hint="eastAsia"/>
                      <w:shd w:val="clear" w:color="auto" w:fill="FFFFFF"/>
                    </w:rPr>
                    <w:t>2.畜禽粪污综合利用率达到90%以上，畜禽规模养殖场粪污处理设施装备配套率达100%。</w:t>
                  </w:r>
                </w:p>
              </w:tc>
              <w:tc>
                <w:tcPr>
                  <w:tcW w:w="3236" w:type="dxa"/>
                  <w:vAlign w:val="center"/>
                </w:tcPr>
                <w:p w14:paraId="32A58A38">
                  <w:pPr>
                    <w:autoSpaceDE w:val="0"/>
                    <w:autoSpaceDN w:val="0"/>
                    <w:adjustRightInd w:val="0"/>
                    <w:snapToGrid w:val="0"/>
                    <w:jc w:val="center"/>
                    <w:rPr>
                      <w:kern w:val="0"/>
                      <w:szCs w:val="21"/>
                    </w:rPr>
                  </w:pPr>
                  <w:r>
                    <w:rPr>
                      <w:szCs w:val="21"/>
                    </w:rPr>
                    <w:t>项目不涉及</w:t>
                  </w:r>
                  <w:r>
                    <w:rPr>
                      <w:rFonts w:hint="eastAsia"/>
                      <w:szCs w:val="21"/>
                    </w:rPr>
                    <w:t>。</w:t>
                  </w:r>
                </w:p>
              </w:tc>
              <w:tc>
                <w:tcPr>
                  <w:tcW w:w="1197" w:type="dxa"/>
                  <w:vAlign w:val="center"/>
                </w:tcPr>
                <w:p w14:paraId="13B45C84">
                  <w:pPr>
                    <w:autoSpaceDE w:val="0"/>
                    <w:autoSpaceDN w:val="0"/>
                    <w:adjustRightInd w:val="0"/>
                    <w:snapToGrid w:val="0"/>
                    <w:jc w:val="center"/>
                    <w:rPr>
                      <w:kern w:val="0"/>
                      <w:szCs w:val="21"/>
                    </w:rPr>
                  </w:pPr>
                  <w:r>
                    <w:rPr>
                      <w:szCs w:val="21"/>
                    </w:rPr>
                    <w:t>/</w:t>
                  </w:r>
                </w:p>
              </w:tc>
            </w:tr>
            <w:tr w14:paraId="2CC5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230E07FA">
                  <w:pPr>
                    <w:autoSpaceDE w:val="0"/>
                    <w:autoSpaceDN w:val="0"/>
                    <w:adjustRightInd w:val="0"/>
                    <w:snapToGrid w:val="0"/>
                    <w:jc w:val="left"/>
                    <w:rPr>
                      <w:kern w:val="0"/>
                      <w:szCs w:val="21"/>
                    </w:rPr>
                  </w:pPr>
                </w:p>
              </w:tc>
              <w:tc>
                <w:tcPr>
                  <w:tcW w:w="3227" w:type="dxa"/>
                  <w:vAlign w:val="center"/>
                </w:tcPr>
                <w:p w14:paraId="6C54C70D">
                  <w:pPr>
                    <w:autoSpaceDE w:val="0"/>
                    <w:autoSpaceDN w:val="0"/>
                    <w:adjustRightInd w:val="0"/>
                    <w:snapToGrid w:val="0"/>
                    <w:jc w:val="left"/>
                    <w:rPr>
                      <w:szCs w:val="21"/>
                    </w:rPr>
                  </w:pPr>
                  <w:r>
                    <w:rPr>
                      <w:rFonts w:hint="eastAsia"/>
                      <w:shd w:val="clear" w:color="auto" w:fill="FFFFFF"/>
                    </w:rPr>
                    <w:t>3.利用沤肥池，加强废弃菜叶资源化利用。</w:t>
                  </w:r>
                </w:p>
              </w:tc>
              <w:tc>
                <w:tcPr>
                  <w:tcW w:w="3236" w:type="dxa"/>
                  <w:vAlign w:val="center"/>
                </w:tcPr>
                <w:p w14:paraId="0B6537A2">
                  <w:pPr>
                    <w:autoSpaceDE w:val="0"/>
                    <w:autoSpaceDN w:val="0"/>
                    <w:adjustRightInd w:val="0"/>
                    <w:snapToGrid w:val="0"/>
                    <w:jc w:val="center"/>
                    <w:rPr>
                      <w:szCs w:val="21"/>
                    </w:rPr>
                  </w:pPr>
                  <w:r>
                    <w:rPr>
                      <w:rFonts w:hint="eastAsia"/>
                      <w:szCs w:val="21"/>
                    </w:rPr>
                    <w:t>本</w:t>
                  </w:r>
                  <w:r>
                    <w:rPr>
                      <w:szCs w:val="21"/>
                    </w:rPr>
                    <w:t>项目不涉及</w:t>
                  </w:r>
                  <w:r>
                    <w:rPr>
                      <w:rFonts w:hint="eastAsia"/>
                      <w:szCs w:val="21"/>
                    </w:rPr>
                    <w:t>。</w:t>
                  </w:r>
                </w:p>
              </w:tc>
              <w:tc>
                <w:tcPr>
                  <w:tcW w:w="1197" w:type="dxa"/>
                  <w:vAlign w:val="center"/>
                </w:tcPr>
                <w:p w14:paraId="451409B5">
                  <w:pPr>
                    <w:autoSpaceDE w:val="0"/>
                    <w:autoSpaceDN w:val="0"/>
                    <w:adjustRightInd w:val="0"/>
                    <w:snapToGrid w:val="0"/>
                    <w:jc w:val="center"/>
                    <w:rPr>
                      <w:szCs w:val="21"/>
                    </w:rPr>
                  </w:pPr>
                  <w:r>
                    <w:rPr>
                      <w:szCs w:val="21"/>
                    </w:rPr>
                    <w:t>/</w:t>
                  </w:r>
                </w:p>
              </w:tc>
            </w:tr>
            <w:tr w14:paraId="7173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3" w:type="dxa"/>
                  <w:gridSpan w:val="4"/>
                  <w:vAlign w:val="center"/>
                </w:tcPr>
                <w:p w14:paraId="32513BE4">
                  <w:pPr>
                    <w:autoSpaceDE w:val="0"/>
                    <w:autoSpaceDN w:val="0"/>
                    <w:adjustRightInd w:val="0"/>
                    <w:snapToGrid w:val="0"/>
                    <w:jc w:val="center"/>
                    <w:rPr>
                      <w:kern w:val="0"/>
                      <w:szCs w:val="21"/>
                    </w:rPr>
                  </w:pPr>
                  <w:r>
                    <w:rPr>
                      <w:rFonts w:hint="eastAsia"/>
                      <w:szCs w:val="21"/>
                    </w:rPr>
                    <w:t>5</w:t>
                  </w:r>
                  <w:r>
                    <w:rPr>
                      <w:szCs w:val="21"/>
                    </w:rPr>
                    <w:t>、</w:t>
                  </w:r>
                  <w:r>
                    <w:rPr>
                      <w:rFonts w:hint="eastAsia"/>
                      <w:szCs w:val="21"/>
                    </w:rPr>
                    <w:t>通海县</w:t>
                  </w:r>
                  <w:r>
                    <w:rPr>
                      <w:szCs w:val="21"/>
                    </w:rPr>
                    <w:t>生态环境准入清单（</w:t>
                  </w:r>
                  <w:r>
                    <w:rPr>
                      <w:rFonts w:hint="eastAsia"/>
                      <w:kern w:val="0"/>
                      <w:szCs w:val="21"/>
                    </w:rPr>
                    <w:t>通海县农业面源污染重点管控单元</w:t>
                  </w:r>
                  <w:r>
                    <w:rPr>
                      <w:szCs w:val="21"/>
                    </w:rPr>
                    <w:t>）</w:t>
                  </w:r>
                </w:p>
              </w:tc>
            </w:tr>
            <w:tr w14:paraId="1FF0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vAlign w:val="center"/>
                </w:tcPr>
                <w:p w14:paraId="71FBBD64">
                  <w:pPr>
                    <w:autoSpaceDE w:val="0"/>
                    <w:autoSpaceDN w:val="0"/>
                    <w:adjustRightInd w:val="0"/>
                    <w:snapToGrid w:val="0"/>
                    <w:jc w:val="left"/>
                    <w:rPr>
                      <w:kern w:val="0"/>
                      <w:szCs w:val="21"/>
                    </w:rPr>
                  </w:pPr>
                  <w:r>
                    <w:rPr>
                      <w:szCs w:val="21"/>
                    </w:rPr>
                    <w:t>空间布局约束</w:t>
                  </w:r>
                </w:p>
              </w:tc>
              <w:tc>
                <w:tcPr>
                  <w:tcW w:w="3227" w:type="dxa"/>
                  <w:vAlign w:val="center"/>
                </w:tcPr>
                <w:p w14:paraId="619D8E27">
                  <w:pPr>
                    <w:autoSpaceDE w:val="0"/>
                    <w:autoSpaceDN w:val="0"/>
                    <w:adjustRightInd w:val="0"/>
                    <w:snapToGrid w:val="0"/>
                    <w:jc w:val="left"/>
                    <w:rPr>
                      <w:kern w:val="0"/>
                      <w:szCs w:val="21"/>
                    </w:rPr>
                  </w:pPr>
                  <w:r>
                    <w:rPr>
                      <w:kern w:val="0"/>
                      <w:szCs w:val="21"/>
                    </w:rPr>
                    <w:t>1.</w:t>
                  </w:r>
                  <w:r>
                    <w:rPr>
                      <w:rFonts w:hint="eastAsia"/>
                      <w:kern w:val="0"/>
                      <w:szCs w:val="21"/>
                    </w:rPr>
                    <w:t>河西镇根据《河西历史文化名镇保护规划》进行保护。纳古镇严格执行《云南省杞麓湖保护条例》要求。</w:t>
                  </w:r>
                </w:p>
              </w:tc>
              <w:tc>
                <w:tcPr>
                  <w:tcW w:w="3236" w:type="dxa"/>
                  <w:vAlign w:val="center"/>
                </w:tcPr>
                <w:p w14:paraId="74634C80">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207ABEA4">
                  <w:pPr>
                    <w:autoSpaceDE w:val="0"/>
                    <w:autoSpaceDN w:val="0"/>
                    <w:adjustRightInd w:val="0"/>
                    <w:snapToGrid w:val="0"/>
                    <w:jc w:val="center"/>
                    <w:rPr>
                      <w:kern w:val="0"/>
                      <w:szCs w:val="21"/>
                    </w:rPr>
                  </w:pPr>
                  <w:r>
                    <w:rPr>
                      <w:szCs w:val="21"/>
                    </w:rPr>
                    <w:t>/</w:t>
                  </w:r>
                </w:p>
              </w:tc>
            </w:tr>
            <w:tr w14:paraId="04C6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63EDBF8B">
                  <w:pPr>
                    <w:autoSpaceDE w:val="0"/>
                    <w:autoSpaceDN w:val="0"/>
                    <w:adjustRightInd w:val="0"/>
                    <w:snapToGrid w:val="0"/>
                    <w:jc w:val="left"/>
                    <w:rPr>
                      <w:kern w:val="0"/>
                      <w:szCs w:val="21"/>
                    </w:rPr>
                  </w:pPr>
                </w:p>
              </w:tc>
              <w:tc>
                <w:tcPr>
                  <w:tcW w:w="3227" w:type="dxa"/>
                  <w:vAlign w:val="center"/>
                </w:tcPr>
                <w:p w14:paraId="32DA3441">
                  <w:pPr>
                    <w:autoSpaceDE w:val="0"/>
                    <w:autoSpaceDN w:val="0"/>
                    <w:adjustRightInd w:val="0"/>
                    <w:snapToGrid w:val="0"/>
                    <w:jc w:val="left"/>
                    <w:rPr>
                      <w:kern w:val="0"/>
                      <w:szCs w:val="21"/>
                    </w:rPr>
                  </w:pPr>
                  <w:r>
                    <w:rPr>
                      <w:kern w:val="0"/>
                      <w:szCs w:val="21"/>
                    </w:rPr>
                    <w:t>2.</w:t>
                  </w:r>
                  <w:r>
                    <w:rPr>
                      <w:rFonts w:hint="eastAsia"/>
                      <w:kern w:val="0"/>
                      <w:szCs w:val="21"/>
                    </w:rPr>
                    <w:t>优化产业空间布局，对不符合准入要求的既有项目，依法依规实施整改、退出等分类治理方案，促进企业向园区集中，产业向园区集聚，资源集约利用。    </w:t>
                  </w:r>
                </w:p>
              </w:tc>
              <w:tc>
                <w:tcPr>
                  <w:tcW w:w="3236" w:type="dxa"/>
                  <w:vAlign w:val="center"/>
                </w:tcPr>
                <w:p w14:paraId="781365A5">
                  <w:pPr>
                    <w:autoSpaceDE w:val="0"/>
                    <w:autoSpaceDN w:val="0"/>
                    <w:adjustRightInd w:val="0"/>
                    <w:snapToGrid w:val="0"/>
                    <w:jc w:val="center"/>
                    <w:rPr>
                      <w:kern w:val="0"/>
                      <w:szCs w:val="21"/>
                    </w:rPr>
                  </w:pPr>
                  <w:r>
                    <w:rPr>
                      <w:rFonts w:hint="eastAsia"/>
                      <w:kern w:val="0"/>
                      <w:szCs w:val="21"/>
                    </w:rPr>
                    <w:t>本项目建设地点位于通海县纳古镇珠山顶。根据《通海县纳古镇人民政府关于通海齐拓金属制品有限公司进行技改的选址意见》，本项目符合《通海县纳古镇转型发展战略研究与行动计划》，同意项目选址。因此，本项目属于符合准入要求的既有项目。</w:t>
                  </w:r>
                </w:p>
              </w:tc>
              <w:tc>
                <w:tcPr>
                  <w:tcW w:w="1197" w:type="dxa"/>
                  <w:vAlign w:val="center"/>
                </w:tcPr>
                <w:p w14:paraId="1B2F6873">
                  <w:pPr>
                    <w:autoSpaceDE w:val="0"/>
                    <w:autoSpaceDN w:val="0"/>
                    <w:adjustRightInd w:val="0"/>
                    <w:snapToGrid w:val="0"/>
                    <w:jc w:val="center"/>
                    <w:rPr>
                      <w:kern w:val="0"/>
                      <w:szCs w:val="21"/>
                    </w:rPr>
                  </w:pPr>
                  <w:r>
                    <w:rPr>
                      <w:rFonts w:hint="eastAsia"/>
                      <w:szCs w:val="21"/>
                    </w:rPr>
                    <w:t>符合</w:t>
                  </w:r>
                </w:p>
              </w:tc>
            </w:tr>
            <w:tr w14:paraId="2918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vAlign w:val="center"/>
                </w:tcPr>
                <w:p w14:paraId="5BC11889">
                  <w:pPr>
                    <w:autoSpaceDE w:val="0"/>
                    <w:autoSpaceDN w:val="0"/>
                    <w:adjustRightInd w:val="0"/>
                    <w:snapToGrid w:val="0"/>
                    <w:jc w:val="left"/>
                    <w:rPr>
                      <w:kern w:val="0"/>
                      <w:szCs w:val="21"/>
                    </w:rPr>
                  </w:pPr>
                  <w:r>
                    <w:rPr>
                      <w:rFonts w:hint="eastAsia"/>
                      <w:kern w:val="0"/>
                      <w:szCs w:val="21"/>
                    </w:rPr>
                    <w:t>污染物排放管控</w:t>
                  </w:r>
                </w:p>
              </w:tc>
              <w:tc>
                <w:tcPr>
                  <w:tcW w:w="3227" w:type="dxa"/>
                  <w:vAlign w:val="center"/>
                </w:tcPr>
                <w:p w14:paraId="19D73004">
                  <w:pPr>
                    <w:autoSpaceDE w:val="0"/>
                    <w:autoSpaceDN w:val="0"/>
                    <w:adjustRightInd w:val="0"/>
                    <w:snapToGrid w:val="0"/>
                    <w:jc w:val="left"/>
                    <w:rPr>
                      <w:kern w:val="0"/>
                      <w:szCs w:val="21"/>
                    </w:rPr>
                  </w:pPr>
                  <w:r>
                    <w:rPr>
                      <w:kern w:val="0"/>
                      <w:szCs w:val="21"/>
                    </w:rPr>
                    <w:t>1.</w:t>
                  </w:r>
                  <w:r>
                    <w:rPr>
                      <w:rFonts w:hint="eastAsia"/>
                      <w:kern w:val="0"/>
                      <w:szCs w:val="21"/>
                    </w:rPr>
                    <w:t>临杞麓湖区域严格落实禁养、限养措施，退出高耗水、耗肥、耗药作物，实施农业高效节水减排工程，重点发展优质水稻、豆类、烤烟、油菜、离地花卉、莲藕等种植，注重生态复绿与休耕，发展休闲观光农业。</w:t>
                  </w:r>
                </w:p>
              </w:tc>
              <w:tc>
                <w:tcPr>
                  <w:tcW w:w="3236" w:type="dxa"/>
                  <w:vAlign w:val="center"/>
                </w:tcPr>
                <w:p w14:paraId="6F59C0AC">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614181AA">
                  <w:pPr>
                    <w:autoSpaceDE w:val="0"/>
                    <w:autoSpaceDN w:val="0"/>
                    <w:adjustRightInd w:val="0"/>
                    <w:snapToGrid w:val="0"/>
                    <w:jc w:val="center"/>
                    <w:rPr>
                      <w:kern w:val="0"/>
                      <w:szCs w:val="21"/>
                    </w:rPr>
                  </w:pPr>
                  <w:r>
                    <w:rPr>
                      <w:szCs w:val="21"/>
                    </w:rPr>
                    <w:t>/</w:t>
                  </w:r>
                </w:p>
              </w:tc>
            </w:tr>
            <w:tr w14:paraId="6BA9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23998664">
                  <w:pPr>
                    <w:autoSpaceDE w:val="0"/>
                    <w:autoSpaceDN w:val="0"/>
                    <w:adjustRightInd w:val="0"/>
                    <w:snapToGrid w:val="0"/>
                    <w:jc w:val="left"/>
                    <w:rPr>
                      <w:kern w:val="0"/>
                      <w:szCs w:val="21"/>
                    </w:rPr>
                  </w:pPr>
                </w:p>
              </w:tc>
              <w:tc>
                <w:tcPr>
                  <w:tcW w:w="3227" w:type="dxa"/>
                  <w:vAlign w:val="center"/>
                </w:tcPr>
                <w:p w14:paraId="53C55F74">
                  <w:pPr>
                    <w:autoSpaceDE w:val="0"/>
                    <w:autoSpaceDN w:val="0"/>
                    <w:adjustRightInd w:val="0"/>
                    <w:snapToGrid w:val="0"/>
                    <w:jc w:val="left"/>
                    <w:rPr>
                      <w:kern w:val="0"/>
                      <w:szCs w:val="21"/>
                    </w:rPr>
                  </w:pPr>
                  <w:r>
                    <w:rPr>
                      <w:kern w:val="0"/>
                      <w:szCs w:val="21"/>
                    </w:rPr>
                    <w:t>2.</w:t>
                  </w:r>
                  <w:r>
                    <w:rPr>
                      <w:rFonts w:hint="eastAsia"/>
                      <w:kern w:val="0"/>
                      <w:szCs w:val="21"/>
                    </w:rPr>
                    <w:t>向城镇污水集中处理设施排放水污染物，应当符合国家或者地方规定的水污染物排放标准。 </w:t>
                  </w:r>
                </w:p>
              </w:tc>
              <w:tc>
                <w:tcPr>
                  <w:tcW w:w="3236" w:type="dxa"/>
                  <w:vAlign w:val="center"/>
                </w:tcPr>
                <w:p w14:paraId="55EBB6A9">
                  <w:pPr>
                    <w:autoSpaceDE w:val="0"/>
                    <w:autoSpaceDN w:val="0"/>
                    <w:adjustRightInd w:val="0"/>
                    <w:snapToGrid w:val="0"/>
                    <w:jc w:val="center"/>
                    <w:rPr>
                      <w:kern w:val="0"/>
                      <w:szCs w:val="21"/>
                    </w:rPr>
                  </w:pPr>
                  <w:r>
                    <w:rPr>
                      <w:rFonts w:hint="eastAsia"/>
                      <w:kern w:val="0"/>
                      <w:szCs w:val="21"/>
                    </w:rPr>
                    <w:t>项目生产废水循环使用不外排，</w:t>
                  </w:r>
                  <w:r>
                    <w:rPr>
                      <w:rFonts w:hint="eastAsia"/>
                      <w:szCs w:val="21"/>
                    </w:rPr>
                    <w:t>项目生活污水依托现有生活污水处理设施</w:t>
                  </w:r>
                  <w:r>
                    <w:rPr>
                      <w:szCs w:val="21"/>
                    </w:rPr>
                    <w:t>处理后，</w:t>
                  </w:r>
                  <w:r>
                    <w:rPr>
                      <w:rFonts w:hint="eastAsia"/>
                      <w:szCs w:val="21"/>
                    </w:rPr>
                    <w:t>回用于直接冷却水的补充水，不外排。</w:t>
                  </w:r>
                </w:p>
              </w:tc>
              <w:tc>
                <w:tcPr>
                  <w:tcW w:w="1197" w:type="dxa"/>
                  <w:vAlign w:val="center"/>
                </w:tcPr>
                <w:p w14:paraId="4ECB6336">
                  <w:pPr>
                    <w:autoSpaceDE w:val="0"/>
                    <w:autoSpaceDN w:val="0"/>
                    <w:adjustRightInd w:val="0"/>
                    <w:snapToGrid w:val="0"/>
                    <w:jc w:val="center"/>
                    <w:rPr>
                      <w:kern w:val="0"/>
                      <w:szCs w:val="21"/>
                    </w:rPr>
                  </w:pPr>
                  <w:r>
                    <w:rPr>
                      <w:rFonts w:hint="eastAsia"/>
                      <w:szCs w:val="21"/>
                    </w:rPr>
                    <w:t>符合</w:t>
                  </w:r>
                </w:p>
              </w:tc>
            </w:tr>
            <w:tr w14:paraId="3C7D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6FC647FE">
                  <w:pPr>
                    <w:autoSpaceDE w:val="0"/>
                    <w:autoSpaceDN w:val="0"/>
                    <w:adjustRightInd w:val="0"/>
                    <w:snapToGrid w:val="0"/>
                    <w:jc w:val="left"/>
                    <w:rPr>
                      <w:kern w:val="0"/>
                      <w:szCs w:val="21"/>
                    </w:rPr>
                  </w:pPr>
                </w:p>
              </w:tc>
              <w:tc>
                <w:tcPr>
                  <w:tcW w:w="3227" w:type="dxa"/>
                  <w:vAlign w:val="center"/>
                </w:tcPr>
                <w:p w14:paraId="24C4D4BC">
                  <w:pPr>
                    <w:autoSpaceDE w:val="0"/>
                    <w:autoSpaceDN w:val="0"/>
                    <w:adjustRightInd w:val="0"/>
                    <w:snapToGrid w:val="0"/>
                    <w:jc w:val="left"/>
                    <w:rPr>
                      <w:kern w:val="0"/>
                      <w:szCs w:val="21"/>
                    </w:rPr>
                  </w:pPr>
                  <w:r>
                    <w:rPr>
                      <w:kern w:val="0"/>
                      <w:szCs w:val="21"/>
                    </w:rPr>
                    <w:t>3.</w:t>
                  </w:r>
                  <w:r>
                    <w:rPr>
                      <w:rFonts w:hint="eastAsia"/>
                      <w:kern w:val="0"/>
                      <w:szCs w:val="21"/>
                    </w:rPr>
                    <w:t>加强城镇生活污水收集处理设施建设和提标改造，城镇驻地逐步实现雨污分流。  </w:t>
                  </w:r>
                </w:p>
              </w:tc>
              <w:tc>
                <w:tcPr>
                  <w:tcW w:w="3236" w:type="dxa"/>
                  <w:vAlign w:val="center"/>
                </w:tcPr>
                <w:p w14:paraId="2E21F4B5">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67B5975F">
                  <w:pPr>
                    <w:autoSpaceDE w:val="0"/>
                    <w:autoSpaceDN w:val="0"/>
                    <w:adjustRightInd w:val="0"/>
                    <w:snapToGrid w:val="0"/>
                    <w:jc w:val="center"/>
                    <w:rPr>
                      <w:kern w:val="0"/>
                      <w:szCs w:val="21"/>
                    </w:rPr>
                  </w:pPr>
                  <w:r>
                    <w:rPr>
                      <w:szCs w:val="21"/>
                    </w:rPr>
                    <w:t>/</w:t>
                  </w:r>
                </w:p>
              </w:tc>
            </w:tr>
            <w:tr w14:paraId="74D8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14:paraId="245A2C4B">
                  <w:pPr>
                    <w:autoSpaceDE w:val="0"/>
                    <w:autoSpaceDN w:val="0"/>
                    <w:adjustRightInd w:val="0"/>
                    <w:snapToGrid w:val="0"/>
                    <w:jc w:val="left"/>
                    <w:rPr>
                      <w:kern w:val="0"/>
                      <w:szCs w:val="21"/>
                    </w:rPr>
                  </w:pPr>
                </w:p>
              </w:tc>
              <w:tc>
                <w:tcPr>
                  <w:tcW w:w="3227" w:type="dxa"/>
                  <w:vAlign w:val="center"/>
                </w:tcPr>
                <w:p w14:paraId="32620EBE">
                  <w:pPr>
                    <w:autoSpaceDE w:val="0"/>
                    <w:autoSpaceDN w:val="0"/>
                    <w:adjustRightInd w:val="0"/>
                    <w:snapToGrid w:val="0"/>
                    <w:jc w:val="left"/>
                    <w:rPr>
                      <w:kern w:val="0"/>
                      <w:szCs w:val="21"/>
                    </w:rPr>
                  </w:pPr>
                  <w:r>
                    <w:rPr>
                      <w:kern w:val="0"/>
                      <w:szCs w:val="21"/>
                    </w:rPr>
                    <w:t>4.</w:t>
                  </w:r>
                  <w:r>
                    <w:rPr>
                      <w:rFonts w:hint="eastAsia"/>
                      <w:kern w:val="0"/>
                      <w:szCs w:val="21"/>
                    </w:rPr>
                    <w:t>大力推进生活垃圾分类回收利用，建立分类投放、收集、运输、处理的生活垃圾收运处理系统。</w:t>
                  </w:r>
                </w:p>
              </w:tc>
              <w:tc>
                <w:tcPr>
                  <w:tcW w:w="3236" w:type="dxa"/>
                  <w:vAlign w:val="center"/>
                </w:tcPr>
                <w:p w14:paraId="76DC4C29">
                  <w:pPr>
                    <w:autoSpaceDE w:val="0"/>
                    <w:autoSpaceDN w:val="0"/>
                    <w:adjustRightInd w:val="0"/>
                    <w:snapToGrid w:val="0"/>
                    <w:jc w:val="center"/>
                    <w:rPr>
                      <w:kern w:val="0"/>
                      <w:szCs w:val="21"/>
                    </w:rPr>
                  </w:pPr>
                  <w:r>
                    <w:rPr>
                      <w:rFonts w:hint="eastAsia"/>
                      <w:szCs w:val="21"/>
                    </w:rPr>
                    <w:t>本</w:t>
                  </w:r>
                  <w:r>
                    <w:rPr>
                      <w:szCs w:val="21"/>
                    </w:rPr>
                    <w:t>项目不涉及</w:t>
                  </w:r>
                  <w:r>
                    <w:rPr>
                      <w:rFonts w:hint="eastAsia"/>
                      <w:szCs w:val="21"/>
                    </w:rPr>
                    <w:t>。</w:t>
                  </w:r>
                </w:p>
              </w:tc>
              <w:tc>
                <w:tcPr>
                  <w:tcW w:w="1197" w:type="dxa"/>
                  <w:vAlign w:val="center"/>
                </w:tcPr>
                <w:p w14:paraId="7C62C97C">
                  <w:pPr>
                    <w:autoSpaceDE w:val="0"/>
                    <w:autoSpaceDN w:val="0"/>
                    <w:adjustRightInd w:val="0"/>
                    <w:snapToGrid w:val="0"/>
                    <w:jc w:val="center"/>
                    <w:rPr>
                      <w:kern w:val="0"/>
                      <w:szCs w:val="21"/>
                    </w:rPr>
                  </w:pPr>
                  <w:r>
                    <w:rPr>
                      <w:szCs w:val="21"/>
                    </w:rPr>
                    <w:t>/</w:t>
                  </w:r>
                </w:p>
              </w:tc>
            </w:tr>
          </w:tbl>
          <w:p w14:paraId="3F2BBF62">
            <w:pPr>
              <w:autoSpaceDE w:val="0"/>
              <w:autoSpaceDN w:val="0"/>
              <w:adjustRightInd w:val="0"/>
              <w:snapToGrid w:val="0"/>
              <w:spacing w:line="360" w:lineRule="auto"/>
              <w:ind w:firstLine="480" w:firstLineChars="200"/>
              <w:jc w:val="left"/>
              <w:rPr>
                <w:rFonts w:eastAsiaTheme="minorEastAsia"/>
                <w:kern w:val="0"/>
                <w:sz w:val="24"/>
              </w:rPr>
            </w:pPr>
            <w:r>
              <w:rPr>
                <w:rFonts w:hint="eastAsia" w:eastAsiaTheme="minorEastAsia"/>
                <w:kern w:val="0"/>
                <w:sz w:val="24"/>
              </w:rPr>
              <w:t>经对照分析，项目符合所在地“三线一单”中与本项目有关的相关要求。</w:t>
            </w:r>
          </w:p>
          <w:p w14:paraId="0C59EBB2">
            <w:pPr>
              <w:autoSpaceDE w:val="0"/>
              <w:autoSpaceDN w:val="0"/>
              <w:adjustRightInd w:val="0"/>
              <w:snapToGrid w:val="0"/>
              <w:spacing w:line="360" w:lineRule="auto"/>
              <w:jc w:val="left"/>
              <w:rPr>
                <w:b/>
                <w:bCs/>
                <w:kern w:val="0"/>
                <w:sz w:val="24"/>
              </w:rPr>
            </w:pPr>
            <w:r>
              <w:rPr>
                <w:rFonts w:hint="eastAsia"/>
                <w:b/>
                <w:kern w:val="0"/>
                <w:sz w:val="24"/>
              </w:rPr>
              <w:t>（二）建设项目与相关生态环境保护法律法规政策、生态环境保护规划</w:t>
            </w:r>
            <w:r>
              <w:rPr>
                <w:rFonts w:hint="eastAsia"/>
                <w:b/>
                <w:bCs/>
                <w:kern w:val="0"/>
                <w:sz w:val="24"/>
              </w:rPr>
              <w:t>符合性分析</w:t>
            </w:r>
          </w:p>
          <w:p w14:paraId="2F836C08">
            <w:pPr>
              <w:autoSpaceDE w:val="0"/>
              <w:autoSpaceDN w:val="0"/>
              <w:adjustRightInd w:val="0"/>
              <w:snapToGrid w:val="0"/>
              <w:spacing w:line="360" w:lineRule="auto"/>
              <w:ind w:firstLine="480" w:firstLineChars="200"/>
              <w:jc w:val="left"/>
              <w:rPr>
                <w:kern w:val="0"/>
                <w:sz w:val="24"/>
              </w:rPr>
            </w:pPr>
            <w:r>
              <w:rPr>
                <w:kern w:val="0"/>
                <w:sz w:val="24"/>
              </w:rPr>
              <w:t>1</w:t>
            </w:r>
            <w:r>
              <w:rPr>
                <w:rFonts w:hint="eastAsia"/>
                <w:kern w:val="0"/>
                <w:sz w:val="24"/>
              </w:rPr>
              <w:t>、与《中华人民共和国大气污染防治法》（2</w:t>
            </w:r>
            <w:r>
              <w:rPr>
                <w:kern w:val="0"/>
                <w:sz w:val="24"/>
              </w:rPr>
              <w:t>018</w:t>
            </w:r>
            <w:r>
              <w:rPr>
                <w:rFonts w:hint="eastAsia"/>
                <w:kern w:val="0"/>
                <w:sz w:val="24"/>
              </w:rPr>
              <w:t>年1</w:t>
            </w:r>
            <w:r>
              <w:rPr>
                <w:kern w:val="0"/>
                <w:sz w:val="24"/>
              </w:rPr>
              <w:t>0</w:t>
            </w:r>
            <w:r>
              <w:rPr>
                <w:rFonts w:hint="eastAsia"/>
                <w:kern w:val="0"/>
                <w:sz w:val="24"/>
              </w:rPr>
              <w:t>月2</w:t>
            </w:r>
            <w:r>
              <w:rPr>
                <w:kern w:val="0"/>
                <w:sz w:val="24"/>
              </w:rPr>
              <w:t>6</w:t>
            </w:r>
            <w:r>
              <w:rPr>
                <w:rFonts w:hint="eastAsia"/>
                <w:kern w:val="0"/>
                <w:sz w:val="24"/>
              </w:rPr>
              <w:t>日）符合性分析</w:t>
            </w:r>
          </w:p>
          <w:p w14:paraId="198A3EC3">
            <w:pPr>
              <w:autoSpaceDE w:val="0"/>
              <w:autoSpaceDN w:val="0"/>
              <w:adjustRightInd w:val="0"/>
              <w:snapToGrid w:val="0"/>
              <w:spacing w:line="360" w:lineRule="auto"/>
              <w:ind w:firstLine="482" w:firstLineChars="200"/>
              <w:jc w:val="center"/>
              <w:rPr>
                <w:b/>
                <w:bCs/>
                <w:kern w:val="0"/>
                <w:sz w:val="24"/>
              </w:rPr>
            </w:pPr>
            <w:r>
              <w:rPr>
                <w:b/>
                <w:bCs/>
                <w:kern w:val="0"/>
                <w:sz w:val="24"/>
              </w:rPr>
              <w:t xml:space="preserve">表 </w:t>
            </w:r>
            <w:r>
              <w:rPr>
                <w:rFonts w:hint="eastAsia"/>
                <w:b/>
                <w:bCs/>
                <w:kern w:val="0"/>
                <w:sz w:val="24"/>
              </w:rPr>
              <w:t>1-</w:t>
            </w:r>
            <w:r>
              <w:rPr>
                <w:b/>
                <w:bCs/>
                <w:kern w:val="0"/>
                <w:sz w:val="24"/>
              </w:rPr>
              <w:t>3</w:t>
            </w:r>
            <w:r>
              <w:rPr>
                <w:b/>
                <w:bCs/>
                <w:kern w:val="0"/>
                <w:sz w:val="24"/>
              </w:rPr>
              <w:tab/>
            </w:r>
            <w:r>
              <w:rPr>
                <w:b/>
                <w:bCs/>
                <w:kern w:val="0"/>
                <w:sz w:val="24"/>
              </w:rPr>
              <w:t>与</w:t>
            </w:r>
            <w:r>
              <w:rPr>
                <w:rFonts w:hint="eastAsia"/>
                <w:b/>
                <w:bCs/>
                <w:kern w:val="0"/>
                <w:sz w:val="24"/>
              </w:rPr>
              <w:t>《中华人民共和国大气污染防治法》</w:t>
            </w:r>
            <w:r>
              <w:rPr>
                <w:b/>
                <w:bCs/>
                <w:kern w:val="0"/>
                <w:sz w:val="24"/>
              </w:rPr>
              <w:t>符合性分析一览表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2950"/>
              <w:gridCol w:w="1141"/>
            </w:tblGrid>
            <w:tr w14:paraId="44F1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67968BA4">
                  <w:pPr>
                    <w:adjustRightInd w:val="0"/>
                    <w:jc w:val="center"/>
                    <w:rPr>
                      <w:rFonts w:hAnsi="Calibri"/>
                      <w:b/>
                      <w:bCs/>
                      <w:szCs w:val="21"/>
                    </w:rPr>
                  </w:pPr>
                  <w:r>
                    <w:rPr>
                      <w:rFonts w:hint="eastAsia" w:hAnsi="Calibri"/>
                      <w:b/>
                      <w:bCs/>
                      <w:szCs w:val="21"/>
                    </w:rPr>
                    <w:t>与本项目相关的法律条文</w:t>
                  </w:r>
                </w:p>
              </w:tc>
              <w:tc>
                <w:tcPr>
                  <w:tcW w:w="1699" w:type="pct"/>
                  <w:vAlign w:val="center"/>
                </w:tcPr>
                <w:p w14:paraId="1577F363">
                  <w:pPr>
                    <w:adjustRightInd w:val="0"/>
                    <w:jc w:val="center"/>
                    <w:rPr>
                      <w:rFonts w:hAnsi="Calibri"/>
                      <w:b/>
                      <w:bCs/>
                      <w:szCs w:val="21"/>
                    </w:rPr>
                  </w:pPr>
                  <w:r>
                    <w:rPr>
                      <w:rFonts w:hint="eastAsia" w:hAnsi="Calibri"/>
                      <w:b/>
                      <w:bCs/>
                      <w:szCs w:val="21"/>
                    </w:rPr>
                    <w:t>项目情况</w:t>
                  </w:r>
                </w:p>
              </w:tc>
              <w:tc>
                <w:tcPr>
                  <w:tcW w:w="657" w:type="pct"/>
                  <w:vAlign w:val="center"/>
                </w:tcPr>
                <w:p w14:paraId="35C0EA84">
                  <w:pPr>
                    <w:adjustRightInd w:val="0"/>
                    <w:jc w:val="center"/>
                    <w:rPr>
                      <w:rFonts w:hAnsi="Calibri"/>
                      <w:b/>
                      <w:bCs/>
                      <w:szCs w:val="21"/>
                    </w:rPr>
                  </w:pPr>
                  <w:r>
                    <w:rPr>
                      <w:rFonts w:hint="eastAsia" w:hAnsi="Calibri"/>
                      <w:b/>
                      <w:bCs/>
                      <w:szCs w:val="21"/>
                    </w:rPr>
                    <w:t>符合情况</w:t>
                  </w:r>
                </w:p>
              </w:tc>
            </w:tr>
            <w:tr w14:paraId="1DE8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77E0B65C">
                  <w:pPr>
                    <w:adjustRightInd w:val="0"/>
                    <w:jc w:val="center"/>
                    <w:rPr>
                      <w:rFonts w:hAnsi="Calibri"/>
                      <w:b/>
                      <w:bCs/>
                      <w:szCs w:val="21"/>
                    </w:rPr>
                  </w:pPr>
                  <w:r>
                    <w:rPr>
                      <w:rFonts w:hint="eastAsia" w:hAnsi="Calibri"/>
                      <w:szCs w:val="21"/>
                    </w:rPr>
                    <w:t>第七条 企业事业单位和其他生产经营者应当采取有效措施，防止、减少大气污染，对所造成的损害依法承担责任。</w:t>
                  </w:r>
                </w:p>
              </w:tc>
              <w:tc>
                <w:tcPr>
                  <w:tcW w:w="1699" w:type="pct"/>
                  <w:vAlign w:val="center"/>
                </w:tcPr>
                <w:p w14:paraId="02C0DD10">
                  <w:pPr>
                    <w:adjustRightInd w:val="0"/>
                    <w:jc w:val="center"/>
                    <w:rPr>
                      <w:rFonts w:hAnsi="Calibri"/>
                      <w:szCs w:val="21"/>
                    </w:rPr>
                  </w:pPr>
                  <w:r>
                    <w:rPr>
                      <w:rFonts w:hint="eastAsia" w:hAnsi="Calibri"/>
                      <w:szCs w:val="21"/>
                    </w:rPr>
                    <w:t>本项目废气主要为焊接烟尘，采取布袋除尘器收集处理，减少了大气污染物排放。</w:t>
                  </w:r>
                </w:p>
              </w:tc>
              <w:tc>
                <w:tcPr>
                  <w:tcW w:w="657" w:type="pct"/>
                  <w:vAlign w:val="center"/>
                </w:tcPr>
                <w:p w14:paraId="3BED692F">
                  <w:pPr>
                    <w:adjustRightInd w:val="0"/>
                    <w:jc w:val="center"/>
                    <w:rPr>
                      <w:rFonts w:hAnsi="Calibri"/>
                      <w:szCs w:val="21"/>
                    </w:rPr>
                  </w:pPr>
                  <w:r>
                    <w:rPr>
                      <w:rFonts w:hint="eastAsia" w:hAnsi="Calibri"/>
                      <w:szCs w:val="21"/>
                    </w:rPr>
                    <w:t>符合</w:t>
                  </w:r>
                </w:p>
              </w:tc>
            </w:tr>
            <w:tr w14:paraId="3DDE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0D4B7FEC">
                  <w:pPr>
                    <w:adjustRightInd w:val="0"/>
                    <w:jc w:val="center"/>
                    <w:rPr>
                      <w:rFonts w:hAnsi="Calibri"/>
                      <w:szCs w:val="21"/>
                    </w:rPr>
                  </w:pPr>
                  <w:r>
                    <w:rPr>
                      <w:rFonts w:hint="eastAsia" w:hAnsi="Calibri"/>
                      <w:szCs w:val="21"/>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1699" w:type="pct"/>
                  <w:vAlign w:val="center"/>
                </w:tcPr>
                <w:p w14:paraId="24774200">
                  <w:pPr>
                    <w:adjustRightInd w:val="0"/>
                    <w:jc w:val="center"/>
                    <w:rPr>
                      <w:rFonts w:hAnsi="Calibri"/>
                      <w:szCs w:val="21"/>
                    </w:rPr>
                  </w:pPr>
                  <w:r>
                    <w:rPr>
                      <w:rFonts w:hint="eastAsia" w:hAnsi="Calibri"/>
                      <w:szCs w:val="21"/>
                    </w:rPr>
                    <w:t>本项目依法进行环境影响评价，焊接废气经处理后满足《大气污染物综合排放标准》（GB16297-1996）表2中新污染源大气污染物排放限值。本项目无重点大气污染物排放总量控制要求。</w:t>
                  </w:r>
                </w:p>
              </w:tc>
              <w:tc>
                <w:tcPr>
                  <w:tcW w:w="657" w:type="pct"/>
                  <w:vAlign w:val="center"/>
                </w:tcPr>
                <w:p w14:paraId="0E2BB57F">
                  <w:pPr>
                    <w:adjustRightInd w:val="0"/>
                    <w:jc w:val="center"/>
                    <w:rPr>
                      <w:rFonts w:hAnsi="Calibri"/>
                      <w:szCs w:val="21"/>
                    </w:rPr>
                  </w:pPr>
                  <w:r>
                    <w:rPr>
                      <w:rFonts w:hint="eastAsia" w:hAnsi="Calibri"/>
                      <w:szCs w:val="21"/>
                    </w:rPr>
                    <w:t>符合</w:t>
                  </w:r>
                </w:p>
              </w:tc>
            </w:tr>
            <w:tr w14:paraId="34DB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1CA715F7">
                  <w:pPr>
                    <w:adjustRightInd w:val="0"/>
                    <w:jc w:val="center"/>
                    <w:rPr>
                      <w:rFonts w:hAnsi="Calibri"/>
                      <w:szCs w:val="21"/>
                    </w:rPr>
                  </w:pPr>
                  <w:r>
                    <w:rPr>
                      <w:rFonts w:hint="eastAsia" w:hAnsi="Calibri"/>
                      <w:szCs w:val="21"/>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1699" w:type="pct"/>
                  <w:vAlign w:val="center"/>
                </w:tcPr>
                <w:p w14:paraId="510274AE">
                  <w:pPr>
                    <w:adjustRightInd w:val="0"/>
                    <w:jc w:val="center"/>
                    <w:rPr>
                      <w:rFonts w:hAnsi="Calibri"/>
                      <w:szCs w:val="21"/>
                    </w:rPr>
                  </w:pPr>
                  <w:r>
                    <w:rPr>
                      <w:rFonts w:hint="eastAsia" w:hAnsi="Calibri"/>
                      <w:szCs w:val="21"/>
                    </w:rPr>
                    <w:t>本项目属于排污许可登记管理，在启动生产设施或者发生实际排污之前依法办理排污许可证。</w:t>
                  </w:r>
                </w:p>
              </w:tc>
              <w:tc>
                <w:tcPr>
                  <w:tcW w:w="657" w:type="pct"/>
                  <w:vAlign w:val="center"/>
                </w:tcPr>
                <w:p w14:paraId="664309C8">
                  <w:pPr>
                    <w:adjustRightInd w:val="0"/>
                    <w:jc w:val="center"/>
                    <w:rPr>
                      <w:rFonts w:hAnsi="Calibri"/>
                      <w:szCs w:val="21"/>
                    </w:rPr>
                  </w:pPr>
                  <w:r>
                    <w:rPr>
                      <w:rFonts w:hint="eastAsia" w:hAnsi="Calibri"/>
                      <w:szCs w:val="21"/>
                    </w:rPr>
                    <w:t>符合</w:t>
                  </w:r>
                </w:p>
              </w:tc>
            </w:tr>
            <w:tr w14:paraId="3F0E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551869B0">
                  <w:pPr>
                    <w:adjustRightInd w:val="0"/>
                    <w:jc w:val="center"/>
                    <w:rPr>
                      <w:rFonts w:hAnsi="Calibri"/>
                      <w:szCs w:val="21"/>
                    </w:rPr>
                  </w:pPr>
                  <w:r>
                    <w:rPr>
                      <w:rFonts w:hint="eastAsia" w:hAnsi="Calibri"/>
                      <w:szCs w:val="21"/>
                    </w:rPr>
                    <w:t>第二十七条 国家对严重污染大气环境的工艺、设备和产品实行淘汰制度。</w:t>
                  </w:r>
                </w:p>
              </w:tc>
              <w:tc>
                <w:tcPr>
                  <w:tcW w:w="1699" w:type="pct"/>
                  <w:vAlign w:val="center"/>
                </w:tcPr>
                <w:p w14:paraId="249B5530">
                  <w:pPr>
                    <w:adjustRightInd w:val="0"/>
                    <w:jc w:val="center"/>
                    <w:rPr>
                      <w:rFonts w:hAnsi="Calibri"/>
                      <w:szCs w:val="21"/>
                    </w:rPr>
                  </w:pPr>
                  <w:r>
                    <w:rPr>
                      <w:rFonts w:hint="eastAsia" w:hAnsi="Calibri"/>
                      <w:szCs w:val="21"/>
                    </w:rPr>
                    <w:t>根据《产业结构调整指导目录（2024年本）》，本项目不属于淘汰类、限制类。</w:t>
                  </w:r>
                </w:p>
              </w:tc>
              <w:tc>
                <w:tcPr>
                  <w:tcW w:w="657" w:type="pct"/>
                  <w:vAlign w:val="center"/>
                </w:tcPr>
                <w:p w14:paraId="761FDA84">
                  <w:pPr>
                    <w:adjustRightInd w:val="0"/>
                    <w:jc w:val="center"/>
                    <w:rPr>
                      <w:rFonts w:hAnsi="Calibri"/>
                      <w:szCs w:val="21"/>
                    </w:rPr>
                  </w:pPr>
                  <w:r>
                    <w:rPr>
                      <w:rFonts w:hint="eastAsia" w:hAnsi="Calibri"/>
                      <w:szCs w:val="21"/>
                    </w:rPr>
                    <w:t>符合</w:t>
                  </w:r>
                </w:p>
              </w:tc>
            </w:tr>
            <w:tr w14:paraId="4650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3B1E739C">
                  <w:pPr>
                    <w:adjustRightInd w:val="0"/>
                    <w:jc w:val="center"/>
                    <w:rPr>
                      <w:rFonts w:hAnsi="Calibri"/>
                      <w:szCs w:val="21"/>
                    </w:rPr>
                  </w:pPr>
                  <w:r>
                    <w:rPr>
                      <w:rFonts w:hint="eastAsia" w:hAnsi="Calibri"/>
                      <w:szCs w:val="21"/>
                    </w:rPr>
                    <w:t>第四十三条 钢铁、建材、有色金属、石油、化工等企业生产过程中排放粉尘、硫化物和氮氧化物的，应当采用清洁生产工艺，配套建设除尘、脱硫、脱硝等装置，或者采取技术改造等其他控制大气污染物排放的措施。</w:t>
                  </w:r>
                </w:p>
              </w:tc>
              <w:tc>
                <w:tcPr>
                  <w:tcW w:w="1699" w:type="pct"/>
                  <w:vAlign w:val="center"/>
                </w:tcPr>
                <w:p w14:paraId="1A45F0CE">
                  <w:pPr>
                    <w:adjustRightInd w:val="0"/>
                    <w:jc w:val="center"/>
                    <w:rPr>
                      <w:rFonts w:hAnsi="Calibri"/>
                      <w:szCs w:val="21"/>
                    </w:rPr>
                  </w:pPr>
                  <w:r>
                    <w:rPr>
                      <w:rFonts w:hint="eastAsia" w:hAnsi="Calibri"/>
                      <w:szCs w:val="21"/>
                    </w:rPr>
                    <w:t>本项目焊接废气采取布袋除尘器收集处理。</w:t>
                  </w:r>
                </w:p>
              </w:tc>
              <w:tc>
                <w:tcPr>
                  <w:tcW w:w="657" w:type="pct"/>
                  <w:vAlign w:val="center"/>
                </w:tcPr>
                <w:p w14:paraId="0833CD1B">
                  <w:pPr>
                    <w:adjustRightInd w:val="0"/>
                    <w:jc w:val="center"/>
                    <w:rPr>
                      <w:rFonts w:hAnsi="Calibri"/>
                      <w:szCs w:val="21"/>
                    </w:rPr>
                  </w:pPr>
                  <w:r>
                    <w:rPr>
                      <w:rFonts w:hint="eastAsia" w:hAnsi="Calibri"/>
                      <w:szCs w:val="21"/>
                    </w:rPr>
                    <w:t>符合</w:t>
                  </w:r>
                </w:p>
              </w:tc>
            </w:tr>
          </w:tbl>
          <w:p w14:paraId="68A5B5AE">
            <w:pPr>
              <w:autoSpaceDE w:val="0"/>
              <w:autoSpaceDN w:val="0"/>
              <w:adjustRightInd w:val="0"/>
              <w:snapToGrid w:val="0"/>
              <w:spacing w:line="360" w:lineRule="auto"/>
              <w:ind w:firstLine="480" w:firstLineChars="200"/>
              <w:jc w:val="left"/>
              <w:rPr>
                <w:kern w:val="0"/>
                <w:sz w:val="24"/>
              </w:rPr>
            </w:pPr>
            <w:r>
              <w:rPr>
                <w:rFonts w:hint="eastAsia"/>
                <w:kern w:val="0"/>
                <w:sz w:val="24"/>
              </w:rPr>
              <w:t>综上，本项目符合《中华人民共和国大气污染防治法》（2</w:t>
            </w:r>
            <w:r>
              <w:rPr>
                <w:kern w:val="0"/>
                <w:sz w:val="24"/>
              </w:rPr>
              <w:t>018</w:t>
            </w:r>
            <w:r>
              <w:rPr>
                <w:rFonts w:hint="eastAsia"/>
                <w:kern w:val="0"/>
                <w:sz w:val="24"/>
              </w:rPr>
              <w:t>年1</w:t>
            </w:r>
            <w:r>
              <w:rPr>
                <w:kern w:val="0"/>
                <w:sz w:val="24"/>
              </w:rPr>
              <w:t>0</w:t>
            </w:r>
            <w:r>
              <w:rPr>
                <w:rFonts w:hint="eastAsia"/>
                <w:kern w:val="0"/>
                <w:sz w:val="24"/>
              </w:rPr>
              <w:t>月2</w:t>
            </w:r>
            <w:r>
              <w:rPr>
                <w:kern w:val="0"/>
                <w:sz w:val="24"/>
              </w:rPr>
              <w:t>6</w:t>
            </w:r>
            <w:r>
              <w:rPr>
                <w:rFonts w:hint="eastAsia"/>
                <w:kern w:val="0"/>
                <w:sz w:val="24"/>
              </w:rPr>
              <w:t>日）的相关规定。</w:t>
            </w:r>
          </w:p>
          <w:p w14:paraId="50C2D958">
            <w:pPr>
              <w:autoSpaceDE w:val="0"/>
              <w:autoSpaceDN w:val="0"/>
              <w:adjustRightInd w:val="0"/>
              <w:snapToGrid w:val="0"/>
              <w:spacing w:line="360" w:lineRule="auto"/>
              <w:ind w:firstLine="480" w:firstLineChars="200"/>
              <w:jc w:val="left"/>
              <w:rPr>
                <w:kern w:val="0"/>
                <w:sz w:val="24"/>
              </w:rPr>
            </w:pPr>
            <w:r>
              <w:rPr>
                <w:rFonts w:hint="eastAsia"/>
                <w:kern w:val="0"/>
                <w:sz w:val="24"/>
              </w:rPr>
              <w:t>2、与《中华人民共和国水污染防治法》（2</w:t>
            </w:r>
            <w:r>
              <w:rPr>
                <w:kern w:val="0"/>
                <w:sz w:val="24"/>
              </w:rPr>
              <w:t>018</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日）符合性分析</w:t>
            </w:r>
          </w:p>
          <w:p w14:paraId="4789B8A6">
            <w:pPr>
              <w:autoSpaceDE w:val="0"/>
              <w:autoSpaceDN w:val="0"/>
              <w:adjustRightInd w:val="0"/>
              <w:snapToGrid w:val="0"/>
              <w:spacing w:line="360" w:lineRule="auto"/>
              <w:ind w:firstLine="482" w:firstLineChars="200"/>
              <w:jc w:val="center"/>
              <w:rPr>
                <w:b/>
                <w:bCs/>
                <w:kern w:val="0"/>
                <w:sz w:val="24"/>
              </w:rPr>
            </w:pPr>
            <w:r>
              <w:rPr>
                <w:b/>
                <w:bCs/>
                <w:kern w:val="0"/>
                <w:sz w:val="24"/>
              </w:rPr>
              <w:t xml:space="preserve">表 </w:t>
            </w:r>
            <w:r>
              <w:rPr>
                <w:rFonts w:hint="eastAsia"/>
                <w:b/>
                <w:bCs/>
                <w:kern w:val="0"/>
                <w:sz w:val="24"/>
              </w:rPr>
              <w:t>1-</w:t>
            </w:r>
            <w:r>
              <w:rPr>
                <w:b/>
                <w:bCs/>
                <w:kern w:val="0"/>
                <w:sz w:val="24"/>
              </w:rPr>
              <w:t>4</w:t>
            </w:r>
            <w:r>
              <w:rPr>
                <w:b/>
                <w:bCs/>
                <w:kern w:val="0"/>
                <w:sz w:val="24"/>
              </w:rPr>
              <w:tab/>
            </w:r>
            <w:r>
              <w:rPr>
                <w:b/>
                <w:bCs/>
                <w:kern w:val="0"/>
                <w:sz w:val="24"/>
              </w:rPr>
              <w:t>与</w:t>
            </w:r>
            <w:r>
              <w:rPr>
                <w:rFonts w:hint="eastAsia"/>
                <w:b/>
                <w:bCs/>
                <w:kern w:val="0"/>
                <w:sz w:val="24"/>
              </w:rPr>
              <w:t>《中华人民共和国水污染防治法》</w:t>
            </w:r>
            <w:r>
              <w:rPr>
                <w:b/>
                <w:bCs/>
                <w:kern w:val="0"/>
                <w:sz w:val="24"/>
              </w:rPr>
              <w:t>符合性分析一览表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2950"/>
              <w:gridCol w:w="1141"/>
            </w:tblGrid>
            <w:tr w14:paraId="3B42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097D8BDA">
                  <w:pPr>
                    <w:adjustRightInd w:val="0"/>
                    <w:jc w:val="center"/>
                    <w:rPr>
                      <w:rFonts w:hAnsi="Calibri"/>
                      <w:b/>
                      <w:bCs/>
                      <w:szCs w:val="21"/>
                    </w:rPr>
                  </w:pPr>
                  <w:r>
                    <w:rPr>
                      <w:rFonts w:hint="eastAsia" w:hAnsi="Calibri"/>
                      <w:b/>
                      <w:bCs/>
                      <w:szCs w:val="21"/>
                    </w:rPr>
                    <w:t>与本项目相关的法律条文</w:t>
                  </w:r>
                </w:p>
              </w:tc>
              <w:tc>
                <w:tcPr>
                  <w:tcW w:w="1699" w:type="pct"/>
                  <w:vAlign w:val="center"/>
                </w:tcPr>
                <w:p w14:paraId="306AF1FA">
                  <w:pPr>
                    <w:adjustRightInd w:val="0"/>
                    <w:jc w:val="center"/>
                    <w:rPr>
                      <w:rFonts w:hAnsi="Calibri"/>
                      <w:b/>
                      <w:bCs/>
                      <w:szCs w:val="21"/>
                    </w:rPr>
                  </w:pPr>
                  <w:r>
                    <w:rPr>
                      <w:rFonts w:hint="eastAsia" w:hAnsi="Calibri"/>
                      <w:b/>
                      <w:bCs/>
                      <w:szCs w:val="21"/>
                    </w:rPr>
                    <w:t>项目情况</w:t>
                  </w:r>
                </w:p>
              </w:tc>
              <w:tc>
                <w:tcPr>
                  <w:tcW w:w="657" w:type="pct"/>
                  <w:vAlign w:val="center"/>
                </w:tcPr>
                <w:p w14:paraId="11D1DE1D">
                  <w:pPr>
                    <w:adjustRightInd w:val="0"/>
                    <w:jc w:val="center"/>
                    <w:rPr>
                      <w:rFonts w:hAnsi="Calibri"/>
                      <w:b/>
                      <w:bCs/>
                      <w:szCs w:val="21"/>
                    </w:rPr>
                  </w:pPr>
                  <w:r>
                    <w:rPr>
                      <w:rFonts w:hint="eastAsia" w:hAnsi="Calibri"/>
                      <w:b/>
                      <w:bCs/>
                      <w:szCs w:val="21"/>
                    </w:rPr>
                    <w:t>符合情况</w:t>
                  </w:r>
                </w:p>
              </w:tc>
            </w:tr>
            <w:tr w14:paraId="3FB1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07FED6EA">
                  <w:pPr>
                    <w:adjustRightInd w:val="0"/>
                    <w:jc w:val="center"/>
                    <w:rPr>
                      <w:rFonts w:hAnsi="Calibri"/>
                      <w:szCs w:val="21"/>
                    </w:rPr>
                  </w:pPr>
                  <w:r>
                    <w:rPr>
                      <w:rFonts w:hint="eastAsia" w:hAnsi="Calibri"/>
                      <w:szCs w:val="21"/>
                    </w:rPr>
                    <w:t>第十条 排放水污染物，不得超过国家或者地方规定的水污染物排放标准和重点水污染物排放总量控制指标。</w:t>
                  </w:r>
                </w:p>
              </w:tc>
              <w:tc>
                <w:tcPr>
                  <w:tcW w:w="1699" w:type="pct"/>
                  <w:vAlign w:val="center"/>
                </w:tcPr>
                <w:p w14:paraId="5687791E">
                  <w:pPr>
                    <w:adjustRightInd w:val="0"/>
                    <w:jc w:val="center"/>
                    <w:rPr>
                      <w:rFonts w:hAnsi="Calibri"/>
                      <w:szCs w:val="21"/>
                    </w:rPr>
                  </w:pPr>
                  <w:r>
                    <w:rPr>
                      <w:rFonts w:hint="eastAsia"/>
                      <w:kern w:val="0"/>
                      <w:szCs w:val="21"/>
                    </w:rPr>
                    <w:t>项目生产废水、</w:t>
                  </w:r>
                  <w:r>
                    <w:rPr>
                      <w:rFonts w:hint="eastAsia"/>
                      <w:szCs w:val="21"/>
                    </w:rPr>
                    <w:t>生活污水经处理后回用，不外排。</w:t>
                  </w:r>
                </w:p>
              </w:tc>
              <w:tc>
                <w:tcPr>
                  <w:tcW w:w="657" w:type="pct"/>
                  <w:vAlign w:val="center"/>
                </w:tcPr>
                <w:p w14:paraId="263E50E3">
                  <w:pPr>
                    <w:adjustRightInd w:val="0"/>
                    <w:jc w:val="center"/>
                    <w:rPr>
                      <w:rFonts w:hAnsi="Calibri"/>
                      <w:szCs w:val="21"/>
                    </w:rPr>
                  </w:pPr>
                  <w:r>
                    <w:rPr>
                      <w:rFonts w:hint="eastAsia" w:hAnsi="Calibri"/>
                      <w:szCs w:val="21"/>
                    </w:rPr>
                    <w:t>符合</w:t>
                  </w:r>
                </w:p>
              </w:tc>
            </w:tr>
            <w:tr w14:paraId="3A5D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24B47EAE">
                  <w:pPr>
                    <w:adjustRightInd w:val="0"/>
                    <w:jc w:val="center"/>
                    <w:rPr>
                      <w:rFonts w:hAnsi="Calibri"/>
                      <w:szCs w:val="21"/>
                    </w:rPr>
                  </w:pPr>
                  <w:r>
                    <w:rPr>
                      <w:rFonts w:hint="eastAsia" w:hAnsi="Calibri"/>
                      <w:szCs w:val="21"/>
                    </w:rPr>
                    <w:t>第十九条 新建、改建、扩建直接或者间接向水体排放污染物的建设项目和其他水上设施，应当依法进行环境影响评价。建设单位在江河、湖泊新建、改建、扩建排污口的，应当取得水行政主管部门或者流域管理机构同意；涉及通航、渔业水域的，环境保护主管部门在审批环境影响评价文件时，应当征求交通、渔业主管部门的意见。建设项目的水污染防治设施，应当与主体工程同时设计、同时施工、同时投入使用。水污染防治设施应当符合经批准或者备案的环境影响评价文件的要求。</w:t>
                  </w:r>
                </w:p>
              </w:tc>
              <w:tc>
                <w:tcPr>
                  <w:tcW w:w="1699" w:type="pct"/>
                  <w:vAlign w:val="center"/>
                </w:tcPr>
                <w:p w14:paraId="3B6C90CF">
                  <w:pPr>
                    <w:adjustRightInd w:val="0"/>
                    <w:jc w:val="center"/>
                    <w:rPr>
                      <w:rFonts w:hAnsi="Calibri"/>
                      <w:szCs w:val="21"/>
                    </w:rPr>
                  </w:pPr>
                  <w:r>
                    <w:rPr>
                      <w:rFonts w:hint="eastAsia" w:hAnsi="Calibri"/>
                      <w:szCs w:val="21"/>
                    </w:rPr>
                    <w:t>本项目依法进行环境影响评价，</w:t>
                  </w:r>
                  <w:r>
                    <w:rPr>
                      <w:rFonts w:hint="eastAsia"/>
                      <w:kern w:val="0"/>
                      <w:szCs w:val="21"/>
                    </w:rPr>
                    <w:t>项目生产废水循环使用不外排，</w:t>
                  </w:r>
                  <w:r>
                    <w:rPr>
                      <w:rFonts w:hint="eastAsia"/>
                      <w:szCs w:val="21"/>
                    </w:rPr>
                    <w:t>项目生活污水依托现有生活污水处理设施</w:t>
                  </w:r>
                  <w:r>
                    <w:rPr>
                      <w:szCs w:val="21"/>
                    </w:rPr>
                    <w:t>处理后，</w:t>
                  </w:r>
                  <w:r>
                    <w:rPr>
                      <w:rFonts w:hint="eastAsia"/>
                      <w:szCs w:val="21"/>
                    </w:rPr>
                    <w:t>回用于直接冷却水的补充水，不外排。</w:t>
                  </w:r>
                </w:p>
              </w:tc>
              <w:tc>
                <w:tcPr>
                  <w:tcW w:w="657" w:type="pct"/>
                  <w:vAlign w:val="center"/>
                </w:tcPr>
                <w:p w14:paraId="4EFC267F">
                  <w:pPr>
                    <w:adjustRightInd w:val="0"/>
                    <w:jc w:val="center"/>
                    <w:rPr>
                      <w:rFonts w:hAnsi="Calibri"/>
                      <w:szCs w:val="21"/>
                    </w:rPr>
                  </w:pPr>
                  <w:r>
                    <w:rPr>
                      <w:rFonts w:hint="eastAsia" w:hAnsi="Calibri"/>
                      <w:szCs w:val="21"/>
                    </w:rPr>
                    <w:t>符合</w:t>
                  </w:r>
                </w:p>
              </w:tc>
            </w:tr>
            <w:tr w14:paraId="5AE3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6244DE36">
                  <w:pPr>
                    <w:adjustRightInd w:val="0"/>
                    <w:jc w:val="center"/>
                    <w:rPr>
                      <w:rFonts w:hAnsi="Calibri"/>
                      <w:szCs w:val="21"/>
                    </w:rPr>
                  </w:pPr>
                  <w:r>
                    <w:rPr>
                      <w:rFonts w:hint="eastAsia" w:hAnsi="Calibri"/>
                      <w:szCs w:val="21"/>
                    </w:rPr>
                    <w:t>第二十条 国家对重点水污染物排放实施总量控制制度。</w:t>
                  </w:r>
                </w:p>
              </w:tc>
              <w:tc>
                <w:tcPr>
                  <w:tcW w:w="1699" w:type="pct"/>
                  <w:vAlign w:val="center"/>
                </w:tcPr>
                <w:p w14:paraId="070D9A88">
                  <w:pPr>
                    <w:adjustRightInd w:val="0"/>
                    <w:jc w:val="center"/>
                    <w:rPr>
                      <w:rFonts w:hAnsi="Calibri"/>
                      <w:szCs w:val="21"/>
                    </w:rPr>
                  </w:pPr>
                  <w:r>
                    <w:rPr>
                      <w:rFonts w:hint="eastAsia" w:hAnsi="Calibri"/>
                      <w:szCs w:val="21"/>
                    </w:rPr>
                    <w:t>本项目不涉及</w:t>
                  </w:r>
                </w:p>
              </w:tc>
              <w:tc>
                <w:tcPr>
                  <w:tcW w:w="657" w:type="pct"/>
                  <w:vAlign w:val="center"/>
                </w:tcPr>
                <w:p w14:paraId="2FEE0FE0">
                  <w:pPr>
                    <w:adjustRightInd w:val="0"/>
                    <w:jc w:val="center"/>
                    <w:rPr>
                      <w:rFonts w:hAnsi="Calibri"/>
                      <w:szCs w:val="21"/>
                    </w:rPr>
                  </w:pPr>
                  <w:r>
                    <w:rPr>
                      <w:rFonts w:hint="eastAsia" w:hAnsi="Calibri"/>
                      <w:szCs w:val="21"/>
                    </w:rPr>
                    <w:t>/</w:t>
                  </w:r>
                </w:p>
              </w:tc>
            </w:tr>
            <w:tr w14:paraId="74A1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37AAB631">
                  <w:pPr>
                    <w:adjustRightInd w:val="0"/>
                    <w:jc w:val="center"/>
                    <w:rPr>
                      <w:rFonts w:hAnsi="Calibri"/>
                      <w:szCs w:val="21"/>
                    </w:rPr>
                  </w:pPr>
                  <w:r>
                    <w:rPr>
                      <w:rFonts w:hint="eastAsia" w:hAnsi="Calibri"/>
                      <w:szCs w:val="21"/>
                    </w:rPr>
                    <w:t>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禁止企业事业单位和其他生产经营者无排污许可证或者违反排污许可证的规定向水体排放前款规定的废水、污水。</w:t>
                  </w:r>
                </w:p>
              </w:tc>
              <w:tc>
                <w:tcPr>
                  <w:tcW w:w="1699" w:type="pct"/>
                  <w:vAlign w:val="center"/>
                </w:tcPr>
                <w:p w14:paraId="2B1C3FAF">
                  <w:pPr>
                    <w:adjustRightInd w:val="0"/>
                    <w:jc w:val="center"/>
                    <w:rPr>
                      <w:rFonts w:hAnsi="Calibri"/>
                      <w:szCs w:val="21"/>
                    </w:rPr>
                  </w:pPr>
                  <w:r>
                    <w:rPr>
                      <w:rFonts w:hint="eastAsia"/>
                      <w:kern w:val="0"/>
                      <w:szCs w:val="21"/>
                    </w:rPr>
                    <w:t>项目生产废水、</w:t>
                  </w:r>
                  <w:r>
                    <w:rPr>
                      <w:rFonts w:hint="eastAsia"/>
                      <w:szCs w:val="21"/>
                    </w:rPr>
                    <w:t>生活污水经处理后回用，不外排。</w:t>
                  </w:r>
                </w:p>
              </w:tc>
              <w:tc>
                <w:tcPr>
                  <w:tcW w:w="657" w:type="pct"/>
                  <w:vAlign w:val="center"/>
                </w:tcPr>
                <w:p w14:paraId="75C3D3CB">
                  <w:pPr>
                    <w:adjustRightInd w:val="0"/>
                    <w:jc w:val="center"/>
                    <w:rPr>
                      <w:rFonts w:hAnsi="Calibri"/>
                      <w:szCs w:val="21"/>
                    </w:rPr>
                  </w:pPr>
                  <w:r>
                    <w:rPr>
                      <w:rFonts w:hint="eastAsia" w:hAnsi="Calibri"/>
                      <w:szCs w:val="21"/>
                    </w:rPr>
                    <w:t>符合</w:t>
                  </w:r>
                </w:p>
              </w:tc>
            </w:tr>
            <w:tr w14:paraId="212D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72B19541">
                  <w:pPr>
                    <w:adjustRightInd w:val="0"/>
                    <w:jc w:val="center"/>
                    <w:rPr>
                      <w:rFonts w:hAnsi="Calibri"/>
                      <w:szCs w:val="21"/>
                    </w:rPr>
                  </w:pPr>
                  <w:r>
                    <w:rPr>
                      <w:rFonts w:hint="eastAsia" w:hAnsi="Calibri"/>
                      <w:szCs w:val="21"/>
                    </w:rPr>
                    <w:t>第二十二条 向水体排放污染物的企业事业单位和其他生产经营者，应当按照法律、行政法规和国务院环境保护主管部门的规定设置排污口；在江河、湖泊设置排污口的，还应当遵守国务院水行政主管部门的规定。</w:t>
                  </w:r>
                </w:p>
              </w:tc>
              <w:tc>
                <w:tcPr>
                  <w:tcW w:w="1699" w:type="pct"/>
                  <w:vAlign w:val="center"/>
                </w:tcPr>
                <w:p w14:paraId="21B7C9FD">
                  <w:pPr>
                    <w:adjustRightInd w:val="0"/>
                    <w:jc w:val="center"/>
                    <w:rPr>
                      <w:kern w:val="0"/>
                      <w:szCs w:val="21"/>
                    </w:rPr>
                  </w:pPr>
                  <w:r>
                    <w:rPr>
                      <w:rFonts w:hint="eastAsia"/>
                      <w:kern w:val="0"/>
                      <w:szCs w:val="21"/>
                    </w:rPr>
                    <w:t>项目生产废水、</w:t>
                  </w:r>
                  <w:r>
                    <w:rPr>
                      <w:rFonts w:hint="eastAsia"/>
                      <w:szCs w:val="21"/>
                    </w:rPr>
                    <w:t>生活污水经处理后回用，不外排。</w:t>
                  </w:r>
                </w:p>
              </w:tc>
              <w:tc>
                <w:tcPr>
                  <w:tcW w:w="657" w:type="pct"/>
                  <w:vAlign w:val="center"/>
                </w:tcPr>
                <w:p w14:paraId="22CCADA1">
                  <w:pPr>
                    <w:adjustRightInd w:val="0"/>
                    <w:jc w:val="center"/>
                    <w:rPr>
                      <w:rFonts w:hAnsi="Calibri"/>
                      <w:szCs w:val="21"/>
                    </w:rPr>
                  </w:pPr>
                  <w:r>
                    <w:rPr>
                      <w:rFonts w:hint="eastAsia" w:hAnsi="Calibri"/>
                      <w:szCs w:val="21"/>
                    </w:rPr>
                    <w:t>符合</w:t>
                  </w:r>
                </w:p>
              </w:tc>
            </w:tr>
            <w:tr w14:paraId="5A5D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52A19460">
                  <w:pPr>
                    <w:adjustRightInd w:val="0"/>
                    <w:jc w:val="center"/>
                    <w:rPr>
                      <w:rFonts w:hAnsi="Calibri"/>
                      <w:szCs w:val="21"/>
                    </w:rPr>
                  </w:pPr>
                  <w:r>
                    <w:rPr>
                      <w:rFonts w:hint="eastAsia" w:hAnsi="Calibri"/>
                      <w:szCs w:val="21"/>
                    </w:rPr>
                    <w:t>第四十五条 排放工业废水的企业应当采取有效措施，收集和处理产生的全部废水，防止污染环境。含有毒有害水污染物的工业废水应当分类收集和处理，不得稀释排放。工业集聚区应当配套建设相应的污水集中处理设施，安装自动监测设备，与环境保护主管部门的监控设备联网，并保证监测设备正常运行。向污水集中处理设施排放工业废水的，应当按照国家有关规定进行预处理，达到集中处理设施处理工艺要求后方可排放。</w:t>
                  </w:r>
                </w:p>
              </w:tc>
              <w:tc>
                <w:tcPr>
                  <w:tcW w:w="1699" w:type="pct"/>
                  <w:vAlign w:val="center"/>
                </w:tcPr>
                <w:p w14:paraId="1BC60CB5">
                  <w:pPr>
                    <w:adjustRightInd w:val="0"/>
                    <w:jc w:val="center"/>
                    <w:rPr>
                      <w:kern w:val="0"/>
                      <w:szCs w:val="21"/>
                    </w:rPr>
                  </w:pPr>
                  <w:r>
                    <w:rPr>
                      <w:rFonts w:hint="eastAsia"/>
                      <w:kern w:val="0"/>
                      <w:szCs w:val="21"/>
                    </w:rPr>
                    <w:t>项目生产废水循环使用不外排，</w:t>
                  </w:r>
                  <w:r>
                    <w:rPr>
                      <w:rFonts w:hint="eastAsia"/>
                      <w:szCs w:val="21"/>
                    </w:rPr>
                    <w:t>项目生活污水依托现有生活污水处理设施</w:t>
                  </w:r>
                  <w:r>
                    <w:rPr>
                      <w:szCs w:val="21"/>
                    </w:rPr>
                    <w:t>处理后，</w:t>
                  </w:r>
                  <w:r>
                    <w:rPr>
                      <w:rFonts w:hint="eastAsia"/>
                      <w:szCs w:val="21"/>
                    </w:rPr>
                    <w:t>回用于直接冷却水的补充水，不外排。</w:t>
                  </w:r>
                </w:p>
              </w:tc>
              <w:tc>
                <w:tcPr>
                  <w:tcW w:w="657" w:type="pct"/>
                  <w:vAlign w:val="center"/>
                </w:tcPr>
                <w:p w14:paraId="17E22977">
                  <w:pPr>
                    <w:adjustRightInd w:val="0"/>
                    <w:jc w:val="center"/>
                    <w:rPr>
                      <w:rFonts w:hAnsi="Calibri"/>
                      <w:szCs w:val="21"/>
                    </w:rPr>
                  </w:pPr>
                  <w:r>
                    <w:rPr>
                      <w:rFonts w:hint="eastAsia" w:hAnsi="Calibri"/>
                      <w:szCs w:val="21"/>
                    </w:rPr>
                    <w:t>符合</w:t>
                  </w:r>
                </w:p>
              </w:tc>
            </w:tr>
            <w:tr w14:paraId="788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61A02E9D">
                  <w:pPr>
                    <w:adjustRightInd w:val="0"/>
                    <w:jc w:val="center"/>
                    <w:rPr>
                      <w:rFonts w:hAnsi="Calibri"/>
                      <w:szCs w:val="21"/>
                    </w:rPr>
                  </w:pPr>
                  <w:r>
                    <w:rPr>
                      <w:rFonts w:hint="eastAsia" w:hAnsi="Calibri"/>
                      <w:szCs w:val="21"/>
                    </w:rPr>
                    <w:t>第四十六条 国家对严重污染水环境的落后工艺和设备实行淘汰制度。</w:t>
                  </w:r>
                </w:p>
              </w:tc>
              <w:tc>
                <w:tcPr>
                  <w:tcW w:w="1699" w:type="pct"/>
                  <w:vAlign w:val="center"/>
                </w:tcPr>
                <w:p w14:paraId="59291E11">
                  <w:pPr>
                    <w:adjustRightInd w:val="0"/>
                    <w:jc w:val="center"/>
                    <w:rPr>
                      <w:rFonts w:hAnsi="Calibri"/>
                      <w:szCs w:val="21"/>
                    </w:rPr>
                  </w:pPr>
                  <w:r>
                    <w:rPr>
                      <w:rFonts w:hint="eastAsia" w:hAnsi="Calibri"/>
                      <w:szCs w:val="21"/>
                    </w:rPr>
                    <w:t>根据《产业结构调整指导目录（2024年本）》，本项目不属于淘汰类、限制类。</w:t>
                  </w:r>
                </w:p>
              </w:tc>
              <w:tc>
                <w:tcPr>
                  <w:tcW w:w="657" w:type="pct"/>
                  <w:vAlign w:val="center"/>
                </w:tcPr>
                <w:p w14:paraId="197354A2">
                  <w:pPr>
                    <w:adjustRightInd w:val="0"/>
                    <w:jc w:val="center"/>
                    <w:rPr>
                      <w:rFonts w:hAnsi="Calibri"/>
                      <w:szCs w:val="21"/>
                    </w:rPr>
                  </w:pPr>
                  <w:r>
                    <w:rPr>
                      <w:rFonts w:hint="eastAsia" w:hAnsi="Calibri"/>
                      <w:szCs w:val="21"/>
                    </w:rPr>
                    <w:t>符合</w:t>
                  </w:r>
                </w:p>
              </w:tc>
            </w:tr>
            <w:tr w14:paraId="5648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5A4C3296">
                  <w:pPr>
                    <w:adjustRightInd w:val="0"/>
                    <w:jc w:val="center"/>
                    <w:rPr>
                      <w:rFonts w:hAnsi="Calibri"/>
                      <w:szCs w:val="21"/>
                    </w:rPr>
                  </w:pPr>
                  <w:r>
                    <w:rPr>
                      <w:rFonts w:hint="eastAsia" w:hAnsi="Calibri"/>
                      <w:szCs w:val="21"/>
                    </w:rPr>
                    <w:t>第四十七条 国家禁止新建不符合国家产业政策的小型造纸、制革、印染、染料、炼焦、炼硫、炼砷、炼汞、炼油、电镀、农药、石棉、水泥、玻璃、钢铁、火电以及其他严重污染水环境的生产项目。</w:t>
                  </w:r>
                </w:p>
              </w:tc>
              <w:tc>
                <w:tcPr>
                  <w:tcW w:w="1699" w:type="pct"/>
                  <w:vAlign w:val="center"/>
                </w:tcPr>
                <w:p w14:paraId="383D8DFE">
                  <w:pPr>
                    <w:adjustRightInd w:val="0"/>
                    <w:jc w:val="center"/>
                    <w:rPr>
                      <w:rFonts w:hAnsi="Calibri"/>
                      <w:szCs w:val="21"/>
                    </w:rPr>
                  </w:pPr>
                  <w:r>
                    <w:rPr>
                      <w:rFonts w:hint="eastAsia" w:hAnsi="Calibri"/>
                      <w:szCs w:val="21"/>
                    </w:rPr>
                    <w:t>本项目不属于禁止新建不符合国家产业政策的生产项目。</w:t>
                  </w:r>
                </w:p>
              </w:tc>
              <w:tc>
                <w:tcPr>
                  <w:tcW w:w="657" w:type="pct"/>
                  <w:vAlign w:val="center"/>
                </w:tcPr>
                <w:p w14:paraId="2C7D1986">
                  <w:pPr>
                    <w:adjustRightInd w:val="0"/>
                    <w:jc w:val="center"/>
                    <w:rPr>
                      <w:rFonts w:hAnsi="Calibri"/>
                      <w:szCs w:val="21"/>
                    </w:rPr>
                  </w:pPr>
                  <w:r>
                    <w:rPr>
                      <w:rFonts w:hint="eastAsia" w:hAnsi="Calibri"/>
                      <w:szCs w:val="21"/>
                    </w:rPr>
                    <w:t>符合</w:t>
                  </w:r>
                </w:p>
              </w:tc>
            </w:tr>
          </w:tbl>
          <w:p w14:paraId="4E3F0666">
            <w:pPr>
              <w:autoSpaceDE w:val="0"/>
              <w:autoSpaceDN w:val="0"/>
              <w:adjustRightInd w:val="0"/>
              <w:snapToGrid w:val="0"/>
              <w:spacing w:line="360" w:lineRule="auto"/>
              <w:ind w:firstLine="480" w:firstLineChars="200"/>
              <w:jc w:val="left"/>
              <w:rPr>
                <w:kern w:val="0"/>
                <w:sz w:val="24"/>
              </w:rPr>
            </w:pPr>
            <w:r>
              <w:rPr>
                <w:rFonts w:hint="eastAsia"/>
                <w:kern w:val="0"/>
                <w:sz w:val="24"/>
              </w:rPr>
              <w:t>综上，本项目符合《中华人民共和国水污染防治法》（2</w:t>
            </w:r>
            <w:r>
              <w:rPr>
                <w:kern w:val="0"/>
                <w:sz w:val="24"/>
              </w:rPr>
              <w:t>018</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日）的相关规定。</w:t>
            </w:r>
          </w:p>
          <w:p w14:paraId="48DC4692">
            <w:pPr>
              <w:autoSpaceDE w:val="0"/>
              <w:autoSpaceDN w:val="0"/>
              <w:adjustRightInd w:val="0"/>
              <w:snapToGrid w:val="0"/>
              <w:spacing w:line="360" w:lineRule="auto"/>
              <w:ind w:firstLine="480" w:firstLineChars="200"/>
              <w:jc w:val="left"/>
              <w:rPr>
                <w:kern w:val="0"/>
                <w:sz w:val="24"/>
              </w:rPr>
            </w:pPr>
            <w:r>
              <w:rPr>
                <w:kern w:val="0"/>
                <w:sz w:val="24"/>
              </w:rPr>
              <w:t>3</w:t>
            </w:r>
            <w:r>
              <w:rPr>
                <w:rFonts w:hint="eastAsia"/>
                <w:kern w:val="0"/>
                <w:sz w:val="24"/>
              </w:rPr>
              <w:t>、与《中华人民共和国长江保护法》（</w:t>
            </w:r>
            <w:r>
              <w:rPr>
                <w:kern w:val="0"/>
                <w:sz w:val="24"/>
              </w:rPr>
              <w:t>2021</w:t>
            </w:r>
            <w:r>
              <w:rPr>
                <w:rFonts w:hint="eastAsia"/>
                <w:kern w:val="0"/>
                <w:sz w:val="24"/>
              </w:rPr>
              <w:t>年</w:t>
            </w:r>
            <w:r>
              <w:rPr>
                <w:kern w:val="0"/>
                <w:sz w:val="24"/>
              </w:rPr>
              <w:t>3</w:t>
            </w:r>
            <w:r>
              <w:rPr>
                <w:rFonts w:hint="eastAsia"/>
                <w:kern w:val="0"/>
                <w:sz w:val="24"/>
              </w:rPr>
              <w:t>月</w:t>
            </w:r>
            <w:r>
              <w:rPr>
                <w:kern w:val="0"/>
                <w:sz w:val="24"/>
              </w:rPr>
              <w:t>1</w:t>
            </w:r>
            <w:r>
              <w:rPr>
                <w:rFonts w:hint="eastAsia"/>
                <w:kern w:val="0"/>
                <w:sz w:val="24"/>
              </w:rPr>
              <w:t>日）符合性分析</w:t>
            </w:r>
          </w:p>
          <w:p w14:paraId="458C2A9A">
            <w:pPr>
              <w:pStyle w:val="161"/>
              <w:spacing w:beforeLines="0" w:afterLines="0" w:line="360" w:lineRule="auto"/>
              <w:ind w:firstLine="496" w:firstLineChars="200"/>
              <w:rPr>
                <w:szCs w:val="24"/>
              </w:rPr>
            </w:pPr>
            <w:r>
              <w:rPr>
                <w:szCs w:val="24"/>
              </w:rPr>
              <w:t>本项目所处区域地表水体为</w:t>
            </w:r>
            <w:r>
              <w:rPr>
                <w:rFonts w:hint="eastAsia"/>
                <w:szCs w:val="24"/>
              </w:rPr>
              <w:t>杞麓湖</w:t>
            </w:r>
            <w:r>
              <w:rPr>
                <w:szCs w:val="24"/>
              </w:rPr>
              <w:t>，</w:t>
            </w:r>
            <w:r>
              <w:rPr>
                <w:rFonts w:hint="eastAsia"/>
                <w:szCs w:val="24"/>
              </w:rPr>
              <w:t>杞麓湖是一个封闭型高原湖泊，属珠江流域南盘江水系</w:t>
            </w:r>
            <w:r>
              <w:rPr>
                <w:szCs w:val="24"/>
              </w:rPr>
              <w:t>。</w:t>
            </w:r>
          </w:p>
          <w:p w14:paraId="458ECA4A">
            <w:pPr>
              <w:autoSpaceDE w:val="0"/>
              <w:autoSpaceDN w:val="0"/>
              <w:adjustRightInd w:val="0"/>
              <w:snapToGrid w:val="0"/>
              <w:spacing w:line="360" w:lineRule="auto"/>
              <w:ind w:firstLine="482" w:firstLineChars="200"/>
              <w:jc w:val="center"/>
              <w:rPr>
                <w:b/>
                <w:bCs/>
                <w:kern w:val="0"/>
                <w:sz w:val="24"/>
              </w:rPr>
            </w:pPr>
            <w:r>
              <w:rPr>
                <w:b/>
                <w:bCs/>
                <w:kern w:val="0"/>
                <w:sz w:val="24"/>
              </w:rPr>
              <w:t xml:space="preserve">表 </w:t>
            </w:r>
            <w:r>
              <w:rPr>
                <w:rFonts w:hint="eastAsia"/>
                <w:b/>
                <w:bCs/>
                <w:kern w:val="0"/>
                <w:sz w:val="24"/>
              </w:rPr>
              <w:t>1-</w:t>
            </w:r>
            <w:r>
              <w:rPr>
                <w:b/>
                <w:bCs/>
                <w:kern w:val="0"/>
                <w:sz w:val="24"/>
              </w:rPr>
              <w:t>5</w:t>
            </w:r>
            <w:r>
              <w:rPr>
                <w:b/>
                <w:bCs/>
                <w:kern w:val="0"/>
                <w:sz w:val="24"/>
              </w:rPr>
              <w:tab/>
            </w:r>
            <w:r>
              <w:rPr>
                <w:b/>
                <w:bCs/>
                <w:kern w:val="0"/>
                <w:sz w:val="24"/>
              </w:rPr>
              <w:t xml:space="preserve"> 与</w:t>
            </w:r>
            <w:r>
              <w:rPr>
                <w:rFonts w:hint="eastAsia"/>
                <w:b/>
                <w:bCs/>
                <w:kern w:val="0"/>
                <w:sz w:val="24"/>
              </w:rPr>
              <w:t>《中华人民共和国长江保护法》</w:t>
            </w:r>
            <w:r>
              <w:rPr>
                <w:b/>
                <w:bCs/>
                <w:kern w:val="0"/>
                <w:sz w:val="24"/>
              </w:rPr>
              <w:t>符合性分析一览表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2950"/>
              <w:gridCol w:w="1141"/>
            </w:tblGrid>
            <w:tr w14:paraId="53B6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11F35F76">
                  <w:pPr>
                    <w:adjustRightInd w:val="0"/>
                    <w:jc w:val="center"/>
                    <w:rPr>
                      <w:rFonts w:hAnsi="Calibri"/>
                      <w:b/>
                      <w:bCs/>
                      <w:szCs w:val="21"/>
                    </w:rPr>
                  </w:pPr>
                  <w:r>
                    <w:rPr>
                      <w:rFonts w:hint="eastAsia" w:hAnsi="Calibri"/>
                      <w:b/>
                      <w:bCs/>
                      <w:szCs w:val="21"/>
                    </w:rPr>
                    <w:t>与本项目相关的法律条文</w:t>
                  </w:r>
                </w:p>
              </w:tc>
              <w:tc>
                <w:tcPr>
                  <w:tcW w:w="1699" w:type="pct"/>
                  <w:vAlign w:val="center"/>
                </w:tcPr>
                <w:p w14:paraId="40A1FEE5">
                  <w:pPr>
                    <w:adjustRightInd w:val="0"/>
                    <w:jc w:val="center"/>
                    <w:rPr>
                      <w:rFonts w:hAnsi="Calibri"/>
                      <w:b/>
                      <w:bCs/>
                      <w:szCs w:val="21"/>
                    </w:rPr>
                  </w:pPr>
                  <w:r>
                    <w:rPr>
                      <w:rFonts w:hint="eastAsia" w:hAnsi="Calibri"/>
                      <w:b/>
                      <w:bCs/>
                      <w:szCs w:val="21"/>
                    </w:rPr>
                    <w:t>项目情况</w:t>
                  </w:r>
                </w:p>
              </w:tc>
              <w:tc>
                <w:tcPr>
                  <w:tcW w:w="657" w:type="pct"/>
                  <w:vAlign w:val="center"/>
                </w:tcPr>
                <w:p w14:paraId="21BC668B">
                  <w:pPr>
                    <w:adjustRightInd w:val="0"/>
                    <w:jc w:val="center"/>
                    <w:rPr>
                      <w:rFonts w:hAnsi="Calibri"/>
                      <w:b/>
                      <w:bCs/>
                      <w:szCs w:val="21"/>
                    </w:rPr>
                  </w:pPr>
                  <w:r>
                    <w:rPr>
                      <w:rFonts w:hint="eastAsia" w:hAnsi="Calibri"/>
                      <w:b/>
                      <w:bCs/>
                      <w:szCs w:val="21"/>
                    </w:rPr>
                    <w:t>符合情况</w:t>
                  </w:r>
                </w:p>
              </w:tc>
            </w:tr>
            <w:tr w14:paraId="3F55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20B24B77">
                  <w:pPr>
                    <w:adjustRightInd w:val="0"/>
                    <w:jc w:val="center"/>
                    <w:rPr>
                      <w:rFonts w:hAnsi="Calibri"/>
                      <w:szCs w:val="21"/>
                    </w:rPr>
                  </w:pPr>
                  <w:r>
                    <w:rPr>
                      <w:rFonts w:hint="eastAsia" w:hAnsi="Calibri"/>
                      <w:szCs w:val="21"/>
                    </w:rPr>
                    <w:t>第二十六条 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禁止在长江干支流岸线一公里范围内新建、扩建化工园区和化工项目。禁止在长江干流岸线三公里范围内和重要支流岸线一公里范围内新建、改建、扩建尾矿库；但是以提升安全、生态环境保护水平为目</w:t>
                  </w:r>
                  <w:r>
                    <w:rPr>
                      <w:rFonts w:hint="eastAsia" w:hAnsi="Calibri"/>
                      <w:szCs w:val="21"/>
                      <w:lang w:eastAsia="zh-CN"/>
                    </w:rPr>
                    <w:t>的</w:t>
                  </w:r>
                  <w:r>
                    <w:rPr>
                      <w:rFonts w:hint="eastAsia" w:hAnsi="Calibri"/>
                      <w:szCs w:val="21"/>
                    </w:rPr>
                    <w:t>改建除外。</w:t>
                  </w:r>
                </w:p>
              </w:tc>
              <w:tc>
                <w:tcPr>
                  <w:tcW w:w="1699" w:type="pct"/>
                  <w:vAlign w:val="center"/>
                </w:tcPr>
                <w:p w14:paraId="7305D45E">
                  <w:pPr>
                    <w:adjustRightInd w:val="0"/>
                    <w:jc w:val="center"/>
                    <w:rPr>
                      <w:kern w:val="0"/>
                      <w:szCs w:val="21"/>
                    </w:rPr>
                  </w:pPr>
                  <w:r>
                    <w:rPr>
                      <w:rFonts w:hint="eastAsia"/>
                    </w:rPr>
                    <w:t>本项目所处区域地表水体为杞麓湖，杞麓湖是一个封闭型高原湖泊，属珠江流域南盘江水系，</w:t>
                  </w:r>
                  <w:r>
                    <w:t>南盘江不属于长江重点干支流</w:t>
                  </w:r>
                  <w:r>
                    <w:rPr>
                      <w:rFonts w:hint="eastAsia"/>
                    </w:rPr>
                    <w:t>。</w:t>
                  </w:r>
                  <w:r>
                    <w:t>本项目选址位于</w:t>
                  </w:r>
                  <w:r>
                    <w:rPr>
                      <w:rFonts w:hint="eastAsia"/>
                    </w:rPr>
                    <w:t>通海县纳古镇珠山顶</w:t>
                  </w:r>
                  <w:r>
                    <w:t>，</w:t>
                  </w:r>
                  <w:r>
                    <w:rPr>
                      <w:rFonts w:hint="eastAsia"/>
                    </w:rPr>
                    <w:t>不属于化工项目，不涉及尾矿库。</w:t>
                  </w:r>
                </w:p>
              </w:tc>
              <w:tc>
                <w:tcPr>
                  <w:tcW w:w="657" w:type="pct"/>
                  <w:vAlign w:val="center"/>
                </w:tcPr>
                <w:p w14:paraId="41B10692">
                  <w:pPr>
                    <w:adjustRightInd w:val="0"/>
                    <w:jc w:val="center"/>
                    <w:rPr>
                      <w:rFonts w:hAnsi="Calibri"/>
                      <w:szCs w:val="21"/>
                    </w:rPr>
                  </w:pPr>
                  <w:r>
                    <w:rPr>
                      <w:rFonts w:hint="eastAsia" w:hAnsi="Calibri"/>
                      <w:szCs w:val="21"/>
                    </w:rPr>
                    <w:t>符合</w:t>
                  </w:r>
                </w:p>
              </w:tc>
            </w:tr>
          </w:tbl>
          <w:p w14:paraId="3B2804A9">
            <w:pPr>
              <w:pStyle w:val="161"/>
              <w:spacing w:beforeLines="0" w:afterLines="0" w:line="360" w:lineRule="auto"/>
              <w:ind w:firstLine="496" w:firstLineChars="200"/>
              <w:rPr>
                <w:szCs w:val="24"/>
              </w:rPr>
            </w:pPr>
            <w:r>
              <w:rPr>
                <w:szCs w:val="24"/>
              </w:rPr>
              <w:t>综上，本项目符合《中华人民共和国长江保护法》</w:t>
            </w:r>
            <w:r>
              <w:rPr>
                <w:rFonts w:hint="eastAsia"/>
                <w:kern w:val="0"/>
              </w:rPr>
              <w:t>（</w:t>
            </w:r>
            <w:r>
              <w:rPr>
                <w:kern w:val="0"/>
              </w:rPr>
              <w:t>2021</w:t>
            </w:r>
            <w:r>
              <w:rPr>
                <w:rFonts w:hint="eastAsia"/>
                <w:kern w:val="0"/>
              </w:rPr>
              <w:t>年</w:t>
            </w:r>
            <w:r>
              <w:rPr>
                <w:kern w:val="0"/>
              </w:rPr>
              <w:t>3</w:t>
            </w:r>
            <w:r>
              <w:rPr>
                <w:rFonts w:hint="eastAsia"/>
                <w:kern w:val="0"/>
              </w:rPr>
              <w:t>月</w:t>
            </w:r>
            <w:r>
              <w:rPr>
                <w:kern w:val="0"/>
              </w:rPr>
              <w:t>1</w:t>
            </w:r>
            <w:r>
              <w:rPr>
                <w:rFonts w:hint="eastAsia"/>
                <w:kern w:val="0"/>
              </w:rPr>
              <w:t>日）</w:t>
            </w:r>
            <w:r>
              <w:rPr>
                <w:szCs w:val="24"/>
              </w:rPr>
              <w:t>相关规定。</w:t>
            </w:r>
          </w:p>
          <w:p w14:paraId="1553B3A7">
            <w:pPr>
              <w:autoSpaceDE w:val="0"/>
              <w:autoSpaceDN w:val="0"/>
              <w:adjustRightInd w:val="0"/>
              <w:snapToGrid w:val="0"/>
              <w:spacing w:line="360" w:lineRule="auto"/>
              <w:ind w:firstLine="480" w:firstLineChars="200"/>
              <w:jc w:val="left"/>
              <w:rPr>
                <w:bCs/>
                <w:kern w:val="0"/>
                <w:sz w:val="24"/>
              </w:rPr>
            </w:pPr>
            <w:r>
              <w:rPr>
                <w:kern w:val="0"/>
                <w:sz w:val="24"/>
              </w:rPr>
              <w:t>4</w:t>
            </w:r>
            <w:r>
              <w:rPr>
                <w:rFonts w:hint="eastAsia"/>
                <w:kern w:val="0"/>
                <w:sz w:val="24"/>
              </w:rPr>
              <w:t>、</w:t>
            </w:r>
            <w:r>
              <w:rPr>
                <w:rFonts w:hint="eastAsia"/>
                <w:bCs/>
                <w:kern w:val="0"/>
                <w:sz w:val="24"/>
              </w:rPr>
              <w:t>与《云南省长江经济带发展负面清单指南实施细则（试行）（试行，2022年版）》符合性分析</w:t>
            </w:r>
          </w:p>
          <w:p w14:paraId="471FD5D3">
            <w:pPr>
              <w:autoSpaceDE w:val="0"/>
              <w:autoSpaceDN w:val="0"/>
              <w:adjustRightInd w:val="0"/>
              <w:snapToGrid w:val="0"/>
              <w:spacing w:line="360" w:lineRule="auto"/>
              <w:ind w:firstLine="241" w:firstLineChars="100"/>
              <w:rPr>
                <w:b/>
                <w:bCs/>
                <w:kern w:val="0"/>
                <w:sz w:val="24"/>
              </w:rPr>
            </w:pPr>
            <w:r>
              <w:rPr>
                <w:b/>
                <w:bCs/>
                <w:kern w:val="0"/>
                <w:sz w:val="24"/>
              </w:rPr>
              <w:t>表</w:t>
            </w:r>
            <w:r>
              <w:rPr>
                <w:rFonts w:hint="eastAsia"/>
                <w:b/>
                <w:bCs/>
                <w:kern w:val="0"/>
                <w:sz w:val="24"/>
              </w:rPr>
              <w:t>1-</w:t>
            </w:r>
            <w:r>
              <w:rPr>
                <w:b/>
                <w:bCs/>
                <w:kern w:val="0"/>
                <w:sz w:val="24"/>
              </w:rPr>
              <w:t>6 与</w:t>
            </w:r>
            <w:r>
              <w:rPr>
                <w:rFonts w:hint="eastAsia"/>
                <w:b/>
                <w:bCs/>
                <w:kern w:val="0"/>
                <w:sz w:val="24"/>
              </w:rPr>
              <w:t>《云南省长江经济带发展负面清单指南实施细则（试行）（试行，2022年版）》</w:t>
            </w:r>
            <w:r>
              <w:rPr>
                <w:b/>
                <w:bCs/>
                <w:kern w:val="0"/>
                <w:sz w:val="24"/>
              </w:rPr>
              <w:t>符合性分析</w:t>
            </w:r>
          </w:p>
          <w:tbl>
            <w:tblPr>
              <w:tblStyle w:val="32"/>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177"/>
              <w:gridCol w:w="1946"/>
              <w:gridCol w:w="870"/>
            </w:tblGrid>
            <w:tr w14:paraId="41FF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2B5AD66C">
                  <w:pPr>
                    <w:jc w:val="center"/>
                    <w:rPr>
                      <w:bCs/>
                      <w:kern w:val="28"/>
                      <w:szCs w:val="21"/>
                    </w:rPr>
                  </w:pPr>
                  <w:r>
                    <w:rPr>
                      <w:rFonts w:hint="eastAsia"/>
                      <w:bCs/>
                      <w:kern w:val="28"/>
                      <w:szCs w:val="21"/>
                    </w:rPr>
                    <w:t>序号</w:t>
                  </w:r>
                </w:p>
              </w:tc>
              <w:tc>
                <w:tcPr>
                  <w:tcW w:w="5177" w:type="dxa"/>
                  <w:vAlign w:val="center"/>
                </w:tcPr>
                <w:p w14:paraId="56E0ADBF">
                  <w:pPr>
                    <w:jc w:val="center"/>
                    <w:rPr>
                      <w:bCs/>
                      <w:kern w:val="28"/>
                      <w:szCs w:val="21"/>
                    </w:rPr>
                  </w:pPr>
                  <w:r>
                    <w:rPr>
                      <w:rFonts w:hint="eastAsia"/>
                      <w:bCs/>
                      <w:kern w:val="28"/>
                      <w:szCs w:val="21"/>
                    </w:rPr>
                    <w:t>相关规定</w:t>
                  </w:r>
                </w:p>
              </w:tc>
              <w:tc>
                <w:tcPr>
                  <w:tcW w:w="1946" w:type="dxa"/>
                  <w:vAlign w:val="center"/>
                </w:tcPr>
                <w:p w14:paraId="0476614A">
                  <w:pPr>
                    <w:jc w:val="center"/>
                    <w:rPr>
                      <w:bCs/>
                      <w:kern w:val="28"/>
                      <w:szCs w:val="21"/>
                    </w:rPr>
                  </w:pPr>
                  <w:r>
                    <w:rPr>
                      <w:rFonts w:hint="eastAsia"/>
                      <w:bCs/>
                      <w:kern w:val="28"/>
                      <w:szCs w:val="21"/>
                    </w:rPr>
                    <w:t>本项目</w:t>
                  </w:r>
                </w:p>
              </w:tc>
              <w:tc>
                <w:tcPr>
                  <w:tcW w:w="870" w:type="dxa"/>
                  <w:vAlign w:val="center"/>
                </w:tcPr>
                <w:p w14:paraId="4C7F12BF">
                  <w:pPr>
                    <w:jc w:val="center"/>
                    <w:rPr>
                      <w:bCs/>
                      <w:kern w:val="28"/>
                      <w:szCs w:val="21"/>
                    </w:rPr>
                  </w:pPr>
                  <w:r>
                    <w:rPr>
                      <w:rFonts w:hint="eastAsia"/>
                      <w:bCs/>
                      <w:kern w:val="28"/>
                      <w:szCs w:val="21"/>
                    </w:rPr>
                    <w:t>符合性</w:t>
                  </w:r>
                </w:p>
              </w:tc>
            </w:tr>
            <w:tr w14:paraId="1153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vAlign w:val="center"/>
                </w:tcPr>
                <w:p w14:paraId="71731F7C">
                  <w:pPr>
                    <w:jc w:val="center"/>
                    <w:rPr>
                      <w:bCs/>
                      <w:kern w:val="28"/>
                      <w:szCs w:val="21"/>
                    </w:rPr>
                  </w:pPr>
                  <w:r>
                    <w:rPr>
                      <w:rFonts w:hint="eastAsia"/>
                      <w:bCs/>
                      <w:kern w:val="28"/>
                      <w:szCs w:val="21"/>
                    </w:rPr>
                    <w:t>1</w:t>
                  </w:r>
                </w:p>
              </w:tc>
              <w:tc>
                <w:tcPr>
                  <w:tcW w:w="5177" w:type="dxa"/>
                  <w:vAlign w:val="center"/>
                </w:tcPr>
                <w:p w14:paraId="688BDF37">
                  <w:pPr>
                    <w:jc w:val="center"/>
                    <w:rPr>
                      <w:bCs/>
                      <w:kern w:val="28"/>
                      <w:szCs w:val="21"/>
                    </w:rPr>
                  </w:pPr>
                  <w:r>
                    <w:rPr>
                      <w:bCs/>
                      <w:szCs w:val="21"/>
                    </w:rPr>
                    <w:t>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1946" w:type="dxa"/>
                  <w:vAlign w:val="center"/>
                </w:tcPr>
                <w:p w14:paraId="58FF34E5">
                  <w:pPr>
                    <w:jc w:val="center"/>
                    <w:rPr>
                      <w:bCs/>
                      <w:kern w:val="28"/>
                      <w:szCs w:val="21"/>
                    </w:rPr>
                  </w:pPr>
                  <w:r>
                    <w:rPr>
                      <w:bCs/>
                      <w:szCs w:val="21"/>
                    </w:rPr>
                    <w:t>本项目不属于码头及过长江通道项目。</w:t>
                  </w:r>
                </w:p>
              </w:tc>
              <w:tc>
                <w:tcPr>
                  <w:tcW w:w="870" w:type="dxa"/>
                  <w:vAlign w:val="center"/>
                </w:tcPr>
                <w:p w14:paraId="519D0EF4">
                  <w:pPr>
                    <w:jc w:val="center"/>
                    <w:rPr>
                      <w:bCs/>
                      <w:kern w:val="28"/>
                      <w:szCs w:val="21"/>
                    </w:rPr>
                  </w:pPr>
                  <w:r>
                    <w:rPr>
                      <w:bCs/>
                      <w:szCs w:val="21"/>
                    </w:rPr>
                    <w:t>符合</w:t>
                  </w:r>
                </w:p>
              </w:tc>
            </w:tr>
            <w:tr w14:paraId="7473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EEFD844">
                  <w:pPr>
                    <w:jc w:val="center"/>
                    <w:rPr>
                      <w:bCs/>
                      <w:kern w:val="28"/>
                      <w:szCs w:val="21"/>
                    </w:rPr>
                  </w:pPr>
                  <w:r>
                    <w:rPr>
                      <w:rFonts w:hint="eastAsia"/>
                      <w:bCs/>
                      <w:kern w:val="28"/>
                      <w:szCs w:val="21"/>
                    </w:rPr>
                    <w:t>2</w:t>
                  </w:r>
                </w:p>
              </w:tc>
              <w:tc>
                <w:tcPr>
                  <w:tcW w:w="5177" w:type="dxa"/>
                  <w:vAlign w:val="center"/>
                </w:tcPr>
                <w:p w14:paraId="6248768D">
                  <w:pPr>
                    <w:jc w:val="center"/>
                    <w:rPr>
                      <w:bCs/>
                      <w:szCs w:val="21"/>
                    </w:rPr>
                  </w:pPr>
                  <w:r>
                    <w:rPr>
                      <w:rFonts w:hint="eastAsia"/>
                      <w:bCs/>
                      <w:szCs w:val="21"/>
                    </w:rPr>
                    <w:t>禁止在自然保护区核心区、缓冲区的岸线和河段范围内投资建设旅游和生产经营项目。禁止建设与自然保护区保护方向不一致的旅游项目。禁止在自然保护区内进行开矿、采石、 挖沙等活动。禁止在自然保护区的核心区和缓冲区内建设任何生产设施，禁止在自然保护区的实验区内建设污染环境、破坏资源或者景观的生产设施。</w:t>
                  </w:r>
                </w:p>
              </w:tc>
              <w:tc>
                <w:tcPr>
                  <w:tcW w:w="1946" w:type="dxa"/>
                  <w:vAlign w:val="center"/>
                </w:tcPr>
                <w:p w14:paraId="10F8F4DD">
                  <w:pPr>
                    <w:jc w:val="center"/>
                    <w:rPr>
                      <w:bCs/>
                      <w:szCs w:val="21"/>
                    </w:rPr>
                  </w:pPr>
                  <w:r>
                    <w:rPr>
                      <w:rFonts w:hint="eastAsia"/>
                      <w:bCs/>
                      <w:kern w:val="28"/>
                      <w:szCs w:val="21"/>
                    </w:rPr>
                    <w:t>本项目用地不涉及自然保护区核心区、缓冲区的岸线和河段范围。</w:t>
                  </w:r>
                </w:p>
              </w:tc>
              <w:tc>
                <w:tcPr>
                  <w:tcW w:w="870" w:type="dxa"/>
                  <w:vAlign w:val="center"/>
                </w:tcPr>
                <w:p w14:paraId="39D67C81">
                  <w:pPr>
                    <w:jc w:val="center"/>
                    <w:rPr>
                      <w:bCs/>
                      <w:szCs w:val="21"/>
                    </w:rPr>
                  </w:pPr>
                  <w:r>
                    <w:rPr>
                      <w:bCs/>
                      <w:szCs w:val="21"/>
                    </w:rPr>
                    <w:t>符合</w:t>
                  </w:r>
                </w:p>
              </w:tc>
            </w:tr>
            <w:tr w14:paraId="6C59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04663425">
                  <w:pPr>
                    <w:jc w:val="center"/>
                    <w:rPr>
                      <w:bCs/>
                      <w:kern w:val="28"/>
                      <w:szCs w:val="21"/>
                    </w:rPr>
                  </w:pPr>
                  <w:r>
                    <w:rPr>
                      <w:rFonts w:hint="eastAsia"/>
                      <w:bCs/>
                      <w:kern w:val="28"/>
                      <w:szCs w:val="21"/>
                    </w:rPr>
                    <w:t>3</w:t>
                  </w:r>
                </w:p>
              </w:tc>
              <w:tc>
                <w:tcPr>
                  <w:tcW w:w="5177" w:type="dxa"/>
                  <w:vAlign w:val="center"/>
                </w:tcPr>
                <w:p w14:paraId="5FEB12BB">
                  <w:pPr>
                    <w:jc w:val="center"/>
                    <w:rPr>
                      <w:bCs/>
                      <w:szCs w:val="21"/>
                    </w:rPr>
                  </w:pPr>
                  <w:r>
                    <w:rPr>
                      <w:rFonts w:hint="eastAsia"/>
                      <w:bCs/>
                      <w:szCs w:val="21"/>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 腐蚀性物品的设施；禁止在风景名胜区内设立开发区和在核心景区内建设宾馆、会所、培训中心、疗养院以及与风景名胜资源保护无关的投资建设项目。</w:t>
                  </w:r>
                </w:p>
              </w:tc>
              <w:tc>
                <w:tcPr>
                  <w:tcW w:w="1946" w:type="dxa"/>
                  <w:vAlign w:val="center"/>
                </w:tcPr>
                <w:p w14:paraId="583A7EFA">
                  <w:pPr>
                    <w:jc w:val="center"/>
                    <w:rPr>
                      <w:bCs/>
                      <w:kern w:val="28"/>
                      <w:szCs w:val="21"/>
                    </w:rPr>
                  </w:pPr>
                  <w:r>
                    <w:rPr>
                      <w:rFonts w:hint="eastAsia"/>
                      <w:bCs/>
                      <w:kern w:val="28"/>
                      <w:szCs w:val="21"/>
                    </w:rPr>
                    <w:t>本项目用地不涉及风景名胜区核心景区的岸线和河段范围。</w:t>
                  </w:r>
                </w:p>
              </w:tc>
              <w:tc>
                <w:tcPr>
                  <w:tcW w:w="870" w:type="dxa"/>
                  <w:vAlign w:val="center"/>
                </w:tcPr>
                <w:p w14:paraId="57261E00">
                  <w:pPr>
                    <w:jc w:val="center"/>
                    <w:rPr>
                      <w:bCs/>
                      <w:szCs w:val="21"/>
                    </w:rPr>
                  </w:pPr>
                  <w:r>
                    <w:rPr>
                      <w:bCs/>
                      <w:szCs w:val="21"/>
                    </w:rPr>
                    <w:t>符合</w:t>
                  </w:r>
                </w:p>
              </w:tc>
            </w:tr>
            <w:tr w14:paraId="33FF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D82A5DA">
                  <w:pPr>
                    <w:jc w:val="center"/>
                    <w:rPr>
                      <w:bCs/>
                      <w:kern w:val="28"/>
                      <w:szCs w:val="21"/>
                    </w:rPr>
                  </w:pPr>
                  <w:r>
                    <w:rPr>
                      <w:rFonts w:hint="eastAsia"/>
                      <w:bCs/>
                      <w:kern w:val="28"/>
                      <w:szCs w:val="21"/>
                    </w:rPr>
                    <w:t>4</w:t>
                  </w:r>
                </w:p>
              </w:tc>
              <w:tc>
                <w:tcPr>
                  <w:tcW w:w="5177" w:type="dxa"/>
                  <w:vAlign w:val="center"/>
                </w:tcPr>
                <w:p w14:paraId="282168D9">
                  <w:pPr>
                    <w:jc w:val="center"/>
                    <w:rPr>
                      <w:bCs/>
                      <w:szCs w:val="21"/>
                    </w:rPr>
                  </w:pPr>
                  <w:r>
                    <w:rPr>
                      <w:rFonts w:hint="eastAsia"/>
                      <w:bCs/>
                      <w:szCs w:val="21"/>
                    </w:rPr>
                    <w:t>禁止在饮用水水源一级保护区的岸线和河段范围内新建、改建、扩建与供水设施和保护水源无关的投资建设项目， 以及网箱养殖、畜禽养殖、旅游等可能污染饮用水水体的投资建设项目。禁止在饮用水水源二级保护区的岸线和河段范围内新 建、改建、扩建排放污染物的投资建设项目。</w:t>
                  </w:r>
                </w:p>
              </w:tc>
              <w:tc>
                <w:tcPr>
                  <w:tcW w:w="1946" w:type="dxa"/>
                  <w:vAlign w:val="center"/>
                </w:tcPr>
                <w:p w14:paraId="24C01FB4">
                  <w:pPr>
                    <w:jc w:val="center"/>
                    <w:rPr>
                      <w:bCs/>
                      <w:kern w:val="28"/>
                      <w:szCs w:val="21"/>
                    </w:rPr>
                  </w:pPr>
                  <w:r>
                    <w:rPr>
                      <w:rFonts w:hint="eastAsia"/>
                      <w:bCs/>
                      <w:kern w:val="28"/>
                      <w:szCs w:val="21"/>
                    </w:rPr>
                    <w:t>本项目用地不涉及饮用水水源一级、二级保护区的岸线和河段范围。</w:t>
                  </w:r>
                </w:p>
              </w:tc>
              <w:tc>
                <w:tcPr>
                  <w:tcW w:w="870" w:type="dxa"/>
                  <w:vAlign w:val="center"/>
                </w:tcPr>
                <w:p w14:paraId="798D122E">
                  <w:pPr>
                    <w:jc w:val="center"/>
                    <w:rPr>
                      <w:bCs/>
                      <w:szCs w:val="21"/>
                    </w:rPr>
                  </w:pPr>
                  <w:r>
                    <w:rPr>
                      <w:bCs/>
                      <w:szCs w:val="21"/>
                    </w:rPr>
                    <w:t>符合</w:t>
                  </w:r>
                </w:p>
              </w:tc>
            </w:tr>
            <w:tr w14:paraId="46F0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92F3A1A">
                  <w:pPr>
                    <w:jc w:val="center"/>
                    <w:rPr>
                      <w:bCs/>
                      <w:kern w:val="28"/>
                      <w:szCs w:val="21"/>
                    </w:rPr>
                  </w:pPr>
                  <w:r>
                    <w:rPr>
                      <w:rFonts w:hint="eastAsia"/>
                      <w:bCs/>
                      <w:kern w:val="28"/>
                      <w:szCs w:val="21"/>
                    </w:rPr>
                    <w:t>5</w:t>
                  </w:r>
                </w:p>
              </w:tc>
              <w:tc>
                <w:tcPr>
                  <w:tcW w:w="5177" w:type="dxa"/>
                  <w:vAlign w:val="center"/>
                </w:tcPr>
                <w:p w14:paraId="53D4D7CD">
                  <w:pPr>
                    <w:jc w:val="center"/>
                    <w:rPr>
                      <w:bCs/>
                      <w:szCs w:val="21"/>
                    </w:rPr>
                  </w:pPr>
                  <w:r>
                    <w:rPr>
                      <w:rFonts w:hint="eastAsia"/>
                      <w:bCs/>
                      <w:szCs w:val="21"/>
                    </w:rPr>
                    <w:t>禁止在水产种质资源保护区的岸线和河段范围内新建围湖造田、围湖造地或围填海等投资建设项目。禁止擅自征 收、占用国家湿地公园的土地；禁止在国家湿地公园内挖沙、采 矿，以及建设度假村、高尔夫球场等任何不符合主体功能定位的 投资建设项目。</w:t>
                  </w:r>
                </w:p>
              </w:tc>
              <w:tc>
                <w:tcPr>
                  <w:tcW w:w="1946" w:type="dxa"/>
                  <w:vAlign w:val="center"/>
                </w:tcPr>
                <w:p w14:paraId="2767C3F1">
                  <w:pPr>
                    <w:jc w:val="center"/>
                    <w:rPr>
                      <w:bCs/>
                      <w:kern w:val="28"/>
                      <w:szCs w:val="21"/>
                    </w:rPr>
                  </w:pPr>
                  <w:r>
                    <w:rPr>
                      <w:rFonts w:hint="eastAsia"/>
                      <w:bCs/>
                      <w:kern w:val="28"/>
                      <w:szCs w:val="21"/>
                    </w:rPr>
                    <w:t>本项目用地不涉及水产种质资源保护区的岸线和河段范围。</w:t>
                  </w:r>
                </w:p>
              </w:tc>
              <w:tc>
                <w:tcPr>
                  <w:tcW w:w="870" w:type="dxa"/>
                  <w:vAlign w:val="center"/>
                </w:tcPr>
                <w:p w14:paraId="52D4C0AD">
                  <w:pPr>
                    <w:jc w:val="center"/>
                    <w:rPr>
                      <w:bCs/>
                      <w:szCs w:val="21"/>
                    </w:rPr>
                  </w:pPr>
                  <w:r>
                    <w:rPr>
                      <w:bCs/>
                      <w:szCs w:val="21"/>
                    </w:rPr>
                    <w:t>符合</w:t>
                  </w:r>
                </w:p>
              </w:tc>
            </w:tr>
            <w:tr w14:paraId="186B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1790BB67">
                  <w:pPr>
                    <w:jc w:val="center"/>
                    <w:rPr>
                      <w:bCs/>
                      <w:kern w:val="28"/>
                      <w:szCs w:val="21"/>
                    </w:rPr>
                  </w:pPr>
                  <w:r>
                    <w:rPr>
                      <w:rFonts w:hint="eastAsia"/>
                      <w:bCs/>
                      <w:kern w:val="28"/>
                      <w:szCs w:val="21"/>
                    </w:rPr>
                    <w:t>6</w:t>
                  </w:r>
                </w:p>
              </w:tc>
              <w:tc>
                <w:tcPr>
                  <w:tcW w:w="5177" w:type="dxa"/>
                  <w:vAlign w:val="center"/>
                </w:tcPr>
                <w:p w14:paraId="26720E73">
                  <w:pPr>
                    <w:jc w:val="center"/>
                    <w:rPr>
                      <w:bCs/>
                      <w:szCs w:val="21"/>
                    </w:rPr>
                  </w:pPr>
                  <w:r>
                    <w:rPr>
                      <w:rFonts w:hint="eastAsia"/>
                      <w:bCs/>
                      <w:szCs w:val="21"/>
                    </w:rPr>
                    <w:t>禁止违法利用、 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946" w:type="dxa"/>
                  <w:vAlign w:val="center"/>
                </w:tcPr>
                <w:p w14:paraId="00A115D1">
                  <w:pPr>
                    <w:jc w:val="center"/>
                    <w:rPr>
                      <w:bCs/>
                      <w:kern w:val="28"/>
                      <w:szCs w:val="21"/>
                    </w:rPr>
                  </w:pPr>
                  <w:r>
                    <w:rPr>
                      <w:rFonts w:hint="eastAsia"/>
                      <w:bCs/>
                      <w:kern w:val="28"/>
                      <w:szCs w:val="21"/>
                    </w:rPr>
                    <w:t>本项目用地不涉及利用、占用长江流域河湖岸线，同时不涉及占用金沙江干流、九大高原湖泊保护区、保留区。</w:t>
                  </w:r>
                </w:p>
              </w:tc>
              <w:tc>
                <w:tcPr>
                  <w:tcW w:w="870" w:type="dxa"/>
                  <w:vAlign w:val="center"/>
                </w:tcPr>
                <w:p w14:paraId="3ECEA3B4">
                  <w:pPr>
                    <w:jc w:val="center"/>
                    <w:rPr>
                      <w:bCs/>
                      <w:szCs w:val="21"/>
                    </w:rPr>
                  </w:pPr>
                  <w:r>
                    <w:rPr>
                      <w:bCs/>
                      <w:szCs w:val="21"/>
                    </w:rPr>
                    <w:t>符合</w:t>
                  </w:r>
                </w:p>
              </w:tc>
            </w:tr>
            <w:tr w14:paraId="63ED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5EE16625">
                  <w:pPr>
                    <w:jc w:val="center"/>
                    <w:rPr>
                      <w:bCs/>
                      <w:kern w:val="28"/>
                      <w:szCs w:val="21"/>
                    </w:rPr>
                  </w:pPr>
                  <w:r>
                    <w:rPr>
                      <w:rFonts w:hint="eastAsia"/>
                      <w:bCs/>
                      <w:kern w:val="28"/>
                      <w:szCs w:val="21"/>
                    </w:rPr>
                    <w:t>7</w:t>
                  </w:r>
                </w:p>
              </w:tc>
              <w:tc>
                <w:tcPr>
                  <w:tcW w:w="5177" w:type="dxa"/>
                  <w:vAlign w:val="center"/>
                </w:tcPr>
                <w:p w14:paraId="08187887">
                  <w:pPr>
                    <w:jc w:val="center"/>
                    <w:rPr>
                      <w:bCs/>
                      <w:szCs w:val="21"/>
                    </w:rPr>
                  </w:pPr>
                  <w:r>
                    <w:rPr>
                      <w:rFonts w:hint="eastAsia"/>
                      <w:bCs/>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946" w:type="dxa"/>
                  <w:vAlign w:val="center"/>
                </w:tcPr>
                <w:p w14:paraId="2DD499C7">
                  <w:pPr>
                    <w:jc w:val="center"/>
                    <w:rPr>
                      <w:bCs/>
                      <w:kern w:val="28"/>
                      <w:szCs w:val="21"/>
                    </w:rPr>
                  </w:pPr>
                  <w:r>
                    <w:rPr>
                      <w:rFonts w:hint="eastAsia"/>
                      <w:bCs/>
                      <w:kern w:val="28"/>
                      <w:szCs w:val="21"/>
                    </w:rPr>
                    <w:t>本项目用地不涉及金沙江干流、长江一级支流范围内。</w:t>
                  </w:r>
                </w:p>
              </w:tc>
              <w:tc>
                <w:tcPr>
                  <w:tcW w:w="870" w:type="dxa"/>
                  <w:vAlign w:val="center"/>
                </w:tcPr>
                <w:p w14:paraId="501C2CC0">
                  <w:pPr>
                    <w:jc w:val="center"/>
                    <w:rPr>
                      <w:bCs/>
                      <w:szCs w:val="21"/>
                    </w:rPr>
                  </w:pPr>
                  <w:r>
                    <w:rPr>
                      <w:bCs/>
                      <w:szCs w:val="21"/>
                    </w:rPr>
                    <w:t>符合</w:t>
                  </w:r>
                </w:p>
              </w:tc>
            </w:tr>
            <w:tr w14:paraId="1C1E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2FA7484F">
                  <w:pPr>
                    <w:jc w:val="center"/>
                    <w:rPr>
                      <w:bCs/>
                      <w:kern w:val="28"/>
                      <w:szCs w:val="21"/>
                    </w:rPr>
                  </w:pPr>
                  <w:r>
                    <w:rPr>
                      <w:rFonts w:hint="eastAsia"/>
                      <w:bCs/>
                      <w:kern w:val="28"/>
                      <w:szCs w:val="21"/>
                    </w:rPr>
                    <w:t>8</w:t>
                  </w:r>
                </w:p>
              </w:tc>
              <w:tc>
                <w:tcPr>
                  <w:tcW w:w="5177" w:type="dxa"/>
                  <w:vAlign w:val="center"/>
                </w:tcPr>
                <w:p w14:paraId="3F8DDA1D">
                  <w:pPr>
                    <w:jc w:val="center"/>
                    <w:rPr>
                      <w:bCs/>
                      <w:szCs w:val="21"/>
                    </w:rPr>
                  </w:pPr>
                  <w:r>
                    <w:rPr>
                      <w:rFonts w:hint="eastAsia"/>
                      <w:bCs/>
                      <w:szCs w:val="21"/>
                    </w:rPr>
                    <w:t>禁止在金沙江干流、长江一级支流、水生生物保护区和长江流域禁捕水域开展天然渔业资源生产性捕捞。</w:t>
                  </w:r>
                </w:p>
              </w:tc>
              <w:tc>
                <w:tcPr>
                  <w:tcW w:w="1946" w:type="dxa"/>
                  <w:vAlign w:val="center"/>
                </w:tcPr>
                <w:p w14:paraId="3FF55517">
                  <w:pPr>
                    <w:jc w:val="center"/>
                    <w:rPr>
                      <w:bCs/>
                      <w:kern w:val="28"/>
                      <w:szCs w:val="21"/>
                    </w:rPr>
                  </w:pPr>
                  <w:r>
                    <w:rPr>
                      <w:rFonts w:hint="eastAsia"/>
                      <w:bCs/>
                      <w:kern w:val="28"/>
                      <w:szCs w:val="21"/>
                    </w:rPr>
                    <w:t>本项目用地不涉及金沙江干流、长江一级支流、水生生物保护区和长江流域内，不涉及捕捞。</w:t>
                  </w:r>
                </w:p>
              </w:tc>
              <w:tc>
                <w:tcPr>
                  <w:tcW w:w="870" w:type="dxa"/>
                  <w:vAlign w:val="center"/>
                </w:tcPr>
                <w:p w14:paraId="41CE22EE">
                  <w:pPr>
                    <w:jc w:val="center"/>
                    <w:rPr>
                      <w:bCs/>
                      <w:szCs w:val="21"/>
                    </w:rPr>
                  </w:pPr>
                  <w:r>
                    <w:rPr>
                      <w:bCs/>
                      <w:szCs w:val="21"/>
                    </w:rPr>
                    <w:t>符合</w:t>
                  </w:r>
                </w:p>
              </w:tc>
            </w:tr>
            <w:tr w14:paraId="128D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6B3481C">
                  <w:pPr>
                    <w:jc w:val="center"/>
                    <w:rPr>
                      <w:bCs/>
                      <w:kern w:val="28"/>
                      <w:szCs w:val="21"/>
                    </w:rPr>
                  </w:pPr>
                  <w:r>
                    <w:rPr>
                      <w:rFonts w:hint="eastAsia"/>
                      <w:bCs/>
                      <w:kern w:val="28"/>
                      <w:szCs w:val="21"/>
                    </w:rPr>
                    <w:t>9</w:t>
                  </w:r>
                </w:p>
              </w:tc>
              <w:tc>
                <w:tcPr>
                  <w:tcW w:w="5177" w:type="dxa"/>
                  <w:vAlign w:val="center"/>
                </w:tcPr>
                <w:p w14:paraId="06E241CD">
                  <w:pPr>
                    <w:jc w:val="center"/>
                    <w:rPr>
                      <w:bCs/>
                      <w:szCs w:val="21"/>
                    </w:rPr>
                  </w:pPr>
                  <w:r>
                    <w:rPr>
                      <w:rFonts w:hint="eastAsia"/>
                      <w:bCs/>
                      <w:szCs w:val="21"/>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w:t>
                  </w:r>
                  <w:r>
                    <w:rPr>
                      <w:rFonts w:hint="eastAsia"/>
                      <w:bCs/>
                      <w:szCs w:val="21"/>
                      <w:lang w:eastAsia="zh-CN"/>
                    </w:rPr>
                    <w:t>的</w:t>
                  </w:r>
                  <w:r>
                    <w:rPr>
                      <w:rFonts w:hint="eastAsia"/>
                      <w:bCs/>
                      <w:szCs w:val="21"/>
                    </w:rPr>
                    <w:t>改建除外。</w:t>
                  </w:r>
                </w:p>
              </w:tc>
              <w:tc>
                <w:tcPr>
                  <w:tcW w:w="1946" w:type="dxa"/>
                  <w:vAlign w:val="center"/>
                </w:tcPr>
                <w:p w14:paraId="310310F8">
                  <w:pPr>
                    <w:jc w:val="center"/>
                    <w:rPr>
                      <w:bCs/>
                      <w:kern w:val="28"/>
                      <w:szCs w:val="21"/>
                    </w:rPr>
                  </w:pPr>
                  <w:r>
                    <w:rPr>
                      <w:rFonts w:hint="eastAsia"/>
                      <w:bCs/>
                      <w:kern w:val="28"/>
                      <w:szCs w:val="21"/>
                    </w:rPr>
                    <w:t>本项目用地不涉及</w:t>
                  </w:r>
                  <w:r>
                    <w:rPr>
                      <w:rFonts w:hint="eastAsia"/>
                      <w:bCs/>
                      <w:szCs w:val="21"/>
                    </w:rPr>
                    <w:t>金沙江干流岸线三公里范围内和长江一级支流岸线一公里范围内。</w:t>
                  </w:r>
                </w:p>
              </w:tc>
              <w:tc>
                <w:tcPr>
                  <w:tcW w:w="870" w:type="dxa"/>
                  <w:vAlign w:val="center"/>
                </w:tcPr>
                <w:p w14:paraId="5DAEB61C">
                  <w:pPr>
                    <w:jc w:val="center"/>
                    <w:rPr>
                      <w:bCs/>
                      <w:szCs w:val="21"/>
                    </w:rPr>
                  </w:pPr>
                  <w:r>
                    <w:rPr>
                      <w:bCs/>
                      <w:szCs w:val="21"/>
                    </w:rPr>
                    <w:t>符合</w:t>
                  </w:r>
                </w:p>
              </w:tc>
            </w:tr>
            <w:tr w14:paraId="1300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F68C60B">
                  <w:pPr>
                    <w:jc w:val="center"/>
                    <w:rPr>
                      <w:bCs/>
                      <w:kern w:val="28"/>
                      <w:szCs w:val="21"/>
                    </w:rPr>
                  </w:pPr>
                  <w:r>
                    <w:rPr>
                      <w:rFonts w:hint="eastAsia"/>
                      <w:bCs/>
                      <w:kern w:val="28"/>
                      <w:szCs w:val="21"/>
                    </w:rPr>
                    <w:t>1</w:t>
                  </w:r>
                  <w:r>
                    <w:rPr>
                      <w:bCs/>
                      <w:kern w:val="28"/>
                      <w:szCs w:val="21"/>
                    </w:rPr>
                    <w:t>0</w:t>
                  </w:r>
                </w:p>
              </w:tc>
              <w:tc>
                <w:tcPr>
                  <w:tcW w:w="5177" w:type="dxa"/>
                  <w:vAlign w:val="center"/>
                </w:tcPr>
                <w:p w14:paraId="01826692">
                  <w:pPr>
                    <w:jc w:val="center"/>
                    <w:rPr>
                      <w:bCs/>
                      <w:szCs w:val="21"/>
                    </w:rPr>
                  </w:pPr>
                  <w:r>
                    <w:rPr>
                      <w:rFonts w:hint="eastAsia"/>
                      <w:bCs/>
                      <w:szCs w:val="21"/>
                    </w:rPr>
                    <w:t>禁止在合规园区外新建、扩建钢铁、石化、化工、焦化、建材、有色、制浆造纸行业中的高污染项目。</w:t>
                  </w:r>
                </w:p>
              </w:tc>
              <w:tc>
                <w:tcPr>
                  <w:tcW w:w="1946" w:type="dxa"/>
                  <w:vAlign w:val="center"/>
                </w:tcPr>
                <w:p w14:paraId="02A5A8F6">
                  <w:pPr>
                    <w:jc w:val="center"/>
                    <w:rPr>
                      <w:bCs/>
                      <w:kern w:val="28"/>
                      <w:szCs w:val="21"/>
                    </w:rPr>
                  </w:pPr>
                  <w:r>
                    <w:rPr>
                      <w:rFonts w:hint="eastAsia"/>
                      <w:bCs/>
                      <w:kern w:val="28"/>
                      <w:szCs w:val="21"/>
                    </w:rPr>
                    <w:t>本项目不属于钢铁、石化、化工、焦化、建材、有色、制浆造纸行业中的高污染项目。</w:t>
                  </w:r>
                </w:p>
              </w:tc>
              <w:tc>
                <w:tcPr>
                  <w:tcW w:w="870" w:type="dxa"/>
                  <w:vAlign w:val="center"/>
                </w:tcPr>
                <w:p w14:paraId="284FA882">
                  <w:pPr>
                    <w:jc w:val="center"/>
                    <w:rPr>
                      <w:bCs/>
                      <w:szCs w:val="21"/>
                    </w:rPr>
                  </w:pPr>
                  <w:r>
                    <w:rPr>
                      <w:bCs/>
                      <w:szCs w:val="21"/>
                    </w:rPr>
                    <w:t>符合</w:t>
                  </w:r>
                </w:p>
              </w:tc>
            </w:tr>
            <w:tr w14:paraId="4261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0A889EC4">
                  <w:pPr>
                    <w:jc w:val="center"/>
                    <w:rPr>
                      <w:bCs/>
                      <w:kern w:val="28"/>
                      <w:szCs w:val="21"/>
                    </w:rPr>
                  </w:pPr>
                  <w:r>
                    <w:rPr>
                      <w:rFonts w:hint="eastAsia"/>
                      <w:bCs/>
                      <w:kern w:val="28"/>
                      <w:szCs w:val="21"/>
                    </w:rPr>
                    <w:t>1</w:t>
                  </w:r>
                  <w:r>
                    <w:rPr>
                      <w:bCs/>
                      <w:kern w:val="28"/>
                      <w:szCs w:val="21"/>
                    </w:rPr>
                    <w:t>1</w:t>
                  </w:r>
                </w:p>
              </w:tc>
              <w:tc>
                <w:tcPr>
                  <w:tcW w:w="5177" w:type="dxa"/>
                  <w:vAlign w:val="center"/>
                </w:tcPr>
                <w:p w14:paraId="363F781E">
                  <w:pPr>
                    <w:jc w:val="center"/>
                    <w:rPr>
                      <w:bCs/>
                      <w:szCs w:val="21"/>
                    </w:rPr>
                  </w:pPr>
                  <w:r>
                    <w:rPr>
                      <w:rFonts w:hint="eastAsia"/>
                      <w:bCs/>
                      <w:szCs w:val="21"/>
                    </w:rPr>
                    <w:t>禁止新建、 扩建不符合国家石化、现代煤化工等产业布局规划的项目。禁止列入《云南省城镇人口密集区危险化学品生产企业搬迁改造名单》的搬迁改造企业在原址新建、扩建危险化学品生产项目。</w:t>
                  </w:r>
                </w:p>
              </w:tc>
              <w:tc>
                <w:tcPr>
                  <w:tcW w:w="1946" w:type="dxa"/>
                  <w:vAlign w:val="center"/>
                </w:tcPr>
                <w:p w14:paraId="3BEFEDDA">
                  <w:pPr>
                    <w:jc w:val="center"/>
                    <w:rPr>
                      <w:bCs/>
                      <w:kern w:val="28"/>
                      <w:szCs w:val="21"/>
                    </w:rPr>
                  </w:pPr>
                  <w:r>
                    <w:rPr>
                      <w:bCs/>
                      <w:szCs w:val="21"/>
                    </w:rPr>
                    <w:t>本项目</w:t>
                  </w:r>
                  <w:r>
                    <w:rPr>
                      <w:rFonts w:hint="eastAsia"/>
                      <w:bCs/>
                      <w:szCs w:val="21"/>
                    </w:rPr>
                    <w:t>不涉及。</w:t>
                  </w:r>
                </w:p>
              </w:tc>
              <w:tc>
                <w:tcPr>
                  <w:tcW w:w="870" w:type="dxa"/>
                  <w:vAlign w:val="center"/>
                </w:tcPr>
                <w:p w14:paraId="7E84A958">
                  <w:pPr>
                    <w:jc w:val="center"/>
                    <w:rPr>
                      <w:bCs/>
                      <w:szCs w:val="21"/>
                    </w:rPr>
                  </w:pPr>
                  <w:r>
                    <w:rPr>
                      <w:rFonts w:hint="eastAsia"/>
                      <w:bCs/>
                      <w:szCs w:val="21"/>
                    </w:rPr>
                    <w:t>/</w:t>
                  </w:r>
                </w:p>
              </w:tc>
            </w:tr>
            <w:tr w14:paraId="2DB8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5E0BC82">
                  <w:pPr>
                    <w:jc w:val="center"/>
                    <w:rPr>
                      <w:bCs/>
                      <w:kern w:val="28"/>
                      <w:szCs w:val="21"/>
                    </w:rPr>
                  </w:pPr>
                  <w:r>
                    <w:rPr>
                      <w:rFonts w:hint="eastAsia"/>
                      <w:bCs/>
                      <w:kern w:val="28"/>
                      <w:szCs w:val="21"/>
                    </w:rPr>
                    <w:t>1</w:t>
                  </w:r>
                  <w:r>
                    <w:rPr>
                      <w:bCs/>
                      <w:kern w:val="28"/>
                      <w:szCs w:val="21"/>
                    </w:rPr>
                    <w:t>2</w:t>
                  </w:r>
                </w:p>
              </w:tc>
              <w:tc>
                <w:tcPr>
                  <w:tcW w:w="5177" w:type="dxa"/>
                  <w:vAlign w:val="center"/>
                </w:tcPr>
                <w:p w14:paraId="09AC8845">
                  <w:pPr>
                    <w:jc w:val="center"/>
                    <w:rPr>
                      <w:bCs/>
                      <w:szCs w:val="21"/>
                    </w:rPr>
                  </w:pPr>
                  <w:r>
                    <w:rPr>
                      <w:rFonts w:hint="eastAsia"/>
                      <w:bCs/>
                      <w:szCs w:val="21"/>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946" w:type="dxa"/>
                  <w:vAlign w:val="center"/>
                </w:tcPr>
                <w:p w14:paraId="3AF465A8">
                  <w:pPr>
                    <w:jc w:val="center"/>
                    <w:rPr>
                      <w:bCs/>
                      <w:kern w:val="28"/>
                      <w:szCs w:val="21"/>
                    </w:rPr>
                  </w:pPr>
                  <w:r>
                    <w:rPr>
                      <w:bCs/>
                      <w:szCs w:val="21"/>
                    </w:rPr>
                    <w:t>本项目不属于</w:t>
                  </w:r>
                  <w:r>
                    <w:rPr>
                      <w:rFonts w:hint="eastAsia"/>
                      <w:bCs/>
                      <w:szCs w:val="21"/>
                    </w:rPr>
                    <w:t>明令禁止的落后产能项目，</w:t>
                  </w:r>
                  <w:r>
                    <w:rPr>
                      <w:bCs/>
                      <w:szCs w:val="21"/>
                    </w:rPr>
                    <w:t>不属于</w:t>
                  </w:r>
                  <w:r>
                    <w:rPr>
                      <w:rFonts w:hint="eastAsia"/>
                      <w:bCs/>
                      <w:szCs w:val="21"/>
                    </w:rPr>
                    <w:t>过剩产能行业项目，</w:t>
                  </w:r>
                  <w:r>
                    <w:rPr>
                      <w:bCs/>
                      <w:szCs w:val="21"/>
                    </w:rPr>
                    <w:t>不属于</w:t>
                  </w:r>
                  <w:r>
                    <w:rPr>
                      <w:rFonts w:hint="eastAsia"/>
                      <w:bCs/>
                      <w:szCs w:val="21"/>
                    </w:rPr>
                    <w:t>不符合要求的高耗能、高排放项目，</w:t>
                  </w:r>
                  <w:r>
                    <w:rPr>
                      <w:bCs/>
                      <w:szCs w:val="21"/>
                    </w:rPr>
                    <w:t>不属于</w:t>
                  </w:r>
                  <w:r>
                    <w:rPr>
                      <w:rFonts w:hint="eastAsia"/>
                      <w:bCs/>
                      <w:szCs w:val="21"/>
                    </w:rPr>
                    <w:t>高毒高残留以及对环境影响大的项目。</w:t>
                  </w:r>
                </w:p>
              </w:tc>
              <w:tc>
                <w:tcPr>
                  <w:tcW w:w="870" w:type="dxa"/>
                  <w:vAlign w:val="center"/>
                </w:tcPr>
                <w:p w14:paraId="4CECA669">
                  <w:pPr>
                    <w:jc w:val="center"/>
                    <w:rPr>
                      <w:bCs/>
                      <w:szCs w:val="21"/>
                    </w:rPr>
                  </w:pPr>
                  <w:r>
                    <w:rPr>
                      <w:rFonts w:hint="eastAsia"/>
                      <w:bCs/>
                      <w:kern w:val="28"/>
                      <w:szCs w:val="21"/>
                    </w:rPr>
                    <w:t>符合</w:t>
                  </w:r>
                </w:p>
              </w:tc>
            </w:tr>
          </w:tbl>
          <w:p w14:paraId="2BBB2D71">
            <w:pPr>
              <w:autoSpaceDE w:val="0"/>
              <w:autoSpaceDN w:val="0"/>
              <w:adjustRightInd w:val="0"/>
              <w:snapToGrid w:val="0"/>
              <w:spacing w:line="360" w:lineRule="auto"/>
              <w:ind w:firstLine="480" w:firstLineChars="200"/>
              <w:jc w:val="left"/>
              <w:rPr>
                <w:kern w:val="0"/>
                <w:sz w:val="24"/>
              </w:rPr>
            </w:pPr>
            <w:r>
              <w:rPr>
                <w:rFonts w:hint="eastAsia"/>
                <w:kern w:val="0"/>
                <w:sz w:val="24"/>
              </w:rPr>
              <w:t>综上，本项目建设符合《云南省长江经济带发展负面清单指南实施细则（试行，2022年版）》中相关要求。</w:t>
            </w:r>
          </w:p>
          <w:p w14:paraId="70B6A60B">
            <w:pPr>
              <w:autoSpaceDE w:val="0"/>
              <w:autoSpaceDN w:val="0"/>
              <w:adjustRightInd w:val="0"/>
              <w:snapToGrid w:val="0"/>
              <w:spacing w:line="360" w:lineRule="auto"/>
              <w:ind w:firstLine="480" w:firstLineChars="200"/>
              <w:jc w:val="left"/>
              <w:rPr>
                <w:kern w:val="0"/>
                <w:sz w:val="24"/>
              </w:rPr>
            </w:pPr>
            <w:r>
              <w:rPr>
                <w:kern w:val="0"/>
                <w:sz w:val="24"/>
              </w:rPr>
              <w:t>5</w:t>
            </w:r>
            <w:r>
              <w:rPr>
                <w:rFonts w:hint="eastAsia"/>
                <w:kern w:val="0"/>
                <w:sz w:val="24"/>
              </w:rPr>
              <w:t>、与《云南省杞麓湖保护条例》（2024年1月1日起施行）</w:t>
            </w:r>
            <w:r>
              <w:rPr>
                <w:kern w:val="0"/>
                <w:sz w:val="24"/>
              </w:rPr>
              <w:t>符合性分析</w:t>
            </w:r>
          </w:p>
          <w:p w14:paraId="2A0CE5F7">
            <w:pPr>
              <w:autoSpaceDE w:val="0"/>
              <w:autoSpaceDN w:val="0"/>
              <w:adjustRightInd w:val="0"/>
              <w:snapToGrid w:val="0"/>
              <w:spacing w:line="360" w:lineRule="auto"/>
              <w:ind w:firstLine="480" w:firstLineChars="200"/>
              <w:jc w:val="left"/>
              <w:rPr>
                <w:bCs/>
                <w:kern w:val="0"/>
                <w:sz w:val="24"/>
              </w:rPr>
            </w:pPr>
            <w:r>
              <w:rPr>
                <w:rFonts w:hint="eastAsia"/>
                <w:bCs/>
                <w:kern w:val="0"/>
                <w:sz w:val="24"/>
              </w:rPr>
              <w:t>根据《云南省杞麓湖保护条例》（2024年1月1日起施行），本项目位于通海县纳古镇珠山顶，属于杞麓湖径流区，涉及杞麓湖绿色发展区，本项目与《云南省杞麓湖保护条例》规定的保护区禁止行为符合性详见下表。</w:t>
            </w:r>
          </w:p>
          <w:p w14:paraId="7D8637DE">
            <w:pPr>
              <w:autoSpaceDE w:val="0"/>
              <w:autoSpaceDN w:val="0"/>
              <w:adjustRightInd w:val="0"/>
              <w:snapToGrid w:val="0"/>
              <w:spacing w:line="360" w:lineRule="auto"/>
              <w:ind w:firstLine="482" w:firstLineChars="200"/>
              <w:jc w:val="center"/>
              <w:rPr>
                <w:b/>
                <w:bCs/>
                <w:kern w:val="0"/>
                <w:sz w:val="24"/>
              </w:rPr>
            </w:pPr>
            <w:r>
              <w:rPr>
                <w:b/>
                <w:bCs/>
                <w:kern w:val="0"/>
                <w:sz w:val="24"/>
              </w:rPr>
              <w:t xml:space="preserve">表 </w:t>
            </w:r>
            <w:r>
              <w:rPr>
                <w:rFonts w:hint="eastAsia"/>
                <w:b/>
                <w:bCs/>
                <w:kern w:val="0"/>
                <w:sz w:val="24"/>
              </w:rPr>
              <w:t>1-</w:t>
            </w:r>
            <w:r>
              <w:rPr>
                <w:b/>
                <w:bCs/>
                <w:kern w:val="0"/>
                <w:sz w:val="24"/>
              </w:rPr>
              <w:t>7</w:t>
            </w:r>
            <w:r>
              <w:rPr>
                <w:b/>
                <w:bCs/>
                <w:kern w:val="0"/>
                <w:sz w:val="24"/>
              </w:rPr>
              <w:tab/>
            </w:r>
            <w:r>
              <w:rPr>
                <w:b/>
                <w:bCs/>
                <w:kern w:val="0"/>
                <w:sz w:val="24"/>
              </w:rPr>
              <w:t>与</w:t>
            </w:r>
            <w:r>
              <w:rPr>
                <w:rFonts w:hint="eastAsia"/>
                <w:b/>
                <w:bCs/>
                <w:kern w:val="0"/>
                <w:sz w:val="24"/>
              </w:rPr>
              <w:t>《云南省杞麓湖保护条例》</w:t>
            </w:r>
            <w:r>
              <w:rPr>
                <w:b/>
                <w:bCs/>
                <w:kern w:val="0"/>
                <w:sz w:val="24"/>
              </w:rPr>
              <w:t>符合性分析一览表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2950"/>
              <w:gridCol w:w="1141"/>
            </w:tblGrid>
            <w:tr w14:paraId="4DCB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211A3D28">
                  <w:pPr>
                    <w:adjustRightInd w:val="0"/>
                    <w:jc w:val="center"/>
                    <w:rPr>
                      <w:rFonts w:hAnsi="Calibri"/>
                      <w:b/>
                      <w:bCs/>
                      <w:szCs w:val="21"/>
                    </w:rPr>
                  </w:pPr>
                  <w:r>
                    <w:rPr>
                      <w:rFonts w:hint="eastAsia" w:hAnsi="Calibri"/>
                      <w:b/>
                      <w:bCs/>
                      <w:szCs w:val="21"/>
                    </w:rPr>
                    <w:t>云南省杞麓湖保护条例</w:t>
                  </w:r>
                </w:p>
              </w:tc>
              <w:tc>
                <w:tcPr>
                  <w:tcW w:w="1699" w:type="pct"/>
                  <w:vAlign w:val="center"/>
                </w:tcPr>
                <w:p w14:paraId="06A8E49A">
                  <w:pPr>
                    <w:adjustRightInd w:val="0"/>
                    <w:jc w:val="center"/>
                    <w:rPr>
                      <w:rFonts w:hAnsi="Calibri"/>
                      <w:b/>
                      <w:bCs/>
                      <w:szCs w:val="21"/>
                    </w:rPr>
                  </w:pPr>
                  <w:r>
                    <w:rPr>
                      <w:rFonts w:hint="eastAsia" w:hAnsi="Calibri"/>
                      <w:b/>
                      <w:bCs/>
                      <w:szCs w:val="21"/>
                    </w:rPr>
                    <w:t>项目情况</w:t>
                  </w:r>
                </w:p>
              </w:tc>
              <w:tc>
                <w:tcPr>
                  <w:tcW w:w="657" w:type="pct"/>
                  <w:vAlign w:val="center"/>
                </w:tcPr>
                <w:p w14:paraId="18569CD9">
                  <w:pPr>
                    <w:adjustRightInd w:val="0"/>
                    <w:jc w:val="center"/>
                    <w:rPr>
                      <w:rFonts w:hAnsi="Calibri"/>
                      <w:b/>
                      <w:bCs/>
                      <w:szCs w:val="21"/>
                    </w:rPr>
                  </w:pPr>
                  <w:r>
                    <w:rPr>
                      <w:rFonts w:hint="eastAsia" w:hAnsi="Calibri"/>
                      <w:b/>
                      <w:bCs/>
                      <w:szCs w:val="21"/>
                    </w:rPr>
                    <w:t>符合情况</w:t>
                  </w:r>
                </w:p>
              </w:tc>
            </w:tr>
            <w:tr w14:paraId="1AF8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4AFE5B14">
                  <w:pPr>
                    <w:adjustRightInd w:val="0"/>
                    <w:jc w:val="center"/>
                    <w:rPr>
                      <w:rFonts w:hAnsi="Calibri"/>
                      <w:szCs w:val="21"/>
                    </w:rPr>
                  </w:pPr>
                  <w:r>
                    <w:rPr>
                      <w:rFonts w:hint="eastAsia" w:hAnsi="Calibri"/>
                      <w:b/>
                      <w:bCs/>
                      <w:szCs w:val="21"/>
                    </w:rPr>
                    <w:t>绿色发展区</w:t>
                  </w:r>
                </w:p>
              </w:tc>
            </w:tr>
            <w:tr w14:paraId="1022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5A37E21E">
                  <w:pPr>
                    <w:adjustRightInd w:val="0"/>
                    <w:jc w:val="center"/>
                    <w:rPr>
                      <w:rFonts w:hAnsi="Calibri"/>
                      <w:b/>
                      <w:bCs/>
                      <w:szCs w:val="21"/>
                    </w:rPr>
                  </w:pPr>
                  <w:r>
                    <w:rPr>
                      <w:rFonts w:hint="eastAsia" w:hAnsi="Calibri"/>
                      <w:b/>
                      <w:bCs/>
                      <w:szCs w:val="21"/>
                    </w:rPr>
                    <w:t>第二十四条　</w:t>
                  </w:r>
                  <w:r>
                    <w:rPr>
                      <w:rFonts w:hint="eastAsia" w:hAnsi="Calibri"/>
                      <w:szCs w:val="21"/>
                    </w:rPr>
                    <w:t>绿色发展区应当科学确定人口和城镇建设规模，严格管控建设用地总规模。加快产业结构调整，淘汰落后产能，逐步退出高污染、高耗水、高耗能项目。</w:t>
                  </w:r>
                </w:p>
              </w:tc>
              <w:tc>
                <w:tcPr>
                  <w:tcW w:w="1699" w:type="pct"/>
                  <w:vAlign w:val="center"/>
                </w:tcPr>
                <w:p w14:paraId="2CEA7A3B">
                  <w:pPr>
                    <w:adjustRightInd w:val="0"/>
                    <w:jc w:val="center"/>
                    <w:rPr>
                      <w:rFonts w:hAnsi="Calibri"/>
                      <w:szCs w:val="21"/>
                    </w:rPr>
                  </w:pPr>
                  <w:r>
                    <w:rPr>
                      <w:rFonts w:hint="eastAsia" w:hAnsi="Calibri"/>
                      <w:szCs w:val="21"/>
                    </w:rPr>
                    <w:t>本项目利用闲置厂房建设，无新增建设用地。本项目不属于淘汰落后产能，不属于高污染、高耗水、高耗能项目。</w:t>
                  </w:r>
                </w:p>
              </w:tc>
              <w:tc>
                <w:tcPr>
                  <w:tcW w:w="657" w:type="pct"/>
                  <w:vAlign w:val="center"/>
                </w:tcPr>
                <w:p w14:paraId="3A600166">
                  <w:pPr>
                    <w:adjustRightInd w:val="0"/>
                    <w:jc w:val="center"/>
                    <w:rPr>
                      <w:rFonts w:hAnsi="Calibri"/>
                      <w:szCs w:val="21"/>
                    </w:rPr>
                  </w:pPr>
                  <w:r>
                    <w:rPr>
                      <w:rFonts w:hint="eastAsia" w:hAnsi="Calibri"/>
                      <w:szCs w:val="21"/>
                    </w:rPr>
                    <w:t>符合</w:t>
                  </w:r>
                </w:p>
              </w:tc>
            </w:tr>
            <w:tr w14:paraId="583D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17FB7592">
                  <w:pPr>
                    <w:adjustRightInd w:val="0"/>
                    <w:jc w:val="center"/>
                    <w:rPr>
                      <w:rFonts w:hAnsi="Calibri"/>
                      <w:b/>
                      <w:bCs/>
                      <w:szCs w:val="21"/>
                    </w:rPr>
                  </w:pPr>
                  <w:r>
                    <w:rPr>
                      <w:rFonts w:hint="eastAsia" w:hAnsi="Calibri"/>
                      <w:b/>
                      <w:bCs/>
                      <w:szCs w:val="21"/>
                    </w:rPr>
                    <w:t>第二十五条　绿色发展区禁止下列行为：</w:t>
                  </w:r>
                </w:p>
              </w:tc>
              <w:tc>
                <w:tcPr>
                  <w:tcW w:w="1699" w:type="pct"/>
                  <w:vAlign w:val="center"/>
                </w:tcPr>
                <w:p w14:paraId="24DA26E6">
                  <w:pPr>
                    <w:adjustRightInd w:val="0"/>
                    <w:jc w:val="center"/>
                    <w:rPr>
                      <w:rFonts w:hAnsi="Calibri"/>
                      <w:szCs w:val="21"/>
                    </w:rPr>
                  </w:pPr>
                  <w:r>
                    <w:rPr>
                      <w:rFonts w:hint="eastAsia" w:hAnsi="Calibri"/>
                      <w:szCs w:val="21"/>
                    </w:rPr>
                    <w:t>/</w:t>
                  </w:r>
                </w:p>
              </w:tc>
              <w:tc>
                <w:tcPr>
                  <w:tcW w:w="657" w:type="pct"/>
                  <w:vAlign w:val="center"/>
                </w:tcPr>
                <w:p w14:paraId="60131C9F">
                  <w:pPr>
                    <w:adjustRightInd w:val="0"/>
                    <w:jc w:val="center"/>
                    <w:rPr>
                      <w:rFonts w:hAnsi="Calibri"/>
                      <w:szCs w:val="21"/>
                    </w:rPr>
                  </w:pPr>
                  <w:r>
                    <w:rPr>
                      <w:rFonts w:hint="eastAsia" w:hAnsi="Calibri"/>
                      <w:szCs w:val="21"/>
                    </w:rPr>
                    <w:t>/</w:t>
                  </w:r>
                </w:p>
              </w:tc>
            </w:tr>
            <w:tr w14:paraId="5EFC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58337638">
                  <w:pPr>
                    <w:adjustRightInd w:val="0"/>
                    <w:jc w:val="center"/>
                    <w:rPr>
                      <w:rFonts w:hAnsi="Calibri"/>
                      <w:szCs w:val="21"/>
                    </w:rPr>
                  </w:pPr>
                  <w:r>
                    <w:rPr>
                      <w:rFonts w:hint="eastAsia" w:hAnsi="Calibri"/>
                      <w:szCs w:val="21"/>
                    </w:rPr>
                    <w:t>（一）新建、改建、扩建严重污染环境、破坏生态平衡和自然景观的项目；</w:t>
                  </w:r>
                </w:p>
              </w:tc>
              <w:tc>
                <w:tcPr>
                  <w:tcW w:w="1699" w:type="pct"/>
                  <w:vAlign w:val="center"/>
                </w:tcPr>
                <w:p w14:paraId="494B2912">
                  <w:pPr>
                    <w:adjustRightInd w:val="0"/>
                    <w:jc w:val="center"/>
                    <w:rPr>
                      <w:rFonts w:hAnsi="Calibri"/>
                      <w:szCs w:val="21"/>
                    </w:rPr>
                  </w:pPr>
                  <w:r>
                    <w:rPr>
                      <w:rFonts w:hint="eastAsia"/>
                      <w:bCs/>
                      <w:kern w:val="0"/>
                      <w:szCs w:val="21"/>
                    </w:rPr>
                    <w:t>本项不属于严重污染环境、破坏生态平衡和自然景观的项目。</w:t>
                  </w:r>
                </w:p>
              </w:tc>
              <w:tc>
                <w:tcPr>
                  <w:tcW w:w="657" w:type="pct"/>
                  <w:vAlign w:val="center"/>
                </w:tcPr>
                <w:p w14:paraId="63737280">
                  <w:pPr>
                    <w:adjustRightInd w:val="0"/>
                    <w:jc w:val="center"/>
                    <w:rPr>
                      <w:rFonts w:hAnsi="Calibri"/>
                      <w:szCs w:val="21"/>
                    </w:rPr>
                  </w:pPr>
                  <w:r>
                    <w:rPr>
                      <w:rFonts w:hint="eastAsia" w:hAnsi="Calibri"/>
                      <w:szCs w:val="21"/>
                    </w:rPr>
                    <w:t>符合</w:t>
                  </w:r>
                </w:p>
              </w:tc>
            </w:tr>
            <w:tr w14:paraId="256B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18AC6366">
                  <w:pPr>
                    <w:adjustRightInd w:val="0"/>
                    <w:jc w:val="center"/>
                    <w:rPr>
                      <w:rFonts w:hAnsi="Calibri"/>
                      <w:szCs w:val="21"/>
                    </w:rPr>
                  </w:pPr>
                  <w:r>
                    <w:rPr>
                      <w:rFonts w:hint="eastAsia" w:hAnsi="Calibri"/>
                      <w:szCs w:val="21"/>
                    </w:rPr>
                    <w:t>（二）开山、采石、挖砂、取土、毁林、毁草、挖树根等；</w:t>
                  </w:r>
                </w:p>
              </w:tc>
              <w:tc>
                <w:tcPr>
                  <w:tcW w:w="1699" w:type="pct"/>
                  <w:vAlign w:val="center"/>
                </w:tcPr>
                <w:p w14:paraId="286DED8A">
                  <w:pPr>
                    <w:adjustRightInd w:val="0"/>
                    <w:jc w:val="center"/>
                    <w:rPr>
                      <w:rFonts w:hAnsi="Calibri"/>
                      <w:szCs w:val="21"/>
                    </w:rPr>
                  </w:pPr>
                  <w:r>
                    <w:rPr>
                      <w:rFonts w:hint="eastAsia" w:hAnsi="Calibri"/>
                      <w:szCs w:val="21"/>
                    </w:rPr>
                    <w:t>本项目不涉及。</w:t>
                  </w:r>
                </w:p>
              </w:tc>
              <w:tc>
                <w:tcPr>
                  <w:tcW w:w="657" w:type="pct"/>
                  <w:vAlign w:val="center"/>
                </w:tcPr>
                <w:p w14:paraId="1C3E846D">
                  <w:pPr>
                    <w:adjustRightInd w:val="0"/>
                    <w:jc w:val="center"/>
                    <w:rPr>
                      <w:rFonts w:hAnsi="Calibri"/>
                      <w:szCs w:val="21"/>
                    </w:rPr>
                  </w:pPr>
                  <w:r>
                    <w:rPr>
                      <w:rFonts w:hint="eastAsia" w:hAnsi="Calibri"/>
                      <w:szCs w:val="21"/>
                    </w:rPr>
                    <w:t>/</w:t>
                  </w:r>
                </w:p>
              </w:tc>
            </w:tr>
            <w:tr w14:paraId="639A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17D42D0A">
                  <w:pPr>
                    <w:adjustRightInd w:val="0"/>
                    <w:jc w:val="center"/>
                    <w:rPr>
                      <w:rFonts w:hAnsi="Calibri"/>
                      <w:szCs w:val="21"/>
                    </w:rPr>
                  </w:pPr>
                  <w:r>
                    <w:rPr>
                      <w:rFonts w:hint="eastAsia" w:hAnsi="Calibri"/>
                      <w:szCs w:val="21"/>
                    </w:rPr>
                    <w:t>（三）采矿、选矿；</w:t>
                  </w:r>
                </w:p>
              </w:tc>
              <w:tc>
                <w:tcPr>
                  <w:tcW w:w="1699" w:type="pct"/>
                  <w:vAlign w:val="center"/>
                </w:tcPr>
                <w:p w14:paraId="41D08B36">
                  <w:pPr>
                    <w:adjustRightInd w:val="0"/>
                    <w:jc w:val="center"/>
                    <w:rPr>
                      <w:rFonts w:hAnsi="Calibri"/>
                      <w:szCs w:val="21"/>
                    </w:rPr>
                  </w:pPr>
                  <w:r>
                    <w:rPr>
                      <w:rFonts w:hint="eastAsia" w:hAnsi="Calibri"/>
                      <w:szCs w:val="21"/>
                    </w:rPr>
                    <w:t>本项目不涉及。</w:t>
                  </w:r>
                </w:p>
              </w:tc>
              <w:tc>
                <w:tcPr>
                  <w:tcW w:w="657" w:type="pct"/>
                  <w:vAlign w:val="center"/>
                </w:tcPr>
                <w:p w14:paraId="78796164">
                  <w:pPr>
                    <w:adjustRightInd w:val="0"/>
                    <w:jc w:val="center"/>
                    <w:rPr>
                      <w:rFonts w:hAnsi="Calibri"/>
                      <w:szCs w:val="21"/>
                    </w:rPr>
                  </w:pPr>
                  <w:r>
                    <w:rPr>
                      <w:rFonts w:hint="eastAsia" w:hAnsi="Calibri"/>
                      <w:szCs w:val="21"/>
                    </w:rPr>
                    <w:t>/</w:t>
                  </w:r>
                </w:p>
              </w:tc>
            </w:tr>
            <w:tr w14:paraId="63E6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303615CA">
                  <w:pPr>
                    <w:adjustRightInd w:val="0"/>
                    <w:jc w:val="center"/>
                    <w:rPr>
                      <w:rFonts w:hAnsi="Calibri"/>
                      <w:szCs w:val="21"/>
                    </w:rPr>
                  </w:pPr>
                  <w:r>
                    <w:rPr>
                      <w:rFonts w:hint="eastAsia" w:hAnsi="Calibri"/>
                      <w:szCs w:val="21"/>
                    </w:rPr>
                    <w:t>（四）侵占河堤、护岸，损毁或者擅自移动防汛、水文、水利、科研、气象、测量、环境监测、杞麓湖保护相关标牌、环卫等设施；</w:t>
                  </w:r>
                </w:p>
              </w:tc>
              <w:tc>
                <w:tcPr>
                  <w:tcW w:w="1699" w:type="pct"/>
                  <w:vAlign w:val="center"/>
                </w:tcPr>
                <w:p w14:paraId="25EEBD00">
                  <w:pPr>
                    <w:adjustRightInd w:val="0"/>
                    <w:jc w:val="center"/>
                    <w:rPr>
                      <w:rFonts w:hAnsi="Calibri"/>
                      <w:szCs w:val="21"/>
                    </w:rPr>
                  </w:pPr>
                  <w:r>
                    <w:rPr>
                      <w:rFonts w:hint="eastAsia" w:hAnsi="Calibri"/>
                      <w:szCs w:val="21"/>
                    </w:rPr>
                    <w:t>本项目不涉及。</w:t>
                  </w:r>
                </w:p>
              </w:tc>
              <w:tc>
                <w:tcPr>
                  <w:tcW w:w="657" w:type="pct"/>
                  <w:vAlign w:val="center"/>
                </w:tcPr>
                <w:p w14:paraId="52D581F0">
                  <w:pPr>
                    <w:adjustRightInd w:val="0"/>
                    <w:jc w:val="center"/>
                    <w:rPr>
                      <w:rFonts w:hAnsi="Calibri"/>
                      <w:szCs w:val="21"/>
                    </w:rPr>
                  </w:pPr>
                  <w:r>
                    <w:rPr>
                      <w:rFonts w:hint="eastAsia" w:hAnsi="Calibri"/>
                      <w:szCs w:val="21"/>
                    </w:rPr>
                    <w:t>/</w:t>
                  </w:r>
                </w:p>
              </w:tc>
            </w:tr>
            <w:tr w14:paraId="7972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272D0BFF">
                  <w:pPr>
                    <w:adjustRightInd w:val="0"/>
                    <w:jc w:val="left"/>
                    <w:rPr>
                      <w:rFonts w:hAnsi="Calibri"/>
                      <w:szCs w:val="21"/>
                    </w:rPr>
                  </w:pPr>
                  <w:r>
                    <w:rPr>
                      <w:rFonts w:hint="eastAsia" w:hAnsi="Calibri"/>
                      <w:szCs w:val="21"/>
                    </w:rPr>
                    <w:t>（五）向入湖河道、沟渠、城镇排水管网排放超过国家、地方水污染排放标准或者超过重点水污染物排放总量控制指标的水污染物；</w:t>
                  </w:r>
                </w:p>
              </w:tc>
              <w:tc>
                <w:tcPr>
                  <w:tcW w:w="1699" w:type="pct"/>
                  <w:vAlign w:val="center"/>
                </w:tcPr>
                <w:p w14:paraId="0631FF5F">
                  <w:pPr>
                    <w:adjustRightInd w:val="0"/>
                    <w:jc w:val="center"/>
                    <w:rPr>
                      <w:rFonts w:hAnsi="Calibri"/>
                      <w:szCs w:val="21"/>
                    </w:rPr>
                  </w:pPr>
                  <w:r>
                    <w:rPr>
                      <w:rFonts w:hint="eastAsia"/>
                      <w:kern w:val="0"/>
                      <w:szCs w:val="21"/>
                    </w:rPr>
                    <w:t>项目生产废水循环使用不外排，</w:t>
                  </w:r>
                  <w:r>
                    <w:rPr>
                      <w:rFonts w:hint="eastAsia"/>
                      <w:szCs w:val="21"/>
                    </w:rPr>
                    <w:t>项目生活污水依托现有生活污水处理设施</w:t>
                  </w:r>
                  <w:r>
                    <w:rPr>
                      <w:szCs w:val="21"/>
                    </w:rPr>
                    <w:t>处理后，</w:t>
                  </w:r>
                  <w:r>
                    <w:rPr>
                      <w:rFonts w:hint="eastAsia"/>
                      <w:szCs w:val="21"/>
                    </w:rPr>
                    <w:t>回用于直接冷却水的补充水，不外排。</w:t>
                  </w:r>
                </w:p>
              </w:tc>
              <w:tc>
                <w:tcPr>
                  <w:tcW w:w="657" w:type="pct"/>
                  <w:vAlign w:val="center"/>
                </w:tcPr>
                <w:p w14:paraId="471E88CC">
                  <w:pPr>
                    <w:adjustRightInd w:val="0"/>
                    <w:jc w:val="center"/>
                    <w:rPr>
                      <w:rFonts w:hAnsi="Calibri"/>
                      <w:szCs w:val="21"/>
                    </w:rPr>
                  </w:pPr>
                  <w:r>
                    <w:rPr>
                      <w:rFonts w:hint="eastAsia" w:hAnsi="Calibri"/>
                      <w:szCs w:val="21"/>
                    </w:rPr>
                    <w:t>符合</w:t>
                  </w:r>
                </w:p>
              </w:tc>
            </w:tr>
            <w:tr w14:paraId="4584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45B57D63">
                  <w:pPr>
                    <w:adjustRightInd w:val="0"/>
                    <w:jc w:val="left"/>
                    <w:rPr>
                      <w:rFonts w:hAnsi="Calibri"/>
                      <w:szCs w:val="21"/>
                    </w:rPr>
                  </w:pPr>
                  <w:r>
                    <w:rPr>
                      <w:rFonts w:hint="eastAsia" w:hAnsi="Calibri"/>
                      <w:szCs w:val="21"/>
                    </w:rPr>
                    <w:t>（六）向入湖河道、沟渠及河道岸坡排放、倾倒、填埋油类、酸液、碱液、剧毒废液（渣）等；</w:t>
                  </w:r>
                </w:p>
              </w:tc>
              <w:tc>
                <w:tcPr>
                  <w:tcW w:w="1699" w:type="pct"/>
                  <w:vAlign w:val="center"/>
                </w:tcPr>
                <w:p w14:paraId="5E98270A">
                  <w:pPr>
                    <w:adjustRightInd w:val="0"/>
                    <w:jc w:val="center"/>
                    <w:rPr>
                      <w:rFonts w:hAnsi="Calibri"/>
                      <w:szCs w:val="21"/>
                    </w:rPr>
                  </w:pPr>
                  <w:r>
                    <w:rPr>
                      <w:rFonts w:hint="eastAsia" w:hAnsi="Calibri"/>
                      <w:szCs w:val="21"/>
                    </w:rPr>
                    <w:t>本项目不涉及。</w:t>
                  </w:r>
                </w:p>
              </w:tc>
              <w:tc>
                <w:tcPr>
                  <w:tcW w:w="657" w:type="pct"/>
                  <w:vAlign w:val="center"/>
                </w:tcPr>
                <w:p w14:paraId="0E1E8FF0">
                  <w:pPr>
                    <w:adjustRightInd w:val="0"/>
                    <w:jc w:val="center"/>
                    <w:rPr>
                      <w:rFonts w:hAnsi="Calibri"/>
                      <w:szCs w:val="21"/>
                    </w:rPr>
                  </w:pPr>
                  <w:r>
                    <w:rPr>
                      <w:rFonts w:hint="eastAsia" w:hAnsi="Calibri"/>
                      <w:szCs w:val="21"/>
                    </w:rPr>
                    <w:t>/</w:t>
                  </w:r>
                </w:p>
              </w:tc>
            </w:tr>
            <w:tr w14:paraId="6141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0EF42E27">
                  <w:pPr>
                    <w:adjustRightInd w:val="0"/>
                    <w:jc w:val="left"/>
                    <w:rPr>
                      <w:rFonts w:hAnsi="Calibri"/>
                      <w:szCs w:val="21"/>
                    </w:rPr>
                  </w:pPr>
                  <w:r>
                    <w:rPr>
                      <w:rFonts w:hint="eastAsia" w:hAnsi="Calibri"/>
                      <w:szCs w:val="21"/>
                    </w:rPr>
                    <w:t>（七）在入湖河道、沟渠、水库最高水位线以下的滩地、岸坡堆放、存贮固体废弃物或者其他污染物；</w:t>
                  </w:r>
                </w:p>
              </w:tc>
              <w:tc>
                <w:tcPr>
                  <w:tcW w:w="1699" w:type="pct"/>
                  <w:vAlign w:val="center"/>
                </w:tcPr>
                <w:p w14:paraId="489B48FD">
                  <w:pPr>
                    <w:adjustRightInd w:val="0"/>
                    <w:jc w:val="center"/>
                    <w:rPr>
                      <w:rFonts w:hAnsi="Calibri"/>
                      <w:szCs w:val="21"/>
                    </w:rPr>
                  </w:pPr>
                  <w:r>
                    <w:rPr>
                      <w:rFonts w:hint="eastAsia" w:hAnsi="Calibri"/>
                      <w:szCs w:val="21"/>
                    </w:rPr>
                    <w:t>本项目不涉及。</w:t>
                  </w:r>
                </w:p>
              </w:tc>
              <w:tc>
                <w:tcPr>
                  <w:tcW w:w="657" w:type="pct"/>
                  <w:vAlign w:val="center"/>
                </w:tcPr>
                <w:p w14:paraId="084BDBF1">
                  <w:pPr>
                    <w:adjustRightInd w:val="0"/>
                    <w:jc w:val="center"/>
                    <w:rPr>
                      <w:rFonts w:hAnsi="Calibri"/>
                      <w:szCs w:val="21"/>
                    </w:rPr>
                  </w:pPr>
                  <w:r>
                    <w:rPr>
                      <w:rFonts w:hint="eastAsia" w:hAnsi="Calibri"/>
                      <w:szCs w:val="21"/>
                    </w:rPr>
                    <w:t>/</w:t>
                  </w:r>
                </w:p>
              </w:tc>
            </w:tr>
            <w:tr w14:paraId="1CFD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26B41FB2">
                  <w:pPr>
                    <w:adjustRightInd w:val="0"/>
                    <w:jc w:val="center"/>
                    <w:rPr>
                      <w:rFonts w:hAnsi="Calibri"/>
                      <w:szCs w:val="21"/>
                    </w:rPr>
                  </w:pPr>
                  <w:r>
                    <w:rPr>
                      <w:rFonts w:hint="eastAsia" w:hAnsi="Calibri"/>
                      <w:szCs w:val="21"/>
                    </w:rPr>
                    <w:t>（八）向入湖河道、沟渠、水库倾倒粪便、污水；</w:t>
                  </w:r>
                </w:p>
              </w:tc>
              <w:tc>
                <w:tcPr>
                  <w:tcW w:w="1699" w:type="pct"/>
                  <w:vAlign w:val="center"/>
                </w:tcPr>
                <w:p w14:paraId="6730BB90">
                  <w:pPr>
                    <w:adjustRightInd w:val="0"/>
                    <w:jc w:val="center"/>
                    <w:rPr>
                      <w:rFonts w:hAnsi="Calibri"/>
                      <w:szCs w:val="21"/>
                    </w:rPr>
                  </w:pPr>
                  <w:r>
                    <w:rPr>
                      <w:rFonts w:hint="eastAsia" w:hAnsi="Calibri"/>
                      <w:szCs w:val="21"/>
                    </w:rPr>
                    <w:t>本项目不涉及。</w:t>
                  </w:r>
                </w:p>
              </w:tc>
              <w:tc>
                <w:tcPr>
                  <w:tcW w:w="657" w:type="pct"/>
                  <w:vAlign w:val="center"/>
                </w:tcPr>
                <w:p w14:paraId="53988397">
                  <w:pPr>
                    <w:adjustRightInd w:val="0"/>
                    <w:jc w:val="center"/>
                    <w:rPr>
                      <w:rFonts w:hAnsi="Calibri"/>
                      <w:szCs w:val="21"/>
                    </w:rPr>
                  </w:pPr>
                  <w:r>
                    <w:rPr>
                      <w:rFonts w:hint="eastAsia" w:hAnsi="Calibri"/>
                      <w:szCs w:val="21"/>
                    </w:rPr>
                    <w:t>/</w:t>
                  </w:r>
                </w:p>
              </w:tc>
            </w:tr>
            <w:tr w14:paraId="7240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336EAD68">
                  <w:pPr>
                    <w:adjustRightInd w:val="0"/>
                    <w:jc w:val="center"/>
                    <w:rPr>
                      <w:rFonts w:hAnsi="Calibri"/>
                      <w:szCs w:val="21"/>
                    </w:rPr>
                  </w:pPr>
                  <w:r>
                    <w:rPr>
                      <w:rFonts w:hint="eastAsia" w:hAnsi="Calibri"/>
                      <w:szCs w:val="21"/>
                    </w:rPr>
                    <w:t>（九）在入湖河道、沟渠、水库内丢弃农药、农药包装物或者清洗施药器械；</w:t>
                  </w:r>
                </w:p>
              </w:tc>
              <w:tc>
                <w:tcPr>
                  <w:tcW w:w="1699" w:type="pct"/>
                  <w:vAlign w:val="center"/>
                </w:tcPr>
                <w:p w14:paraId="37FF3D62">
                  <w:pPr>
                    <w:adjustRightInd w:val="0"/>
                    <w:jc w:val="center"/>
                    <w:rPr>
                      <w:rFonts w:hAnsi="Calibri"/>
                      <w:szCs w:val="21"/>
                    </w:rPr>
                  </w:pPr>
                  <w:r>
                    <w:rPr>
                      <w:rFonts w:hint="eastAsia" w:hAnsi="Calibri"/>
                      <w:szCs w:val="21"/>
                    </w:rPr>
                    <w:t>本项目不涉及。</w:t>
                  </w:r>
                </w:p>
              </w:tc>
              <w:tc>
                <w:tcPr>
                  <w:tcW w:w="657" w:type="pct"/>
                  <w:vAlign w:val="center"/>
                </w:tcPr>
                <w:p w14:paraId="55E2A0D5">
                  <w:pPr>
                    <w:adjustRightInd w:val="0"/>
                    <w:jc w:val="center"/>
                    <w:rPr>
                      <w:rFonts w:hAnsi="Calibri"/>
                      <w:szCs w:val="21"/>
                    </w:rPr>
                  </w:pPr>
                  <w:r>
                    <w:rPr>
                      <w:rFonts w:hint="eastAsia" w:hAnsi="Calibri"/>
                      <w:szCs w:val="21"/>
                    </w:rPr>
                    <w:t>/</w:t>
                  </w:r>
                </w:p>
              </w:tc>
            </w:tr>
            <w:tr w14:paraId="3BC1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3F3BE04B">
                  <w:pPr>
                    <w:adjustRightInd w:val="0"/>
                    <w:jc w:val="center"/>
                    <w:rPr>
                      <w:rFonts w:hAnsi="Calibri"/>
                      <w:szCs w:val="21"/>
                    </w:rPr>
                  </w:pPr>
                  <w:r>
                    <w:rPr>
                      <w:rFonts w:hint="eastAsia" w:hAnsi="Calibri"/>
                      <w:szCs w:val="21"/>
                    </w:rPr>
                    <w:t>（十）随意倾倒垃圾、抛撒或者堆放泡沫、塑料餐饮具、塑料袋等；</w:t>
                  </w:r>
                </w:p>
              </w:tc>
              <w:tc>
                <w:tcPr>
                  <w:tcW w:w="1699" w:type="pct"/>
                  <w:vAlign w:val="center"/>
                </w:tcPr>
                <w:p w14:paraId="7718604E">
                  <w:pPr>
                    <w:adjustRightInd w:val="0"/>
                    <w:jc w:val="center"/>
                    <w:rPr>
                      <w:rFonts w:hAnsi="Calibri"/>
                      <w:szCs w:val="21"/>
                    </w:rPr>
                  </w:pPr>
                  <w:r>
                    <w:rPr>
                      <w:rFonts w:hint="eastAsia" w:hAnsi="Calibri"/>
                      <w:szCs w:val="21"/>
                    </w:rPr>
                    <w:t>本项目不涉及。</w:t>
                  </w:r>
                </w:p>
              </w:tc>
              <w:tc>
                <w:tcPr>
                  <w:tcW w:w="657" w:type="pct"/>
                  <w:vAlign w:val="center"/>
                </w:tcPr>
                <w:p w14:paraId="7D337FFA">
                  <w:pPr>
                    <w:adjustRightInd w:val="0"/>
                    <w:jc w:val="center"/>
                    <w:rPr>
                      <w:rFonts w:hAnsi="Calibri"/>
                      <w:szCs w:val="21"/>
                    </w:rPr>
                  </w:pPr>
                  <w:r>
                    <w:rPr>
                      <w:rFonts w:hint="eastAsia" w:hAnsi="Calibri"/>
                      <w:szCs w:val="21"/>
                    </w:rPr>
                    <w:t>/</w:t>
                  </w:r>
                </w:p>
              </w:tc>
            </w:tr>
            <w:tr w14:paraId="7C50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0B394135">
                  <w:pPr>
                    <w:adjustRightInd w:val="0"/>
                    <w:jc w:val="left"/>
                    <w:rPr>
                      <w:rFonts w:hAnsi="Calibri"/>
                      <w:szCs w:val="21"/>
                    </w:rPr>
                  </w:pPr>
                  <w:r>
                    <w:rPr>
                      <w:rFonts w:hint="eastAsia" w:hAnsi="Calibri"/>
                      <w:szCs w:val="21"/>
                    </w:rPr>
                    <w:t>（十一）随意倾倒、堆放、填埋废弃菜叶等农业废弃物；</w:t>
                  </w:r>
                </w:p>
              </w:tc>
              <w:tc>
                <w:tcPr>
                  <w:tcW w:w="1699" w:type="pct"/>
                  <w:vAlign w:val="center"/>
                </w:tcPr>
                <w:p w14:paraId="2E875523">
                  <w:pPr>
                    <w:adjustRightInd w:val="0"/>
                    <w:jc w:val="center"/>
                    <w:rPr>
                      <w:rFonts w:hAnsi="Calibri"/>
                      <w:szCs w:val="21"/>
                    </w:rPr>
                  </w:pPr>
                  <w:r>
                    <w:rPr>
                      <w:rFonts w:hint="eastAsia" w:hAnsi="Calibri"/>
                      <w:szCs w:val="21"/>
                    </w:rPr>
                    <w:t>本项目不涉及。</w:t>
                  </w:r>
                </w:p>
              </w:tc>
              <w:tc>
                <w:tcPr>
                  <w:tcW w:w="657" w:type="pct"/>
                  <w:vAlign w:val="center"/>
                </w:tcPr>
                <w:p w14:paraId="18D9F31D">
                  <w:pPr>
                    <w:adjustRightInd w:val="0"/>
                    <w:jc w:val="center"/>
                    <w:rPr>
                      <w:rFonts w:hAnsi="Calibri"/>
                      <w:szCs w:val="21"/>
                    </w:rPr>
                  </w:pPr>
                  <w:r>
                    <w:rPr>
                      <w:rFonts w:hint="eastAsia" w:hAnsi="Calibri"/>
                      <w:szCs w:val="21"/>
                    </w:rPr>
                    <w:t>/</w:t>
                  </w:r>
                </w:p>
              </w:tc>
            </w:tr>
            <w:tr w14:paraId="3ADC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3181C0C5">
                  <w:pPr>
                    <w:adjustRightInd w:val="0"/>
                    <w:jc w:val="left"/>
                    <w:rPr>
                      <w:rFonts w:hAnsi="Calibri"/>
                      <w:szCs w:val="21"/>
                    </w:rPr>
                  </w:pPr>
                  <w:r>
                    <w:rPr>
                      <w:rFonts w:hint="eastAsia" w:hAnsi="Calibri"/>
                      <w:szCs w:val="21"/>
                    </w:rPr>
                    <w:t>（十二）生产、销售、使用杀鼠剂以外的限制使用类农药和含磷洗涤用品；</w:t>
                  </w:r>
                </w:p>
              </w:tc>
              <w:tc>
                <w:tcPr>
                  <w:tcW w:w="1699" w:type="pct"/>
                  <w:vAlign w:val="center"/>
                </w:tcPr>
                <w:p w14:paraId="59CD1A02">
                  <w:pPr>
                    <w:adjustRightInd w:val="0"/>
                    <w:jc w:val="center"/>
                    <w:rPr>
                      <w:rFonts w:hAnsi="Calibri"/>
                      <w:szCs w:val="21"/>
                    </w:rPr>
                  </w:pPr>
                  <w:r>
                    <w:rPr>
                      <w:rFonts w:hint="eastAsia" w:hAnsi="Calibri"/>
                      <w:szCs w:val="21"/>
                    </w:rPr>
                    <w:t>本项目不涉及。</w:t>
                  </w:r>
                </w:p>
              </w:tc>
              <w:tc>
                <w:tcPr>
                  <w:tcW w:w="657" w:type="pct"/>
                  <w:vAlign w:val="center"/>
                </w:tcPr>
                <w:p w14:paraId="2C6BB3C4">
                  <w:pPr>
                    <w:adjustRightInd w:val="0"/>
                    <w:jc w:val="center"/>
                    <w:rPr>
                      <w:rFonts w:hAnsi="Calibri"/>
                      <w:szCs w:val="21"/>
                    </w:rPr>
                  </w:pPr>
                  <w:r>
                    <w:rPr>
                      <w:rFonts w:hint="eastAsia" w:hAnsi="Calibri"/>
                      <w:szCs w:val="21"/>
                    </w:rPr>
                    <w:t>/</w:t>
                  </w:r>
                </w:p>
              </w:tc>
            </w:tr>
            <w:tr w14:paraId="2D91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2CF98A09">
                  <w:pPr>
                    <w:adjustRightInd w:val="0"/>
                    <w:jc w:val="center"/>
                    <w:rPr>
                      <w:rFonts w:hAnsi="Calibri"/>
                      <w:szCs w:val="21"/>
                    </w:rPr>
                  </w:pPr>
                  <w:r>
                    <w:rPr>
                      <w:rFonts w:hint="eastAsia" w:hAnsi="Calibri"/>
                      <w:szCs w:val="21"/>
                    </w:rPr>
                    <w:t>（十三）擅自取水或者违反取水许可规定取水；</w:t>
                  </w:r>
                </w:p>
              </w:tc>
              <w:tc>
                <w:tcPr>
                  <w:tcW w:w="1699" w:type="pct"/>
                  <w:vAlign w:val="center"/>
                </w:tcPr>
                <w:p w14:paraId="7C313808">
                  <w:pPr>
                    <w:adjustRightInd w:val="0"/>
                    <w:jc w:val="center"/>
                    <w:rPr>
                      <w:rFonts w:hAnsi="Calibri"/>
                      <w:szCs w:val="21"/>
                    </w:rPr>
                  </w:pPr>
                  <w:r>
                    <w:rPr>
                      <w:rFonts w:hint="eastAsia" w:hAnsi="Calibri"/>
                      <w:szCs w:val="21"/>
                    </w:rPr>
                    <w:t>本项目不涉及。</w:t>
                  </w:r>
                </w:p>
              </w:tc>
              <w:tc>
                <w:tcPr>
                  <w:tcW w:w="657" w:type="pct"/>
                  <w:vAlign w:val="center"/>
                </w:tcPr>
                <w:p w14:paraId="073F9707">
                  <w:pPr>
                    <w:adjustRightInd w:val="0"/>
                    <w:jc w:val="center"/>
                    <w:rPr>
                      <w:rFonts w:hAnsi="Calibri"/>
                      <w:szCs w:val="21"/>
                    </w:rPr>
                  </w:pPr>
                  <w:r>
                    <w:rPr>
                      <w:rFonts w:hint="eastAsia" w:hAnsi="Calibri"/>
                      <w:szCs w:val="21"/>
                    </w:rPr>
                    <w:t>/</w:t>
                  </w:r>
                </w:p>
              </w:tc>
            </w:tr>
            <w:tr w14:paraId="6B25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4411F637">
                  <w:pPr>
                    <w:adjustRightInd w:val="0"/>
                    <w:jc w:val="center"/>
                    <w:rPr>
                      <w:rFonts w:hAnsi="Calibri"/>
                      <w:szCs w:val="21"/>
                    </w:rPr>
                  </w:pPr>
                  <w:r>
                    <w:rPr>
                      <w:rFonts w:hint="eastAsia" w:hAnsi="Calibri"/>
                      <w:szCs w:val="21"/>
                    </w:rPr>
                    <w:t>（十四）擅自释放或者丢弃外来物种；</w:t>
                  </w:r>
                </w:p>
              </w:tc>
              <w:tc>
                <w:tcPr>
                  <w:tcW w:w="1699" w:type="pct"/>
                  <w:vAlign w:val="center"/>
                </w:tcPr>
                <w:p w14:paraId="001F772C">
                  <w:pPr>
                    <w:adjustRightInd w:val="0"/>
                    <w:jc w:val="center"/>
                    <w:rPr>
                      <w:rFonts w:hAnsi="Calibri"/>
                      <w:szCs w:val="21"/>
                    </w:rPr>
                  </w:pPr>
                  <w:r>
                    <w:rPr>
                      <w:rFonts w:hint="eastAsia" w:hAnsi="Calibri"/>
                      <w:szCs w:val="21"/>
                    </w:rPr>
                    <w:t>本项目不涉及。</w:t>
                  </w:r>
                </w:p>
              </w:tc>
              <w:tc>
                <w:tcPr>
                  <w:tcW w:w="657" w:type="pct"/>
                  <w:vAlign w:val="center"/>
                </w:tcPr>
                <w:p w14:paraId="522B88A2">
                  <w:pPr>
                    <w:adjustRightInd w:val="0"/>
                    <w:jc w:val="center"/>
                    <w:rPr>
                      <w:rFonts w:hAnsi="Calibri"/>
                      <w:szCs w:val="21"/>
                    </w:rPr>
                  </w:pPr>
                  <w:r>
                    <w:rPr>
                      <w:rFonts w:hint="eastAsia" w:hAnsi="Calibri"/>
                      <w:szCs w:val="21"/>
                    </w:rPr>
                    <w:t>/</w:t>
                  </w:r>
                </w:p>
              </w:tc>
            </w:tr>
            <w:tr w14:paraId="49F8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1A4A4ABE">
                  <w:pPr>
                    <w:adjustRightInd w:val="0"/>
                    <w:jc w:val="center"/>
                    <w:rPr>
                      <w:rFonts w:hAnsi="Calibri"/>
                      <w:szCs w:val="21"/>
                    </w:rPr>
                  </w:pPr>
                  <w:r>
                    <w:rPr>
                      <w:rFonts w:hint="eastAsia" w:hAnsi="Calibri"/>
                      <w:szCs w:val="21"/>
                    </w:rPr>
                    <w:t>（十五）违法猎捕、杀害、买卖野生动物；</w:t>
                  </w:r>
                </w:p>
              </w:tc>
              <w:tc>
                <w:tcPr>
                  <w:tcW w:w="1699" w:type="pct"/>
                  <w:vAlign w:val="center"/>
                </w:tcPr>
                <w:p w14:paraId="2F22091B">
                  <w:pPr>
                    <w:adjustRightInd w:val="0"/>
                    <w:jc w:val="center"/>
                    <w:rPr>
                      <w:rFonts w:hAnsi="Calibri"/>
                      <w:szCs w:val="21"/>
                    </w:rPr>
                  </w:pPr>
                  <w:r>
                    <w:rPr>
                      <w:rFonts w:hint="eastAsia" w:hAnsi="Calibri"/>
                      <w:szCs w:val="21"/>
                    </w:rPr>
                    <w:t>本项目不涉及。</w:t>
                  </w:r>
                </w:p>
              </w:tc>
              <w:tc>
                <w:tcPr>
                  <w:tcW w:w="657" w:type="pct"/>
                  <w:vAlign w:val="center"/>
                </w:tcPr>
                <w:p w14:paraId="47C41F7C">
                  <w:pPr>
                    <w:adjustRightInd w:val="0"/>
                    <w:jc w:val="center"/>
                    <w:rPr>
                      <w:rFonts w:hAnsi="Calibri"/>
                      <w:szCs w:val="21"/>
                    </w:rPr>
                  </w:pPr>
                  <w:r>
                    <w:rPr>
                      <w:rFonts w:hint="eastAsia" w:hAnsi="Calibri"/>
                      <w:szCs w:val="21"/>
                    </w:rPr>
                    <w:t>/</w:t>
                  </w:r>
                </w:p>
              </w:tc>
            </w:tr>
            <w:tr w14:paraId="5C98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6334F580">
                  <w:pPr>
                    <w:adjustRightInd w:val="0"/>
                    <w:jc w:val="center"/>
                    <w:rPr>
                      <w:rFonts w:hAnsi="Calibri"/>
                      <w:szCs w:val="21"/>
                    </w:rPr>
                  </w:pPr>
                  <w:r>
                    <w:rPr>
                      <w:rFonts w:hint="eastAsia" w:hAnsi="Calibri"/>
                      <w:szCs w:val="21"/>
                    </w:rPr>
                    <w:t>（十六）损毁或者擅自移动界桩、标识；</w:t>
                  </w:r>
                </w:p>
              </w:tc>
              <w:tc>
                <w:tcPr>
                  <w:tcW w:w="1699" w:type="pct"/>
                  <w:vAlign w:val="center"/>
                </w:tcPr>
                <w:p w14:paraId="01BB12A2">
                  <w:pPr>
                    <w:adjustRightInd w:val="0"/>
                    <w:jc w:val="center"/>
                    <w:rPr>
                      <w:rFonts w:hAnsi="Calibri"/>
                      <w:szCs w:val="21"/>
                    </w:rPr>
                  </w:pPr>
                  <w:r>
                    <w:rPr>
                      <w:rFonts w:hint="eastAsia" w:hAnsi="Calibri"/>
                      <w:szCs w:val="21"/>
                    </w:rPr>
                    <w:t>本项目不涉及。</w:t>
                  </w:r>
                </w:p>
              </w:tc>
              <w:tc>
                <w:tcPr>
                  <w:tcW w:w="657" w:type="pct"/>
                  <w:vAlign w:val="center"/>
                </w:tcPr>
                <w:p w14:paraId="00C6903F">
                  <w:pPr>
                    <w:adjustRightInd w:val="0"/>
                    <w:jc w:val="center"/>
                    <w:rPr>
                      <w:rFonts w:hAnsi="Calibri"/>
                      <w:szCs w:val="21"/>
                    </w:rPr>
                  </w:pPr>
                  <w:r>
                    <w:rPr>
                      <w:rFonts w:hint="eastAsia" w:hAnsi="Calibri"/>
                      <w:szCs w:val="21"/>
                    </w:rPr>
                    <w:t>/</w:t>
                  </w:r>
                </w:p>
              </w:tc>
            </w:tr>
            <w:tr w14:paraId="2A7A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pct"/>
                  <w:vAlign w:val="center"/>
                </w:tcPr>
                <w:p w14:paraId="5DCC5270">
                  <w:pPr>
                    <w:adjustRightInd w:val="0"/>
                    <w:jc w:val="center"/>
                    <w:rPr>
                      <w:rFonts w:hAnsi="Calibri"/>
                      <w:szCs w:val="21"/>
                    </w:rPr>
                  </w:pPr>
                  <w:r>
                    <w:rPr>
                      <w:rFonts w:hint="eastAsia" w:hAnsi="Calibri"/>
                      <w:szCs w:val="21"/>
                    </w:rPr>
                    <w:t>（十七）法律、法规禁止的其他行为。</w:t>
                  </w:r>
                </w:p>
              </w:tc>
              <w:tc>
                <w:tcPr>
                  <w:tcW w:w="1699" w:type="pct"/>
                  <w:vAlign w:val="center"/>
                </w:tcPr>
                <w:p w14:paraId="02838050">
                  <w:pPr>
                    <w:adjustRightInd w:val="0"/>
                    <w:jc w:val="center"/>
                    <w:rPr>
                      <w:rFonts w:hAnsi="Calibri"/>
                      <w:szCs w:val="21"/>
                    </w:rPr>
                  </w:pPr>
                  <w:r>
                    <w:rPr>
                      <w:rFonts w:hint="eastAsia" w:hAnsi="Calibri"/>
                      <w:szCs w:val="21"/>
                    </w:rPr>
                    <w:t>本项目不涉及。</w:t>
                  </w:r>
                </w:p>
              </w:tc>
              <w:tc>
                <w:tcPr>
                  <w:tcW w:w="657" w:type="pct"/>
                  <w:vAlign w:val="center"/>
                </w:tcPr>
                <w:p w14:paraId="09DE2694">
                  <w:pPr>
                    <w:adjustRightInd w:val="0"/>
                    <w:jc w:val="center"/>
                    <w:rPr>
                      <w:rFonts w:hAnsi="Calibri"/>
                      <w:szCs w:val="21"/>
                    </w:rPr>
                  </w:pPr>
                  <w:r>
                    <w:rPr>
                      <w:rFonts w:hint="eastAsia" w:hAnsi="Calibri"/>
                      <w:szCs w:val="21"/>
                    </w:rPr>
                    <w:t>/</w:t>
                  </w:r>
                </w:p>
              </w:tc>
            </w:tr>
          </w:tbl>
          <w:p w14:paraId="6A6F760B">
            <w:pPr>
              <w:autoSpaceDE w:val="0"/>
              <w:autoSpaceDN w:val="0"/>
              <w:adjustRightInd w:val="0"/>
              <w:snapToGrid w:val="0"/>
              <w:spacing w:line="360" w:lineRule="auto"/>
              <w:ind w:firstLine="480" w:firstLineChars="200"/>
              <w:jc w:val="left"/>
              <w:rPr>
                <w:kern w:val="0"/>
                <w:sz w:val="24"/>
              </w:rPr>
            </w:pPr>
            <w:r>
              <w:rPr>
                <w:rFonts w:hint="eastAsia"/>
                <w:kern w:val="0"/>
                <w:sz w:val="24"/>
              </w:rPr>
              <w:t>综上</w:t>
            </w:r>
            <w:r>
              <w:rPr>
                <w:rFonts w:hint="eastAsia"/>
                <w:bCs/>
                <w:kern w:val="0"/>
                <w:sz w:val="24"/>
              </w:rPr>
              <w:t>，本项目不涉及《云南省杞麓湖保护条例》中规定的禁止行为，因此本项目的建设符合《云南省杞麓湖保护条例》规定的要求。</w:t>
            </w:r>
          </w:p>
          <w:p w14:paraId="760DD8CE">
            <w:pPr>
              <w:autoSpaceDE w:val="0"/>
              <w:autoSpaceDN w:val="0"/>
              <w:adjustRightInd w:val="0"/>
              <w:snapToGrid w:val="0"/>
              <w:spacing w:line="360" w:lineRule="auto"/>
              <w:ind w:firstLine="480" w:firstLineChars="200"/>
              <w:jc w:val="left"/>
              <w:rPr>
                <w:kern w:val="0"/>
                <w:sz w:val="24"/>
              </w:rPr>
            </w:pPr>
            <w:r>
              <w:rPr>
                <w:rFonts w:hint="eastAsia"/>
                <w:kern w:val="0"/>
                <w:sz w:val="24"/>
              </w:rPr>
              <w:t>6、项目选址合理性分析</w:t>
            </w:r>
          </w:p>
          <w:p w14:paraId="789FCD86">
            <w:pPr>
              <w:pStyle w:val="162"/>
              <w:rPr>
                <w:bCs/>
                <w:kern w:val="0"/>
              </w:rPr>
            </w:pPr>
            <w:r>
              <w:rPr>
                <w:rFonts w:hint="eastAsia"/>
                <w:bCs/>
                <w:kern w:val="0"/>
              </w:rPr>
              <w:t>本项目位于通海县纳古镇珠山顶，</w:t>
            </w:r>
            <w:r>
              <w:rPr>
                <w:rFonts w:hint="eastAsia"/>
              </w:rPr>
              <w:t>利用通海华宇工贸有限责任公司闲置厂房进行建设，</w:t>
            </w:r>
            <w:r>
              <w:rPr>
                <w:rFonts w:hint="eastAsia"/>
                <w:bCs/>
                <w:kern w:val="0"/>
              </w:rPr>
              <w:t>属于杞麓湖径流区。</w:t>
            </w:r>
          </w:p>
          <w:p w14:paraId="74FB925C">
            <w:pPr>
              <w:pStyle w:val="162"/>
              <w:rPr>
                <w:bCs/>
                <w:kern w:val="0"/>
              </w:rPr>
            </w:pPr>
            <w:r>
              <w:rPr>
                <w:rFonts w:hint="eastAsia"/>
                <w:bCs/>
                <w:kern w:val="0"/>
              </w:rPr>
              <w:t>根据2023年4月20日通海县自然资源局出具的《通海县国土空间规划三区三线查询结果》，本项目不涉及生态保护红线。根据2024年3月15日通海县杞麓湖管理局出具的位置查询结果，涉及杞麓湖绿色发展区。根据前文分析，本项目不涉及《云南省杞麓湖保护条例》中绿色发展区规定的禁止行为，因此本项目的建设符合《云南省杞麓湖保护条例》规定的要求。</w:t>
            </w:r>
            <w:r>
              <w:rPr>
                <w:rFonts w:hint="eastAsia"/>
              </w:rPr>
              <w:t>根据2024年3月20日通海县纳古镇人民政府出具的《关于通海齐拓金属制品有限公司进行技改的选址意见》，项目符合《通海县纳古镇转型发展战略研究与行动计划》云南省城乡规划设计研究院(2017.11.21)，同意该项目选址。根据2025年3月28日玉溪市生态环境局通海分局出具的《关于通海齐拓金属制品有限公司新建年产20 万吨高频直缝焊管建设项目“三线一单”管控单元查询结果》，项目位于通海县农业农村面源污染重点管控单元、通海县乡镇生活污染重点管控单元。经对照分析，项目符合所在地“三线一单”中与本项目有关的相关要求。</w:t>
            </w:r>
          </w:p>
          <w:p w14:paraId="53321E9D">
            <w:pPr>
              <w:pStyle w:val="162"/>
            </w:pPr>
            <w:r>
              <w:rPr>
                <w:rFonts w:hint="eastAsia"/>
              </w:rPr>
              <w:t>项目周边主要为通海云马钢管扣件、通海同力钢模、通海中兴工贸、通海西南焊管等工业企业。</w:t>
            </w:r>
            <w:r>
              <w:t>本项目周围无自然保护区、风景名胜区、生态红线保护区</w:t>
            </w:r>
            <w:r>
              <w:rPr>
                <w:rFonts w:hint="eastAsia"/>
              </w:rPr>
              <w:t>、居民区</w:t>
            </w:r>
            <w:r>
              <w:t>等环境敏感区，项目与周围环境相容，项目产生的污染物在采取相应环保措施后，产生的环境影响可以得到有效控制，不会改变区域的环境功能区划。从环境影响的角度分析，本项目选址合理</w:t>
            </w:r>
            <w:r>
              <w:rPr>
                <w:kern w:val="0"/>
              </w:rPr>
              <w:t>。</w:t>
            </w:r>
          </w:p>
          <w:p w14:paraId="4F163204">
            <w:pPr>
              <w:autoSpaceDE w:val="0"/>
              <w:autoSpaceDN w:val="0"/>
              <w:adjustRightInd w:val="0"/>
              <w:snapToGrid w:val="0"/>
              <w:spacing w:line="360" w:lineRule="auto"/>
              <w:ind w:firstLine="482" w:firstLineChars="200"/>
              <w:jc w:val="left"/>
              <w:rPr>
                <w:b/>
                <w:kern w:val="0"/>
                <w:sz w:val="24"/>
              </w:rPr>
            </w:pPr>
            <w:r>
              <w:rPr>
                <w:rFonts w:hint="eastAsia"/>
                <w:b/>
                <w:bCs/>
                <w:sz w:val="24"/>
              </w:rPr>
              <w:t>（三）</w:t>
            </w:r>
            <w:r>
              <w:rPr>
                <w:b/>
                <w:kern w:val="0"/>
                <w:sz w:val="24"/>
              </w:rPr>
              <w:t>产业政策符合性分析</w:t>
            </w:r>
          </w:p>
          <w:p w14:paraId="65F11340">
            <w:pPr>
              <w:autoSpaceDE w:val="0"/>
              <w:autoSpaceDN w:val="0"/>
              <w:adjustRightInd w:val="0"/>
              <w:snapToGrid w:val="0"/>
              <w:spacing w:line="360" w:lineRule="auto"/>
              <w:ind w:firstLine="480" w:firstLineChars="200"/>
              <w:jc w:val="left"/>
              <w:rPr>
                <w:kern w:val="0"/>
                <w:sz w:val="24"/>
              </w:rPr>
            </w:pPr>
            <w:r>
              <w:rPr>
                <w:rFonts w:hint="eastAsia"/>
                <w:kern w:val="0"/>
                <w:sz w:val="24"/>
              </w:rPr>
              <w:t>对照《产业结构调整指导目录（2024年本）》，本项目不属于鼓励类、限制类和淘汰类，根据国务院《促进产业结构调整暂行规定》（国发[2005]40号）第十三条“不属于鼓励类、限制类及淘汰类，且符合国家有关法律、法规和政策规定的，为允许类”。</w:t>
            </w:r>
          </w:p>
          <w:p w14:paraId="6C7C62E0">
            <w:pPr>
              <w:autoSpaceDE w:val="0"/>
              <w:autoSpaceDN w:val="0"/>
              <w:adjustRightInd w:val="0"/>
              <w:snapToGrid w:val="0"/>
              <w:spacing w:line="360" w:lineRule="auto"/>
              <w:ind w:firstLine="480" w:firstLineChars="200"/>
              <w:jc w:val="left"/>
              <w:rPr>
                <w:kern w:val="0"/>
                <w:sz w:val="24"/>
              </w:rPr>
            </w:pPr>
            <w:r>
              <w:rPr>
                <w:rFonts w:hint="eastAsia"/>
                <w:kern w:val="0"/>
                <w:sz w:val="24"/>
              </w:rPr>
              <w:t>项目于2023年2月17日取得通海县发展和改革局出具的《云南省固定资产投资项目备案证》（备案号【项目代码】：2302-530423-04-01-858562）。</w:t>
            </w:r>
          </w:p>
          <w:p w14:paraId="1536347E">
            <w:pPr>
              <w:autoSpaceDE w:val="0"/>
              <w:autoSpaceDN w:val="0"/>
              <w:adjustRightInd w:val="0"/>
              <w:snapToGrid w:val="0"/>
              <w:spacing w:line="360" w:lineRule="auto"/>
              <w:ind w:firstLine="480" w:firstLineChars="200"/>
              <w:jc w:val="left"/>
              <w:rPr>
                <w:kern w:val="0"/>
                <w:sz w:val="24"/>
              </w:rPr>
            </w:pPr>
            <w:r>
              <w:rPr>
                <w:rFonts w:hint="eastAsia"/>
                <w:kern w:val="0"/>
                <w:sz w:val="24"/>
              </w:rPr>
              <w:t>因此，项目建设符合国家相关产业政策。</w:t>
            </w:r>
          </w:p>
        </w:tc>
      </w:tr>
    </w:tbl>
    <w:p w14:paraId="470068E6">
      <w:pPr>
        <w:spacing w:line="360" w:lineRule="auto"/>
        <w:outlineLvl w:val="0"/>
        <w:rPr>
          <w:rFonts w:eastAsia="黑体"/>
          <w:sz w:val="30"/>
        </w:rPr>
        <w:sectPr>
          <w:footerReference r:id="rId4" w:type="default"/>
          <w:pgSz w:w="11906" w:h="16838"/>
          <w:pgMar w:top="1701" w:right="1531" w:bottom="1701" w:left="1531" w:header="851" w:footer="1077" w:gutter="0"/>
          <w:pgNumType w:start="1"/>
          <w:cols w:space="720" w:num="1"/>
          <w:docGrid w:linePitch="312" w:charSpace="0"/>
        </w:sectPr>
      </w:pPr>
    </w:p>
    <w:p w14:paraId="2495ED7C">
      <w:pPr>
        <w:pStyle w:val="28"/>
        <w:jc w:val="center"/>
        <w:outlineLvl w:val="0"/>
        <w:rPr>
          <w:rFonts w:ascii="Times New Roman" w:hAnsi="Times New Roman" w:eastAsia="黑体"/>
          <w:snapToGrid w:val="0"/>
          <w:sz w:val="30"/>
          <w:szCs w:val="30"/>
        </w:rPr>
      </w:pPr>
      <w:bookmarkStart w:id="3" w:name="_Toc127436951"/>
      <w:r>
        <w:rPr>
          <w:rFonts w:ascii="Times New Roman" w:hAnsi="黑体" w:eastAsia="黑体"/>
          <w:snapToGrid w:val="0"/>
          <w:sz w:val="30"/>
          <w:szCs w:val="30"/>
        </w:rPr>
        <w:t>二、建设项目工程分析</w:t>
      </w:r>
      <w:bookmarkEnd w:id="3"/>
    </w:p>
    <w:tbl>
      <w:tblPr>
        <w:tblStyle w:val="32"/>
        <w:tblW w:w="9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6"/>
        <w:gridCol w:w="9203"/>
      </w:tblGrid>
      <w:tr w14:paraId="054B2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Align w:val="center"/>
          </w:tcPr>
          <w:p w14:paraId="4C767C6C">
            <w:pPr>
              <w:pStyle w:val="28"/>
              <w:adjustRightInd w:val="0"/>
              <w:snapToGrid w:val="0"/>
              <w:spacing w:before="0" w:beforeAutospacing="0" w:after="0" w:afterAutospacing="0"/>
              <w:jc w:val="center"/>
              <w:rPr>
                <w:rFonts w:ascii="Times New Roman" w:hAnsi="Times New Roman"/>
                <w:szCs w:val="24"/>
              </w:rPr>
            </w:pPr>
            <w:r>
              <w:rPr>
                <w:rFonts w:ascii="Times New Roman"/>
                <w:szCs w:val="24"/>
              </w:rPr>
              <w:t>建设内容</w:t>
            </w:r>
          </w:p>
        </w:tc>
        <w:tc>
          <w:tcPr>
            <w:tcW w:w="9203" w:type="dxa"/>
          </w:tcPr>
          <w:p w14:paraId="1DB80AF3">
            <w:pPr>
              <w:adjustRightInd w:val="0"/>
              <w:snapToGrid w:val="0"/>
              <w:spacing w:line="360" w:lineRule="auto"/>
              <w:jc w:val="left"/>
              <w:rPr>
                <w:bCs/>
                <w:sz w:val="24"/>
              </w:rPr>
            </w:pPr>
            <w:r>
              <w:rPr>
                <w:rFonts w:hint="eastAsia"/>
                <w:b/>
                <w:bCs/>
                <w:sz w:val="24"/>
              </w:rPr>
              <w:t>1、项目任务由来</w:t>
            </w:r>
          </w:p>
          <w:p w14:paraId="2AD5502E">
            <w:pPr>
              <w:adjustRightInd w:val="0"/>
              <w:snapToGrid w:val="0"/>
              <w:spacing w:line="360" w:lineRule="auto"/>
              <w:ind w:firstLine="480" w:firstLineChars="200"/>
              <w:jc w:val="left"/>
              <w:rPr>
                <w:bCs/>
                <w:sz w:val="24"/>
              </w:rPr>
            </w:pPr>
            <w:r>
              <w:rPr>
                <w:rFonts w:hint="eastAsia"/>
                <w:bCs/>
                <w:sz w:val="24"/>
              </w:rPr>
              <w:t>原通海华宇工贸有限责任公司成立于2004年12月01日，注册地位于云南省玉溪市通海县纳古镇珠山顶，该公司于2</w:t>
            </w:r>
            <w:r>
              <w:rPr>
                <w:bCs/>
                <w:sz w:val="24"/>
              </w:rPr>
              <w:t>022</w:t>
            </w:r>
            <w:r>
              <w:rPr>
                <w:rFonts w:hint="eastAsia"/>
                <w:bCs/>
                <w:sz w:val="24"/>
              </w:rPr>
              <w:t>年1</w:t>
            </w:r>
            <w:r>
              <w:rPr>
                <w:bCs/>
                <w:sz w:val="24"/>
              </w:rPr>
              <w:t>1</w:t>
            </w:r>
            <w:r>
              <w:rPr>
                <w:rFonts w:hint="eastAsia"/>
                <w:bCs/>
                <w:sz w:val="24"/>
              </w:rPr>
              <w:t>月1</w:t>
            </w:r>
            <w:r>
              <w:rPr>
                <w:bCs/>
                <w:sz w:val="24"/>
              </w:rPr>
              <w:t>3</w:t>
            </w:r>
            <w:r>
              <w:rPr>
                <w:rFonts w:hint="eastAsia"/>
                <w:bCs/>
                <w:sz w:val="24"/>
              </w:rPr>
              <w:t>日整体整合重组给通海齐拓金属制品有限公司，由通海齐拓金属制品有限公司接收经营原通海华宇工贸有限责任公司现有厂房及现有生产线。</w:t>
            </w:r>
          </w:p>
          <w:p w14:paraId="0E4FEB55">
            <w:pPr>
              <w:adjustRightInd w:val="0"/>
              <w:snapToGrid w:val="0"/>
              <w:spacing w:line="360" w:lineRule="auto"/>
              <w:ind w:firstLine="480" w:firstLineChars="200"/>
              <w:jc w:val="left"/>
              <w:rPr>
                <w:bCs/>
                <w:sz w:val="24"/>
              </w:rPr>
            </w:pPr>
            <w:r>
              <w:rPr>
                <w:rFonts w:hint="eastAsia"/>
                <w:bCs/>
                <w:sz w:val="24"/>
              </w:rPr>
              <w:t>原通海华宇工贸有限责任公司现有2条10万t/a高频直缝焊管生产线及相关配套设施设备，只进行高频直缝焊管生产。为了扩大生产规模，通海齐拓金属制品有限公司计划利用通海华宇工贸有限责任公司闲置厂房进行改造，建设“新建年产20万吨高频直缝焊管建设项目”，拟新建6条高频直缝焊管生产线，新增年产20万吨高频直缝焊管生产规模。</w:t>
            </w:r>
          </w:p>
          <w:p w14:paraId="2E61EBD3">
            <w:pPr>
              <w:adjustRightInd w:val="0"/>
              <w:snapToGrid w:val="0"/>
              <w:spacing w:line="360" w:lineRule="auto"/>
              <w:ind w:firstLine="480" w:firstLineChars="200"/>
              <w:jc w:val="left"/>
              <w:rPr>
                <w:bCs/>
                <w:sz w:val="24"/>
              </w:rPr>
            </w:pPr>
            <w:r>
              <w:rPr>
                <w:rFonts w:hint="eastAsia"/>
                <w:bCs/>
                <w:sz w:val="24"/>
              </w:rPr>
              <w:t>根据《国民经济行业分类》（GB/T4754-2017）及第1号修改单的通知（国统字〔2019〕66号），本项目属于C3130钢压延加工。根据《建设项目环境影响评价分类管理名录》（2021版），本项目属于“ 二十八、黑色金属冶炼和压延加工业63 钢压延加工其他”，确定本项目需编制环境影响报告表。</w:t>
            </w:r>
          </w:p>
          <w:p w14:paraId="66235844">
            <w:pPr>
              <w:adjustRightInd w:val="0"/>
              <w:snapToGrid w:val="0"/>
              <w:spacing w:line="360" w:lineRule="auto"/>
              <w:ind w:firstLine="480" w:firstLineChars="200"/>
              <w:jc w:val="left"/>
              <w:rPr>
                <w:bCs/>
                <w:sz w:val="24"/>
              </w:rPr>
            </w:pPr>
            <w:r>
              <w:rPr>
                <w:rFonts w:hint="eastAsia"/>
                <w:bCs/>
                <w:sz w:val="24"/>
              </w:rPr>
              <w:t>“新建年产20万吨高频直缝焊管建设项目”于2022年9月开工建设，目前已建成 3条焊管生产线，分别为: 位于三车间的1条焊管生产线，位于八车间的2条焊管生产线。属于未批先建项目，但项目自建成起未投入生产。</w:t>
            </w:r>
          </w:p>
          <w:p w14:paraId="74FE07B6">
            <w:pPr>
              <w:adjustRightInd w:val="0"/>
              <w:snapToGrid w:val="0"/>
              <w:spacing w:line="360" w:lineRule="auto"/>
              <w:ind w:firstLine="480" w:firstLineChars="200"/>
              <w:jc w:val="left"/>
              <w:rPr>
                <w:bCs/>
                <w:sz w:val="24"/>
              </w:rPr>
            </w:pPr>
            <w:r>
              <w:rPr>
                <w:rFonts w:hint="eastAsia"/>
                <w:bCs/>
                <w:sz w:val="24"/>
              </w:rPr>
              <w:t>玉溪市生态环境局于2025年4月3日对该项目未批先建问题进行了立案查处。正在办理行政处罚手续。</w:t>
            </w:r>
          </w:p>
          <w:p w14:paraId="50752957">
            <w:pPr>
              <w:adjustRightInd w:val="0"/>
              <w:snapToGrid w:val="0"/>
              <w:spacing w:line="360" w:lineRule="auto"/>
              <w:ind w:firstLine="480" w:firstLineChars="200"/>
              <w:jc w:val="left"/>
              <w:rPr>
                <w:bCs/>
                <w:sz w:val="24"/>
              </w:rPr>
            </w:pPr>
            <w:r>
              <w:rPr>
                <w:rFonts w:hint="eastAsia"/>
                <w:bCs/>
                <w:sz w:val="24"/>
              </w:rPr>
              <w:t>本次评价任务为“新建年产20万吨高频直缝焊管建设项目”补办环评手续，对本项目实施后可能造成的环境影响进行分析、预测和评估，提出预防或者减轻不良环境影响的对策和措施，并分析已建项目存在的环境问题，提出相应的整改措施。</w:t>
            </w:r>
          </w:p>
          <w:p w14:paraId="123D3617">
            <w:pPr>
              <w:adjustRightInd w:val="0"/>
              <w:snapToGrid w:val="0"/>
              <w:spacing w:line="360" w:lineRule="auto"/>
              <w:jc w:val="left"/>
              <w:rPr>
                <w:bCs/>
                <w:sz w:val="24"/>
              </w:rPr>
            </w:pPr>
            <w:r>
              <w:rPr>
                <w:b/>
                <w:bCs/>
                <w:sz w:val="24"/>
              </w:rPr>
              <w:t>2</w:t>
            </w:r>
            <w:r>
              <w:rPr>
                <w:rFonts w:hint="eastAsia"/>
                <w:b/>
                <w:bCs/>
                <w:sz w:val="24"/>
              </w:rPr>
              <w:t>、</w:t>
            </w:r>
            <w:r>
              <w:rPr>
                <w:b/>
                <w:bCs/>
                <w:sz w:val="24"/>
              </w:rPr>
              <w:t>项目</w:t>
            </w:r>
            <w:r>
              <w:rPr>
                <w:rFonts w:hint="eastAsia"/>
                <w:b/>
                <w:bCs/>
                <w:sz w:val="24"/>
              </w:rPr>
              <w:t>建设</w:t>
            </w:r>
            <w:r>
              <w:rPr>
                <w:b/>
                <w:bCs/>
                <w:sz w:val="24"/>
              </w:rPr>
              <w:t>内容</w:t>
            </w:r>
          </w:p>
          <w:p w14:paraId="7C0F49AA">
            <w:pPr>
              <w:spacing w:line="360" w:lineRule="auto"/>
              <w:ind w:firstLine="480" w:firstLineChars="200"/>
              <w:rPr>
                <w:bCs/>
                <w:sz w:val="24"/>
              </w:rPr>
            </w:pPr>
            <w:r>
              <w:rPr>
                <w:rFonts w:hint="eastAsia"/>
                <w:bCs/>
                <w:sz w:val="24"/>
              </w:rPr>
              <w:t>本项目位于通海县纳古镇珠山顶，项目总用地面积为5466平方米，利用通海华宇工贸有限责任公司闲置厂房进行改造，购置安装焊管机及相关配套设备，建成6条高频直缝焊管生产线，形成年产20万吨高频直缝焊管生产规模。目前已建成 3条焊管生产线，分别为: 位于三车间的1条焊管生产线，位于八车间的2条焊管生产线，自建成起未投入生产。</w:t>
            </w:r>
          </w:p>
          <w:p w14:paraId="01F17E99">
            <w:pPr>
              <w:adjustRightInd w:val="0"/>
              <w:snapToGrid w:val="0"/>
              <w:spacing w:line="360" w:lineRule="auto"/>
              <w:ind w:firstLine="480" w:firstLineChars="200"/>
              <w:jc w:val="left"/>
              <w:rPr>
                <w:bCs/>
                <w:sz w:val="24"/>
              </w:rPr>
            </w:pPr>
            <w:r>
              <w:rPr>
                <w:bCs/>
                <w:sz w:val="24"/>
              </w:rPr>
              <w:t>项目</w:t>
            </w:r>
            <w:r>
              <w:rPr>
                <w:rFonts w:hint="eastAsia"/>
                <w:bCs/>
                <w:sz w:val="24"/>
              </w:rPr>
              <w:t>建设内容</w:t>
            </w:r>
            <w:r>
              <w:rPr>
                <w:bCs/>
                <w:sz w:val="24"/>
              </w:rPr>
              <w:t>见表</w:t>
            </w:r>
            <w:r>
              <w:rPr>
                <w:rFonts w:hint="eastAsia"/>
                <w:bCs/>
                <w:sz w:val="24"/>
              </w:rPr>
              <w:t>2</w:t>
            </w:r>
            <w:r>
              <w:rPr>
                <w:bCs/>
                <w:sz w:val="24"/>
              </w:rPr>
              <w:t>-1</w:t>
            </w:r>
            <w:r>
              <w:rPr>
                <w:rFonts w:hint="eastAsia"/>
                <w:bCs/>
                <w:sz w:val="24"/>
              </w:rPr>
              <w:t>。</w:t>
            </w:r>
          </w:p>
          <w:p w14:paraId="5F2A68A1">
            <w:pPr>
              <w:adjustRightInd w:val="0"/>
              <w:snapToGrid w:val="0"/>
              <w:spacing w:line="360" w:lineRule="auto"/>
              <w:ind w:firstLine="482" w:firstLineChars="200"/>
              <w:jc w:val="center"/>
              <w:rPr>
                <w:b/>
                <w:bCs/>
                <w:sz w:val="24"/>
              </w:rPr>
            </w:pPr>
            <w:r>
              <w:rPr>
                <w:b/>
                <w:bCs/>
                <w:sz w:val="24"/>
              </w:rPr>
              <w:t>表</w:t>
            </w:r>
            <w:r>
              <w:rPr>
                <w:rFonts w:hint="eastAsia"/>
                <w:b/>
                <w:bCs/>
                <w:sz w:val="24"/>
              </w:rPr>
              <w:t>2</w:t>
            </w:r>
            <w:r>
              <w:rPr>
                <w:b/>
                <w:bCs/>
                <w:sz w:val="24"/>
              </w:rPr>
              <w:t>-1   项目</w:t>
            </w:r>
            <w:r>
              <w:rPr>
                <w:rFonts w:hint="eastAsia"/>
                <w:b/>
                <w:bCs/>
                <w:sz w:val="24"/>
              </w:rPr>
              <w:t>工程建设内容一览表</w:t>
            </w:r>
          </w:p>
          <w:tbl>
            <w:tblPr>
              <w:tblStyle w:val="3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47"/>
              <w:gridCol w:w="1014"/>
              <w:gridCol w:w="1125"/>
              <w:gridCol w:w="4382"/>
              <w:gridCol w:w="1186"/>
            </w:tblGrid>
            <w:tr w14:paraId="0188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23" w:type="dxa"/>
                  <w:vAlign w:val="center"/>
                </w:tcPr>
                <w:p w14:paraId="78FCC3AC">
                  <w:pPr>
                    <w:autoSpaceDE w:val="0"/>
                    <w:autoSpaceDN w:val="0"/>
                    <w:adjustRightInd w:val="0"/>
                    <w:jc w:val="center"/>
                    <w:rPr>
                      <w:b/>
                      <w:szCs w:val="21"/>
                    </w:rPr>
                  </w:pPr>
                  <w:bookmarkStart w:id="4" w:name="_Hlk157593038"/>
                  <w:r>
                    <w:rPr>
                      <w:b/>
                      <w:szCs w:val="21"/>
                    </w:rPr>
                    <w:t>工程类别</w:t>
                  </w:r>
                </w:p>
              </w:tc>
              <w:tc>
                <w:tcPr>
                  <w:tcW w:w="7068" w:type="dxa"/>
                  <w:gridSpan w:val="4"/>
                  <w:vAlign w:val="center"/>
                </w:tcPr>
                <w:p w14:paraId="13EB9FDD">
                  <w:pPr>
                    <w:autoSpaceDE w:val="0"/>
                    <w:autoSpaceDN w:val="0"/>
                    <w:adjustRightInd w:val="0"/>
                    <w:jc w:val="center"/>
                    <w:rPr>
                      <w:b/>
                      <w:szCs w:val="21"/>
                    </w:rPr>
                  </w:pPr>
                  <w:r>
                    <w:rPr>
                      <w:b/>
                      <w:szCs w:val="21"/>
                    </w:rPr>
                    <w:t>工程内容</w:t>
                  </w:r>
                </w:p>
              </w:tc>
              <w:tc>
                <w:tcPr>
                  <w:tcW w:w="1186" w:type="dxa"/>
                  <w:vAlign w:val="center"/>
                </w:tcPr>
                <w:p w14:paraId="516096DC">
                  <w:pPr>
                    <w:autoSpaceDE w:val="0"/>
                    <w:autoSpaceDN w:val="0"/>
                    <w:adjustRightInd w:val="0"/>
                    <w:jc w:val="center"/>
                    <w:rPr>
                      <w:b/>
                      <w:szCs w:val="21"/>
                    </w:rPr>
                  </w:pPr>
                  <w:r>
                    <w:rPr>
                      <w:rFonts w:hint="eastAsia"/>
                      <w:b/>
                      <w:szCs w:val="21"/>
                    </w:rPr>
                    <w:t>备注</w:t>
                  </w:r>
                </w:p>
              </w:tc>
            </w:tr>
            <w:tr w14:paraId="22C9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restart"/>
                  <w:vAlign w:val="center"/>
                </w:tcPr>
                <w:p w14:paraId="64ADE5EA">
                  <w:pPr>
                    <w:autoSpaceDE w:val="0"/>
                    <w:autoSpaceDN w:val="0"/>
                    <w:adjustRightInd w:val="0"/>
                    <w:jc w:val="center"/>
                    <w:rPr>
                      <w:b/>
                      <w:szCs w:val="21"/>
                    </w:rPr>
                  </w:pPr>
                  <w:r>
                    <w:rPr>
                      <w:b/>
                      <w:szCs w:val="21"/>
                    </w:rPr>
                    <w:t>主体工程</w:t>
                  </w:r>
                </w:p>
              </w:tc>
              <w:tc>
                <w:tcPr>
                  <w:tcW w:w="1561" w:type="dxa"/>
                  <w:gridSpan w:val="2"/>
                  <w:vAlign w:val="center"/>
                </w:tcPr>
                <w:p w14:paraId="7E5A4115">
                  <w:pPr>
                    <w:autoSpaceDE w:val="0"/>
                    <w:autoSpaceDN w:val="0"/>
                    <w:adjustRightInd w:val="0"/>
                    <w:jc w:val="center"/>
                    <w:rPr>
                      <w:bCs/>
                      <w:szCs w:val="21"/>
                    </w:rPr>
                  </w:pPr>
                  <w:r>
                    <w:rPr>
                      <w:rFonts w:hint="eastAsia"/>
                      <w:szCs w:val="21"/>
                    </w:rPr>
                    <w:t>三车间、四车间</w:t>
                  </w:r>
                </w:p>
              </w:tc>
              <w:tc>
                <w:tcPr>
                  <w:tcW w:w="5507" w:type="dxa"/>
                  <w:gridSpan w:val="2"/>
                  <w:vAlign w:val="center"/>
                </w:tcPr>
                <w:p w14:paraId="677FD0B1">
                  <w:pPr>
                    <w:autoSpaceDE w:val="0"/>
                    <w:autoSpaceDN w:val="0"/>
                    <w:adjustRightInd w:val="0"/>
                    <w:jc w:val="center"/>
                    <w:rPr>
                      <w:snapToGrid w:val="0"/>
                      <w:szCs w:val="21"/>
                    </w:rPr>
                  </w:pPr>
                  <w:r>
                    <w:rPr>
                      <w:rFonts w:hint="eastAsia"/>
                      <w:snapToGrid w:val="0"/>
                      <w:szCs w:val="21"/>
                    </w:rPr>
                    <w:t>1栋，1层，钢架结构，位于项目区西南面，占地面积：2304m</w:t>
                  </w:r>
                  <w:r>
                    <w:rPr>
                      <w:rFonts w:hint="eastAsia"/>
                      <w:snapToGrid w:val="0"/>
                      <w:szCs w:val="21"/>
                      <w:vertAlign w:val="superscript"/>
                    </w:rPr>
                    <w:t>2</w:t>
                  </w:r>
                  <w:r>
                    <w:rPr>
                      <w:rFonts w:hint="eastAsia"/>
                      <w:snapToGrid w:val="0"/>
                      <w:szCs w:val="21"/>
                    </w:rPr>
                    <w:t>，建筑面积：2304m</w:t>
                  </w:r>
                  <w:r>
                    <w:rPr>
                      <w:rFonts w:hint="eastAsia"/>
                      <w:snapToGrid w:val="0"/>
                      <w:szCs w:val="21"/>
                      <w:vertAlign w:val="superscript"/>
                    </w:rPr>
                    <w:t>2</w:t>
                  </w:r>
                  <w:r>
                    <w:rPr>
                      <w:rFonts w:hint="eastAsia"/>
                      <w:snapToGrid w:val="0"/>
                      <w:szCs w:val="21"/>
                    </w:rPr>
                    <w:t>。</w:t>
                  </w:r>
                  <w:r>
                    <w:rPr>
                      <w:rFonts w:hint="eastAsia"/>
                      <w:szCs w:val="21"/>
                    </w:rPr>
                    <w:t>三车间为焊管车间，四车间为</w:t>
                  </w:r>
                  <w:r>
                    <w:rPr>
                      <w:rFonts w:hint="eastAsia"/>
                      <w:snapToGrid w:val="0"/>
                      <w:szCs w:val="21"/>
                    </w:rPr>
                    <w:t>纵剪</w:t>
                  </w:r>
                  <w:r>
                    <w:rPr>
                      <w:rFonts w:hint="eastAsia"/>
                      <w:szCs w:val="21"/>
                    </w:rPr>
                    <w:t>车间。</w:t>
                  </w:r>
                  <w:r>
                    <w:rPr>
                      <w:rFonts w:hint="eastAsia"/>
                      <w:snapToGrid w:val="0"/>
                      <w:szCs w:val="21"/>
                    </w:rPr>
                    <w:t>现已建成一条高频直缝焊管生产线及一条纵剪线。</w:t>
                  </w:r>
                </w:p>
              </w:tc>
              <w:tc>
                <w:tcPr>
                  <w:tcW w:w="1186" w:type="dxa"/>
                  <w:vAlign w:val="center"/>
                </w:tcPr>
                <w:p w14:paraId="2D75FF20">
                  <w:pPr>
                    <w:autoSpaceDE w:val="0"/>
                    <w:autoSpaceDN w:val="0"/>
                    <w:adjustRightInd w:val="0"/>
                    <w:jc w:val="center"/>
                    <w:rPr>
                      <w:bCs/>
                      <w:szCs w:val="21"/>
                    </w:rPr>
                  </w:pPr>
                  <w:r>
                    <w:rPr>
                      <w:rFonts w:hint="eastAsia"/>
                      <w:bCs/>
                      <w:szCs w:val="21"/>
                    </w:rPr>
                    <w:t>依托现有厂房改造</w:t>
                  </w:r>
                </w:p>
              </w:tc>
            </w:tr>
            <w:tr w14:paraId="0A5E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1F976746">
                  <w:pPr>
                    <w:autoSpaceDE w:val="0"/>
                    <w:autoSpaceDN w:val="0"/>
                    <w:adjustRightInd w:val="0"/>
                    <w:jc w:val="center"/>
                    <w:rPr>
                      <w:b/>
                      <w:szCs w:val="21"/>
                    </w:rPr>
                  </w:pPr>
                </w:p>
              </w:tc>
              <w:tc>
                <w:tcPr>
                  <w:tcW w:w="1561" w:type="dxa"/>
                  <w:gridSpan w:val="2"/>
                  <w:vAlign w:val="center"/>
                </w:tcPr>
                <w:p w14:paraId="0E61B4DC">
                  <w:pPr>
                    <w:autoSpaceDE w:val="0"/>
                    <w:autoSpaceDN w:val="0"/>
                    <w:adjustRightInd w:val="0"/>
                    <w:jc w:val="center"/>
                    <w:rPr>
                      <w:bCs/>
                      <w:szCs w:val="21"/>
                    </w:rPr>
                  </w:pPr>
                  <w:r>
                    <w:rPr>
                      <w:rFonts w:hint="eastAsia"/>
                      <w:szCs w:val="21"/>
                    </w:rPr>
                    <w:t>七车间</w:t>
                  </w:r>
                </w:p>
              </w:tc>
              <w:tc>
                <w:tcPr>
                  <w:tcW w:w="5507" w:type="dxa"/>
                  <w:gridSpan w:val="2"/>
                  <w:vAlign w:val="center"/>
                </w:tcPr>
                <w:p w14:paraId="556419E3">
                  <w:pPr>
                    <w:autoSpaceDE w:val="0"/>
                    <w:autoSpaceDN w:val="0"/>
                    <w:adjustRightInd w:val="0"/>
                    <w:jc w:val="center"/>
                    <w:rPr>
                      <w:bCs/>
                      <w:szCs w:val="21"/>
                    </w:rPr>
                  </w:pPr>
                  <w:r>
                    <w:rPr>
                      <w:rFonts w:hint="eastAsia"/>
                      <w:snapToGrid w:val="0"/>
                      <w:szCs w:val="21"/>
                    </w:rPr>
                    <w:t>1栋，1层，钢架结构，位于项目区东南面，占地面积：2108m</w:t>
                  </w:r>
                  <w:r>
                    <w:rPr>
                      <w:rFonts w:hint="eastAsia"/>
                      <w:snapToGrid w:val="0"/>
                      <w:szCs w:val="21"/>
                      <w:vertAlign w:val="superscript"/>
                    </w:rPr>
                    <w:t>2</w:t>
                  </w:r>
                  <w:r>
                    <w:rPr>
                      <w:rFonts w:hint="eastAsia"/>
                      <w:snapToGrid w:val="0"/>
                      <w:szCs w:val="21"/>
                    </w:rPr>
                    <w:t>，建筑面积：2108m</w:t>
                  </w:r>
                  <w:r>
                    <w:rPr>
                      <w:snapToGrid w:val="0"/>
                      <w:szCs w:val="21"/>
                      <w:vertAlign w:val="superscript"/>
                    </w:rPr>
                    <w:t>2</w:t>
                  </w:r>
                  <w:r>
                    <w:rPr>
                      <w:rFonts w:hint="eastAsia"/>
                      <w:snapToGrid w:val="0"/>
                      <w:szCs w:val="21"/>
                    </w:rPr>
                    <w:t>，拟设置三条高频直缝焊管生产线。</w:t>
                  </w:r>
                </w:p>
              </w:tc>
              <w:tc>
                <w:tcPr>
                  <w:tcW w:w="1186" w:type="dxa"/>
                  <w:vAlign w:val="center"/>
                </w:tcPr>
                <w:p w14:paraId="7C41FB9E">
                  <w:pPr>
                    <w:autoSpaceDE w:val="0"/>
                    <w:autoSpaceDN w:val="0"/>
                    <w:adjustRightInd w:val="0"/>
                    <w:jc w:val="center"/>
                    <w:rPr>
                      <w:bCs/>
                      <w:szCs w:val="21"/>
                    </w:rPr>
                  </w:pPr>
                  <w:r>
                    <w:rPr>
                      <w:rFonts w:hint="eastAsia"/>
                      <w:bCs/>
                      <w:szCs w:val="21"/>
                    </w:rPr>
                    <w:t>依托现有厂房改造</w:t>
                  </w:r>
                </w:p>
              </w:tc>
            </w:tr>
            <w:tr w14:paraId="014D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47320EE7">
                  <w:pPr>
                    <w:autoSpaceDE w:val="0"/>
                    <w:autoSpaceDN w:val="0"/>
                    <w:adjustRightInd w:val="0"/>
                    <w:jc w:val="center"/>
                    <w:rPr>
                      <w:b/>
                      <w:szCs w:val="21"/>
                    </w:rPr>
                  </w:pPr>
                </w:p>
              </w:tc>
              <w:tc>
                <w:tcPr>
                  <w:tcW w:w="1561" w:type="dxa"/>
                  <w:gridSpan w:val="2"/>
                  <w:vAlign w:val="center"/>
                </w:tcPr>
                <w:p w14:paraId="667297DF">
                  <w:pPr>
                    <w:autoSpaceDE w:val="0"/>
                    <w:autoSpaceDN w:val="0"/>
                    <w:adjustRightInd w:val="0"/>
                    <w:jc w:val="center"/>
                    <w:rPr>
                      <w:szCs w:val="21"/>
                    </w:rPr>
                  </w:pPr>
                  <w:r>
                    <w:rPr>
                      <w:rFonts w:hint="eastAsia"/>
                      <w:szCs w:val="21"/>
                    </w:rPr>
                    <w:t>八车间</w:t>
                  </w:r>
                </w:p>
              </w:tc>
              <w:tc>
                <w:tcPr>
                  <w:tcW w:w="5507" w:type="dxa"/>
                  <w:gridSpan w:val="2"/>
                  <w:vAlign w:val="center"/>
                </w:tcPr>
                <w:p w14:paraId="55392BB0">
                  <w:pPr>
                    <w:autoSpaceDE w:val="0"/>
                    <w:autoSpaceDN w:val="0"/>
                    <w:adjustRightInd w:val="0"/>
                    <w:jc w:val="center"/>
                    <w:rPr>
                      <w:snapToGrid w:val="0"/>
                      <w:szCs w:val="21"/>
                    </w:rPr>
                  </w:pPr>
                  <w:r>
                    <w:rPr>
                      <w:rFonts w:hint="eastAsia"/>
                      <w:snapToGrid w:val="0"/>
                      <w:szCs w:val="21"/>
                    </w:rPr>
                    <w:t>1栋，1层，钢架结构，位于项目区东南面，占地面积：1054m</w:t>
                  </w:r>
                  <w:r>
                    <w:rPr>
                      <w:rFonts w:hint="eastAsia"/>
                      <w:snapToGrid w:val="0"/>
                      <w:szCs w:val="21"/>
                      <w:vertAlign w:val="superscript"/>
                    </w:rPr>
                    <w:t>2</w:t>
                  </w:r>
                  <w:r>
                    <w:rPr>
                      <w:rFonts w:hint="eastAsia"/>
                      <w:snapToGrid w:val="0"/>
                      <w:szCs w:val="21"/>
                    </w:rPr>
                    <w:t>，建筑面积：1054m</w:t>
                  </w:r>
                  <w:r>
                    <w:rPr>
                      <w:rFonts w:hint="eastAsia"/>
                      <w:snapToGrid w:val="0"/>
                      <w:szCs w:val="21"/>
                      <w:vertAlign w:val="superscript"/>
                    </w:rPr>
                    <w:t>2</w:t>
                  </w:r>
                  <w:r>
                    <w:rPr>
                      <w:rFonts w:hint="eastAsia"/>
                      <w:snapToGrid w:val="0"/>
                      <w:szCs w:val="21"/>
                    </w:rPr>
                    <w:t xml:space="preserve">，现已建成两条高频直缝焊 </w:t>
                  </w:r>
                  <w:r>
                    <w:rPr>
                      <w:snapToGrid w:val="0"/>
                      <w:szCs w:val="21"/>
                    </w:rPr>
                    <w:t xml:space="preserve"> </w:t>
                  </w:r>
                  <w:r>
                    <w:rPr>
                      <w:rFonts w:hint="eastAsia"/>
                      <w:snapToGrid w:val="0"/>
                      <w:szCs w:val="21"/>
                    </w:rPr>
                    <w:t>管生产线。</w:t>
                  </w:r>
                </w:p>
              </w:tc>
              <w:tc>
                <w:tcPr>
                  <w:tcW w:w="1186" w:type="dxa"/>
                  <w:vAlign w:val="center"/>
                </w:tcPr>
                <w:p w14:paraId="0D4DEB70">
                  <w:pPr>
                    <w:autoSpaceDE w:val="0"/>
                    <w:autoSpaceDN w:val="0"/>
                    <w:adjustRightInd w:val="0"/>
                    <w:jc w:val="center"/>
                    <w:rPr>
                      <w:bCs/>
                      <w:szCs w:val="21"/>
                    </w:rPr>
                  </w:pPr>
                  <w:r>
                    <w:rPr>
                      <w:rFonts w:hint="eastAsia"/>
                      <w:bCs/>
                      <w:szCs w:val="21"/>
                    </w:rPr>
                    <w:t>依托现有厂房改造</w:t>
                  </w:r>
                </w:p>
              </w:tc>
            </w:tr>
            <w:tr w14:paraId="568E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restart"/>
                  <w:vAlign w:val="center"/>
                </w:tcPr>
                <w:p w14:paraId="0E51FA28">
                  <w:pPr>
                    <w:autoSpaceDE w:val="0"/>
                    <w:autoSpaceDN w:val="0"/>
                    <w:adjustRightInd w:val="0"/>
                    <w:jc w:val="center"/>
                    <w:rPr>
                      <w:b/>
                      <w:szCs w:val="21"/>
                    </w:rPr>
                  </w:pPr>
                  <w:r>
                    <w:rPr>
                      <w:b/>
                      <w:szCs w:val="21"/>
                    </w:rPr>
                    <w:t>公用工程</w:t>
                  </w:r>
                </w:p>
              </w:tc>
              <w:tc>
                <w:tcPr>
                  <w:tcW w:w="1561" w:type="dxa"/>
                  <w:gridSpan w:val="2"/>
                  <w:vAlign w:val="center"/>
                </w:tcPr>
                <w:p w14:paraId="79F67924">
                  <w:pPr>
                    <w:autoSpaceDE w:val="0"/>
                    <w:autoSpaceDN w:val="0"/>
                    <w:adjustRightInd w:val="0"/>
                    <w:jc w:val="center"/>
                    <w:rPr>
                      <w:bCs/>
                      <w:szCs w:val="21"/>
                    </w:rPr>
                  </w:pPr>
                  <w:r>
                    <w:rPr>
                      <w:szCs w:val="21"/>
                    </w:rPr>
                    <w:t>供水</w:t>
                  </w:r>
                </w:p>
              </w:tc>
              <w:tc>
                <w:tcPr>
                  <w:tcW w:w="5507" w:type="dxa"/>
                  <w:gridSpan w:val="2"/>
                  <w:vAlign w:val="center"/>
                </w:tcPr>
                <w:p w14:paraId="7F924526">
                  <w:pPr>
                    <w:autoSpaceDE w:val="0"/>
                    <w:autoSpaceDN w:val="0"/>
                    <w:adjustRightInd w:val="0"/>
                    <w:jc w:val="center"/>
                    <w:rPr>
                      <w:bCs/>
                      <w:szCs w:val="21"/>
                    </w:rPr>
                  </w:pPr>
                  <w:r>
                    <w:rPr>
                      <w:szCs w:val="21"/>
                    </w:rPr>
                    <w:t>项目生产用水、生活用水均</w:t>
                  </w:r>
                  <w:r>
                    <w:rPr>
                      <w:rFonts w:hint="eastAsia"/>
                      <w:szCs w:val="21"/>
                    </w:rPr>
                    <w:t>由</w:t>
                  </w:r>
                  <w:r>
                    <w:rPr>
                      <w:szCs w:val="21"/>
                    </w:rPr>
                    <w:t>通海县纳古镇自来水厂</w:t>
                  </w:r>
                  <w:r>
                    <w:rPr>
                      <w:rFonts w:hint="eastAsia"/>
                      <w:szCs w:val="21"/>
                    </w:rPr>
                    <w:t>供水管网提供，能够满足项目日常用水需求。</w:t>
                  </w:r>
                </w:p>
              </w:tc>
              <w:tc>
                <w:tcPr>
                  <w:tcW w:w="1186" w:type="dxa"/>
                  <w:vAlign w:val="center"/>
                </w:tcPr>
                <w:p w14:paraId="2973B260">
                  <w:pPr>
                    <w:autoSpaceDE w:val="0"/>
                    <w:autoSpaceDN w:val="0"/>
                    <w:adjustRightInd w:val="0"/>
                    <w:jc w:val="center"/>
                    <w:rPr>
                      <w:bCs/>
                      <w:szCs w:val="21"/>
                    </w:rPr>
                  </w:pPr>
                  <w:r>
                    <w:rPr>
                      <w:rFonts w:hint="eastAsia" w:ascii="宋体" w:hAnsi="宋体"/>
                      <w:snapToGrid w:val="0"/>
                      <w:szCs w:val="21"/>
                    </w:rPr>
                    <w:t>依托现有</w:t>
                  </w:r>
                </w:p>
              </w:tc>
            </w:tr>
            <w:tr w14:paraId="3B0A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40222F97">
                  <w:pPr>
                    <w:autoSpaceDE w:val="0"/>
                    <w:autoSpaceDN w:val="0"/>
                    <w:adjustRightInd w:val="0"/>
                    <w:jc w:val="center"/>
                    <w:rPr>
                      <w:b/>
                      <w:szCs w:val="21"/>
                    </w:rPr>
                  </w:pPr>
                </w:p>
              </w:tc>
              <w:tc>
                <w:tcPr>
                  <w:tcW w:w="1561" w:type="dxa"/>
                  <w:gridSpan w:val="2"/>
                  <w:vAlign w:val="center"/>
                </w:tcPr>
                <w:p w14:paraId="7A887783">
                  <w:pPr>
                    <w:autoSpaceDE w:val="0"/>
                    <w:autoSpaceDN w:val="0"/>
                    <w:adjustRightInd w:val="0"/>
                    <w:jc w:val="center"/>
                    <w:rPr>
                      <w:bCs/>
                      <w:szCs w:val="21"/>
                    </w:rPr>
                  </w:pPr>
                  <w:r>
                    <w:rPr>
                      <w:szCs w:val="21"/>
                    </w:rPr>
                    <w:t>排水</w:t>
                  </w:r>
                </w:p>
              </w:tc>
              <w:tc>
                <w:tcPr>
                  <w:tcW w:w="5507" w:type="dxa"/>
                  <w:gridSpan w:val="2"/>
                  <w:vAlign w:val="center"/>
                </w:tcPr>
                <w:p w14:paraId="605DDD9D">
                  <w:pPr>
                    <w:autoSpaceDE w:val="0"/>
                    <w:autoSpaceDN w:val="0"/>
                    <w:adjustRightInd w:val="0"/>
                    <w:jc w:val="center"/>
                    <w:rPr>
                      <w:bCs/>
                      <w:szCs w:val="21"/>
                    </w:rPr>
                  </w:pPr>
                  <w:r>
                    <w:rPr>
                      <w:rFonts w:hint="eastAsia"/>
                      <w:szCs w:val="21"/>
                    </w:rPr>
                    <w:t>项目采用雨污分流制排水方式。雨水经雨水沟收集后排入周边雨水沟渠；项目生产废水主要为焊管生产车间设备冷却水和产品冷却水，焊管生产车间设备冷却水经焊管设备净循环水池冷却后循环使用，不外排；产品冷却水经焊管车间浊循环水池冷却后循环使用，不外排；项目食堂废水经隔油池处理后与其他污水经化粪池预处理后，再排入现有生活污水处理站处理达标后用于直接冷却水的补充水，不外排。</w:t>
                  </w:r>
                </w:p>
              </w:tc>
              <w:tc>
                <w:tcPr>
                  <w:tcW w:w="1186" w:type="dxa"/>
                  <w:vAlign w:val="center"/>
                </w:tcPr>
                <w:p w14:paraId="0C0BC826">
                  <w:pPr>
                    <w:autoSpaceDE w:val="0"/>
                    <w:autoSpaceDN w:val="0"/>
                    <w:adjustRightInd w:val="0"/>
                    <w:jc w:val="center"/>
                    <w:rPr>
                      <w:bCs/>
                      <w:szCs w:val="21"/>
                    </w:rPr>
                  </w:pPr>
                  <w:r>
                    <w:rPr>
                      <w:rFonts w:hint="eastAsia"/>
                      <w:bCs/>
                      <w:szCs w:val="21"/>
                    </w:rPr>
                    <w:t>生活污水处理依托现有设施</w:t>
                  </w:r>
                </w:p>
              </w:tc>
            </w:tr>
            <w:tr w14:paraId="511B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0CA66995">
                  <w:pPr>
                    <w:autoSpaceDE w:val="0"/>
                    <w:autoSpaceDN w:val="0"/>
                    <w:adjustRightInd w:val="0"/>
                    <w:jc w:val="center"/>
                    <w:rPr>
                      <w:b/>
                      <w:szCs w:val="21"/>
                    </w:rPr>
                  </w:pPr>
                </w:p>
              </w:tc>
              <w:tc>
                <w:tcPr>
                  <w:tcW w:w="1561" w:type="dxa"/>
                  <w:gridSpan w:val="2"/>
                  <w:vAlign w:val="center"/>
                </w:tcPr>
                <w:p w14:paraId="672D1EE4">
                  <w:pPr>
                    <w:autoSpaceDE w:val="0"/>
                    <w:autoSpaceDN w:val="0"/>
                    <w:adjustRightInd w:val="0"/>
                    <w:jc w:val="center"/>
                    <w:rPr>
                      <w:bCs/>
                      <w:szCs w:val="21"/>
                    </w:rPr>
                  </w:pPr>
                  <w:r>
                    <w:rPr>
                      <w:szCs w:val="21"/>
                    </w:rPr>
                    <w:t>供电</w:t>
                  </w:r>
                </w:p>
              </w:tc>
              <w:tc>
                <w:tcPr>
                  <w:tcW w:w="5507" w:type="dxa"/>
                  <w:gridSpan w:val="2"/>
                  <w:vAlign w:val="center"/>
                </w:tcPr>
                <w:p w14:paraId="4906FFA6">
                  <w:pPr>
                    <w:autoSpaceDE w:val="0"/>
                    <w:autoSpaceDN w:val="0"/>
                    <w:adjustRightInd w:val="0"/>
                    <w:jc w:val="center"/>
                    <w:rPr>
                      <w:bCs/>
                      <w:szCs w:val="21"/>
                    </w:rPr>
                  </w:pPr>
                  <w:r>
                    <w:rPr>
                      <w:rFonts w:hint="eastAsia"/>
                      <w:szCs w:val="21"/>
                    </w:rPr>
                    <w:t>项目供电负荷等级为三级，搭接纳古变电站35kV电力线至本项目厂区变压站，厂区设置3台高压变压器和3台低压变压器降压后，供厂区生产、生活使用。</w:t>
                  </w:r>
                </w:p>
              </w:tc>
              <w:tc>
                <w:tcPr>
                  <w:tcW w:w="1186" w:type="dxa"/>
                  <w:vAlign w:val="center"/>
                </w:tcPr>
                <w:p w14:paraId="2C8A4F95">
                  <w:pPr>
                    <w:autoSpaceDE w:val="0"/>
                    <w:autoSpaceDN w:val="0"/>
                    <w:adjustRightInd w:val="0"/>
                    <w:jc w:val="center"/>
                    <w:rPr>
                      <w:bCs/>
                      <w:szCs w:val="21"/>
                    </w:rPr>
                  </w:pPr>
                  <w:r>
                    <w:rPr>
                      <w:rFonts w:hint="eastAsia" w:ascii="宋体" w:hAnsi="宋体"/>
                      <w:snapToGrid w:val="0"/>
                      <w:szCs w:val="21"/>
                    </w:rPr>
                    <w:t>依托现有</w:t>
                  </w:r>
                </w:p>
              </w:tc>
            </w:tr>
            <w:tr w14:paraId="5DCD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restart"/>
                  <w:vAlign w:val="center"/>
                </w:tcPr>
                <w:p w14:paraId="7DFFCD23">
                  <w:pPr>
                    <w:autoSpaceDE w:val="0"/>
                    <w:autoSpaceDN w:val="0"/>
                    <w:adjustRightInd w:val="0"/>
                    <w:jc w:val="center"/>
                    <w:rPr>
                      <w:b/>
                      <w:szCs w:val="21"/>
                    </w:rPr>
                  </w:pPr>
                  <w:r>
                    <w:rPr>
                      <w:rFonts w:hint="eastAsia"/>
                      <w:b/>
                      <w:szCs w:val="21"/>
                    </w:rPr>
                    <w:t>储运</w:t>
                  </w:r>
                  <w:r>
                    <w:rPr>
                      <w:b/>
                      <w:szCs w:val="21"/>
                    </w:rPr>
                    <w:t>工程</w:t>
                  </w:r>
                </w:p>
              </w:tc>
              <w:tc>
                <w:tcPr>
                  <w:tcW w:w="1561" w:type="dxa"/>
                  <w:gridSpan w:val="2"/>
                  <w:vAlign w:val="center"/>
                </w:tcPr>
                <w:p w14:paraId="596DB7B1">
                  <w:pPr>
                    <w:autoSpaceDE w:val="0"/>
                    <w:autoSpaceDN w:val="0"/>
                    <w:adjustRightInd w:val="0"/>
                    <w:jc w:val="center"/>
                    <w:rPr>
                      <w:bCs/>
                      <w:szCs w:val="21"/>
                    </w:rPr>
                  </w:pPr>
                  <w:r>
                    <w:rPr>
                      <w:rFonts w:hint="eastAsia"/>
                      <w:szCs w:val="21"/>
                    </w:rPr>
                    <w:t>三车间、四车间成品及原料堆存区</w:t>
                  </w:r>
                </w:p>
              </w:tc>
              <w:tc>
                <w:tcPr>
                  <w:tcW w:w="5507" w:type="dxa"/>
                  <w:gridSpan w:val="2"/>
                  <w:vAlign w:val="center"/>
                </w:tcPr>
                <w:p w14:paraId="612CE46E">
                  <w:pPr>
                    <w:autoSpaceDE w:val="0"/>
                    <w:autoSpaceDN w:val="0"/>
                    <w:adjustRightInd w:val="0"/>
                    <w:jc w:val="center"/>
                    <w:rPr>
                      <w:bCs/>
                      <w:szCs w:val="21"/>
                    </w:rPr>
                  </w:pPr>
                  <w:r>
                    <w:rPr>
                      <w:rFonts w:hint="eastAsia"/>
                      <w:szCs w:val="21"/>
                    </w:rPr>
                    <w:t>成品堆存区</w:t>
                  </w:r>
                  <w:r>
                    <w:rPr>
                      <w:snapToGrid w:val="0"/>
                      <w:szCs w:val="21"/>
                    </w:rPr>
                    <w:t>设置于</w:t>
                  </w:r>
                  <w:r>
                    <w:rPr>
                      <w:rFonts w:hint="eastAsia"/>
                      <w:szCs w:val="21"/>
                    </w:rPr>
                    <w:t>三车间</w:t>
                  </w:r>
                  <w:r>
                    <w:rPr>
                      <w:rFonts w:hint="eastAsia"/>
                      <w:snapToGrid w:val="0"/>
                      <w:szCs w:val="21"/>
                    </w:rPr>
                    <w:t>高频直缝焊管生产线</w:t>
                  </w:r>
                  <w:r>
                    <w:rPr>
                      <w:snapToGrid w:val="0"/>
                      <w:szCs w:val="21"/>
                    </w:rPr>
                    <w:t>旁，占地面积</w:t>
                  </w:r>
                  <w:r>
                    <w:rPr>
                      <w:rFonts w:hint="eastAsia"/>
                      <w:snapToGrid w:val="0"/>
                      <w:szCs w:val="21"/>
                    </w:rPr>
                    <w:t>约</w:t>
                  </w:r>
                  <w:r>
                    <w:rPr>
                      <w:snapToGrid w:val="0"/>
                      <w:szCs w:val="21"/>
                    </w:rPr>
                    <w:t>500m</w:t>
                  </w:r>
                  <w:r>
                    <w:rPr>
                      <w:snapToGrid w:val="0"/>
                      <w:szCs w:val="21"/>
                      <w:vertAlign w:val="superscript"/>
                    </w:rPr>
                    <w:t>2</w:t>
                  </w:r>
                  <w:r>
                    <w:rPr>
                      <w:rFonts w:hint="eastAsia"/>
                      <w:snapToGrid w:val="0"/>
                      <w:szCs w:val="21"/>
                    </w:rPr>
                    <w:t>。</w:t>
                  </w:r>
                  <w:r>
                    <w:rPr>
                      <w:rFonts w:hint="eastAsia"/>
                      <w:szCs w:val="21"/>
                    </w:rPr>
                    <w:t>原料堆存区</w:t>
                  </w:r>
                  <w:r>
                    <w:rPr>
                      <w:snapToGrid w:val="0"/>
                      <w:szCs w:val="21"/>
                    </w:rPr>
                    <w:t>设置于</w:t>
                  </w:r>
                  <w:r>
                    <w:rPr>
                      <w:rFonts w:hint="eastAsia"/>
                      <w:szCs w:val="21"/>
                    </w:rPr>
                    <w:t>四车间</w:t>
                  </w:r>
                  <w:r>
                    <w:rPr>
                      <w:rFonts w:hint="eastAsia"/>
                      <w:snapToGrid w:val="0"/>
                      <w:szCs w:val="21"/>
                    </w:rPr>
                    <w:t>纵剪线</w:t>
                  </w:r>
                  <w:r>
                    <w:rPr>
                      <w:snapToGrid w:val="0"/>
                      <w:szCs w:val="21"/>
                    </w:rPr>
                    <w:t>旁</w:t>
                  </w:r>
                  <w:r>
                    <w:rPr>
                      <w:rFonts w:hint="eastAsia"/>
                      <w:snapToGrid w:val="0"/>
                      <w:szCs w:val="21"/>
                    </w:rPr>
                    <w:t>，</w:t>
                  </w:r>
                  <w:r>
                    <w:rPr>
                      <w:snapToGrid w:val="0"/>
                      <w:szCs w:val="21"/>
                    </w:rPr>
                    <w:t>占地面积</w:t>
                  </w:r>
                  <w:r>
                    <w:rPr>
                      <w:rFonts w:hint="eastAsia"/>
                      <w:snapToGrid w:val="0"/>
                      <w:szCs w:val="21"/>
                    </w:rPr>
                    <w:t>约</w:t>
                  </w:r>
                  <w:r>
                    <w:rPr>
                      <w:snapToGrid w:val="0"/>
                      <w:szCs w:val="21"/>
                    </w:rPr>
                    <w:t>300m</w:t>
                  </w:r>
                  <w:r>
                    <w:rPr>
                      <w:snapToGrid w:val="0"/>
                      <w:szCs w:val="21"/>
                      <w:vertAlign w:val="superscript"/>
                    </w:rPr>
                    <w:t>2</w:t>
                  </w:r>
                  <w:r>
                    <w:rPr>
                      <w:rFonts w:hint="eastAsia"/>
                      <w:snapToGrid w:val="0"/>
                      <w:szCs w:val="21"/>
                    </w:rPr>
                    <w:t>。</w:t>
                  </w:r>
                </w:p>
              </w:tc>
              <w:tc>
                <w:tcPr>
                  <w:tcW w:w="1186" w:type="dxa"/>
                  <w:vAlign w:val="center"/>
                </w:tcPr>
                <w:p w14:paraId="124435B7">
                  <w:pPr>
                    <w:autoSpaceDE w:val="0"/>
                    <w:autoSpaceDN w:val="0"/>
                    <w:adjustRightInd w:val="0"/>
                    <w:jc w:val="center"/>
                    <w:rPr>
                      <w:bCs/>
                      <w:szCs w:val="21"/>
                    </w:rPr>
                  </w:pPr>
                  <w:r>
                    <w:rPr>
                      <w:rFonts w:hint="eastAsia"/>
                      <w:bCs/>
                      <w:szCs w:val="21"/>
                    </w:rPr>
                    <w:t>已建成</w:t>
                  </w:r>
                </w:p>
              </w:tc>
            </w:tr>
            <w:tr w14:paraId="72F4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6CD99BAF">
                  <w:pPr>
                    <w:autoSpaceDE w:val="0"/>
                    <w:autoSpaceDN w:val="0"/>
                    <w:adjustRightInd w:val="0"/>
                    <w:jc w:val="center"/>
                    <w:rPr>
                      <w:b/>
                      <w:szCs w:val="21"/>
                    </w:rPr>
                  </w:pPr>
                </w:p>
              </w:tc>
              <w:tc>
                <w:tcPr>
                  <w:tcW w:w="1561" w:type="dxa"/>
                  <w:gridSpan w:val="2"/>
                  <w:vAlign w:val="center"/>
                </w:tcPr>
                <w:p w14:paraId="7336730B">
                  <w:pPr>
                    <w:autoSpaceDE w:val="0"/>
                    <w:autoSpaceDN w:val="0"/>
                    <w:adjustRightInd w:val="0"/>
                    <w:jc w:val="center"/>
                    <w:rPr>
                      <w:bCs/>
                      <w:szCs w:val="21"/>
                    </w:rPr>
                  </w:pPr>
                  <w:r>
                    <w:rPr>
                      <w:rFonts w:hint="eastAsia"/>
                      <w:szCs w:val="21"/>
                    </w:rPr>
                    <w:t>七车间成品及原料堆存区</w:t>
                  </w:r>
                </w:p>
              </w:tc>
              <w:tc>
                <w:tcPr>
                  <w:tcW w:w="5507" w:type="dxa"/>
                  <w:gridSpan w:val="2"/>
                  <w:vAlign w:val="center"/>
                </w:tcPr>
                <w:p w14:paraId="0AE8718C">
                  <w:pPr>
                    <w:autoSpaceDE w:val="0"/>
                    <w:autoSpaceDN w:val="0"/>
                    <w:adjustRightInd w:val="0"/>
                    <w:jc w:val="center"/>
                    <w:rPr>
                      <w:bCs/>
                      <w:szCs w:val="21"/>
                    </w:rPr>
                  </w:pPr>
                  <w:r>
                    <w:rPr>
                      <w:rFonts w:hint="eastAsia"/>
                      <w:szCs w:val="21"/>
                    </w:rPr>
                    <w:t>成品堆存区</w:t>
                  </w:r>
                  <w:r>
                    <w:rPr>
                      <w:snapToGrid w:val="0"/>
                      <w:szCs w:val="21"/>
                    </w:rPr>
                    <w:t>设置于</w:t>
                  </w:r>
                  <w:r>
                    <w:rPr>
                      <w:rFonts w:hint="eastAsia"/>
                      <w:szCs w:val="21"/>
                    </w:rPr>
                    <w:t>七车间</w:t>
                  </w:r>
                  <w:r>
                    <w:rPr>
                      <w:rFonts w:hint="eastAsia"/>
                      <w:snapToGrid w:val="0"/>
                      <w:szCs w:val="21"/>
                    </w:rPr>
                    <w:t>高频直缝焊管生产线</w:t>
                  </w:r>
                  <w:r>
                    <w:rPr>
                      <w:snapToGrid w:val="0"/>
                      <w:szCs w:val="21"/>
                    </w:rPr>
                    <w:t>旁，占地面积</w:t>
                  </w:r>
                  <w:r>
                    <w:rPr>
                      <w:rFonts w:hint="eastAsia"/>
                      <w:snapToGrid w:val="0"/>
                      <w:szCs w:val="21"/>
                    </w:rPr>
                    <w:t>约</w:t>
                  </w:r>
                  <w:r>
                    <w:rPr>
                      <w:snapToGrid w:val="0"/>
                      <w:szCs w:val="21"/>
                    </w:rPr>
                    <w:t>600m</w:t>
                  </w:r>
                  <w:r>
                    <w:rPr>
                      <w:snapToGrid w:val="0"/>
                      <w:szCs w:val="21"/>
                      <w:vertAlign w:val="superscript"/>
                    </w:rPr>
                    <w:t>2</w:t>
                  </w:r>
                  <w:r>
                    <w:rPr>
                      <w:rFonts w:hint="eastAsia"/>
                      <w:snapToGrid w:val="0"/>
                      <w:szCs w:val="21"/>
                    </w:rPr>
                    <w:t>。</w:t>
                  </w:r>
                  <w:r>
                    <w:rPr>
                      <w:rFonts w:hint="eastAsia"/>
                      <w:szCs w:val="21"/>
                    </w:rPr>
                    <w:t>原料堆存区</w:t>
                  </w:r>
                  <w:r>
                    <w:rPr>
                      <w:snapToGrid w:val="0"/>
                      <w:szCs w:val="21"/>
                    </w:rPr>
                    <w:t>设置于</w:t>
                  </w:r>
                  <w:r>
                    <w:rPr>
                      <w:rFonts w:hint="eastAsia"/>
                      <w:szCs w:val="21"/>
                    </w:rPr>
                    <w:t>七车间</w:t>
                  </w:r>
                  <w:r>
                    <w:rPr>
                      <w:rFonts w:hint="eastAsia"/>
                      <w:snapToGrid w:val="0"/>
                      <w:szCs w:val="21"/>
                    </w:rPr>
                    <w:t>纵剪线</w:t>
                  </w:r>
                  <w:r>
                    <w:rPr>
                      <w:snapToGrid w:val="0"/>
                      <w:szCs w:val="21"/>
                    </w:rPr>
                    <w:t>旁</w:t>
                  </w:r>
                  <w:r>
                    <w:rPr>
                      <w:rFonts w:hint="eastAsia"/>
                      <w:snapToGrid w:val="0"/>
                      <w:szCs w:val="21"/>
                    </w:rPr>
                    <w:t>，</w:t>
                  </w:r>
                  <w:r>
                    <w:rPr>
                      <w:snapToGrid w:val="0"/>
                      <w:szCs w:val="21"/>
                    </w:rPr>
                    <w:t>占地面积</w:t>
                  </w:r>
                  <w:r>
                    <w:rPr>
                      <w:rFonts w:hint="eastAsia"/>
                      <w:snapToGrid w:val="0"/>
                      <w:szCs w:val="21"/>
                    </w:rPr>
                    <w:t>约</w:t>
                  </w:r>
                  <w:r>
                    <w:rPr>
                      <w:snapToGrid w:val="0"/>
                      <w:szCs w:val="21"/>
                    </w:rPr>
                    <w:t>300m</w:t>
                  </w:r>
                  <w:r>
                    <w:rPr>
                      <w:snapToGrid w:val="0"/>
                      <w:szCs w:val="21"/>
                      <w:vertAlign w:val="superscript"/>
                    </w:rPr>
                    <w:t>2</w:t>
                  </w:r>
                  <w:r>
                    <w:rPr>
                      <w:rFonts w:hint="eastAsia"/>
                      <w:snapToGrid w:val="0"/>
                      <w:szCs w:val="21"/>
                    </w:rPr>
                    <w:t>。</w:t>
                  </w:r>
                </w:p>
              </w:tc>
              <w:tc>
                <w:tcPr>
                  <w:tcW w:w="1186" w:type="dxa"/>
                  <w:vAlign w:val="center"/>
                </w:tcPr>
                <w:p w14:paraId="1258C7C7">
                  <w:pPr>
                    <w:autoSpaceDE w:val="0"/>
                    <w:autoSpaceDN w:val="0"/>
                    <w:adjustRightInd w:val="0"/>
                    <w:jc w:val="center"/>
                    <w:rPr>
                      <w:bCs/>
                      <w:szCs w:val="21"/>
                    </w:rPr>
                  </w:pPr>
                  <w:r>
                    <w:rPr>
                      <w:rFonts w:hint="eastAsia"/>
                      <w:bCs/>
                      <w:szCs w:val="21"/>
                    </w:rPr>
                    <w:t>依托现有厂房改造</w:t>
                  </w:r>
                </w:p>
              </w:tc>
            </w:tr>
            <w:tr w14:paraId="523F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4BAF91D5">
                  <w:pPr>
                    <w:autoSpaceDE w:val="0"/>
                    <w:autoSpaceDN w:val="0"/>
                    <w:adjustRightInd w:val="0"/>
                    <w:jc w:val="center"/>
                    <w:rPr>
                      <w:b/>
                      <w:szCs w:val="21"/>
                    </w:rPr>
                  </w:pPr>
                </w:p>
              </w:tc>
              <w:tc>
                <w:tcPr>
                  <w:tcW w:w="1561" w:type="dxa"/>
                  <w:gridSpan w:val="2"/>
                  <w:vAlign w:val="center"/>
                </w:tcPr>
                <w:p w14:paraId="297A7691">
                  <w:pPr>
                    <w:autoSpaceDE w:val="0"/>
                    <w:autoSpaceDN w:val="0"/>
                    <w:adjustRightInd w:val="0"/>
                    <w:jc w:val="center"/>
                    <w:rPr>
                      <w:szCs w:val="21"/>
                    </w:rPr>
                  </w:pPr>
                  <w:r>
                    <w:rPr>
                      <w:rFonts w:hint="eastAsia"/>
                      <w:szCs w:val="21"/>
                    </w:rPr>
                    <w:t>八车间成品及原料堆存区</w:t>
                  </w:r>
                </w:p>
              </w:tc>
              <w:tc>
                <w:tcPr>
                  <w:tcW w:w="5507" w:type="dxa"/>
                  <w:gridSpan w:val="2"/>
                  <w:vAlign w:val="center"/>
                </w:tcPr>
                <w:p w14:paraId="5A235883">
                  <w:pPr>
                    <w:autoSpaceDE w:val="0"/>
                    <w:autoSpaceDN w:val="0"/>
                    <w:adjustRightInd w:val="0"/>
                    <w:jc w:val="center"/>
                    <w:rPr>
                      <w:snapToGrid w:val="0"/>
                      <w:szCs w:val="21"/>
                    </w:rPr>
                  </w:pPr>
                  <w:r>
                    <w:rPr>
                      <w:rFonts w:hint="eastAsia"/>
                      <w:szCs w:val="21"/>
                    </w:rPr>
                    <w:t>成品堆存区</w:t>
                  </w:r>
                  <w:r>
                    <w:rPr>
                      <w:snapToGrid w:val="0"/>
                      <w:szCs w:val="21"/>
                    </w:rPr>
                    <w:t>设置于</w:t>
                  </w:r>
                  <w:r>
                    <w:rPr>
                      <w:rFonts w:hint="eastAsia"/>
                      <w:szCs w:val="21"/>
                    </w:rPr>
                    <w:t>八车间</w:t>
                  </w:r>
                  <w:r>
                    <w:rPr>
                      <w:rFonts w:hint="eastAsia"/>
                      <w:snapToGrid w:val="0"/>
                      <w:szCs w:val="21"/>
                    </w:rPr>
                    <w:t>高频直缝焊管生产线</w:t>
                  </w:r>
                  <w:r>
                    <w:rPr>
                      <w:snapToGrid w:val="0"/>
                      <w:szCs w:val="21"/>
                    </w:rPr>
                    <w:t>旁，占地面积</w:t>
                  </w:r>
                  <w:r>
                    <w:rPr>
                      <w:rFonts w:hint="eastAsia"/>
                      <w:snapToGrid w:val="0"/>
                      <w:szCs w:val="21"/>
                    </w:rPr>
                    <w:t>约</w:t>
                  </w:r>
                  <w:r>
                    <w:rPr>
                      <w:snapToGrid w:val="0"/>
                      <w:szCs w:val="21"/>
                    </w:rPr>
                    <w:t>500m</w:t>
                  </w:r>
                  <w:r>
                    <w:rPr>
                      <w:snapToGrid w:val="0"/>
                      <w:szCs w:val="21"/>
                      <w:vertAlign w:val="superscript"/>
                    </w:rPr>
                    <w:t>2</w:t>
                  </w:r>
                  <w:r>
                    <w:rPr>
                      <w:rFonts w:hint="eastAsia"/>
                      <w:snapToGrid w:val="0"/>
                      <w:szCs w:val="21"/>
                    </w:rPr>
                    <w:t>。</w:t>
                  </w:r>
                  <w:r>
                    <w:rPr>
                      <w:rFonts w:hint="eastAsia"/>
                      <w:szCs w:val="21"/>
                    </w:rPr>
                    <w:t>原料堆存区</w:t>
                  </w:r>
                  <w:r>
                    <w:rPr>
                      <w:snapToGrid w:val="0"/>
                      <w:szCs w:val="21"/>
                    </w:rPr>
                    <w:t>设置于</w:t>
                  </w:r>
                  <w:r>
                    <w:rPr>
                      <w:rFonts w:hint="eastAsia"/>
                      <w:szCs w:val="21"/>
                    </w:rPr>
                    <w:t>八车间</w:t>
                  </w:r>
                  <w:r>
                    <w:rPr>
                      <w:rFonts w:hint="eastAsia"/>
                      <w:snapToGrid w:val="0"/>
                      <w:szCs w:val="21"/>
                    </w:rPr>
                    <w:t>纵剪线</w:t>
                  </w:r>
                  <w:r>
                    <w:rPr>
                      <w:snapToGrid w:val="0"/>
                      <w:szCs w:val="21"/>
                    </w:rPr>
                    <w:t>旁</w:t>
                  </w:r>
                  <w:r>
                    <w:rPr>
                      <w:rFonts w:hint="eastAsia"/>
                      <w:snapToGrid w:val="0"/>
                      <w:szCs w:val="21"/>
                    </w:rPr>
                    <w:t>，</w:t>
                  </w:r>
                  <w:r>
                    <w:rPr>
                      <w:snapToGrid w:val="0"/>
                      <w:szCs w:val="21"/>
                    </w:rPr>
                    <w:t>占地面积</w:t>
                  </w:r>
                  <w:r>
                    <w:rPr>
                      <w:rFonts w:hint="eastAsia"/>
                      <w:snapToGrid w:val="0"/>
                      <w:szCs w:val="21"/>
                    </w:rPr>
                    <w:t>约</w:t>
                  </w:r>
                  <w:r>
                    <w:rPr>
                      <w:snapToGrid w:val="0"/>
                      <w:szCs w:val="21"/>
                    </w:rPr>
                    <w:t>300m</w:t>
                  </w:r>
                  <w:r>
                    <w:rPr>
                      <w:snapToGrid w:val="0"/>
                      <w:szCs w:val="21"/>
                      <w:vertAlign w:val="superscript"/>
                    </w:rPr>
                    <w:t>2</w:t>
                  </w:r>
                  <w:r>
                    <w:rPr>
                      <w:rFonts w:hint="eastAsia"/>
                      <w:snapToGrid w:val="0"/>
                      <w:szCs w:val="21"/>
                    </w:rPr>
                    <w:t>。</w:t>
                  </w:r>
                </w:p>
              </w:tc>
              <w:tc>
                <w:tcPr>
                  <w:tcW w:w="1186" w:type="dxa"/>
                  <w:vAlign w:val="center"/>
                </w:tcPr>
                <w:p w14:paraId="19079081">
                  <w:pPr>
                    <w:autoSpaceDE w:val="0"/>
                    <w:autoSpaceDN w:val="0"/>
                    <w:adjustRightInd w:val="0"/>
                    <w:jc w:val="center"/>
                    <w:rPr>
                      <w:szCs w:val="21"/>
                    </w:rPr>
                  </w:pPr>
                  <w:r>
                    <w:rPr>
                      <w:rFonts w:hint="eastAsia"/>
                      <w:bCs/>
                      <w:szCs w:val="21"/>
                    </w:rPr>
                    <w:t>已建成</w:t>
                  </w:r>
                </w:p>
              </w:tc>
            </w:tr>
            <w:tr w14:paraId="5BD6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restart"/>
                  <w:vAlign w:val="center"/>
                </w:tcPr>
                <w:p w14:paraId="2EE47C73">
                  <w:pPr>
                    <w:autoSpaceDE w:val="0"/>
                    <w:autoSpaceDN w:val="0"/>
                    <w:adjustRightInd w:val="0"/>
                    <w:jc w:val="center"/>
                    <w:rPr>
                      <w:b/>
                      <w:szCs w:val="21"/>
                    </w:rPr>
                  </w:pPr>
                  <w:r>
                    <w:rPr>
                      <w:rFonts w:hint="eastAsia"/>
                      <w:b/>
                      <w:szCs w:val="21"/>
                    </w:rPr>
                    <w:t>依托工程</w:t>
                  </w:r>
                </w:p>
              </w:tc>
              <w:tc>
                <w:tcPr>
                  <w:tcW w:w="1561" w:type="dxa"/>
                  <w:gridSpan w:val="2"/>
                  <w:vAlign w:val="center"/>
                </w:tcPr>
                <w:p w14:paraId="0E8704D9">
                  <w:pPr>
                    <w:autoSpaceDE w:val="0"/>
                    <w:autoSpaceDN w:val="0"/>
                    <w:adjustRightInd w:val="0"/>
                    <w:jc w:val="center"/>
                    <w:rPr>
                      <w:bCs/>
                      <w:szCs w:val="21"/>
                    </w:rPr>
                  </w:pPr>
                  <w:r>
                    <w:rPr>
                      <w:rFonts w:hint="eastAsia"/>
                      <w:szCs w:val="21"/>
                    </w:rPr>
                    <w:t>员工生活区</w:t>
                  </w:r>
                </w:p>
              </w:tc>
              <w:tc>
                <w:tcPr>
                  <w:tcW w:w="5507" w:type="dxa"/>
                  <w:gridSpan w:val="2"/>
                  <w:vAlign w:val="center"/>
                </w:tcPr>
                <w:p w14:paraId="6CD1ADBB">
                  <w:pPr>
                    <w:autoSpaceDE w:val="0"/>
                    <w:autoSpaceDN w:val="0"/>
                    <w:adjustRightInd w:val="0"/>
                    <w:jc w:val="center"/>
                    <w:rPr>
                      <w:bCs/>
                      <w:szCs w:val="21"/>
                    </w:rPr>
                  </w:pPr>
                  <w:r>
                    <w:rPr>
                      <w:rFonts w:hint="eastAsia"/>
                      <w:szCs w:val="21"/>
                    </w:rPr>
                    <w:t>2栋，2层，砖混结构，位于项目区东北面，占地面积300m</w:t>
                  </w:r>
                  <w:r>
                    <w:rPr>
                      <w:rFonts w:hint="eastAsia"/>
                      <w:szCs w:val="21"/>
                      <w:vertAlign w:val="superscript"/>
                    </w:rPr>
                    <w:t>2</w:t>
                  </w:r>
                  <w:r>
                    <w:rPr>
                      <w:rFonts w:hint="eastAsia"/>
                      <w:szCs w:val="21"/>
                    </w:rPr>
                    <w:t>，建筑面积600m</w:t>
                  </w:r>
                  <w:r>
                    <w:rPr>
                      <w:rFonts w:hint="eastAsia"/>
                      <w:szCs w:val="21"/>
                      <w:vertAlign w:val="superscript"/>
                    </w:rPr>
                    <w:t>2</w:t>
                  </w:r>
                  <w:r>
                    <w:rPr>
                      <w:rFonts w:hint="eastAsia"/>
                      <w:szCs w:val="21"/>
                    </w:rPr>
                    <w:t>。</w:t>
                  </w:r>
                </w:p>
              </w:tc>
              <w:tc>
                <w:tcPr>
                  <w:tcW w:w="1186" w:type="dxa"/>
                  <w:vAlign w:val="center"/>
                </w:tcPr>
                <w:p w14:paraId="4302C1EA">
                  <w:pPr>
                    <w:autoSpaceDE w:val="0"/>
                    <w:autoSpaceDN w:val="0"/>
                    <w:adjustRightInd w:val="0"/>
                    <w:jc w:val="center"/>
                    <w:rPr>
                      <w:bCs/>
                      <w:szCs w:val="21"/>
                    </w:rPr>
                  </w:pPr>
                  <w:r>
                    <w:rPr>
                      <w:rFonts w:hint="eastAsia"/>
                      <w:szCs w:val="21"/>
                    </w:rPr>
                    <w:t>依托现有</w:t>
                  </w:r>
                </w:p>
              </w:tc>
            </w:tr>
            <w:tr w14:paraId="74B7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58AF9F4C">
                  <w:pPr>
                    <w:autoSpaceDE w:val="0"/>
                    <w:autoSpaceDN w:val="0"/>
                    <w:adjustRightInd w:val="0"/>
                    <w:jc w:val="center"/>
                    <w:rPr>
                      <w:b/>
                      <w:szCs w:val="21"/>
                    </w:rPr>
                  </w:pPr>
                </w:p>
              </w:tc>
              <w:tc>
                <w:tcPr>
                  <w:tcW w:w="1561" w:type="dxa"/>
                  <w:gridSpan w:val="2"/>
                  <w:vAlign w:val="center"/>
                </w:tcPr>
                <w:p w14:paraId="647EFBA7">
                  <w:pPr>
                    <w:autoSpaceDE w:val="0"/>
                    <w:autoSpaceDN w:val="0"/>
                    <w:adjustRightInd w:val="0"/>
                    <w:jc w:val="center"/>
                    <w:rPr>
                      <w:szCs w:val="21"/>
                    </w:rPr>
                  </w:pPr>
                  <w:r>
                    <w:rPr>
                      <w:rFonts w:hint="eastAsia"/>
                      <w:szCs w:val="21"/>
                    </w:rPr>
                    <w:t>办公宿舍楼</w:t>
                  </w:r>
                </w:p>
              </w:tc>
              <w:tc>
                <w:tcPr>
                  <w:tcW w:w="5507" w:type="dxa"/>
                  <w:gridSpan w:val="2"/>
                  <w:vAlign w:val="center"/>
                </w:tcPr>
                <w:p w14:paraId="768915B9">
                  <w:pPr>
                    <w:autoSpaceDE w:val="0"/>
                    <w:autoSpaceDN w:val="0"/>
                    <w:adjustRightInd w:val="0"/>
                    <w:jc w:val="center"/>
                    <w:rPr>
                      <w:szCs w:val="21"/>
                    </w:rPr>
                  </w:pPr>
                  <w:r>
                    <w:rPr>
                      <w:rFonts w:hint="eastAsia"/>
                      <w:szCs w:val="21"/>
                    </w:rPr>
                    <w:t>1栋，4层，砖混结构，位于项目区东北面，占地面积264m</w:t>
                  </w:r>
                  <w:r>
                    <w:rPr>
                      <w:rFonts w:hint="eastAsia"/>
                      <w:szCs w:val="21"/>
                      <w:vertAlign w:val="superscript"/>
                    </w:rPr>
                    <w:t>2</w:t>
                  </w:r>
                  <w:r>
                    <w:rPr>
                      <w:rFonts w:hint="eastAsia"/>
                      <w:szCs w:val="21"/>
                    </w:rPr>
                    <w:t>，建筑面积1056m</w:t>
                  </w:r>
                  <w:r>
                    <w:rPr>
                      <w:rFonts w:hint="eastAsia"/>
                      <w:szCs w:val="21"/>
                      <w:vertAlign w:val="superscript"/>
                    </w:rPr>
                    <w:t>2</w:t>
                  </w:r>
                  <w:r>
                    <w:rPr>
                      <w:rFonts w:hint="eastAsia"/>
                      <w:szCs w:val="21"/>
                    </w:rPr>
                    <w:t>，1层闲置，2层为职工宿舍，3、4层为职工办公楼。</w:t>
                  </w:r>
                </w:p>
              </w:tc>
              <w:tc>
                <w:tcPr>
                  <w:tcW w:w="1186" w:type="dxa"/>
                  <w:vAlign w:val="center"/>
                </w:tcPr>
                <w:p w14:paraId="0413552B">
                  <w:pPr>
                    <w:autoSpaceDE w:val="0"/>
                    <w:autoSpaceDN w:val="0"/>
                    <w:adjustRightInd w:val="0"/>
                    <w:jc w:val="center"/>
                    <w:rPr>
                      <w:szCs w:val="21"/>
                    </w:rPr>
                  </w:pPr>
                  <w:r>
                    <w:rPr>
                      <w:rFonts w:hint="eastAsia"/>
                      <w:szCs w:val="21"/>
                    </w:rPr>
                    <w:t>依托现有</w:t>
                  </w:r>
                </w:p>
              </w:tc>
            </w:tr>
            <w:tr w14:paraId="4928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232A98EA">
                  <w:pPr>
                    <w:autoSpaceDE w:val="0"/>
                    <w:autoSpaceDN w:val="0"/>
                    <w:adjustRightInd w:val="0"/>
                    <w:jc w:val="center"/>
                    <w:rPr>
                      <w:b/>
                      <w:szCs w:val="21"/>
                    </w:rPr>
                  </w:pPr>
                </w:p>
              </w:tc>
              <w:tc>
                <w:tcPr>
                  <w:tcW w:w="1561" w:type="dxa"/>
                  <w:gridSpan w:val="2"/>
                  <w:vAlign w:val="center"/>
                </w:tcPr>
                <w:p w14:paraId="343913B6">
                  <w:pPr>
                    <w:autoSpaceDE w:val="0"/>
                    <w:autoSpaceDN w:val="0"/>
                    <w:adjustRightInd w:val="0"/>
                    <w:jc w:val="center"/>
                    <w:rPr>
                      <w:szCs w:val="21"/>
                    </w:rPr>
                  </w:pPr>
                  <w:r>
                    <w:rPr>
                      <w:rFonts w:hint="eastAsia"/>
                      <w:szCs w:val="21"/>
                    </w:rPr>
                    <w:t>食堂</w:t>
                  </w:r>
                </w:p>
              </w:tc>
              <w:tc>
                <w:tcPr>
                  <w:tcW w:w="5507" w:type="dxa"/>
                  <w:gridSpan w:val="2"/>
                  <w:vAlign w:val="center"/>
                </w:tcPr>
                <w:p w14:paraId="0CB60AA2">
                  <w:pPr>
                    <w:autoSpaceDE w:val="0"/>
                    <w:autoSpaceDN w:val="0"/>
                    <w:adjustRightInd w:val="0"/>
                    <w:jc w:val="center"/>
                    <w:rPr>
                      <w:szCs w:val="21"/>
                    </w:rPr>
                  </w:pPr>
                  <w:r>
                    <w:rPr>
                      <w:rFonts w:hint="eastAsia"/>
                      <w:szCs w:val="21"/>
                    </w:rPr>
                    <w:t>1栋，1层，砖混结构，位于项目区西北面，占地面积140m</w:t>
                  </w:r>
                  <w:r>
                    <w:rPr>
                      <w:rFonts w:hint="eastAsia"/>
                      <w:szCs w:val="21"/>
                      <w:vertAlign w:val="superscript"/>
                    </w:rPr>
                    <w:t>2</w:t>
                  </w:r>
                  <w:r>
                    <w:rPr>
                      <w:rFonts w:hint="eastAsia"/>
                      <w:szCs w:val="21"/>
                    </w:rPr>
                    <w:t>，建筑面积140m</w:t>
                  </w:r>
                  <w:r>
                    <w:rPr>
                      <w:rFonts w:hint="eastAsia"/>
                      <w:szCs w:val="21"/>
                      <w:vertAlign w:val="superscript"/>
                    </w:rPr>
                    <w:t>2</w:t>
                  </w:r>
                  <w:r>
                    <w:rPr>
                      <w:rFonts w:hint="eastAsia"/>
                      <w:szCs w:val="21"/>
                    </w:rPr>
                    <w:t>。</w:t>
                  </w:r>
                </w:p>
              </w:tc>
              <w:tc>
                <w:tcPr>
                  <w:tcW w:w="1186" w:type="dxa"/>
                  <w:vAlign w:val="center"/>
                </w:tcPr>
                <w:p w14:paraId="3EC29057">
                  <w:pPr>
                    <w:autoSpaceDE w:val="0"/>
                    <w:autoSpaceDN w:val="0"/>
                    <w:adjustRightInd w:val="0"/>
                    <w:jc w:val="center"/>
                    <w:rPr>
                      <w:szCs w:val="21"/>
                    </w:rPr>
                  </w:pPr>
                  <w:r>
                    <w:rPr>
                      <w:rFonts w:hint="eastAsia"/>
                      <w:szCs w:val="21"/>
                    </w:rPr>
                    <w:t>依托现有</w:t>
                  </w:r>
                </w:p>
              </w:tc>
            </w:tr>
            <w:tr w14:paraId="00FC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3C197FE2">
                  <w:pPr>
                    <w:autoSpaceDE w:val="0"/>
                    <w:autoSpaceDN w:val="0"/>
                    <w:adjustRightInd w:val="0"/>
                    <w:jc w:val="center"/>
                    <w:rPr>
                      <w:b/>
                      <w:szCs w:val="21"/>
                    </w:rPr>
                  </w:pPr>
                </w:p>
              </w:tc>
              <w:tc>
                <w:tcPr>
                  <w:tcW w:w="1561" w:type="dxa"/>
                  <w:gridSpan w:val="2"/>
                  <w:vAlign w:val="center"/>
                </w:tcPr>
                <w:p w14:paraId="394BD552">
                  <w:pPr>
                    <w:autoSpaceDE w:val="0"/>
                    <w:autoSpaceDN w:val="0"/>
                    <w:adjustRightInd w:val="0"/>
                    <w:jc w:val="center"/>
                    <w:rPr>
                      <w:szCs w:val="21"/>
                    </w:rPr>
                  </w:pPr>
                  <w:r>
                    <w:rPr>
                      <w:rFonts w:hint="eastAsia"/>
                      <w:szCs w:val="21"/>
                    </w:rPr>
                    <w:t>食堂油烟净化器</w:t>
                  </w:r>
                </w:p>
              </w:tc>
              <w:tc>
                <w:tcPr>
                  <w:tcW w:w="5507" w:type="dxa"/>
                  <w:gridSpan w:val="2"/>
                  <w:vAlign w:val="center"/>
                </w:tcPr>
                <w:p w14:paraId="2D438AEC">
                  <w:pPr>
                    <w:autoSpaceDE w:val="0"/>
                    <w:autoSpaceDN w:val="0"/>
                    <w:adjustRightInd w:val="0"/>
                    <w:jc w:val="center"/>
                    <w:rPr>
                      <w:szCs w:val="21"/>
                    </w:rPr>
                  </w:pPr>
                  <w:r>
                    <w:rPr>
                      <w:rFonts w:hint="eastAsia"/>
                      <w:szCs w:val="21"/>
                    </w:rPr>
                    <w:t>食堂油烟</w:t>
                  </w:r>
                  <w:r>
                    <w:rPr>
                      <w:szCs w:val="21"/>
                    </w:rPr>
                    <w:t>依托现有</w:t>
                  </w:r>
                  <w:r>
                    <w:rPr>
                      <w:rFonts w:hint="eastAsia"/>
                      <w:szCs w:val="21"/>
                    </w:rPr>
                    <w:t>油烟净化器（1套）</w:t>
                  </w:r>
                </w:p>
              </w:tc>
              <w:tc>
                <w:tcPr>
                  <w:tcW w:w="1186" w:type="dxa"/>
                  <w:vAlign w:val="center"/>
                </w:tcPr>
                <w:p w14:paraId="13355B4D">
                  <w:pPr>
                    <w:autoSpaceDE w:val="0"/>
                    <w:autoSpaceDN w:val="0"/>
                    <w:adjustRightInd w:val="0"/>
                    <w:jc w:val="center"/>
                    <w:rPr>
                      <w:szCs w:val="21"/>
                    </w:rPr>
                  </w:pPr>
                  <w:r>
                    <w:rPr>
                      <w:rFonts w:hint="eastAsia"/>
                      <w:szCs w:val="21"/>
                    </w:rPr>
                    <w:t>依托现有</w:t>
                  </w:r>
                </w:p>
              </w:tc>
            </w:tr>
            <w:tr w14:paraId="245F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3CAD24DE">
                  <w:pPr>
                    <w:autoSpaceDE w:val="0"/>
                    <w:autoSpaceDN w:val="0"/>
                    <w:adjustRightInd w:val="0"/>
                    <w:jc w:val="center"/>
                    <w:rPr>
                      <w:b/>
                      <w:szCs w:val="21"/>
                    </w:rPr>
                  </w:pPr>
                </w:p>
              </w:tc>
              <w:tc>
                <w:tcPr>
                  <w:tcW w:w="1561" w:type="dxa"/>
                  <w:gridSpan w:val="2"/>
                  <w:vAlign w:val="center"/>
                </w:tcPr>
                <w:p w14:paraId="596C2A18">
                  <w:pPr>
                    <w:autoSpaceDE w:val="0"/>
                    <w:autoSpaceDN w:val="0"/>
                    <w:adjustRightInd w:val="0"/>
                    <w:jc w:val="center"/>
                    <w:rPr>
                      <w:bCs/>
                      <w:szCs w:val="21"/>
                    </w:rPr>
                  </w:pPr>
                  <w:r>
                    <w:rPr>
                      <w:rFonts w:hint="eastAsia"/>
                      <w:szCs w:val="21"/>
                    </w:rPr>
                    <w:t>生活污水处理设施</w:t>
                  </w:r>
                </w:p>
              </w:tc>
              <w:tc>
                <w:tcPr>
                  <w:tcW w:w="5507" w:type="dxa"/>
                  <w:gridSpan w:val="2"/>
                  <w:vAlign w:val="center"/>
                </w:tcPr>
                <w:p w14:paraId="2597C592">
                  <w:pPr>
                    <w:autoSpaceDE w:val="0"/>
                    <w:autoSpaceDN w:val="0"/>
                    <w:adjustRightInd w:val="0"/>
                    <w:jc w:val="center"/>
                    <w:rPr>
                      <w:szCs w:val="21"/>
                    </w:rPr>
                  </w:pPr>
                  <w:r>
                    <w:rPr>
                      <w:szCs w:val="21"/>
                    </w:rPr>
                    <w:t>生活污水依托现有隔油池（1个、2m</w:t>
                  </w:r>
                  <w:r>
                    <w:rPr>
                      <w:szCs w:val="21"/>
                      <w:vertAlign w:val="superscript"/>
                    </w:rPr>
                    <w:t>3</w:t>
                  </w:r>
                  <w:r>
                    <w:rPr>
                      <w:szCs w:val="21"/>
                    </w:rPr>
                    <w:t>）、化粪池（1个，容积10m</w:t>
                  </w:r>
                  <w:r>
                    <w:rPr>
                      <w:szCs w:val="21"/>
                      <w:vertAlign w:val="superscript"/>
                    </w:rPr>
                    <w:t>3</w:t>
                  </w:r>
                  <w:r>
                    <w:rPr>
                      <w:szCs w:val="21"/>
                    </w:rPr>
                    <w:t>）和生活污水处理站（1座，处理能力10m</w:t>
                  </w:r>
                  <w:r>
                    <w:rPr>
                      <w:szCs w:val="21"/>
                      <w:vertAlign w:val="superscript"/>
                    </w:rPr>
                    <w:t>3</w:t>
                  </w:r>
                  <w:r>
                    <w:rPr>
                      <w:szCs w:val="21"/>
                    </w:rPr>
                    <w:t>/d）处理</w:t>
                  </w:r>
                  <w:r>
                    <w:rPr>
                      <w:rFonts w:hint="eastAsia"/>
                      <w:szCs w:val="21"/>
                    </w:rPr>
                    <w:t>。已通过竣工环保验收。</w:t>
                  </w:r>
                </w:p>
              </w:tc>
              <w:tc>
                <w:tcPr>
                  <w:tcW w:w="1186" w:type="dxa"/>
                  <w:vAlign w:val="center"/>
                </w:tcPr>
                <w:p w14:paraId="4A832644">
                  <w:pPr>
                    <w:autoSpaceDE w:val="0"/>
                    <w:autoSpaceDN w:val="0"/>
                    <w:adjustRightInd w:val="0"/>
                    <w:jc w:val="center"/>
                    <w:rPr>
                      <w:bCs/>
                      <w:szCs w:val="21"/>
                    </w:rPr>
                  </w:pPr>
                  <w:r>
                    <w:rPr>
                      <w:rFonts w:hint="eastAsia"/>
                      <w:szCs w:val="21"/>
                    </w:rPr>
                    <w:t>依托现有</w:t>
                  </w:r>
                </w:p>
              </w:tc>
            </w:tr>
            <w:tr w14:paraId="7D83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09BB986D">
                  <w:pPr>
                    <w:autoSpaceDE w:val="0"/>
                    <w:autoSpaceDN w:val="0"/>
                    <w:adjustRightInd w:val="0"/>
                    <w:jc w:val="center"/>
                    <w:rPr>
                      <w:b/>
                      <w:szCs w:val="21"/>
                    </w:rPr>
                  </w:pPr>
                </w:p>
              </w:tc>
              <w:tc>
                <w:tcPr>
                  <w:tcW w:w="1561" w:type="dxa"/>
                  <w:gridSpan w:val="2"/>
                  <w:vAlign w:val="center"/>
                </w:tcPr>
                <w:p w14:paraId="7CD33934">
                  <w:pPr>
                    <w:autoSpaceDE w:val="0"/>
                    <w:autoSpaceDN w:val="0"/>
                    <w:adjustRightInd w:val="0"/>
                    <w:jc w:val="center"/>
                    <w:rPr>
                      <w:bCs/>
                      <w:szCs w:val="21"/>
                    </w:rPr>
                  </w:pPr>
                  <w:r>
                    <w:rPr>
                      <w:rFonts w:hint="eastAsia"/>
                      <w:szCs w:val="21"/>
                    </w:rPr>
                    <w:t>危险废物暂存间</w:t>
                  </w:r>
                </w:p>
              </w:tc>
              <w:tc>
                <w:tcPr>
                  <w:tcW w:w="5507" w:type="dxa"/>
                  <w:gridSpan w:val="2"/>
                  <w:vAlign w:val="center"/>
                </w:tcPr>
                <w:p w14:paraId="4E467527">
                  <w:pPr>
                    <w:autoSpaceDE w:val="0"/>
                    <w:autoSpaceDN w:val="0"/>
                    <w:adjustRightInd w:val="0"/>
                    <w:jc w:val="center"/>
                    <w:rPr>
                      <w:bCs/>
                      <w:szCs w:val="21"/>
                    </w:rPr>
                  </w:pPr>
                  <w:r>
                    <w:rPr>
                      <w:rFonts w:hint="eastAsia"/>
                      <w:snapToGrid w:val="0"/>
                      <w:szCs w:val="21"/>
                    </w:rPr>
                    <w:t>1间，</w:t>
                  </w:r>
                  <w:r>
                    <w:rPr>
                      <w:snapToGrid w:val="0"/>
                      <w:szCs w:val="21"/>
                    </w:rPr>
                    <w:t>位于</w:t>
                  </w:r>
                  <w:r>
                    <w:rPr>
                      <w:rFonts w:hint="eastAsia"/>
                      <w:snapToGrid w:val="0"/>
                      <w:szCs w:val="21"/>
                    </w:rPr>
                    <w:t>项目区东北面十车间</w:t>
                  </w:r>
                  <w:r>
                    <w:rPr>
                      <w:rFonts w:hint="eastAsia"/>
                      <w:szCs w:val="21"/>
                    </w:rPr>
                    <w:t>，建筑面积</w:t>
                  </w:r>
                  <w:r>
                    <w:rPr>
                      <w:szCs w:val="21"/>
                    </w:rPr>
                    <w:t>5m</w:t>
                  </w:r>
                  <w:r>
                    <w:rPr>
                      <w:szCs w:val="21"/>
                      <w:vertAlign w:val="superscript"/>
                    </w:rPr>
                    <w:t>2</w:t>
                  </w:r>
                  <w:r>
                    <w:rPr>
                      <w:rFonts w:hint="eastAsia"/>
                      <w:szCs w:val="21"/>
                    </w:rPr>
                    <w:t>，已设置防渗措施，现有项目危废暂存间四周设有截流沟和集液池，已通过竣工环保验收。</w:t>
                  </w:r>
                </w:p>
              </w:tc>
              <w:tc>
                <w:tcPr>
                  <w:tcW w:w="1186" w:type="dxa"/>
                  <w:vAlign w:val="center"/>
                </w:tcPr>
                <w:p w14:paraId="00093D5A">
                  <w:pPr>
                    <w:autoSpaceDE w:val="0"/>
                    <w:autoSpaceDN w:val="0"/>
                    <w:adjustRightInd w:val="0"/>
                    <w:jc w:val="center"/>
                    <w:rPr>
                      <w:bCs/>
                      <w:szCs w:val="21"/>
                    </w:rPr>
                  </w:pPr>
                  <w:r>
                    <w:rPr>
                      <w:rFonts w:hint="eastAsia"/>
                      <w:snapToGrid w:val="0"/>
                      <w:szCs w:val="21"/>
                    </w:rPr>
                    <w:t>依托现有</w:t>
                  </w:r>
                </w:p>
              </w:tc>
            </w:tr>
            <w:tr w14:paraId="30E1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restart"/>
                  <w:vAlign w:val="center"/>
                </w:tcPr>
                <w:p w14:paraId="632074B1">
                  <w:pPr>
                    <w:autoSpaceDE w:val="0"/>
                    <w:autoSpaceDN w:val="0"/>
                    <w:adjustRightInd w:val="0"/>
                    <w:jc w:val="center"/>
                    <w:rPr>
                      <w:b/>
                      <w:szCs w:val="21"/>
                    </w:rPr>
                  </w:pPr>
                  <w:r>
                    <w:rPr>
                      <w:b/>
                      <w:szCs w:val="21"/>
                    </w:rPr>
                    <w:t>环保工程</w:t>
                  </w:r>
                </w:p>
              </w:tc>
              <w:tc>
                <w:tcPr>
                  <w:tcW w:w="547" w:type="dxa"/>
                  <w:vMerge w:val="restart"/>
                  <w:vAlign w:val="center"/>
                </w:tcPr>
                <w:p w14:paraId="6E246375">
                  <w:pPr>
                    <w:autoSpaceDE w:val="0"/>
                    <w:autoSpaceDN w:val="0"/>
                    <w:adjustRightInd w:val="0"/>
                    <w:jc w:val="center"/>
                    <w:rPr>
                      <w:bCs/>
                      <w:szCs w:val="21"/>
                    </w:rPr>
                  </w:pPr>
                  <w:r>
                    <w:rPr>
                      <w:rFonts w:hint="eastAsia"/>
                      <w:bCs/>
                      <w:szCs w:val="21"/>
                    </w:rPr>
                    <w:t>废气处理</w:t>
                  </w:r>
                </w:p>
              </w:tc>
              <w:tc>
                <w:tcPr>
                  <w:tcW w:w="1014" w:type="dxa"/>
                  <w:vMerge w:val="restart"/>
                  <w:vAlign w:val="center"/>
                </w:tcPr>
                <w:p w14:paraId="6F299C44">
                  <w:pPr>
                    <w:autoSpaceDE w:val="0"/>
                    <w:autoSpaceDN w:val="0"/>
                    <w:adjustRightInd w:val="0"/>
                    <w:jc w:val="center"/>
                    <w:rPr>
                      <w:bCs/>
                      <w:szCs w:val="21"/>
                    </w:rPr>
                  </w:pPr>
                  <w:r>
                    <w:rPr>
                      <w:rFonts w:hint="eastAsia"/>
                      <w:szCs w:val="21"/>
                    </w:rPr>
                    <w:t>高频焊接烟尘</w:t>
                  </w:r>
                </w:p>
              </w:tc>
              <w:tc>
                <w:tcPr>
                  <w:tcW w:w="5507" w:type="dxa"/>
                  <w:gridSpan w:val="2"/>
                  <w:vAlign w:val="center"/>
                </w:tcPr>
                <w:p w14:paraId="2A5CC11C">
                  <w:pPr>
                    <w:autoSpaceDE w:val="0"/>
                    <w:autoSpaceDN w:val="0"/>
                    <w:adjustRightInd w:val="0"/>
                    <w:jc w:val="center"/>
                    <w:rPr>
                      <w:szCs w:val="21"/>
                    </w:rPr>
                  </w:pPr>
                  <w:r>
                    <w:rPr>
                      <w:rFonts w:hint="eastAsia"/>
                      <w:szCs w:val="21"/>
                    </w:rPr>
                    <w:t>项目三车间、四车间高频焊接产生焊接烟尘，经生产线焊接工段配套的1套集气罩(四周设置软帘)+布袋除尘器（TA001）收集处理后，通过1根15m高排气筒排放（DA001）。</w:t>
                  </w:r>
                </w:p>
              </w:tc>
              <w:tc>
                <w:tcPr>
                  <w:tcW w:w="1186" w:type="dxa"/>
                  <w:vAlign w:val="center"/>
                </w:tcPr>
                <w:p w14:paraId="436911EF">
                  <w:pPr>
                    <w:autoSpaceDE w:val="0"/>
                    <w:autoSpaceDN w:val="0"/>
                    <w:adjustRightInd w:val="0"/>
                    <w:jc w:val="center"/>
                    <w:rPr>
                      <w:bCs/>
                      <w:szCs w:val="21"/>
                    </w:rPr>
                  </w:pPr>
                  <w:r>
                    <w:rPr>
                      <w:rFonts w:hint="eastAsia"/>
                      <w:szCs w:val="21"/>
                    </w:rPr>
                    <w:t>已建集气罩+布袋除尘器，未建排气筒</w:t>
                  </w:r>
                </w:p>
              </w:tc>
            </w:tr>
            <w:tr w14:paraId="410E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6721D6D5">
                  <w:pPr>
                    <w:autoSpaceDE w:val="0"/>
                    <w:autoSpaceDN w:val="0"/>
                    <w:adjustRightInd w:val="0"/>
                    <w:jc w:val="center"/>
                    <w:rPr>
                      <w:b/>
                      <w:szCs w:val="21"/>
                    </w:rPr>
                  </w:pPr>
                </w:p>
              </w:tc>
              <w:tc>
                <w:tcPr>
                  <w:tcW w:w="547" w:type="dxa"/>
                  <w:vMerge w:val="continue"/>
                  <w:vAlign w:val="center"/>
                </w:tcPr>
                <w:p w14:paraId="183B9953">
                  <w:pPr>
                    <w:autoSpaceDE w:val="0"/>
                    <w:autoSpaceDN w:val="0"/>
                    <w:adjustRightInd w:val="0"/>
                    <w:jc w:val="center"/>
                    <w:rPr>
                      <w:bCs/>
                      <w:szCs w:val="21"/>
                    </w:rPr>
                  </w:pPr>
                </w:p>
              </w:tc>
              <w:tc>
                <w:tcPr>
                  <w:tcW w:w="1014" w:type="dxa"/>
                  <w:vMerge w:val="continue"/>
                  <w:vAlign w:val="center"/>
                </w:tcPr>
                <w:p w14:paraId="4175C6DD">
                  <w:pPr>
                    <w:autoSpaceDE w:val="0"/>
                    <w:autoSpaceDN w:val="0"/>
                    <w:adjustRightInd w:val="0"/>
                    <w:jc w:val="center"/>
                    <w:rPr>
                      <w:szCs w:val="21"/>
                    </w:rPr>
                  </w:pPr>
                </w:p>
              </w:tc>
              <w:tc>
                <w:tcPr>
                  <w:tcW w:w="5507" w:type="dxa"/>
                  <w:gridSpan w:val="2"/>
                  <w:vAlign w:val="center"/>
                </w:tcPr>
                <w:p w14:paraId="5E5AF196">
                  <w:pPr>
                    <w:autoSpaceDE w:val="0"/>
                    <w:autoSpaceDN w:val="0"/>
                    <w:adjustRightInd w:val="0"/>
                    <w:jc w:val="center"/>
                    <w:rPr>
                      <w:szCs w:val="21"/>
                    </w:rPr>
                  </w:pPr>
                  <w:r>
                    <w:rPr>
                      <w:rFonts w:hint="eastAsia"/>
                      <w:szCs w:val="21"/>
                    </w:rPr>
                    <w:t>项目七车间高频焊接产生焊接烟尘，经3条生产线焊接工段配套的3套集气罩(四周设置软帘)+布袋除尘器（TA002、TA003、TA004）收集处理后，经管道引入1根15m高排气筒排放（DA002）。</w:t>
                  </w:r>
                </w:p>
              </w:tc>
              <w:tc>
                <w:tcPr>
                  <w:tcW w:w="1186" w:type="dxa"/>
                  <w:vAlign w:val="center"/>
                </w:tcPr>
                <w:p w14:paraId="61F2F782">
                  <w:pPr>
                    <w:autoSpaceDE w:val="0"/>
                    <w:autoSpaceDN w:val="0"/>
                    <w:adjustRightInd w:val="0"/>
                    <w:jc w:val="center"/>
                    <w:rPr>
                      <w:szCs w:val="21"/>
                    </w:rPr>
                  </w:pPr>
                  <w:r>
                    <w:rPr>
                      <w:rFonts w:hint="eastAsia"/>
                      <w:szCs w:val="21"/>
                    </w:rPr>
                    <w:t>新建</w:t>
                  </w:r>
                </w:p>
              </w:tc>
            </w:tr>
            <w:tr w14:paraId="710C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49518C9A">
                  <w:pPr>
                    <w:autoSpaceDE w:val="0"/>
                    <w:autoSpaceDN w:val="0"/>
                    <w:adjustRightInd w:val="0"/>
                    <w:jc w:val="center"/>
                    <w:rPr>
                      <w:b/>
                      <w:szCs w:val="21"/>
                    </w:rPr>
                  </w:pPr>
                </w:p>
              </w:tc>
              <w:tc>
                <w:tcPr>
                  <w:tcW w:w="547" w:type="dxa"/>
                  <w:vMerge w:val="continue"/>
                  <w:vAlign w:val="center"/>
                </w:tcPr>
                <w:p w14:paraId="588BBF25">
                  <w:pPr>
                    <w:autoSpaceDE w:val="0"/>
                    <w:autoSpaceDN w:val="0"/>
                    <w:adjustRightInd w:val="0"/>
                    <w:jc w:val="center"/>
                    <w:rPr>
                      <w:bCs/>
                      <w:szCs w:val="21"/>
                    </w:rPr>
                  </w:pPr>
                </w:p>
              </w:tc>
              <w:tc>
                <w:tcPr>
                  <w:tcW w:w="1014" w:type="dxa"/>
                  <w:vMerge w:val="continue"/>
                  <w:vAlign w:val="center"/>
                </w:tcPr>
                <w:p w14:paraId="0430C80F">
                  <w:pPr>
                    <w:autoSpaceDE w:val="0"/>
                    <w:autoSpaceDN w:val="0"/>
                    <w:adjustRightInd w:val="0"/>
                    <w:jc w:val="center"/>
                    <w:rPr>
                      <w:szCs w:val="21"/>
                    </w:rPr>
                  </w:pPr>
                </w:p>
              </w:tc>
              <w:tc>
                <w:tcPr>
                  <w:tcW w:w="5507" w:type="dxa"/>
                  <w:gridSpan w:val="2"/>
                  <w:vAlign w:val="center"/>
                </w:tcPr>
                <w:p w14:paraId="5E77A437">
                  <w:pPr>
                    <w:autoSpaceDE w:val="0"/>
                    <w:autoSpaceDN w:val="0"/>
                    <w:adjustRightInd w:val="0"/>
                    <w:jc w:val="center"/>
                    <w:rPr>
                      <w:szCs w:val="21"/>
                    </w:rPr>
                  </w:pPr>
                  <w:r>
                    <w:rPr>
                      <w:rFonts w:hint="eastAsia"/>
                      <w:szCs w:val="21"/>
                    </w:rPr>
                    <w:t>项目八车间高频焊接产生焊接烟尘，经2条生产线焊接工段配套的2套集气罩(四周设置软帘)+布袋除尘器（TA005、TA006）收集处理后，经管道引入1根15m高排气筒排放（DA003）。</w:t>
                  </w:r>
                </w:p>
              </w:tc>
              <w:tc>
                <w:tcPr>
                  <w:tcW w:w="1186" w:type="dxa"/>
                  <w:vAlign w:val="center"/>
                </w:tcPr>
                <w:p w14:paraId="2EE3B7BC">
                  <w:pPr>
                    <w:autoSpaceDE w:val="0"/>
                    <w:autoSpaceDN w:val="0"/>
                    <w:adjustRightInd w:val="0"/>
                    <w:jc w:val="center"/>
                    <w:rPr>
                      <w:szCs w:val="21"/>
                    </w:rPr>
                  </w:pPr>
                  <w:r>
                    <w:rPr>
                      <w:rFonts w:hint="eastAsia"/>
                      <w:szCs w:val="21"/>
                    </w:rPr>
                    <w:t>已建集气罩+布袋除尘器，未建排气筒</w:t>
                  </w:r>
                </w:p>
              </w:tc>
            </w:tr>
            <w:tr w14:paraId="23AD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1BF239E4">
                  <w:pPr>
                    <w:autoSpaceDE w:val="0"/>
                    <w:autoSpaceDN w:val="0"/>
                    <w:adjustRightInd w:val="0"/>
                    <w:jc w:val="center"/>
                    <w:rPr>
                      <w:b/>
                      <w:szCs w:val="21"/>
                    </w:rPr>
                  </w:pPr>
                </w:p>
              </w:tc>
              <w:tc>
                <w:tcPr>
                  <w:tcW w:w="547" w:type="dxa"/>
                  <w:vMerge w:val="continue"/>
                  <w:vAlign w:val="center"/>
                </w:tcPr>
                <w:p w14:paraId="36A3A54A">
                  <w:pPr>
                    <w:autoSpaceDE w:val="0"/>
                    <w:autoSpaceDN w:val="0"/>
                    <w:adjustRightInd w:val="0"/>
                    <w:jc w:val="center"/>
                    <w:rPr>
                      <w:bCs/>
                      <w:szCs w:val="21"/>
                    </w:rPr>
                  </w:pPr>
                </w:p>
              </w:tc>
              <w:tc>
                <w:tcPr>
                  <w:tcW w:w="1014" w:type="dxa"/>
                  <w:vAlign w:val="center"/>
                </w:tcPr>
                <w:p w14:paraId="3F08C9F8">
                  <w:pPr>
                    <w:autoSpaceDE w:val="0"/>
                    <w:autoSpaceDN w:val="0"/>
                    <w:adjustRightInd w:val="0"/>
                    <w:jc w:val="center"/>
                    <w:rPr>
                      <w:szCs w:val="21"/>
                    </w:rPr>
                  </w:pPr>
                  <w:r>
                    <w:rPr>
                      <w:rFonts w:hint="eastAsia"/>
                      <w:szCs w:val="21"/>
                    </w:rPr>
                    <w:t>车间无组织烟尘</w:t>
                  </w:r>
                </w:p>
              </w:tc>
              <w:tc>
                <w:tcPr>
                  <w:tcW w:w="5507" w:type="dxa"/>
                  <w:gridSpan w:val="2"/>
                  <w:vAlign w:val="center"/>
                </w:tcPr>
                <w:p w14:paraId="4F3910E0">
                  <w:pPr>
                    <w:autoSpaceDE w:val="0"/>
                    <w:autoSpaceDN w:val="0"/>
                    <w:adjustRightInd w:val="0"/>
                    <w:jc w:val="center"/>
                    <w:rPr>
                      <w:szCs w:val="21"/>
                    </w:rPr>
                  </w:pPr>
                  <w:r>
                    <w:rPr>
                      <w:rFonts w:hint="eastAsia"/>
                      <w:szCs w:val="21"/>
                    </w:rPr>
                    <w:t>项目车间改造为封闭式厂房。</w:t>
                  </w:r>
                </w:p>
              </w:tc>
              <w:tc>
                <w:tcPr>
                  <w:tcW w:w="1186" w:type="dxa"/>
                  <w:vAlign w:val="center"/>
                </w:tcPr>
                <w:p w14:paraId="5B493CC9">
                  <w:pPr>
                    <w:autoSpaceDE w:val="0"/>
                    <w:autoSpaceDN w:val="0"/>
                    <w:adjustRightInd w:val="0"/>
                    <w:jc w:val="center"/>
                    <w:rPr>
                      <w:szCs w:val="21"/>
                    </w:rPr>
                  </w:pPr>
                  <w:r>
                    <w:rPr>
                      <w:rFonts w:hint="eastAsia"/>
                      <w:szCs w:val="21"/>
                    </w:rPr>
                    <w:t>改造</w:t>
                  </w:r>
                </w:p>
              </w:tc>
            </w:tr>
            <w:tr w14:paraId="680E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32862E9F">
                  <w:pPr>
                    <w:autoSpaceDE w:val="0"/>
                    <w:autoSpaceDN w:val="0"/>
                    <w:adjustRightInd w:val="0"/>
                    <w:jc w:val="center"/>
                    <w:rPr>
                      <w:b/>
                      <w:szCs w:val="21"/>
                    </w:rPr>
                  </w:pPr>
                </w:p>
              </w:tc>
              <w:tc>
                <w:tcPr>
                  <w:tcW w:w="547" w:type="dxa"/>
                  <w:vMerge w:val="restart"/>
                  <w:vAlign w:val="center"/>
                </w:tcPr>
                <w:p w14:paraId="60B7677F">
                  <w:pPr>
                    <w:autoSpaceDE w:val="0"/>
                    <w:autoSpaceDN w:val="0"/>
                    <w:adjustRightInd w:val="0"/>
                    <w:jc w:val="center"/>
                    <w:rPr>
                      <w:bCs/>
                      <w:szCs w:val="21"/>
                    </w:rPr>
                  </w:pPr>
                  <w:r>
                    <w:rPr>
                      <w:rFonts w:hint="eastAsia"/>
                      <w:bCs/>
                      <w:szCs w:val="21"/>
                    </w:rPr>
                    <w:t>废水处理</w:t>
                  </w:r>
                </w:p>
              </w:tc>
              <w:tc>
                <w:tcPr>
                  <w:tcW w:w="1014" w:type="dxa"/>
                  <w:vAlign w:val="center"/>
                </w:tcPr>
                <w:p w14:paraId="770A55E4">
                  <w:pPr>
                    <w:autoSpaceDE w:val="0"/>
                    <w:autoSpaceDN w:val="0"/>
                    <w:adjustRightInd w:val="0"/>
                    <w:jc w:val="center"/>
                    <w:rPr>
                      <w:szCs w:val="21"/>
                    </w:rPr>
                  </w:pPr>
                  <w:r>
                    <w:rPr>
                      <w:rFonts w:hint="eastAsia"/>
                      <w:szCs w:val="21"/>
                    </w:rPr>
                    <w:t>生活污水</w:t>
                  </w:r>
                </w:p>
              </w:tc>
              <w:tc>
                <w:tcPr>
                  <w:tcW w:w="5507" w:type="dxa"/>
                  <w:gridSpan w:val="2"/>
                  <w:vAlign w:val="center"/>
                </w:tcPr>
                <w:p w14:paraId="628DF51A">
                  <w:pPr>
                    <w:autoSpaceDE w:val="0"/>
                    <w:autoSpaceDN w:val="0"/>
                    <w:adjustRightInd w:val="0"/>
                    <w:jc w:val="center"/>
                    <w:rPr>
                      <w:szCs w:val="21"/>
                    </w:rPr>
                  </w:pPr>
                  <w:r>
                    <w:rPr>
                      <w:szCs w:val="21"/>
                    </w:rPr>
                    <w:t>依托通海齐拓金属制品有限公司现有</w:t>
                  </w:r>
                  <w:r>
                    <w:rPr>
                      <w:rFonts w:hint="eastAsia"/>
                      <w:szCs w:val="21"/>
                    </w:rPr>
                    <w:t>污水处理设施，处理达标后用于直接冷却水的补充水，不外排。</w:t>
                  </w:r>
                </w:p>
              </w:tc>
              <w:tc>
                <w:tcPr>
                  <w:tcW w:w="1186" w:type="dxa"/>
                  <w:vAlign w:val="center"/>
                </w:tcPr>
                <w:p w14:paraId="7B00C839">
                  <w:pPr>
                    <w:autoSpaceDE w:val="0"/>
                    <w:autoSpaceDN w:val="0"/>
                    <w:adjustRightInd w:val="0"/>
                    <w:jc w:val="center"/>
                    <w:rPr>
                      <w:szCs w:val="21"/>
                    </w:rPr>
                  </w:pPr>
                  <w:r>
                    <w:rPr>
                      <w:rFonts w:hint="eastAsia"/>
                      <w:szCs w:val="21"/>
                    </w:rPr>
                    <w:t>依托现有</w:t>
                  </w:r>
                </w:p>
              </w:tc>
            </w:tr>
            <w:tr w14:paraId="2752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5E289812">
                  <w:pPr>
                    <w:autoSpaceDE w:val="0"/>
                    <w:autoSpaceDN w:val="0"/>
                    <w:adjustRightInd w:val="0"/>
                    <w:jc w:val="center"/>
                    <w:rPr>
                      <w:b/>
                      <w:szCs w:val="21"/>
                    </w:rPr>
                  </w:pPr>
                </w:p>
              </w:tc>
              <w:tc>
                <w:tcPr>
                  <w:tcW w:w="547" w:type="dxa"/>
                  <w:vMerge w:val="continue"/>
                  <w:vAlign w:val="center"/>
                </w:tcPr>
                <w:p w14:paraId="565EE5F2">
                  <w:pPr>
                    <w:autoSpaceDE w:val="0"/>
                    <w:autoSpaceDN w:val="0"/>
                    <w:adjustRightInd w:val="0"/>
                    <w:jc w:val="center"/>
                    <w:rPr>
                      <w:bCs/>
                      <w:szCs w:val="21"/>
                    </w:rPr>
                  </w:pPr>
                </w:p>
              </w:tc>
              <w:tc>
                <w:tcPr>
                  <w:tcW w:w="1014" w:type="dxa"/>
                  <w:vMerge w:val="restart"/>
                  <w:vAlign w:val="center"/>
                </w:tcPr>
                <w:p w14:paraId="11A86BFA">
                  <w:pPr>
                    <w:autoSpaceDE w:val="0"/>
                    <w:autoSpaceDN w:val="0"/>
                    <w:adjustRightInd w:val="0"/>
                    <w:jc w:val="center"/>
                    <w:rPr>
                      <w:szCs w:val="21"/>
                    </w:rPr>
                  </w:pPr>
                  <w:r>
                    <w:rPr>
                      <w:rFonts w:hint="eastAsia"/>
                      <w:szCs w:val="21"/>
                    </w:rPr>
                    <w:t>直接冷却水</w:t>
                  </w:r>
                </w:p>
              </w:tc>
              <w:tc>
                <w:tcPr>
                  <w:tcW w:w="1125" w:type="dxa"/>
                  <w:vAlign w:val="center"/>
                </w:tcPr>
                <w:p w14:paraId="7145E97E">
                  <w:pPr>
                    <w:autoSpaceDE w:val="0"/>
                    <w:autoSpaceDN w:val="0"/>
                    <w:adjustRightInd w:val="0"/>
                    <w:jc w:val="center"/>
                    <w:rPr>
                      <w:kern w:val="0"/>
                      <w:szCs w:val="21"/>
                    </w:rPr>
                  </w:pPr>
                  <w:r>
                    <w:rPr>
                      <w:rFonts w:hint="eastAsia"/>
                      <w:kern w:val="0"/>
                      <w:szCs w:val="21"/>
                    </w:rPr>
                    <w:t>三车间、四车间（本项目已建成的一条焊管生产线）</w:t>
                  </w:r>
                </w:p>
              </w:tc>
              <w:tc>
                <w:tcPr>
                  <w:tcW w:w="4382" w:type="dxa"/>
                  <w:vAlign w:val="center"/>
                </w:tcPr>
                <w:p w14:paraId="0543215A">
                  <w:pPr>
                    <w:autoSpaceDE w:val="0"/>
                    <w:autoSpaceDN w:val="0"/>
                    <w:adjustRightInd w:val="0"/>
                    <w:jc w:val="center"/>
                    <w:rPr>
                      <w:szCs w:val="21"/>
                    </w:rPr>
                  </w:pPr>
                  <w:r>
                    <w:rPr>
                      <w:rFonts w:hint="eastAsia"/>
                      <w:kern w:val="0"/>
                      <w:szCs w:val="21"/>
                    </w:rPr>
                    <w:t>项目三车间、四车间设置浊循环水槽6个，每个容积20m</w:t>
                  </w:r>
                  <w:r>
                    <w:rPr>
                      <w:rFonts w:hint="eastAsia"/>
                      <w:kern w:val="0"/>
                      <w:szCs w:val="21"/>
                      <w:vertAlign w:val="superscript"/>
                    </w:rPr>
                    <w:t>3</w:t>
                  </w:r>
                  <w:r>
                    <w:rPr>
                      <w:rFonts w:hint="eastAsia"/>
                      <w:kern w:val="0"/>
                      <w:szCs w:val="21"/>
                    </w:rPr>
                    <w:t>，共120m</w:t>
                  </w:r>
                  <w:r>
                    <w:rPr>
                      <w:rFonts w:hint="eastAsia"/>
                      <w:kern w:val="0"/>
                      <w:szCs w:val="21"/>
                      <w:vertAlign w:val="superscript"/>
                    </w:rPr>
                    <w:t>3</w:t>
                  </w:r>
                  <w:r>
                    <w:rPr>
                      <w:rFonts w:hint="eastAsia"/>
                      <w:kern w:val="0"/>
                      <w:szCs w:val="21"/>
                    </w:rPr>
                    <w:t>。主要用于对焊管直接冷却水沉淀、冷却，循环利用不外排。</w:t>
                  </w:r>
                </w:p>
              </w:tc>
              <w:tc>
                <w:tcPr>
                  <w:tcW w:w="1186" w:type="dxa"/>
                  <w:vAlign w:val="center"/>
                </w:tcPr>
                <w:p w14:paraId="7B6330C4">
                  <w:pPr>
                    <w:autoSpaceDE w:val="0"/>
                    <w:autoSpaceDN w:val="0"/>
                    <w:adjustRightInd w:val="0"/>
                    <w:jc w:val="center"/>
                    <w:rPr>
                      <w:szCs w:val="21"/>
                    </w:rPr>
                  </w:pPr>
                  <w:r>
                    <w:rPr>
                      <w:rFonts w:hint="eastAsia"/>
                      <w:szCs w:val="21"/>
                    </w:rPr>
                    <w:t>已建成</w:t>
                  </w:r>
                </w:p>
              </w:tc>
            </w:tr>
            <w:tr w14:paraId="619A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07EBD162">
                  <w:pPr>
                    <w:autoSpaceDE w:val="0"/>
                    <w:autoSpaceDN w:val="0"/>
                    <w:adjustRightInd w:val="0"/>
                    <w:jc w:val="center"/>
                    <w:rPr>
                      <w:b/>
                      <w:szCs w:val="21"/>
                    </w:rPr>
                  </w:pPr>
                </w:p>
              </w:tc>
              <w:tc>
                <w:tcPr>
                  <w:tcW w:w="547" w:type="dxa"/>
                  <w:vMerge w:val="continue"/>
                  <w:vAlign w:val="center"/>
                </w:tcPr>
                <w:p w14:paraId="7CCC4595">
                  <w:pPr>
                    <w:autoSpaceDE w:val="0"/>
                    <w:autoSpaceDN w:val="0"/>
                    <w:adjustRightInd w:val="0"/>
                    <w:jc w:val="center"/>
                    <w:rPr>
                      <w:bCs/>
                      <w:szCs w:val="21"/>
                    </w:rPr>
                  </w:pPr>
                </w:p>
              </w:tc>
              <w:tc>
                <w:tcPr>
                  <w:tcW w:w="1014" w:type="dxa"/>
                  <w:vMerge w:val="continue"/>
                  <w:vAlign w:val="center"/>
                </w:tcPr>
                <w:p w14:paraId="4396730B">
                  <w:pPr>
                    <w:autoSpaceDE w:val="0"/>
                    <w:autoSpaceDN w:val="0"/>
                    <w:adjustRightInd w:val="0"/>
                    <w:jc w:val="center"/>
                    <w:rPr>
                      <w:szCs w:val="21"/>
                    </w:rPr>
                  </w:pPr>
                </w:p>
              </w:tc>
              <w:tc>
                <w:tcPr>
                  <w:tcW w:w="1125" w:type="dxa"/>
                  <w:vAlign w:val="center"/>
                </w:tcPr>
                <w:p w14:paraId="7DC84808">
                  <w:pPr>
                    <w:autoSpaceDE w:val="0"/>
                    <w:autoSpaceDN w:val="0"/>
                    <w:adjustRightInd w:val="0"/>
                    <w:jc w:val="center"/>
                    <w:rPr>
                      <w:kern w:val="0"/>
                      <w:szCs w:val="21"/>
                    </w:rPr>
                  </w:pPr>
                  <w:r>
                    <w:rPr>
                      <w:rFonts w:hint="eastAsia"/>
                      <w:kern w:val="0"/>
                      <w:szCs w:val="21"/>
                    </w:rPr>
                    <w:t>七车间（</w:t>
                  </w:r>
                  <w:r>
                    <w:rPr>
                      <w:rFonts w:hint="eastAsia"/>
                    </w:rPr>
                    <w:t>拟新建三条焊管生产线</w:t>
                  </w:r>
                  <w:r>
                    <w:rPr>
                      <w:rFonts w:hint="eastAsia"/>
                      <w:kern w:val="0"/>
                      <w:szCs w:val="21"/>
                    </w:rPr>
                    <w:t>）</w:t>
                  </w:r>
                </w:p>
              </w:tc>
              <w:tc>
                <w:tcPr>
                  <w:tcW w:w="4382" w:type="dxa"/>
                  <w:vAlign w:val="center"/>
                </w:tcPr>
                <w:p w14:paraId="07804F59">
                  <w:pPr>
                    <w:autoSpaceDE w:val="0"/>
                    <w:autoSpaceDN w:val="0"/>
                    <w:adjustRightInd w:val="0"/>
                    <w:jc w:val="center"/>
                    <w:rPr>
                      <w:kern w:val="0"/>
                      <w:szCs w:val="21"/>
                    </w:rPr>
                  </w:pPr>
                  <w:r>
                    <w:rPr>
                      <w:rFonts w:hint="eastAsia"/>
                      <w:kern w:val="0"/>
                      <w:szCs w:val="21"/>
                    </w:rPr>
                    <w:t>项目七车间设置2个</w:t>
                  </w:r>
                  <w:r>
                    <w:rPr>
                      <w:rFonts w:hint="eastAsia"/>
                    </w:rPr>
                    <w:t>浊循环水池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。主要用于对焊管直接冷却水沉淀、冷却，循环利用不外排。</w:t>
                  </w:r>
                </w:p>
              </w:tc>
              <w:tc>
                <w:tcPr>
                  <w:tcW w:w="1186" w:type="dxa"/>
                  <w:vAlign w:val="center"/>
                </w:tcPr>
                <w:p w14:paraId="6070C74C">
                  <w:pPr>
                    <w:autoSpaceDE w:val="0"/>
                    <w:autoSpaceDN w:val="0"/>
                    <w:adjustRightInd w:val="0"/>
                    <w:jc w:val="center"/>
                    <w:rPr>
                      <w:szCs w:val="21"/>
                    </w:rPr>
                  </w:pPr>
                  <w:r>
                    <w:rPr>
                      <w:rFonts w:hint="eastAsia"/>
                      <w:szCs w:val="21"/>
                    </w:rPr>
                    <w:t>新建</w:t>
                  </w:r>
                </w:p>
              </w:tc>
            </w:tr>
            <w:tr w14:paraId="172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3089048E">
                  <w:pPr>
                    <w:autoSpaceDE w:val="0"/>
                    <w:autoSpaceDN w:val="0"/>
                    <w:adjustRightInd w:val="0"/>
                    <w:jc w:val="center"/>
                    <w:rPr>
                      <w:b/>
                      <w:szCs w:val="21"/>
                    </w:rPr>
                  </w:pPr>
                </w:p>
              </w:tc>
              <w:tc>
                <w:tcPr>
                  <w:tcW w:w="547" w:type="dxa"/>
                  <w:vMerge w:val="continue"/>
                  <w:vAlign w:val="center"/>
                </w:tcPr>
                <w:p w14:paraId="13808698">
                  <w:pPr>
                    <w:autoSpaceDE w:val="0"/>
                    <w:autoSpaceDN w:val="0"/>
                    <w:adjustRightInd w:val="0"/>
                    <w:jc w:val="center"/>
                    <w:rPr>
                      <w:bCs/>
                      <w:szCs w:val="21"/>
                    </w:rPr>
                  </w:pPr>
                </w:p>
              </w:tc>
              <w:tc>
                <w:tcPr>
                  <w:tcW w:w="1014" w:type="dxa"/>
                  <w:vMerge w:val="continue"/>
                  <w:vAlign w:val="center"/>
                </w:tcPr>
                <w:p w14:paraId="44B821E0">
                  <w:pPr>
                    <w:autoSpaceDE w:val="0"/>
                    <w:autoSpaceDN w:val="0"/>
                    <w:adjustRightInd w:val="0"/>
                    <w:jc w:val="center"/>
                    <w:rPr>
                      <w:szCs w:val="21"/>
                    </w:rPr>
                  </w:pPr>
                </w:p>
              </w:tc>
              <w:tc>
                <w:tcPr>
                  <w:tcW w:w="1125" w:type="dxa"/>
                  <w:vAlign w:val="center"/>
                </w:tcPr>
                <w:p w14:paraId="66F8721A">
                  <w:pPr>
                    <w:autoSpaceDE w:val="0"/>
                    <w:autoSpaceDN w:val="0"/>
                    <w:adjustRightInd w:val="0"/>
                    <w:jc w:val="center"/>
                    <w:rPr>
                      <w:kern w:val="0"/>
                      <w:szCs w:val="21"/>
                    </w:rPr>
                  </w:pPr>
                  <w:r>
                    <w:rPr>
                      <w:rFonts w:hint="eastAsia"/>
                      <w:szCs w:val="21"/>
                    </w:rPr>
                    <w:t>八车间（</w:t>
                  </w:r>
                  <w:r>
                    <w:rPr>
                      <w:rFonts w:hint="eastAsia"/>
                      <w:kern w:val="0"/>
                      <w:szCs w:val="21"/>
                    </w:rPr>
                    <w:t>本项目已建成的两条焊管生产线</w:t>
                  </w:r>
                  <w:r>
                    <w:rPr>
                      <w:rFonts w:hint="eastAsia"/>
                      <w:szCs w:val="21"/>
                    </w:rPr>
                    <w:t>）</w:t>
                  </w:r>
                </w:p>
              </w:tc>
              <w:tc>
                <w:tcPr>
                  <w:tcW w:w="4382" w:type="dxa"/>
                  <w:vAlign w:val="center"/>
                </w:tcPr>
                <w:p w14:paraId="643E4694">
                  <w:pPr>
                    <w:autoSpaceDE w:val="0"/>
                    <w:autoSpaceDN w:val="0"/>
                    <w:adjustRightInd w:val="0"/>
                    <w:jc w:val="center"/>
                    <w:rPr>
                      <w:kern w:val="0"/>
                      <w:szCs w:val="21"/>
                    </w:rPr>
                  </w:pPr>
                  <w:r>
                    <w:rPr>
                      <w:rFonts w:hint="eastAsia"/>
                      <w:kern w:val="0"/>
                      <w:szCs w:val="21"/>
                    </w:rPr>
                    <w:t>项目</w:t>
                  </w:r>
                  <w:r>
                    <w:rPr>
                      <w:rFonts w:hint="eastAsia"/>
                      <w:szCs w:val="21"/>
                    </w:rPr>
                    <w:t>八</w:t>
                  </w:r>
                  <w:r>
                    <w:rPr>
                      <w:rFonts w:hint="eastAsia"/>
                      <w:kern w:val="0"/>
                      <w:szCs w:val="21"/>
                    </w:rPr>
                    <w:t>车间设置2个</w:t>
                  </w:r>
                  <w:r>
                    <w:rPr>
                      <w:rFonts w:hint="eastAsia"/>
                    </w:rPr>
                    <w:t>浊循环水池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。主要用于对焊管直接冷却水沉淀、冷却，循环利用不外排。</w:t>
                  </w:r>
                </w:p>
              </w:tc>
              <w:tc>
                <w:tcPr>
                  <w:tcW w:w="1186" w:type="dxa"/>
                  <w:vAlign w:val="center"/>
                </w:tcPr>
                <w:p w14:paraId="442694A0">
                  <w:pPr>
                    <w:autoSpaceDE w:val="0"/>
                    <w:autoSpaceDN w:val="0"/>
                    <w:adjustRightInd w:val="0"/>
                    <w:jc w:val="center"/>
                    <w:rPr>
                      <w:szCs w:val="21"/>
                    </w:rPr>
                  </w:pPr>
                  <w:r>
                    <w:rPr>
                      <w:rFonts w:hint="eastAsia"/>
                      <w:szCs w:val="21"/>
                    </w:rPr>
                    <w:t>已建成</w:t>
                  </w:r>
                </w:p>
              </w:tc>
            </w:tr>
            <w:tr w14:paraId="4C75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4B942335">
                  <w:pPr>
                    <w:autoSpaceDE w:val="0"/>
                    <w:autoSpaceDN w:val="0"/>
                    <w:adjustRightInd w:val="0"/>
                    <w:jc w:val="center"/>
                    <w:rPr>
                      <w:b/>
                      <w:szCs w:val="21"/>
                    </w:rPr>
                  </w:pPr>
                </w:p>
              </w:tc>
              <w:tc>
                <w:tcPr>
                  <w:tcW w:w="547" w:type="dxa"/>
                  <w:vMerge w:val="continue"/>
                  <w:vAlign w:val="center"/>
                </w:tcPr>
                <w:p w14:paraId="0D17762F">
                  <w:pPr>
                    <w:autoSpaceDE w:val="0"/>
                    <w:autoSpaceDN w:val="0"/>
                    <w:adjustRightInd w:val="0"/>
                    <w:jc w:val="center"/>
                    <w:rPr>
                      <w:bCs/>
                      <w:szCs w:val="21"/>
                    </w:rPr>
                  </w:pPr>
                </w:p>
              </w:tc>
              <w:tc>
                <w:tcPr>
                  <w:tcW w:w="1014" w:type="dxa"/>
                  <w:vMerge w:val="restart"/>
                  <w:vAlign w:val="center"/>
                </w:tcPr>
                <w:p w14:paraId="581D98F4">
                  <w:pPr>
                    <w:autoSpaceDE w:val="0"/>
                    <w:autoSpaceDN w:val="0"/>
                    <w:adjustRightInd w:val="0"/>
                    <w:jc w:val="center"/>
                    <w:rPr>
                      <w:szCs w:val="21"/>
                    </w:rPr>
                  </w:pPr>
                  <w:r>
                    <w:rPr>
                      <w:rFonts w:hint="eastAsia"/>
                      <w:szCs w:val="21"/>
                    </w:rPr>
                    <w:t>间接冷却水</w:t>
                  </w:r>
                </w:p>
              </w:tc>
              <w:tc>
                <w:tcPr>
                  <w:tcW w:w="1125" w:type="dxa"/>
                  <w:vAlign w:val="center"/>
                </w:tcPr>
                <w:p w14:paraId="0281A51B">
                  <w:pPr>
                    <w:autoSpaceDE w:val="0"/>
                    <w:autoSpaceDN w:val="0"/>
                    <w:adjustRightInd w:val="0"/>
                    <w:jc w:val="center"/>
                    <w:rPr>
                      <w:kern w:val="0"/>
                      <w:szCs w:val="21"/>
                    </w:rPr>
                  </w:pPr>
                  <w:r>
                    <w:rPr>
                      <w:rFonts w:hint="eastAsia"/>
                      <w:kern w:val="0"/>
                      <w:szCs w:val="21"/>
                    </w:rPr>
                    <w:t>三车间、四车间（本项目已建成的一条焊管生产线）</w:t>
                  </w:r>
                </w:p>
              </w:tc>
              <w:tc>
                <w:tcPr>
                  <w:tcW w:w="4382" w:type="dxa"/>
                  <w:vAlign w:val="center"/>
                </w:tcPr>
                <w:p w14:paraId="42A7B5D4">
                  <w:pPr>
                    <w:autoSpaceDE w:val="0"/>
                    <w:autoSpaceDN w:val="0"/>
                    <w:adjustRightInd w:val="0"/>
                    <w:jc w:val="center"/>
                    <w:rPr>
                      <w:kern w:val="0"/>
                      <w:szCs w:val="21"/>
                    </w:rPr>
                  </w:pPr>
                  <w:r>
                    <w:rPr>
                      <w:rFonts w:hint="eastAsia"/>
                      <w:kern w:val="0"/>
                      <w:szCs w:val="21"/>
                    </w:rPr>
                    <w:t>项目三车间、四车间设置净循环水箱</w:t>
                  </w:r>
                  <w:r>
                    <w:rPr>
                      <w:kern w:val="0"/>
                      <w:szCs w:val="21"/>
                    </w:rPr>
                    <w:t>1</w:t>
                  </w:r>
                  <w:r>
                    <w:rPr>
                      <w:rFonts w:hint="eastAsia"/>
                      <w:kern w:val="0"/>
                      <w:szCs w:val="21"/>
                    </w:rPr>
                    <w:t>个，容积</w:t>
                  </w:r>
                  <w:r>
                    <w:rPr>
                      <w:kern w:val="0"/>
                      <w:szCs w:val="21"/>
                    </w:rPr>
                    <w:t>6</w:t>
                  </w:r>
                  <w:r>
                    <w:rPr>
                      <w:rFonts w:hint="eastAsia"/>
                      <w:kern w:val="0"/>
                      <w:szCs w:val="21"/>
                    </w:rPr>
                    <w:t>0m</w:t>
                  </w:r>
                  <w:r>
                    <w:rPr>
                      <w:rFonts w:hint="eastAsia"/>
                      <w:kern w:val="0"/>
                      <w:szCs w:val="21"/>
                      <w:vertAlign w:val="superscript"/>
                    </w:rPr>
                    <w:t>3</w:t>
                  </w:r>
                  <w:r>
                    <w:rPr>
                      <w:rFonts w:hint="eastAsia"/>
                      <w:kern w:val="0"/>
                      <w:szCs w:val="21"/>
                    </w:rPr>
                    <w:t>。主要用于焊管机组电机设备间接冷却，循环使用不外排。</w:t>
                  </w:r>
                </w:p>
              </w:tc>
              <w:tc>
                <w:tcPr>
                  <w:tcW w:w="1186" w:type="dxa"/>
                  <w:vAlign w:val="center"/>
                </w:tcPr>
                <w:p w14:paraId="36F768A0">
                  <w:pPr>
                    <w:autoSpaceDE w:val="0"/>
                    <w:autoSpaceDN w:val="0"/>
                    <w:adjustRightInd w:val="0"/>
                    <w:jc w:val="center"/>
                    <w:rPr>
                      <w:szCs w:val="21"/>
                    </w:rPr>
                  </w:pPr>
                  <w:r>
                    <w:rPr>
                      <w:rFonts w:hint="eastAsia"/>
                      <w:szCs w:val="21"/>
                    </w:rPr>
                    <w:t>已建成</w:t>
                  </w:r>
                </w:p>
              </w:tc>
            </w:tr>
            <w:tr w14:paraId="3558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13700ED4">
                  <w:pPr>
                    <w:autoSpaceDE w:val="0"/>
                    <w:autoSpaceDN w:val="0"/>
                    <w:adjustRightInd w:val="0"/>
                    <w:jc w:val="center"/>
                    <w:rPr>
                      <w:b/>
                      <w:szCs w:val="21"/>
                    </w:rPr>
                  </w:pPr>
                </w:p>
              </w:tc>
              <w:tc>
                <w:tcPr>
                  <w:tcW w:w="547" w:type="dxa"/>
                  <w:vMerge w:val="continue"/>
                  <w:vAlign w:val="center"/>
                </w:tcPr>
                <w:p w14:paraId="4CF59250">
                  <w:pPr>
                    <w:autoSpaceDE w:val="0"/>
                    <w:autoSpaceDN w:val="0"/>
                    <w:adjustRightInd w:val="0"/>
                    <w:jc w:val="center"/>
                    <w:rPr>
                      <w:bCs/>
                      <w:szCs w:val="21"/>
                    </w:rPr>
                  </w:pPr>
                </w:p>
              </w:tc>
              <w:tc>
                <w:tcPr>
                  <w:tcW w:w="1014" w:type="dxa"/>
                  <w:vMerge w:val="continue"/>
                  <w:vAlign w:val="center"/>
                </w:tcPr>
                <w:p w14:paraId="03FAE2DB">
                  <w:pPr>
                    <w:autoSpaceDE w:val="0"/>
                    <w:autoSpaceDN w:val="0"/>
                    <w:adjustRightInd w:val="0"/>
                    <w:jc w:val="center"/>
                    <w:rPr>
                      <w:szCs w:val="21"/>
                    </w:rPr>
                  </w:pPr>
                </w:p>
              </w:tc>
              <w:tc>
                <w:tcPr>
                  <w:tcW w:w="1125" w:type="dxa"/>
                  <w:vAlign w:val="center"/>
                </w:tcPr>
                <w:p w14:paraId="4ADD8C3A">
                  <w:pPr>
                    <w:autoSpaceDE w:val="0"/>
                    <w:autoSpaceDN w:val="0"/>
                    <w:adjustRightInd w:val="0"/>
                    <w:jc w:val="center"/>
                    <w:rPr>
                      <w:kern w:val="0"/>
                      <w:szCs w:val="21"/>
                    </w:rPr>
                  </w:pPr>
                  <w:r>
                    <w:rPr>
                      <w:rFonts w:hint="eastAsia"/>
                      <w:kern w:val="0"/>
                      <w:szCs w:val="21"/>
                    </w:rPr>
                    <w:t>七车间（</w:t>
                  </w:r>
                  <w:r>
                    <w:rPr>
                      <w:rFonts w:hint="eastAsia"/>
                    </w:rPr>
                    <w:t>拟新建三条焊管生产线</w:t>
                  </w:r>
                  <w:r>
                    <w:rPr>
                      <w:rFonts w:hint="eastAsia"/>
                      <w:kern w:val="0"/>
                      <w:szCs w:val="21"/>
                    </w:rPr>
                    <w:t>）</w:t>
                  </w:r>
                </w:p>
              </w:tc>
              <w:tc>
                <w:tcPr>
                  <w:tcW w:w="4382" w:type="dxa"/>
                  <w:vAlign w:val="center"/>
                </w:tcPr>
                <w:p w14:paraId="30596E67">
                  <w:pPr>
                    <w:autoSpaceDE w:val="0"/>
                    <w:autoSpaceDN w:val="0"/>
                    <w:adjustRightInd w:val="0"/>
                    <w:jc w:val="center"/>
                    <w:rPr>
                      <w:kern w:val="0"/>
                      <w:szCs w:val="21"/>
                    </w:rPr>
                  </w:pPr>
                  <w:r>
                    <w:rPr>
                      <w:rFonts w:hint="eastAsia"/>
                      <w:kern w:val="0"/>
                      <w:szCs w:val="21"/>
                    </w:rPr>
                    <w:t>项目七车间设置2个</w:t>
                  </w:r>
                  <w:r>
                    <w:rPr>
                      <w:rFonts w:hint="eastAsia"/>
                    </w:rPr>
                    <w:t>净循环水池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。主要用于焊管机组电机设备间接冷却，循环使用不外排。</w:t>
                  </w:r>
                </w:p>
              </w:tc>
              <w:tc>
                <w:tcPr>
                  <w:tcW w:w="1186" w:type="dxa"/>
                  <w:vAlign w:val="center"/>
                </w:tcPr>
                <w:p w14:paraId="71ED3D62">
                  <w:pPr>
                    <w:autoSpaceDE w:val="0"/>
                    <w:autoSpaceDN w:val="0"/>
                    <w:adjustRightInd w:val="0"/>
                    <w:jc w:val="center"/>
                    <w:rPr>
                      <w:szCs w:val="21"/>
                    </w:rPr>
                  </w:pPr>
                  <w:r>
                    <w:rPr>
                      <w:rFonts w:hint="eastAsia"/>
                      <w:szCs w:val="21"/>
                    </w:rPr>
                    <w:t>新建</w:t>
                  </w:r>
                </w:p>
              </w:tc>
            </w:tr>
            <w:tr w14:paraId="1020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57938C24">
                  <w:pPr>
                    <w:autoSpaceDE w:val="0"/>
                    <w:autoSpaceDN w:val="0"/>
                    <w:adjustRightInd w:val="0"/>
                    <w:jc w:val="center"/>
                    <w:rPr>
                      <w:b/>
                      <w:szCs w:val="21"/>
                    </w:rPr>
                  </w:pPr>
                </w:p>
              </w:tc>
              <w:tc>
                <w:tcPr>
                  <w:tcW w:w="547" w:type="dxa"/>
                  <w:vMerge w:val="continue"/>
                  <w:vAlign w:val="center"/>
                </w:tcPr>
                <w:p w14:paraId="52741CF0">
                  <w:pPr>
                    <w:autoSpaceDE w:val="0"/>
                    <w:autoSpaceDN w:val="0"/>
                    <w:adjustRightInd w:val="0"/>
                    <w:jc w:val="center"/>
                    <w:rPr>
                      <w:bCs/>
                      <w:szCs w:val="21"/>
                    </w:rPr>
                  </w:pPr>
                </w:p>
              </w:tc>
              <w:tc>
                <w:tcPr>
                  <w:tcW w:w="1014" w:type="dxa"/>
                  <w:vMerge w:val="continue"/>
                  <w:vAlign w:val="center"/>
                </w:tcPr>
                <w:p w14:paraId="4B87178D">
                  <w:pPr>
                    <w:autoSpaceDE w:val="0"/>
                    <w:autoSpaceDN w:val="0"/>
                    <w:adjustRightInd w:val="0"/>
                    <w:jc w:val="center"/>
                    <w:rPr>
                      <w:szCs w:val="21"/>
                    </w:rPr>
                  </w:pPr>
                </w:p>
              </w:tc>
              <w:tc>
                <w:tcPr>
                  <w:tcW w:w="1125" w:type="dxa"/>
                  <w:vAlign w:val="center"/>
                </w:tcPr>
                <w:p w14:paraId="189F5970">
                  <w:pPr>
                    <w:autoSpaceDE w:val="0"/>
                    <w:autoSpaceDN w:val="0"/>
                    <w:adjustRightInd w:val="0"/>
                    <w:jc w:val="center"/>
                    <w:rPr>
                      <w:kern w:val="0"/>
                      <w:szCs w:val="21"/>
                    </w:rPr>
                  </w:pPr>
                  <w:r>
                    <w:rPr>
                      <w:rFonts w:hint="eastAsia"/>
                      <w:szCs w:val="21"/>
                    </w:rPr>
                    <w:t>八车间（</w:t>
                  </w:r>
                  <w:r>
                    <w:rPr>
                      <w:rFonts w:hint="eastAsia"/>
                      <w:kern w:val="0"/>
                      <w:szCs w:val="21"/>
                    </w:rPr>
                    <w:t>本项目已建成的两条焊管生产线</w:t>
                  </w:r>
                  <w:r>
                    <w:rPr>
                      <w:rFonts w:hint="eastAsia"/>
                      <w:szCs w:val="21"/>
                    </w:rPr>
                    <w:t>）</w:t>
                  </w:r>
                </w:p>
              </w:tc>
              <w:tc>
                <w:tcPr>
                  <w:tcW w:w="4382" w:type="dxa"/>
                  <w:vAlign w:val="center"/>
                </w:tcPr>
                <w:p w14:paraId="3436CFAA">
                  <w:pPr>
                    <w:autoSpaceDE w:val="0"/>
                    <w:autoSpaceDN w:val="0"/>
                    <w:adjustRightInd w:val="0"/>
                    <w:jc w:val="center"/>
                    <w:rPr>
                      <w:kern w:val="0"/>
                      <w:szCs w:val="21"/>
                    </w:rPr>
                  </w:pPr>
                  <w:r>
                    <w:rPr>
                      <w:rFonts w:hint="eastAsia"/>
                      <w:kern w:val="0"/>
                      <w:szCs w:val="21"/>
                    </w:rPr>
                    <w:t>项目</w:t>
                  </w:r>
                  <w:r>
                    <w:rPr>
                      <w:rFonts w:hint="eastAsia"/>
                      <w:szCs w:val="21"/>
                    </w:rPr>
                    <w:t>八</w:t>
                  </w:r>
                  <w:r>
                    <w:rPr>
                      <w:rFonts w:hint="eastAsia"/>
                      <w:kern w:val="0"/>
                      <w:szCs w:val="21"/>
                    </w:rPr>
                    <w:t>车间设置2个</w:t>
                  </w:r>
                  <w:r>
                    <w:rPr>
                      <w:rFonts w:hint="eastAsia"/>
                    </w:rPr>
                    <w:t>净循环水池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。主要用于焊管机组电机设备间接冷却，循环使用不外排。</w:t>
                  </w:r>
                </w:p>
              </w:tc>
              <w:tc>
                <w:tcPr>
                  <w:tcW w:w="1186" w:type="dxa"/>
                  <w:vAlign w:val="center"/>
                </w:tcPr>
                <w:p w14:paraId="35C98C84">
                  <w:pPr>
                    <w:autoSpaceDE w:val="0"/>
                    <w:autoSpaceDN w:val="0"/>
                    <w:adjustRightInd w:val="0"/>
                    <w:jc w:val="center"/>
                    <w:rPr>
                      <w:szCs w:val="21"/>
                    </w:rPr>
                  </w:pPr>
                  <w:r>
                    <w:rPr>
                      <w:rFonts w:hint="eastAsia"/>
                      <w:szCs w:val="21"/>
                    </w:rPr>
                    <w:t>已建成</w:t>
                  </w:r>
                </w:p>
              </w:tc>
            </w:tr>
            <w:tr w14:paraId="5002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23" w:type="dxa"/>
                  <w:vMerge w:val="continue"/>
                  <w:vAlign w:val="center"/>
                </w:tcPr>
                <w:p w14:paraId="623290E7">
                  <w:pPr>
                    <w:autoSpaceDE w:val="0"/>
                    <w:autoSpaceDN w:val="0"/>
                    <w:adjustRightInd w:val="0"/>
                    <w:jc w:val="center"/>
                    <w:rPr>
                      <w:b/>
                      <w:szCs w:val="21"/>
                    </w:rPr>
                  </w:pPr>
                </w:p>
              </w:tc>
              <w:tc>
                <w:tcPr>
                  <w:tcW w:w="1561" w:type="dxa"/>
                  <w:gridSpan w:val="2"/>
                  <w:vAlign w:val="center"/>
                </w:tcPr>
                <w:p w14:paraId="48EDE235">
                  <w:pPr>
                    <w:autoSpaceDE w:val="0"/>
                    <w:autoSpaceDN w:val="0"/>
                    <w:adjustRightInd w:val="0"/>
                    <w:jc w:val="center"/>
                    <w:rPr>
                      <w:bCs/>
                      <w:szCs w:val="21"/>
                    </w:rPr>
                  </w:pPr>
                  <w:r>
                    <w:rPr>
                      <w:rFonts w:hint="eastAsia"/>
                      <w:bCs/>
                      <w:szCs w:val="21"/>
                    </w:rPr>
                    <w:t>噪声处理</w:t>
                  </w:r>
                </w:p>
              </w:tc>
              <w:tc>
                <w:tcPr>
                  <w:tcW w:w="5507" w:type="dxa"/>
                  <w:gridSpan w:val="2"/>
                  <w:vAlign w:val="center"/>
                </w:tcPr>
                <w:p w14:paraId="690BE17F">
                  <w:pPr>
                    <w:autoSpaceDE w:val="0"/>
                    <w:autoSpaceDN w:val="0"/>
                    <w:adjustRightInd w:val="0"/>
                    <w:jc w:val="center"/>
                    <w:rPr>
                      <w:bCs/>
                      <w:szCs w:val="21"/>
                    </w:rPr>
                  </w:pPr>
                  <w:r>
                    <w:rPr>
                      <w:rFonts w:hint="eastAsia"/>
                      <w:szCs w:val="21"/>
                    </w:rPr>
                    <w:t>项目采取合理布局，通过厂房隔声，基础减振，对产生气流噪声的噪声源加装消声器。</w:t>
                  </w:r>
                </w:p>
              </w:tc>
              <w:tc>
                <w:tcPr>
                  <w:tcW w:w="1186" w:type="dxa"/>
                  <w:vAlign w:val="center"/>
                </w:tcPr>
                <w:p w14:paraId="07D6A19A">
                  <w:pPr>
                    <w:autoSpaceDE w:val="0"/>
                    <w:autoSpaceDN w:val="0"/>
                    <w:adjustRightInd w:val="0"/>
                    <w:jc w:val="center"/>
                    <w:rPr>
                      <w:bCs/>
                      <w:szCs w:val="21"/>
                    </w:rPr>
                  </w:pPr>
                  <w:r>
                    <w:rPr>
                      <w:rFonts w:hint="eastAsia"/>
                      <w:szCs w:val="21"/>
                    </w:rPr>
                    <w:t>新建</w:t>
                  </w:r>
                </w:p>
              </w:tc>
            </w:tr>
            <w:tr w14:paraId="422F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02DC6B57">
                  <w:pPr>
                    <w:autoSpaceDE w:val="0"/>
                    <w:autoSpaceDN w:val="0"/>
                    <w:adjustRightInd w:val="0"/>
                    <w:jc w:val="center"/>
                    <w:rPr>
                      <w:b/>
                      <w:szCs w:val="21"/>
                    </w:rPr>
                  </w:pPr>
                </w:p>
              </w:tc>
              <w:tc>
                <w:tcPr>
                  <w:tcW w:w="547" w:type="dxa"/>
                  <w:vMerge w:val="restart"/>
                  <w:vAlign w:val="center"/>
                </w:tcPr>
                <w:p w14:paraId="5D0E9D94">
                  <w:pPr>
                    <w:autoSpaceDE w:val="0"/>
                    <w:autoSpaceDN w:val="0"/>
                    <w:adjustRightInd w:val="0"/>
                    <w:jc w:val="center"/>
                    <w:rPr>
                      <w:bCs/>
                      <w:szCs w:val="21"/>
                    </w:rPr>
                  </w:pPr>
                  <w:r>
                    <w:rPr>
                      <w:szCs w:val="21"/>
                    </w:rPr>
                    <w:t>固废</w:t>
                  </w:r>
                  <w:r>
                    <w:rPr>
                      <w:rFonts w:hint="eastAsia"/>
                      <w:szCs w:val="21"/>
                    </w:rPr>
                    <w:t>治理</w:t>
                  </w:r>
                </w:p>
              </w:tc>
              <w:tc>
                <w:tcPr>
                  <w:tcW w:w="1014" w:type="dxa"/>
                  <w:vAlign w:val="center"/>
                </w:tcPr>
                <w:p w14:paraId="14C020B8">
                  <w:pPr>
                    <w:autoSpaceDE w:val="0"/>
                    <w:autoSpaceDN w:val="0"/>
                    <w:adjustRightInd w:val="0"/>
                    <w:jc w:val="center"/>
                    <w:rPr>
                      <w:bCs/>
                      <w:szCs w:val="21"/>
                    </w:rPr>
                  </w:pPr>
                  <w:r>
                    <w:rPr>
                      <w:rFonts w:hint="eastAsia"/>
                      <w:szCs w:val="21"/>
                    </w:rPr>
                    <w:t>生活垃圾</w:t>
                  </w:r>
                </w:p>
              </w:tc>
              <w:tc>
                <w:tcPr>
                  <w:tcW w:w="5507" w:type="dxa"/>
                  <w:gridSpan w:val="2"/>
                  <w:vAlign w:val="center"/>
                </w:tcPr>
                <w:p w14:paraId="29B3F72E">
                  <w:pPr>
                    <w:autoSpaceDE w:val="0"/>
                    <w:autoSpaceDN w:val="0"/>
                    <w:adjustRightInd w:val="0"/>
                    <w:jc w:val="center"/>
                    <w:rPr>
                      <w:bCs/>
                      <w:szCs w:val="21"/>
                    </w:rPr>
                  </w:pPr>
                  <w:r>
                    <w:rPr>
                      <w:rFonts w:hint="eastAsia"/>
                      <w:szCs w:val="21"/>
                    </w:rPr>
                    <w:t>依托现有</w:t>
                  </w:r>
                  <w:r>
                    <w:rPr>
                      <w:szCs w:val="21"/>
                    </w:rPr>
                    <w:t>垃圾桶，</w:t>
                  </w:r>
                  <w:r>
                    <w:rPr>
                      <w:rFonts w:hint="eastAsia"/>
                      <w:szCs w:val="21"/>
                    </w:rPr>
                    <w:t>经集中收集后</w:t>
                  </w:r>
                  <w:r>
                    <w:rPr>
                      <w:rFonts w:hint="eastAsia" w:asciiTheme="minorEastAsia" w:hAnsiTheme="minorEastAsia" w:eastAsiaTheme="minorEastAsia"/>
                      <w:szCs w:val="21"/>
                    </w:rPr>
                    <w:t>委托环卫部门清运处置</w:t>
                  </w:r>
                </w:p>
              </w:tc>
              <w:tc>
                <w:tcPr>
                  <w:tcW w:w="1186" w:type="dxa"/>
                  <w:vAlign w:val="center"/>
                </w:tcPr>
                <w:p w14:paraId="781E6C5C">
                  <w:pPr>
                    <w:autoSpaceDE w:val="0"/>
                    <w:autoSpaceDN w:val="0"/>
                    <w:adjustRightInd w:val="0"/>
                    <w:jc w:val="center"/>
                    <w:rPr>
                      <w:bCs/>
                      <w:szCs w:val="21"/>
                    </w:rPr>
                  </w:pPr>
                  <w:r>
                    <w:rPr>
                      <w:rFonts w:hint="eastAsia"/>
                      <w:bCs/>
                      <w:szCs w:val="21"/>
                    </w:rPr>
                    <w:t>依托现有</w:t>
                  </w:r>
                </w:p>
              </w:tc>
            </w:tr>
            <w:tr w14:paraId="27E2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01F1DF01">
                  <w:pPr>
                    <w:autoSpaceDE w:val="0"/>
                    <w:autoSpaceDN w:val="0"/>
                    <w:adjustRightInd w:val="0"/>
                    <w:jc w:val="center"/>
                    <w:rPr>
                      <w:b/>
                      <w:szCs w:val="21"/>
                    </w:rPr>
                  </w:pPr>
                </w:p>
              </w:tc>
              <w:tc>
                <w:tcPr>
                  <w:tcW w:w="547" w:type="dxa"/>
                  <w:vMerge w:val="continue"/>
                  <w:vAlign w:val="center"/>
                </w:tcPr>
                <w:p w14:paraId="3704EBFA">
                  <w:pPr>
                    <w:autoSpaceDE w:val="0"/>
                    <w:autoSpaceDN w:val="0"/>
                    <w:adjustRightInd w:val="0"/>
                    <w:jc w:val="center"/>
                    <w:rPr>
                      <w:szCs w:val="21"/>
                    </w:rPr>
                  </w:pPr>
                </w:p>
              </w:tc>
              <w:tc>
                <w:tcPr>
                  <w:tcW w:w="1014" w:type="dxa"/>
                  <w:vAlign w:val="center"/>
                </w:tcPr>
                <w:p w14:paraId="52DD9BA8">
                  <w:pPr>
                    <w:autoSpaceDE w:val="0"/>
                    <w:autoSpaceDN w:val="0"/>
                    <w:adjustRightInd w:val="0"/>
                    <w:jc w:val="center"/>
                    <w:rPr>
                      <w:szCs w:val="21"/>
                    </w:rPr>
                  </w:pPr>
                  <w:r>
                    <w:t>废边角料</w:t>
                  </w:r>
                  <w:r>
                    <w:rPr>
                      <w:rFonts w:hint="eastAsia"/>
                    </w:rPr>
                    <w:t>、不合格产品、金属沉渣</w:t>
                  </w:r>
                </w:p>
              </w:tc>
              <w:tc>
                <w:tcPr>
                  <w:tcW w:w="5507" w:type="dxa"/>
                  <w:gridSpan w:val="2"/>
                  <w:vAlign w:val="center"/>
                </w:tcPr>
                <w:p w14:paraId="1AA9519A">
                  <w:pPr>
                    <w:autoSpaceDE w:val="0"/>
                    <w:autoSpaceDN w:val="0"/>
                    <w:adjustRightInd w:val="0"/>
                    <w:jc w:val="center"/>
                    <w:rPr>
                      <w:szCs w:val="21"/>
                    </w:rPr>
                  </w:pPr>
                  <w:r>
                    <w:rPr>
                      <w:rFonts w:hint="eastAsia"/>
                      <w:szCs w:val="21"/>
                    </w:rPr>
                    <w:t>每个车间设置1个一般固废收集箱，共3个。</w:t>
                  </w:r>
                  <w:r>
                    <w:t>废边角料</w:t>
                  </w:r>
                  <w:r>
                    <w:rPr>
                      <w:rFonts w:hint="eastAsia"/>
                    </w:rPr>
                    <w:t>、不合格产品、金属沉渣</w:t>
                  </w:r>
                  <w:r>
                    <w:rPr>
                      <w:rFonts w:hint="eastAsia"/>
                      <w:szCs w:val="21"/>
                    </w:rPr>
                    <w:t>收集后外售处置。</w:t>
                  </w:r>
                </w:p>
              </w:tc>
              <w:tc>
                <w:tcPr>
                  <w:tcW w:w="1186" w:type="dxa"/>
                  <w:vAlign w:val="center"/>
                </w:tcPr>
                <w:p w14:paraId="6CAC450D">
                  <w:pPr>
                    <w:autoSpaceDE w:val="0"/>
                    <w:autoSpaceDN w:val="0"/>
                    <w:adjustRightInd w:val="0"/>
                    <w:jc w:val="center"/>
                    <w:rPr>
                      <w:bCs/>
                      <w:szCs w:val="21"/>
                    </w:rPr>
                  </w:pPr>
                  <w:r>
                    <w:rPr>
                      <w:rFonts w:hint="eastAsia"/>
                      <w:bCs/>
                      <w:szCs w:val="21"/>
                    </w:rPr>
                    <w:t>新建</w:t>
                  </w:r>
                </w:p>
              </w:tc>
            </w:tr>
            <w:tr w14:paraId="6D78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464948F9">
                  <w:pPr>
                    <w:autoSpaceDE w:val="0"/>
                    <w:autoSpaceDN w:val="0"/>
                    <w:adjustRightInd w:val="0"/>
                    <w:jc w:val="center"/>
                    <w:rPr>
                      <w:b/>
                      <w:szCs w:val="21"/>
                    </w:rPr>
                  </w:pPr>
                </w:p>
              </w:tc>
              <w:tc>
                <w:tcPr>
                  <w:tcW w:w="547" w:type="dxa"/>
                  <w:vMerge w:val="continue"/>
                  <w:vAlign w:val="center"/>
                </w:tcPr>
                <w:p w14:paraId="04815F6A">
                  <w:pPr>
                    <w:autoSpaceDE w:val="0"/>
                    <w:autoSpaceDN w:val="0"/>
                    <w:adjustRightInd w:val="0"/>
                    <w:jc w:val="center"/>
                    <w:rPr>
                      <w:bCs/>
                      <w:szCs w:val="21"/>
                    </w:rPr>
                  </w:pPr>
                </w:p>
              </w:tc>
              <w:tc>
                <w:tcPr>
                  <w:tcW w:w="1014" w:type="dxa"/>
                  <w:vAlign w:val="center"/>
                </w:tcPr>
                <w:p w14:paraId="723608A5">
                  <w:pPr>
                    <w:autoSpaceDE w:val="0"/>
                    <w:autoSpaceDN w:val="0"/>
                    <w:adjustRightInd w:val="0"/>
                    <w:jc w:val="center"/>
                    <w:rPr>
                      <w:bCs/>
                      <w:szCs w:val="21"/>
                    </w:rPr>
                  </w:pPr>
                  <w:r>
                    <w:rPr>
                      <w:rFonts w:hint="eastAsia"/>
                      <w:szCs w:val="21"/>
                    </w:rPr>
                    <w:t>除尘灰</w:t>
                  </w:r>
                </w:p>
              </w:tc>
              <w:tc>
                <w:tcPr>
                  <w:tcW w:w="5507" w:type="dxa"/>
                  <w:gridSpan w:val="2"/>
                  <w:vAlign w:val="center"/>
                </w:tcPr>
                <w:p w14:paraId="1DF6A96A">
                  <w:pPr>
                    <w:autoSpaceDE w:val="0"/>
                    <w:autoSpaceDN w:val="0"/>
                    <w:adjustRightInd w:val="0"/>
                    <w:jc w:val="center"/>
                    <w:rPr>
                      <w:bCs/>
                      <w:szCs w:val="21"/>
                    </w:rPr>
                  </w:pPr>
                  <w:r>
                    <w:rPr>
                      <w:rFonts w:hint="eastAsia"/>
                      <w:szCs w:val="21"/>
                    </w:rPr>
                    <w:t>收集后暂存于一般固废收集箱，外售处置。</w:t>
                  </w:r>
                </w:p>
              </w:tc>
              <w:tc>
                <w:tcPr>
                  <w:tcW w:w="1186" w:type="dxa"/>
                  <w:vAlign w:val="center"/>
                </w:tcPr>
                <w:p w14:paraId="1ACE0A92">
                  <w:pPr>
                    <w:autoSpaceDE w:val="0"/>
                    <w:autoSpaceDN w:val="0"/>
                    <w:adjustRightInd w:val="0"/>
                    <w:jc w:val="center"/>
                    <w:rPr>
                      <w:bCs/>
                      <w:szCs w:val="21"/>
                    </w:rPr>
                  </w:pPr>
                  <w:r>
                    <w:rPr>
                      <w:rFonts w:hint="eastAsia"/>
                      <w:bCs/>
                      <w:szCs w:val="21"/>
                    </w:rPr>
                    <w:t>新建</w:t>
                  </w:r>
                </w:p>
              </w:tc>
            </w:tr>
            <w:tr w14:paraId="6CBD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3B0C1BCE">
                  <w:pPr>
                    <w:autoSpaceDE w:val="0"/>
                    <w:autoSpaceDN w:val="0"/>
                    <w:adjustRightInd w:val="0"/>
                    <w:jc w:val="center"/>
                    <w:rPr>
                      <w:b/>
                      <w:szCs w:val="21"/>
                    </w:rPr>
                  </w:pPr>
                </w:p>
              </w:tc>
              <w:tc>
                <w:tcPr>
                  <w:tcW w:w="547" w:type="dxa"/>
                  <w:vMerge w:val="continue"/>
                  <w:vAlign w:val="center"/>
                </w:tcPr>
                <w:p w14:paraId="5A93904A">
                  <w:pPr>
                    <w:autoSpaceDE w:val="0"/>
                    <w:autoSpaceDN w:val="0"/>
                    <w:adjustRightInd w:val="0"/>
                    <w:jc w:val="center"/>
                    <w:rPr>
                      <w:bCs/>
                      <w:szCs w:val="21"/>
                    </w:rPr>
                  </w:pPr>
                </w:p>
              </w:tc>
              <w:tc>
                <w:tcPr>
                  <w:tcW w:w="1014" w:type="dxa"/>
                  <w:vAlign w:val="center"/>
                </w:tcPr>
                <w:p w14:paraId="6A135AA5">
                  <w:pPr>
                    <w:autoSpaceDE w:val="0"/>
                    <w:autoSpaceDN w:val="0"/>
                    <w:adjustRightInd w:val="0"/>
                    <w:jc w:val="center"/>
                    <w:rPr>
                      <w:szCs w:val="21"/>
                    </w:rPr>
                  </w:pPr>
                  <w:r>
                    <w:rPr>
                      <w:rFonts w:hint="eastAsia"/>
                      <w:szCs w:val="21"/>
                    </w:rPr>
                    <w:t>废机油和废油桶</w:t>
                  </w:r>
                </w:p>
              </w:tc>
              <w:tc>
                <w:tcPr>
                  <w:tcW w:w="5507" w:type="dxa"/>
                  <w:gridSpan w:val="2"/>
                  <w:vAlign w:val="center"/>
                </w:tcPr>
                <w:p w14:paraId="03895E23">
                  <w:pPr>
                    <w:autoSpaceDE w:val="0"/>
                    <w:autoSpaceDN w:val="0"/>
                    <w:adjustRightInd w:val="0"/>
                    <w:jc w:val="center"/>
                    <w:rPr>
                      <w:szCs w:val="21"/>
                    </w:rPr>
                  </w:pPr>
                  <w:r>
                    <w:rPr>
                      <w:rFonts w:hint="eastAsia"/>
                      <w:szCs w:val="21"/>
                    </w:rPr>
                    <w:t>统一收集后暂存于现有项目危废暂存间，定期交由有资质的单位进行处置</w:t>
                  </w:r>
                </w:p>
              </w:tc>
              <w:tc>
                <w:tcPr>
                  <w:tcW w:w="1186" w:type="dxa"/>
                  <w:vAlign w:val="center"/>
                </w:tcPr>
                <w:p w14:paraId="47ED114C">
                  <w:pPr>
                    <w:autoSpaceDE w:val="0"/>
                    <w:autoSpaceDN w:val="0"/>
                    <w:adjustRightInd w:val="0"/>
                    <w:jc w:val="center"/>
                    <w:rPr>
                      <w:bCs/>
                      <w:szCs w:val="21"/>
                    </w:rPr>
                  </w:pPr>
                  <w:r>
                    <w:rPr>
                      <w:rFonts w:hint="eastAsia"/>
                      <w:bCs/>
                      <w:szCs w:val="21"/>
                    </w:rPr>
                    <w:t>依托现有</w:t>
                  </w:r>
                </w:p>
              </w:tc>
            </w:tr>
            <w:tr w14:paraId="0BB6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63328552">
                  <w:pPr>
                    <w:autoSpaceDE w:val="0"/>
                    <w:autoSpaceDN w:val="0"/>
                    <w:adjustRightInd w:val="0"/>
                    <w:jc w:val="center"/>
                    <w:rPr>
                      <w:b/>
                      <w:szCs w:val="21"/>
                    </w:rPr>
                  </w:pPr>
                </w:p>
              </w:tc>
              <w:tc>
                <w:tcPr>
                  <w:tcW w:w="547" w:type="dxa"/>
                  <w:vMerge w:val="continue"/>
                  <w:vAlign w:val="center"/>
                </w:tcPr>
                <w:p w14:paraId="243192FA">
                  <w:pPr>
                    <w:autoSpaceDE w:val="0"/>
                    <w:autoSpaceDN w:val="0"/>
                    <w:adjustRightInd w:val="0"/>
                    <w:jc w:val="center"/>
                    <w:rPr>
                      <w:bCs/>
                      <w:szCs w:val="21"/>
                    </w:rPr>
                  </w:pPr>
                </w:p>
              </w:tc>
              <w:tc>
                <w:tcPr>
                  <w:tcW w:w="1014" w:type="dxa"/>
                  <w:vAlign w:val="center"/>
                </w:tcPr>
                <w:p w14:paraId="46EC3BC7">
                  <w:pPr>
                    <w:adjustRightInd w:val="0"/>
                    <w:snapToGrid w:val="0"/>
                    <w:jc w:val="center"/>
                    <w:textAlignment w:val="baseline"/>
                    <w:rPr>
                      <w:szCs w:val="21"/>
                    </w:rPr>
                  </w:pPr>
                  <w:r>
                    <w:rPr>
                      <w:rFonts w:hint="eastAsia"/>
                      <w:szCs w:val="21"/>
                    </w:rPr>
                    <w:t>化粪池污泥、</w:t>
                  </w:r>
                </w:p>
                <w:p w14:paraId="1CE041C9">
                  <w:pPr>
                    <w:autoSpaceDE w:val="0"/>
                    <w:autoSpaceDN w:val="0"/>
                    <w:adjustRightInd w:val="0"/>
                    <w:jc w:val="center"/>
                    <w:rPr>
                      <w:szCs w:val="21"/>
                    </w:rPr>
                  </w:pPr>
                  <w:r>
                    <w:rPr>
                      <w:rFonts w:hint="eastAsia"/>
                      <w:szCs w:val="21"/>
                    </w:rPr>
                    <w:t>污水处理站污泥</w:t>
                  </w:r>
                </w:p>
              </w:tc>
              <w:tc>
                <w:tcPr>
                  <w:tcW w:w="5507" w:type="dxa"/>
                  <w:gridSpan w:val="2"/>
                  <w:vAlign w:val="center"/>
                </w:tcPr>
                <w:p w14:paraId="62488200">
                  <w:pPr>
                    <w:autoSpaceDE w:val="0"/>
                    <w:autoSpaceDN w:val="0"/>
                    <w:adjustRightInd w:val="0"/>
                    <w:jc w:val="center"/>
                    <w:rPr>
                      <w:szCs w:val="21"/>
                    </w:rPr>
                  </w:pPr>
                  <w:r>
                    <w:rPr>
                      <w:rFonts w:hint="eastAsia"/>
                    </w:rPr>
                    <w:t>化粪池污泥委托环卫部门</w:t>
                  </w:r>
                  <w:r>
                    <w:rPr>
                      <w:rFonts w:hint="eastAsia"/>
                      <w:kern w:val="24"/>
                    </w:rPr>
                    <w:t>清掏处置；</w:t>
                  </w:r>
                  <w:r>
                    <w:rPr>
                      <w:lang w:bidi="ar"/>
                    </w:rPr>
                    <w:t>污水处理站污泥</w:t>
                  </w:r>
                  <w:r>
                    <w:rPr>
                      <w:kern w:val="24"/>
                    </w:rPr>
                    <w:t>定期清掏，</w:t>
                  </w:r>
                  <w:r>
                    <w:rPr>
                      <w:rFonts w:hint="eastAsia"/>
                      <w:kern w:val="24"/>
                      <w:szCs w:val="21"/>
                    </w:rPr>
                    <w:t>回用于</w:t>
                  </w:r>
                  <w:r>
                    <w:rPr>
                      <w:kern w:val="24"/>
                    </w:rPr>
                    <w:t>厂内绿化带施肥</w:t>
                  </w:r>
                  <w:r>
                    <w:rPr>
                      <w:rFonts w:hint="eastAsia"/>
                      <w:kern w:val="24"/>
                    </w:rPr>
                    <w:t>。</w:t>
                  </w:r>
                </w:p>
              </w:tc>
              <w:tc>
                <w:tcPr>
                  <w:tcW w:w="1186" w:type="dxa"/>
                  <w:vAlign w:val="center"/>
                </w:tcPr>
                <w:p w14:paraId="12B02CDE">
                  <w:pPr>
                    <w:autoSpaceDE w:val="0"/>
                    <w:autoSpaceDN w:val="0"/>
                    <w:adjustRightInd w:val="0"/>
                    <w:jc w:val="center"/>
                    <w:rPr>
                      <w:bCs/>
                      <w:szCs w:val="21"/>
                    </w:rPr>
                  </w:pPr>
                  <w:r>
                    <w:rPr>
                      <w:rFonts w:hint="eastAsia"/>
                      <w:bCs/>
                      <w:szCs w:val="21"/>
                    </w:rPr>
                    <w:t>依托现有</w:t>
                  </w:r>
                </w:p>
              </w:tc>
            </w:tr>
            <w:tr w14:paraId="50A5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6ED735C3">
                  <w:pPr>
                    <w:autoSpaceDE w:val="0"/>
                    <w:autoSpaceDN w:val="0"/>
                    <w:adjustRightInd w:val="0"/>
                    <w:jc w:val="center"/>
                    <w:rPr>
                      <w:b/>
                      <w:szCs w:val="21"/>
                    </w:rPr>
                  </w:pPr>
                </w:p>
              </w:tc>
              <w:tc>
                <w:tcPr>
                  <w:tcW w:w="547" w:type="dxa"/>
                  <w:vMerge w:val="restart"/>
                  <w:vAlign w:val="center"/>
                </w:tcPr>
                <w:p w14:paraId="513664C3">
                  <w:pPr>
                    <w:autoSpaceDE w:val="0"/>
                    <w:autoSpaceDN w:val="0"/>
                    <w:adjustRightInd w:val="0"/>
                    <w:jc w:val="center"/>
                    <w:rPr>
                      <w:bCs/>
                      <w:szCs w:val="21"/>
                    </w:rPr>
                  </w:pPr>
                  <w:r>
                    <w:rPr>
                      <w:rFonts w:hint="eastAsia"/>
                      <w:szCs w:val="21"/>
                    </w:rPr>
                    <w:t>防渗措施</w:t>
                  </w:r>
                </w:p>
              </w:tc>
              <w:tc>
                <w:tcPr>
                  <w:tcW w:w="1014" w:type="dxa"/>
                  <w:vAlign w:val="center"/>
                </w:tcPr>
                <w:p w14:paraId="2EC46E79">
                  <w:pPr>
                    <w:widowControl/>
                    <w:jc w:val="center"/>
                    <w:textAlignment w:val="center"/>
                    <w:rPr>
                      <w:kern w:val="0"/>
                      <w:szCs w:val="21"/>
                      <w:lang w:bidi="ar"/>
                    </w:rPr>
                  </w:pPr>
                  <w:r>
                    <w:rPr>
                      <w:rFonts w:hint="eastAsia"/>
                      <w:kern w:val="0"/>
                      <w:szCs w:val="21"/>
                      <w:lang w:bidi="ar"/>
                    </w:rPr>
                    <w:t>重点防渗区</w:t>
                  </w:r>
                </w:p>
              </w:tc>
              <w:tc>
                <w:tcPr>
                  <w:tcW w:w="5507" w:type="dxa"/>
                  <w:gridSpan w:val="2"/>
                  <w:vAlign w:val="center"/>
                </w:tcPr>
                <w:p w14:paraId="40CEE56F">
                  <w:pPr>
                    <w:autoSpaceDE w:val="0"/>
                    <w:autoSpaceDN w:val="0"/>
                    <w:adjustRightInd w:val="0"/>
                    <w:jc w:val="center"/>
                    <w:rPr>
                      <w:szCs w:val="21"/>
                    </w:rPr>
                  </w:pPr>
                  <w:r>
                    <w:rPr>
                      <w:rFonts w:hint="eastAsia"/>
                      <w:kern w:val="0"/>
                      <w:szCs w:val="21"/>
                      <w:lang w:bidi="ar"/>
                    </w:rPr>
                    <w:t>现有</w:t>
                  </w:r>
                  <w:r>
                    <w:rPr>
                      <w:kern w:val="0"/>
                      <w:szCs w:val="21"/>
                      <w:lang w:bidi="ar"/>
                    </w:rPr>
                    <w:t>项目危废暂存间</w:t>
                  </w:r>
                  <w:r>
                    <w:rPr>
                      <w:rFonts w:hint="eastAsia"/>
                      <w:kern w:val="0"/>
                      <w:szCs w:val="21"/>
                      <w:lang w:bidi="ar"/>
                    </w:rPr>
                    <w:t>已进行重点防渗</w:t>
                  </w:r>
                  <w:r>
                    <w:rPr>
                      <w:kern w:val="0"/>
                      <w:szCs w:val="21"/>
                      <w:lang w:bidi="ar"/>
                    </w:rPr>
                    <w:t>，其防渗措施</w:t>
                  </w:r>
                  <w:r>
                    <w:rPr>
                      <w:rFonts w:hint="eastAsia"/>
                      <w:kern w:val="0"/>
                      <w:szCs w:val="21"/>
                      <w:lang w:bidi="ar"/>
                    </w:rPr>
                    <w:t>采用抗渗混凝土+2mm厚高密度聚乙烯膜+环氧树脂涂层</w:t>
                  </w:r>
                  <w:r>
                    <w:rPr>
                      <w:kern w:val="0"/>
                      <w:szCs w:val="21"/>
                      <w:lang w:bidi="ar"/>
                    </w:rPr>
                    <w:t>。</w:t>
                  </w:r>
                </w:p>
              </w:tc>
              <w:tc>
                <w:tcPr>
                  <w:tcW w:w="1186" w:type="dxa"/>
                  <w:vAlign w:val="center"/>
                </w:tcPr>
                <w:p w14:paraId="5C44A61E">
                  <w:pPr>
                    <w:autoSpaceDE w:val="0"/>
                    <w:autoSpaceDN w:val="0"/>
                    <w:adjustRightInd w:val="0"/>
                    <w:jc w:val="center"/>
                    <w:rPr>
                      <w:bCs/>
                      <w:szCs w:val="21"/>
                    </w:rPr>
                  </w:pPr>
                  <w:r>
                    <w:rPr>
                      <w:rFonts w:hint="eastAsia"/>
                      <w:szCs w:val="21"/>
                    </w:rPr>
                    <w:t>依托现有</w:t>
                  </w:r>
                </w:p>
              </w:tc>
            </w:tr>
            <w:tr w14:paraId="1AB1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0213A322">
                  <w:pPr>
                    <w:autoSpaceDE w:val="0"/>
                    <w:autoSpaceDN w:val="0"/>
                    <w:adjustRightInd w:val="0"/>
                    <w:jc w:val="center"/>
                    <w:rPr>
                      <w:b/>
                      <w:szCs w:val="21"/>
                    </w:rPr>
                  </w:pPr>
                </w:p>
              </w:tc>
              <w:tc>
                <w:tcPr>
                  <w:tcW w:w="547" w:type="dxa"/>
                  <w:vMerge w:val="continue"/>
                  <w:vAlign w:val="center"/>
                </w:tcPr>
                <w:p w14:paraId="4665FA5C">
                  <w:pPr>
                    <w:autoSpaceDE w:val="0"/>
                    <w:autoSpaceDN w:val="0"/>
                    <w:adjustRightInd w:val="0"/>
                    <w:jc w:val="center"/>
                    <w:rPr>
                      <w:bCs/>
                      <w:szCs w:val="21"/>
                    </w:rPr>
                  </w:pPr>
                </w:p>
              </w:tc>
              <w:tc>
                <w:tcPr>
                  <w:tcW w:w="1014" w:type="dxa"/>
                  <w:vAlign w:val="center"/>
                </w:tcPr>
                <w:p w14:paraId="51427F4E">
                  <w:pPr>
                    <w:widowControl/>
                    <w:jc w:val="center"/>
                    <w:textAlignment w:val="center"/>
                    <w:rPr>
                      <w:kern w:val="0"/>
                      <w:szCs w:val="21"/>
                      <w:lang w:bidi="ar"/>
                    </w:rPr>
                  </w:pPr>
                  <w:r>
                    <w:rPr>
                      <w:kern w:val="0"/>
                      <w:szCs w:val="21"/>
                      <w:lang w:bidi="ar"/>
                    </w:rPr>
                    <w:t>一般防渗区</w:t>
                  </w:r>
                </w:p>
              </w:tc>
              <w:tc>
                <w:tcPr>
                  <w:tcW w:w="5507" w:type="dxa"/>
                  <w:gridSpan w:val="2"/>
                  <w:vAlign w:val="center"/>
                </w:tcPr>
                <w:p w14:paraId="7F1AA2AE">
                  <w:pPr>
                    <w:autoSpaceDE w:val="0"/>
                    <w:autoSpaceDN w:val="0"/>
                    <w:adjustRightInd w:val="0"/>
                    <w:jc w:val="center"/>
                    <w:rPr>
                      <w:kern w:val="0"/>
                      <w:szCs w:val="21"/>
                      <w:lang w:bidi="ar"/>
                    </w:rPr>
                  </w:pPr>
                  <w:r>
                    <w:rPr>
                      <w:rFonts w:hint="eastAsia"/>
                      <w:kern w:val="0"/>
                      <w:szCs w:val="21"/>
                      <w:lang w:bidi="ar"/>
                    </w:rPr>
                    <w:t>各循环水池</w:t>
                  </w:r>
                  <w:r>
                    <w:rPr>
                      <w:rFonts w:hint="eastAsia"/>
                      <w:szCs w:val="21"/>
                    </w:rPr>
                    <w:t>、</w:t>
                  </w:r>
                  <w:r>
                    <w:rPr>
                      <w:rFonts w:hint="eastAsia"/>
                      <w:kern w:val="0"/>
                      <w:szCs w:val="21"/>
                    </w:rPr>
                    <w:t>循环水槽/水箱</w:t>
                  </w:r>
                  <w:r>
                    <w:rPr>
                      <w:rFonts w:hint="eastAsia"/>
                      <w:kern w:val="0"/>
                      <w:szCs w:val="21"/>
                      <w:lang w:bidi="ar"/>
                    </w:rPr>
                    <w:t>进行一般防渗</w:t>
                  </w:r>
                  <w:r>
                    <w:rPr>
                      <w:kern w:val="0"/>
                      <w:szCs w:val="21"/>
                      <w:lang w:bidi="ar"/>
                    </w:rPr>
                    <w:t>，</w:t>
                  </w:r>
                  <w:r>
                    <w:rPr>
                      <w:rFonts w:hint="eastAsia"/>
                      <w:kern w:val="0"/>
                      <w:szCs w:val="21"/>
                      <w:lang w:bidi="ar"/>
                    </w:rPr>
                    <w:t>采用抗渗混凝土硬化。</w:t>
                  </w:r>
                </w:p>
              </w:tc>
              <w:tc>
                <w:tcPr>
                  <w:tcW w:w="1186" w:type="dxa"/>
                  <w:vAlign w:val="center"/>
                </w:tcPr>
                <w:p w14:paraId="3BDFFB20">
                  <w:pPr>
                    <w:autoSpaceDE w:val="0"/>
                    <w:autoSpaceDN w:val="0"/>
                    <w:adjustRightInd w:val="0"/>
                    <w:jc w:val="center"/>
                    <w:rPr>
                      <w:bCs/>
                      <w:szCs w:val="21"/>
                    </w:rPr>
                  </w:pPr>
                  <w:r>
                    <w:rPr>
                      <w:rFonts w:hint="eastAsia"/>
                      <w:kern w:val="0"/>
                      <w:szCs w:val="21"/>
                      <w:lang w:bidi="ar"/>
                    </w:rPr>
                    <w:t>新建</w:t>
                  </w:r>
                </w:p>
              </w:tc>
            </w:tr>
            <w:tr w14:paraId="2AF0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23" w:type="dxa"/>
                  <w:vMerge w:val="continue"/>
                  <w:vAlign w:val="center"/>
                </w:tcPr>
                <w:p w14:paraId="335EA8D6">
                  <w:pPr>
                    <w:autoSpaceDE w:val="0"/>
                    <w:autoSpaceDN w:val="0"/>
                    <w:adjustRightInd w:val="0"/>
                    <w:jc w:val="center"/>
                    <w:rPr>
                      <w:b/>
                      <w:szCs w:val="21"/>
                    </w:rPr>
                  </w:pPr>
                </w:p>
              </w:tc>
              <w:tc>
                <w:tcPr>
                  <w:tcW w:w="547" w:type="dxa"/>
                  <w:vMerge w:val="continue"/>
                  <w:vAlign w:val="center"/>
                </w:tcPr>
                <w:p w14:paraId="517FD78F">
                  <w:pPr>
                    <w:autoSpaceDE w:val="0"/>
                    <w:autoSpaceDN w:val="0"/>
                    <w:adjustRightInd w:val="0"/>
                    <w:jc w:val="center"/>
                    <w:rPr>
                      <w:bCs/>
                      <w:szCs w:val="21"/>
                    </w:rPr>
                  </w:pPr>
                </w:p>
              </w:tc>
              <w:tc>
                <w:tcPr>
                  <w:tcW w:w="1014" w:type="dxa"/>
                  <w:vAlign w:val="center"/>
                </w:tcPr>
                <w:p w14:paraId="307D5D2B">
                  <w:pPr>
                    <w:widowControl/>
                    <w:jc w:val="center"/>
                    <w:textAlignment w:val="center"/>
                    <w:rPr>
                      <w:kern w:val="0"/>
                      <w:szCs w:val="21"/>
                      <w:lang w:bidi="ar"/>
                    </w:rPr>
                  </w:pPr>
                  <w:r>
                    <w:rPr>
                      <w:kern w:val="0"/>
                      <w:szCs w:val="21"/>
                      <w:lang w:bidi="ar"/>
                    </w:rPr>
                    <w:t>简单防渗区</w:t>
                  </w:r>
                </w:p>
              </w:tc>
              <w:tc>
                <w:tcPr>
                  <w:tcW w:w="5507" w:type="dxa"/>
                  <w:gridSpan w:val="2"/>
                  <w:vAlign w:val="center"/>
                </w:tcPr>
                <w:p w14:paraId="546C1AC1">
                  <w:pPr>
                    <w:autoSpaceDE w:val="0"/>
                    <w:autoSpaceDN w:val="0"/>
                    <w:adjustRightInd w:val="0"/>
                    <w:jc w:val="center"/>
                    <w:rPr>
                      <w:szCs w:val="21"/>
                    </w:rPr>
                  </w:pPr>
                  <w:r>
                    <w:rPr>
                      <w:rFonts w:hint="eastAsia"/>
                      <w:kern w:val="0"/>
                      <w:szCs w:val="21"/>
                      <w:lang w:bidi="ar"/>
                    </w:rPr>
                    <w:t>生产车间、厂内道路等一般区域进行简单防渗，采用一般混凝土地面硬化。</w:t>
                  </w:r>
                </w:p>
              </w:tc>
              <w:tc>
                <w:tcPr>
                  <w:tcW w:w="1186" w:type="dxa"/>
                  <w:vAlign w:val="center"/>
                </w:tcPr>
                <w:p w14:paraId="524B39AD">
                  <w:pPr>
                    <w:autoSpaceDE w:val="0"/>
                    <w:autoSpaceDN w:val="0"/>
                    <w:adjustRightInd w:val="0"/>
                    <w:jc w:val="center"/>
                    <w:rPr>
                      <w:bCs/>
                      <w:szCs w:val="21"/>
                    </w:rPr>
                  </w:pPr>
                  <w:r>
                    <w:rPr>
                      <w:rFonts w:hint="eastAsia"/>
                      <w:bCs/>
                      <w:szCs w:val="21"/>
                    </w:rPr>
                    <w:t>依托现有</w:t>
                  </w:r>
                </w:p>
              </w:tc>
            </w:tr>
            <w:bookmarkEnd w:id="4"/>
          </w:tbl>
          <w:p w14:paraId="56BB7A3A">
            <w:pPr>
              <w:pStyle w:val="31"/>
            </w:pPr>
          </w:p>
          <w:p w14:paraId="243E00A0">
            <w:pPr>
              <w:adjustRightInd w:val="0"/>
              <w:snapToGrid w:val="0"/>
              <w:spacing w:line="360" w:lineRule="auto"/>
              <w:jc w:val="left"/>
              <w:rPr>
                <w:bCs/>
                <w:sz w:val="24"/>
              </w:rPr>
            </w:pPr>
            <w:r>
              <w:rPr>
                <w:rFonts w:hint="eastAsia"/>
                <w:b/>
                <w:bCs/>
                <w:sz w:val="24"/>
              </w:rPr>
              <w:t>2、生产规模及产品方案</w:t>
            </w:r>
          </w:p>
          <w:p w14:paraId="650BD11B">
            <w:pPr>
              <w:pStyle w:val="83"/>
              <w:ind w:firstLine="480"/>
            </w:pPr>
            <w:r>
              <w:rPr>
                <w:rFonts w:hint="eastAsia"/>
                <w:bCs/>
              </w:rPr>
              <w:t>项目生产规模为年产20万吨高频焊管</w:t>
            </w:r>
            <w:r>
              <w:rPr>
                <w:lang w:val="zh-CN"/>
              </w:rPr>
              <w:t>。</w:t>
            </w:r>
            <w:r>
              <w:rPr>
                <w:rFonts w:hint="eastAsia"/>
              </w:rPr>
              <w:t>项目产品方案见表2-</w:t>
            </w:r>
            <w:r>
              <w:t>2</w:t>
            </w:r>
            <w:r>
              <w:rPr>
                <w:rFonts w:hint="eastAsia"/>
              </w:rPr>
              <w:t>。</w:t>
            </w:r>
          </w:p>
          <w:p w14:paraId="1161DDF8">
            <w:pPr>
              <w:adjustRightInd w:val="0"/>
              <w:snapToGrid w:val="0"/>
              <w:spacing w:line="360" w:lineRule="auto"/>
              <w:ind w:firstLine="482" w:firstLineChars="200"/>
              <w:jc w:val="center"/>
              <w:rPr>
                <w:b/>
                <w:bCs/>
                <w:sz w:val="24"/>
              </w:rPr>
            </w:pPr>
            <w:r>
              <w:rPr>
                <w:rFonts w:hint="eastAsia"/>
                <w:b/>
                <w:bCs/>
                <w:sz w:val="24"/>
              </w:rPr>
              <w:t>表2-</w:t>
            </w:r>
            <w:r>
              <w:rPr>
                <w:b/>
                <w:bCs/>
                <w:sz w:val="24"/>
              </w:rPr>
              <w:t>2</w:t>
            </w:r>
            <w:r>
              <w:rPr>
                <w:rFonts w:hint="eastAsia"/>
                <w:b/>
                <w:bCs/>
                <w:sz w:val="24"/>
              </w:rPr>
              <w:t xml:space="preserve"> 项目产品方案</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43"/>
              <w:gridCol w:w="1275"/>
              <w:gridCol w:w="1134"/>
              <w:gridCol w:w="4025"/>
            </w:tblGrid>
            <w:tr w14:paraId="4E96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0" w:type="dxa"/>
                  <w:vAlign w:val="center"/>
                </w:tcPr>
                <w:p w14:paraId="4798EABA">
                  <w:pPr>
                    <w:adjustRightInd w:val="0"/>
                    <w:jc w:val="center"/>
                    <w:textAlignment w:val="baseline"/>
                    <w:rPr>
                      <w:szCs w:val="21"/>
                    </w:rPr>
                  </w:pPr>
                  <w:r>
                    <w:rPr>
                      <w:szCs w:val="21"/>
                    </w:rPr>
                    <w:t>序号</w:t>
                  </w:r>
                </w:p>
              </w:tc>
              <w:tc>
                <w:tcPr>
                  <w:tcW w:w="1843" w:type="dxa"/>
                  <w:vAlign w:val="center"/>
                </w:tcPr>
                <w:p w14:paraId="5071C959">
                  <w:pPr>
                    <w:adjustRightInd w:val="0"/>
                    <w:jc w:val="center"/>
                    <w:textAlignment w:val="baseline"/>
                    <w:rPr>
                      <w:szCs w:val="21"/>
                    </w:rPr>
                  </w:pPr>
                  <w:r>
                    <w:rPr>
                      <w:rFonts w:hint="eastAsia"/>
                      <w:szCs w:val="21"/>
                    </w:rPr>
                    <w:t>产品名称</w:t>
                  </w:r>
                </w:p>
              </w:tc>
              <w:tc>
                <w:tcPr>
                  <w:tcW w:w="1275" w:type="dxa"/>
                  <w:vAlign w:val="center"/>
                </w:tcPr>
                <w:p w14:paraId="38463BC4">
                  <w:pPr>
                    <w:adjustRightInd w:val="0"/>
                    <w:jc w:val="center"/>
                    <w:textAlignment w:val="baseline"/>
                    <w:rPr>
                      <w:szCs w:val="21"/>
                    </w:rPr>
                  </w:pPr>
                  <w:r>
                    <w:rPr>
                      <w:rFonts w:hint="eastAsia"/>
                      <w:szCs w:val="21"/>
                    </w:rPr>
                    <w:t>单位</w:t>
                  </w:r>
                </w:p>
              </w:tc>
              <w:tc>
                <w:tcPr>
                  <w:tcW w:w="1134" w:type="dxa"/>
                  <w:vAlign w:val="center"/>
                </w:tcPr>
                <w:p w14:paraId="796F9F46">
                  <w:pPr>
                    <w:adjustRightInd w:val="0"/>
                    <w:jc w:val="center"/>
                    <w:textAlignment w:val="baseline"/>
                    <w:rPr>
                      <w:szCs w:val="21"/>
                    </w:rPr>
                  </w:pPr>
                  <w:r>
                    <w:rPr>
                      <w:rFonts w:hint="eastAsia"/>
                      <w:szCs w:val="21"/>
                    </w:rPr>
                    <w:t>设计产量</w:t>
                  </w:r>
                </w:p>
              </w:tc>
              <w:tc>
                <w:tcPr>
                  <w:tcW w:w="4025" w:type="dxa"/>
                  <w:vAlign w:val="center"/>
                </w:tcPr>
                <w:p w14:paraId="4A3E2ECC">
                  <w:pPr>
                    <w:adjustRightInd w:val="0"/>
                    <w:jc w:val="center"/>
                    <w:textAlignment w:val="baseline"/>
                    <w:rPr>
                      <w:szCs w:val="21"/>
                    </w:rPr>
                  </w:pPr>
                  <w:r>
                    <w:rPr>
                      <w:rFonts w:hint="eastAsia"/>
                      <w:szCs w:val="21"/>
                    </w:rPr>
                    <w:t>规格及型号</w:t>
                  </w:r>
                </w:p>
              </w:tc>
            </w:tr>
            <w:tr w14:paraId="42E9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0" w:type="dxa"/>
                  <w:vAlign w:val="center"/>
                </w:tcPr>
                <w:p w14:paraId="73D753F6">
                  <w:pPr>
                    <w:adjustRightInd w:val="0"/>
                    <w:jc w:val="center"/>
                    <w:textAlignment w:val="baseline"/>
                    <w:rPr>
                      <w:szCs w:val="21"/>
                    </w:rPr>
                  </w:pPr>
                  <w:r>
                    <w:rPr>
                      <w:snapToGrid w:val="0"/>
                      <w:szCs w:val="21"/>
                    </w:rPr>
                    <w:fldChar w:fldCharType="begin"/>
                  </w:r>
                  <w:r>
                    <w:rPr>
                      <w:snapToGrid w:val="0"/>
                      <w:szCs w:val="21"/>
                    </w:rPr>
                    <w:instrText xml:space="preserve"> seq 表1-2 </w:instrText>
                  </w:r>
                  <w:r>
                    <w:rPr>
                      <w:snapToGrid w:val="0"/>
                      <w:szCs w:val="21"/>
                    </w:rPr>
                    <w:fldChar w:fldCharType="separate"/>
                  </w:r>
                  <w:r>
                    <w:rPr>
                      <w:snapToGrid w:val="0"/>
                      <w:szCs w:val="21"/>
                    </w:rPr>
                    <w:t>1</w:t>
                  </w:r>
                  <w:r>
                    <w:rPr>
                      <w:snapToGrid w:val="0"/>
                      <w:szCs w:val="21"/>
                    </w:rPr>
                    <w:fldChar w:fldCharType="end"/>
                  </w:r>
                </w:p>
              </w:tc>
              <w:tc>
                <w:tcPr>
                  <w:tcW w:w="1843" w:type="dxa"/>
                  <w:vAlign w:val="center"/>
                </w:tcPr>
                <w:p w14:paraId="26BCE866">
                  <w:pPr>
                    <w:adjustRightInd w:val="0"/>
                    <w:jc w:val="center"/>
                    <w:textAlignment w:val="baseline"/>
                    <w:rPr>
                      <w:szCs w:val="21"/>
                    </w:rPr>
                  </w:pPr>
                  <w:r>
                    <w:rPr>
                      <w:rFonts w:hint="eastAsia"/>
                      <w:kern w:val="24"/>
                      <w:szCs w:val="21"/>
                    </w:rPr>
                    <w:t>高频直缝焊管</w:t>
                  </w:r>
                </w:p>
              </w:tc>
              <w:tc>
                <w:tcPr>
                  <w:tcW w:w="1275" w:type="dxa"/>
                  <w:vAlign w:val="center"/>
                </w:tcPr>
                <w:p w14:paraId="382C576A">
                  <w:pPr>
                    <w:adjustRightInd w:val="0"/>
                    <w:jc w:val="center"/>
                    <w:textAlignment w:val="baseline"/>
                    <w:rPr>
                      <w:szCs w:val="21"/>
                    </w:rPr>
                  </w:pPr>
                  <w:r>
                    <w:rPr>
                      <w:rFonts w:hint="eastAsia"/>
                      <w:szCs w:val="21"/>
                    </w:rPr>
                    <w:t>万吨/年</w:t>
                  </w:r>
                </w:p>
              </w:tc>
              <w:tc>
                <w:tcPr>
                  <w:tcW w:w="1134" w:type="dxa"/>
                  <w:vAlign w:val="center"/>
                </w:tcPr>
                <w:p w14:paraId="1822467E">
                  <w:pPr>
                    <w:adjustRightInd w:val="0"/>
                    <w:jc w:val="center"/>
                    <w:textAlignment w:val="baseline"/>
                    <w:rPr>
                      <w:szCs w:val="21"/>
                    </w:rPr>
                  </w:pPr>
                  <w:r>
                    <w:rPr>
                      <w:szCs w:val="21"/>
                    </w:rPr>
                    <w:t>20</w:t>
                  </w:r>
                </w:p>
              </w:tc>
              <w:tc>
                <w:tcPr>
                  <w:tcW w:w="4025" w:type="dxa"/>
                  <w:vAlign w:val="center"/>
                </w:tcPr>
                <w:p w14:paraId="68876DCB">
                  <w:pPr>
                    <w:adjustRightInd w:val="0"/>
                    <w:snapToGrid w:val="0"/>
                    <w:spacing w:line="320" w:lineRule="exact"/>
                    <w:jc w:val="center"/>
                    <w:rPr>
                      <w:szCs w:val="21"/>
                    </w:rPr>
                  </w:pPr>
                  <w:r>
                    <w:rPr>
                      <w:szCs w:val="21"/>
                    </w:rPr>
                    <w:t>方管：</w:t>
                  </w:r>
                  <w:r>
                    <w:rPr>
                      <w:rFonts w:hint="eastAsia"/>
                      <w:szCs w:val="21"/>
                    </w:rPr>
                    <w:t>20mm×20mm、25mm×25mm、25mm×35mm、20mm×40mm、30mm×50mm、40mm×60mm、40mm×80mm、50mm×100mm、80mm×80mm、100mm×100mm、</w:t>
                  </w:r>
                  <w:r>
                    <w:rPr>
                      <w:szCs w:val="21"/>
                    </w:rPr>
                    <w:t>120mm×120mm；</w:t>
                  </w:r>
                </w:p>
                <w:p w14:paraId="41C52356">
                  <w:pPr>
                    <w:adjustRightInd w:val="0"/>
                    <w:jc w:val="center"/>
                    <w:textAlignment w:val="baseline"/>
                    <w:rPr>
                      <w:szCs w:val="21"/>
                    </w:rPr>
                  </w:pPr>
                  <w:r>
                    <w:rPr>
                      <w:szCs w:val="21"/>
                    </w:rPr>
                    <w:t>圆管：φ</w:t>
                  </w:r>
                  <w:r>
                    <w:rPr>
                      <w:rFonts w:hint="eastAsia"/>
                      <w:szCs w:val="21"/>
                    </w:rPr>
                    <w:t>19</w:t>
                  </w:r>
                  <w:r>
                    <w:rPr>
                      <w:szCs w:val="21"/>
                    </w:rPr>
                    <w:t>mm、φ</w:t>
                  </w:r>
                  <w:r>
                    <w:rPr>
                      <w:rFonts w:hint="eastAsia"/>
                      <w:szCs w:val="21"/>
                    </w:rPr>
                    <w:t>32</w:t>
                  </w:r>
                  <w:r>
                    <w:rPr>
                      <w:szCs w:val="21"/>
                    </w:rPr>
                    <w:t>mm、φ</w:t>
                  </w:r>
                  <w:r>
                    <w:rPr>
                      <w:rFonts w:hint="eastAsia"/>
                      <w:szCs w:val="21"/>
                    </w:rPr>
                    <w:t>48</w:t>
                  </w:r>
                  <w:r>
                    <w:rPr>
                      <w:szCs w:val="21"/>
                    </w:rPr>
                    <w:t>mm、φ</w:t>
                  </w:r>
                  <w:r>
                    <w:rPr>
                      <w:rFonts w:hint="eastAsia"/>
                      <w:szCs w:val="21"/>
                    </w:rPr>
                    <w:t>5</w:t>
                  </w:r>
                  <w:r>
                    <w:rPr>
                      <w:szCs w:val="21"/>
                    </w:rPr>
                    <w:t>0mm、φ</w:t>
                  </w:r>
                  <w:r>
                    <w:rPr>
                      <w:rFonts w:hint="eastAsia"/>
                      <w:szCs w:val="21"/>
                    </w:rPr>
                    <w:t>6</w:t>
                  </w:r>
                  <w:r>
                    <w:rPr>
                      <w:szCs w:val="21"/>
                    </w:rPr>
                    <w:t>0mm、φ</w:t>
                  </w:r>
                  <w:r>
                    <w:rPr>
                      <w:rFonts w:hint="eastAsia"/>
                      <w:szCs w:val="21"/>
                    </w:rPr>
                    <w:t>7</w:t>
                  </w:r>
                  <w:r>
                    <w:rPr>
                      <w:szCs w:val="21"/>
                    </w:rPr>
                    <w:t>0mm</w:t>
                  </w:r>
                  <w:r>
                    <w:rPr>
                      <w:rFonts w:hint="eastAsia"/>
                      <w:szCs w:val="21"/>
                    </w:rPr>
                    <w:t>、</w:t>
                  </w:r>
                  <w:r>
                    <w:rPr>
                      <w:szCs w:val="21"/>
                    </w:rPr>
                    <w:t>φ</w:t>
                  </w:r>
                  <w:r>
                    <w:rPr>
                      <w:rFonts w:hint="eastAsia"/>
                      <w:szCs w:val="21"/>
                    </w:rPr>
                    <w:t>8</w:t>
                  </w:r>
                  <w:r>
                    <w:rPr>
                      <w:szCs w:val="21"/>
                    </w:rPr>
                    <w:t>0mm</w:t>
                  </w:r>
                  <w:r>
                    <w:rPr>
                      <w:rFonts w:hint="eastAsia"/>
                      <w:szCs w:val="21"/>
                    </w:rPr>
                    <w:t>、</w:t>
                  </w:r>
                  <w:r>
                    <w:rPr>
                      <w:szCs w:val="21"/>
                    </w:rPr>
                    <w:t>φ</w:t>
                  </w:r>
                  <w:r>
                    <w:rPr>
                      <w:rFonts w:hint="eastAsia"/>
                      <w:szCs w:val="21"/>
                    </w:rPr>
                    <w:t>9</w:t>
                  </w:r>
                  <w:r>
                    <w:rPr>
                      <w:szCs w:val="21"/>
                    </w:rPr>
                    <w:t>0mm</w:t>
                  </w:r>
                  <w:r>
                    <w:rPr>
                      <w:rFonts w:hint="eastAsia"/>
                      <w:szCs w:val="21"/>
                    </w:rPr>
                    <w:t>、</w:t>
                  </w:r>
                  <w:r>
                    <w:rPr>
                      <w:szCs w:val="21"/>
                    </w:rPr>
                    <w:t>φ100mm、φ11</w:t>
                  </w:r>
                  <w:r>
                    <w:rPr>
                      <w:rFonts w:hint="eastAsia"/>
                      <w:szCs w:val="21"/>
                    </w:rPr>
                    <w:t>4</w:t>
                  </w:r>
                  <w:r>
                    <w:rPr>
                      <w:szCs w:val="21"/>
                    </w:rPr>
                    <w:t>mm</w:t>
                  </w:r>
                  <w:r>
                    <w:rPr>
                      <w:rFonts w:hint="eastAsia"/>
                      <w:szCs w:val="21"/>
                    </w:rPr>
                    <w:t>、</w:t>
                  </w:r>
                  <w:r>
                    <w:rPr>
                      <w:szCs w:val="21"/>
                    </w:rPr>
                    <w:t>φ</w:t>
                  </w:r>
                  <w:r>
                    <w:rPr>
                      <w:rFonts w:hint="eastAsia"/>
                      <w:szCs w:val="21"/>
                    </w:rPr>
                    <w:t>140</w:t>
                  </w:r>
                  <w:r>
                    <w:rPr>
                      <w:szCs w:val="21"/>
                    </w:rPr>
                    <w:t>mm</w:t>
                  </w:r>
                  <w:r>
                    <w:rPr>
                      <w:rFonts w:hint="eastAsia"/>
                      <w:szCs w:val="21"/>
                    </w:rPr>
                    <w:t>、</w:t>
                  </w:r>
                  <w:r>
                    <w:rPr>
                      <w:szCs w:val="21"/>
                    </w:rPr>
                    <w:t>φ</w:t>
                  </w:r>
                  <w:r>
                    <w:rPr>
                      <w:rFonts w:hint="eastAsia"/>
                      <w:szCs w:val="21"/>
                    </w:rPr>
                    <w:t>165</w:t>
                  </w:r>
                  <w:r>
                    <w:rPr>
                      <w:szCs w:val="21"/>
                    </w:rPr>
                    <w:t>mm</w:t>
                  </w:r>
                </w:p>
              </w:tc>
            </w:tr>
          </w:tbl>
          <w:p w14:paraId="36CA371E">
            <w:pPr>
              <w:adjustRightInd w:val="0"/>
              <w:snapToGrid w:val="0"/>
              <w:spacing w:line="360" w:lineRule="auto"/>
              <w:jc w:val="left"/>
              <w:rPr>
                <w:b/>
                <w:bCs/>
                <w:sz w:val="24"/>
              </w:rPr>
            </w:pPr>
            <w:r>
              <w:rPr>
                <w:b/>
                <w:bCs/>
                <w:sz w:val="24"/>
              </w:rPr>
              <w:t>3</w:t>
            </w:r>
            <w:r>
              <w:rPr>
                <w:rFonts w:hint="eastAsia"/>
                <w:b/>
                <w:bCs/>
                <w:sz w:val="24"/>
              </w:rPr>
              <w:t>、</w:t>
            </w:r>
            <w:r>
              <w:rPr>
                <w:b/>
                <w:bCs/>
                <w:sz w:val="24"/>
              </w:rPr>
              <w:t>主要</w:t>
            </w:r>
            <w:r>
              <w:rPr>
                <w:rFonts w:hint="eastAsia"/>
                <w:b/>
                <w:bCs/>
                <w:sz w:val="24"/>
              </w:rPr>
              <w:t>生产</w:t>
            </w:r>
            <w:r>
              <w:rPr>
                <w:b/>
                <w:bCs/>
                <w:sz w:val="24"/>
              </w:rPr>
              <w:t>设备</w:t>
            </w:r>
          </w:p>
          <w:p w14:paraId="06B14BA6">
            <w:pPr>
              <w:adjustRightInd w:val="0"/>
              <w:snapToGrid w:val="0"/>
              <w:spacing w:line="360" w:lineRule="auto"/>
              <w:ind w:firstLine="480" w:firstLineChars="200"/>
              <w:jc w:val="left"/>
              <w:rPr>
                <w:sz w:val="24"/>
              </w:rPr>
            </w:pPr>
            <w:r>
              <w:rPr>
                <w:rFonts w:hint="eastAsia"/>
                <w:sz w:val="24"/>
              </w:rPr>
              <w:t>本项目主要生产设备及设备参数如下表所示。</w:t>
            </w:r>
          </w:p>
          <w:p w14:paraId="5AAFD94C">
            <w:pPr>
              <w:adjustRightInd w:val="0"/>
              <w:snapToGrid w:val="0"/>
              <w:spacing w:line="360" w:lineRule="auto"/>
              <w:ind w:firstLine="482" w:firstLineChars="200"/>
              <w:jc w:val="center"/>
              <w:rPr>
                <w:b/>
                <w:bCs/>
                <w:kern w:val="24"/>
                <w:sz w:val="24"/>
              </w:rPr>
            </w:pPr>
            <w:r>
              <w:rPr>
                <w:rFonts w:hint="eastAsia"/>
                <w:b/>
                <w:bCs/>
                <w:kern w:val="24"/>
                <w:sz w:val="24"/>
              </w:rPr>
              <w:t>表</w:t>
            </w:r>
            <w:r>
              <w:rPr>
                <w:b/>
                <w:bCs/>
                <w:kern w:val="24"/>
                <w:sz w:val="24"/>
              </w:rPr>
              <w:t xml:space="preserve">2-3 </w:t>
            </w:r>
            <w:r>
              <w:rPr>
                <w:rFonts w:hint="eastAsia"/>
                <w:b/>
                <w:bCs/>
                <w:kern w:val="24"/>
                <w:sz w:val="24"/>
              </w:rPr>
              <w:t>本项目主要生产设备一览表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286"/>
              <w:gridCol w:w="2280"/>
              <w:gridCol w:w="917"/>
              <w:gridCol w:w="916"/>
              <w:gridCol w:w="1834"/>
            </w:tblGrid>
            <w:tr w14:paraId="6925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37DE2666">
                  <w:pPr>
                    <w:pStyle w:val="12"/>
                    <w:spacing w:after="0" w:line="240" w:lineRule="auto"/>
                    <w:jc w:val="center"/>
                    <w:rPr>
                      <w:b/>
                      <w:bCs/>
                      <w:sz w:val="21"/>
                      <w:szCs w:val="21"/>
                    </w:rPr>
                  </w:pPr>
                  <w:r>
                    <w:rPr>
                      <w:b/>
                      <w:bCs/>
                      <w:sz w:val="21"/>
                      <w:szCs w:val="21"/>
                    </w:rPr>
                    <w:t>序号</w:t>
                  </w:r>
                </w:p>
              </w:tc>
              <w:tc>
                <w:tcPr>
                  <w:tcW w:w="2122" w:type="dxa"/>
                  <w:vAlign w:val="center"/>
                </w:tcPr>
                <w:p w14:paraId="6073E56E">
                  <w:pPr>
                    <w:pStyle w:val="12"/>
                    <w:spacing w:after="0" w:line="240" w:lineRule="auto"/>
                    <w:jc w:val="center"/>
                    <w:rPr>
                      <w:b/>
                      <w:bCs/>
                      <w:sz w:val="21"/>
                      <w:szCs w:val="21"/>
                    </w:rPr>
                  </w:pPr>
                  <w:r>
                    <w:rPr>
                      <w:b/>
                      <w:bCs/>
                      <w:sz w:val="21"/>
                      <w:szCs w:val="21"/>
                    </w:rPr>
                    <w:t>设备名称</w:t>
                  </w:r>
                </w:p>
              </w:tc>
              <w:tc>
                <w:tcPr>
                  <w:tcW w:w="2116" w:type="dxa"/>
                  <w:vAlign w:val="center"/>
                </w:tcPr>
                <w:p w14:paraId="593586A6">
                  <w:pPr>
                    <w:pStyle w:val="12"/>
                    <w:spacing w:after="0" w:line="240" w:lineRule="auto"/>
                    <w:jc w:val="center"/>
                    <w:rPr>
                      <w:b/>
                      <w:bCs/>
                      <w:sz w:val="21"/>
                      <w:szCs w:val="21"/>
                    </w:rPr>
                  </w:pPr>
                  <w:r>
                    <w:rPr>
                      <w:b/>
                      <w:bCs/>
                      <w:sz w:val="21"/>
                      <w:szCs w:val="21"/>
                    </w:rPr>
                    <w:t>规格型号</w:t>
                  </w:r>
                </w:p>
              </w:tc>
              <w:tc>
                <w:tcPr>
                  <w:tcW w:w="851" w:type="dxa"/>
                  <w:vAlign w:val="center"/>
                </w:tcPr>
                <w:p w14:paraId="757B7866">
                  <w:pPr>
                    <w:pStyle w:val="12"/>
                    <w:spacing w:after="0" w:line="240" w:lineRule="auto"/>
                    <w:jc w:val="center"/>
                    <w:rPr>
                      <w:b/>
                      <w:bCs/>
                      <w:sz w:val="21"/>
                      <w:szCs w:val="21"/>
                    </w:rPr>
                  </w:pPr>
                  <w:r>
                    <w:rPr>
                      <w:b/>
                      <w:bCs/>
                      <w:sz w:val="21"/>
                      <w:szCs w:val="21"/>
                    </w:rPr>
                    <w:t>数量</w:t>
                  </w:r>
                </w:p>
              </w:tc>
              <w:tc>
                <w:tcPr>
                  <w:tcW w:w="850" w:type="dxa"/>
                  <w:vAlign w:val="center"/>
                </w:tcPr>
                <w:p w14:paraId="1CC6E90D">
                  <w:pPr>
                    <w:pStyle w:val="12"/>
                    <w:spacing w:after="0" w:line="240" w:lineRule="auto"/>
                    <w:jc w:val="center"/>
                    <w:rPr>
                      <w:b/>
                      <w:bCs/>
                      <w:sz w:val="21"/>
                      <w:szCs w:val="21"/>
                    </w:rPr>
                  </w:pPr>
                  <w:r>
                    <w:rPr>
                      <w:b/>
                      <w:bCs/>
                      <w:sz w:val="21"/>
                      <w:szCs w:val="21"/>
                    </w:rPr>
                    <w:t>单位</w:t>
                  </w:r>
                </w:p>
              </w:tc>
              <w:tc>
                <w:tcPr>
                  <w:tcW w:w="1702" w:type="dxa"/>
                  <w:vAlign w:val="center"/>
                </w:tcPr>
                <w:p w14:paraId="15E76547">
                  <w:pPr>
                    <w:pStyle w:val="12"/>
                    <w:spacing w:after="0" w:line="240" w:lineRule="auto"/>
                    <w:jc w:val="center"/>
                    <w:rPr>
                      <w:b/>
                      <w:bCs/>
                      <w:sz w:val="21"/>
                      <w:szCs w:val="21"/>
                    </w:rPr>
                  </w:pPr>
                  <w:r>
                    <w:rPr>
                      <w:b/>
                      <w:bCs/>
                      <w:sz w:val="21"/>
                      <w:szCs w:val="21"/>
                    </w:rPr>
                    <w:t>备注</w:t>
                  </w:r>
                </w:p>
              </w:tc>
            </w:tr>
            <w:tr w14:paraId="4D43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5BEEFCBE">
                  <w:pPr>
                    <w:pStyle w:val="12"/>
                    <w:spacing w:after="0" w:line="240" w:lineRule="auto"/>
                    <w:jc w:val="center"/>
                    <w:rPr>
                      <w:sz w:val="21"/>
                      <w:szCs w:val="21"/>
                    </w:rPr>
                  </w:pPr>
                  <w:r>
                    <w:rPr>
                      <w:sz w:val="21"/>
                      <w:szCs w:val="21"/>
                    </w:rPr>
                    <w:t>1</w:t>
                  </w:r>
                </w:p>
              </w:tc>
              <w:tc>
                <w:tcPr>
                  <w:tcW w:w="2122" w:type="dxa"/>
                  <w:vAlign w:val="center"/>
                </w:tcPr>
                <w:p w14:paraId="7A62FAA8">
                  <w:pPr>
                    <w:jc w:val="center"/>
                    <w:rPr>
                      <w:szCs w:val="21"/>
                    </w:rPr>
                  </w:pPr>
                  <w:r>
                    <w:rPr>
                      <w:kern w:val="0"/>
                      <w:szCs w:val="21"/>
                    </w:rPr>
                    <w:t>高频直缝焊管机组</w:t>
                  </w:r>
                </w:p>
              </w:tc>
              <w:tc>
                <w:tcPr>
                  <w:tcW w:w="2116" w:type="dxa"/>
                  <w:vAlign w:val="center"/>
                </w:tcPr>
                <w:p w14:paraId="423705FA">
                  <w:pPr>
                    <w:pStyle w:val="12"/>
                    <w:spacing w:after="0" w:line="240" w:lineRule="auto"/>
                    <w:jc w:val="center"/>
                    <w:rPr>
                      <w:sz w:val="21"/>
                      <w:szCs w:val="21"/>
                    </w:rPr>
                  </w:pPr>
                  <w:r>
                    <w:rPr>
                      <w:rFonts w:hint="eastAsia"/>
                      <w:sz w:val="21"/>
                      <w:szCs w:val="21"/>
                    </w:rPr>
                    <w:t>165、50-76、76-89、76、32-50、28</w:t>
                  </w:r>
                </w:p>
              </w:tc>
              <w:tc>
                <w:tcPr>
                  <w:tcW w:w="851" w:type="dxa"/>
                  <w:vAlign w:val="center"/>
                </w:tcPr>
                <w:p w14:paraId="53ED26E7">
                  <w:pPr>
                    <w:pStyle w:val="12"/>
                    <w:spacing w:after="0" w:line="240" w:lineRule="auto"/>
                    <w:jc w:val="center"/>
                    <w:rPr>
                      <w:sz w:val="21"/>
                      <w:szCs w:val="21"/>
                    </w:rPr>
                  </w:pPr>
                  <w:r>
                    <w:rPr>
                      <w:sz w:val="21"/>
                      <w:szCs w:val="21"/>
                    </w:rPr>
                    <w:t>6</w:t>
                  </w:r>
                </w:p>
              </w:tc>
              <w:tc>
                <w:tcPr>
                  <w:tcW w:w="850" w:type="dxa"/>
                  <w:vAlign w:val="center"/>
                </w:tcPr>
                <w:p w14:paraId="4BFA5903">
                  <w:pPr>
                    <w:pStyle w:val="12"/>
                    <w:spacing w:after="0" w:line="240" w:lineRule="auto"/>
                    <w:jc w:val="center"/>
                    <w:rPr>
                      <w:sz w:val="21"/>
                      <w:szCs w:val="21"/>
                    </w:rPr>
                  </w:pPr>
                  <w:r>
                    <w:rPr>
                      <w:rFonts w:hint="eastAsia"/>
                      <w:sz w:val="21"/>
                      <w:szCs w:val="21"/>
                    </w:rPr>
                    <w:t>套</w:t>
                  </w:r>
                </w:p>
              </w:tc>
              <w:tc>
                <w:tcPr>
                  <w:tcW w:w="1702" w:type="dxa"/>
                  <w:vAlign w:val="center"/>
                </w:tcPr>
                <w:p w14:paraId="5E35B3E9">
                  <w:pPr>
                    <w:jc w:val="center"/>
                    <w:rPr>
                      <w:szCs w:val="21"/>
                    </w:rPr>
                  </w:pPr>
                  <w:r>
                    <w:rPr>
                      <w:rFonts w:hint="eastAsia"/>
                      <w:szCs w:val="21"/>
                    </w:rPr>
                    <w:t>三车间1套，七车间3套，八车间2套</w:t>
                  </w:r>
                </w:p>
              </w:tc>
            </w:tr>
            <w:tr w14:paraId="633B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3F12AC80">
                  <w:pPr>
                    <w:pStyle w:val="12"/>
                    <w:spacing w:after="0" w:line="240" w:lineRule="auto"/>
                    <w:jc w:val="center"/>
                    <w:rPr>
                      <w:sz w:val="21"/>
                      <w:szCs w:val="21"/>
                    </w:rPr>
                  </w:pPr>
                  <w:r>
                    <w:rPr>
                      <w:sz w:val="21"/>
                      <w:szCs w:val="21"/>
                    </w:rPr>
                    <w:t>2</w:t>
                  </w:r>
                </w:p>
              </w:tc>
              <w:tc>
                <w:tcPr>
                  <w:tcW w:w="2122" w:type="dxa"/>
                  <w:vAlign w:val="center"/>
                </w:tcPr>
                <w:p w14:paraId="4A7085EA">
                  <w:pPr>
                    <w:jc w:val="center"/>
                    <w:rPr>
                      <w:szCs w:val="21"/>
                    </w:rPr>
                  </w:pPr>
                  <w:r>
                    <w:rPr>
                      <w:kern w:val="0"/>
                      <w:szCs w:val="21"/>
                    </w:rPr>
                    <w:t>半成型架</w:t>
                  </w:r>
                </w:p>
              </w:tc>
              <w:tc>
                <w:tcPr>
                  <w:tcW w:w="2116" w:type="dxa"/>
                  <w:vAlign w:val="center"/>
                </w:tcPr>
                <w:p w14:paraId="59CE2C8F">
                  <w:pPr>
                    <w:pStyle w:val="12"/>
                    <w:spacing w:after="0" w:line="240" w:lineRule="auto"/>
                    <w:jc w:val="center"/>
                    <w:rPr>
                      <w:sz w:val="21"/>
                      <w:szCs w:val="21"/>
                    </w:rPr>
                  </w:pPr>
                  <w:r>
                    <w:rPr>
                      <w:sz w:val="21"/>
                      <w:szCs w:val="21"/>
                    </w:rPr>
                    <w:t>/</w:t>
                  </w:r>
                </w:p>
              </w:tc>
              <w:tc>
                <w:tcPr>
                  <w:tcW w:w="851" w:type="dxa"/>
                  <w:vAlign w:val="center"/>
                </w:tcPr>
                <w:p w14:paraId="55905FE3">
                  <w:pPr>
                    <w:jc w:val="center"/>
                    <w:rPr>
                      <w:szCs w:val="21"/>
                    </w:rPr>
                  </w:pPr>
                  <w:r>
                    <w:rPr>
                      <w:szCs w:val="21"/>
                    </w:rPr>
                    <w:t>6</w:t>
                  </w:r>
                </w:p>
              </w:tc>
              <w:tc>
                <w:tcPr>
                  <w:tcW w:w="850" w:type="dxa"/>
                  <w:vAlign w:val="center"/>
                </w:tcPr>
                <w:p w14:paraId="1EBB5D8F">
                  <w:pPr>
                    <w:jc w:val="center"/>
                    <w:rPr>
                      <w:szCs w:val="21"/>
                    </w:rPr>
                  </w:pPr>
                  <w:r>
                    <w:rPr>
                      <w:rFonts w:hint="eastAsia"/>
                      <w:szCs w:val="21"/>
                    </w:rPr>
                    <w:t>套</w:t>
                  </w:r>
                </w:p>
              </w:tc>
              <w:tc>
                <w:tcPr>
                  <w:tcW w:w="1702" w:type="dxa"/>
                  <w:vAlign w:val="center"/>
                </w:tcPr>
                <w:p w14:paraId="1501057A">
                  <w:pPr>
                    <w:jc w:val="center"/>
                    <w:rPr>
                      <w:szCs w:val="21"/>
                    </w:rPr>
                  </w:pPr>
                  <w:r>
                    <w:rPr>
                      <w:rFonts w:hint="eastAsia"/>
                      <w:szCs w:val="21"/>
                    </w:rPr>
                    <w:t>三车间1套，七车间3套，八车间2套</w:t>
                  </w:r>
                </w:p>
              </w:tc>
            </w:tr>
            <w:tr w14:paraId="774F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0A3D67FD">
                  <w:pPr>
                    <w:pStyle w:val="12"/>
                    <w:spacing w:after="0" w:line="240" w:lineRule="auto"/>
                    <w:jc w:val="center"/>
                    <w:rPr>
                      <w:sz w:val="21"/>
                      <w:szCs w:val="21"/>
                    </w:rPr>
                  </w:pPr>
                  <w:r>
                    <w:rPr>
                      <w:sz w:val="21"/>
                      <w:szCs w:val="21"/>
                    </w:rPr>
                    <w:t>3</w:t>
                  </w:r>
                </w:p>
              </w:tc>
              <w:tc>
                <w:tcPr>
                  <w:tcW w:w="2122" w:type="dxa"/>
                  <w:vAlign w:val="center"/>
                </w:tcPr>
                <w:p w14:paraId="70CB10ED">
                  <w:pPr>
                    <w:jc w:val="center"/>
                    <w:rPr>
                      <w:szCs w:val="21"/>
                    </w:rPr>
                  </w:pPr>
                  <w:r>
                    <w:rPr>
                      <w:kern w:val="0"/>
                      <w:szCs w:val="21"/>
                    </w:rPr>
                    <w:t>纵剪机组（含开卷机、矫平机、切头机、纵剪主机、收卷主机、液压、电控系统）</w:t>
                  </w:r>
                </w:p>
              </w:tc>
              <w:tc>
                <w:tcPr>
                  <w:tcW w:w="2116" w:type="dxa"/>
                  <w:vAlign w:val="center"/>
                </w:tcPr>
                <w:p w14:paraId="395540E5">
                  <w:pPr>
                    <w:pStyle w:val="12"/>
                    <w:spacing w:after="0" w:line="240" w:lineRule="auto"/>
                    <w:jc w:val="center"/>
                    <w:rPr>
                      <w:sz w:val="21"/>
                      <w:szCs w:val="21"/>
                    </w:rPr>
                  </w:pPr>
                  <w:r>
                    <w:rPr>
                      <w:sz w:val="21"/>
                      <w:szCs w:val="21"/>
                    </w:rPr>
                    <w:t>/</w:t>
                  </w:r>
                </w:p>
              </w:tc>
              <w:tc>
                <w:tcPr>
                  <w:tcW w:w="851" w:type="dxa"/>
                  <w:vAlign w:val="center"/>
                </w:tcPr>
                <w:p w14:paraId="16A76125">
                  <w:pPr>
                    <w:jc w:val="center"/>
                    <w:rPr>
                      <w:szCs w:val="21"/>
                    </w:rPr>
                  </w:pPr>
                  <w:r>
                    <w:rPr>
                      <w:szCs w:val="21"/>
                    </w:rPr>
                    <w:t>6</w:t>
                  </w:r>
                </w:p>
              </w:tc>
              <w:tc>
                <w:tcPr>
                  <w:tcW w:w="850" w:type="dxa"/>
                  <w:vAlign w:val="center"/>
                </w:tcPr>
                <w:p w14:paraId="2E4674A7">
                  <w:pPr>
                    <w:jc w:val="center"/>
                    <w:rPr>
                      <w:szCs w:val="21"/>
                    </w:rPr>
                  </w:pPr>
                  <w:r>
                    <w:rPr>
                      <w:rFonts w:hint="eastAsia"/>
                      <w:szCs w:val="21"/>
                    </w:rPr>
                    <w:t>套</w:t>
                  </w:r>
                </w:p>
              </w:tc>
              <w:tc>
                <w:tcPr>
                  <w:tcW w:w="1702" w:type="dxa"/>
                  <w:vAlign w:val="center"/>
                </w:tcPr>
                <w:p w14:paraId="5FF5E496">
                  <w:pPr>
                    <w:jc w:val="center"/>
                    <w:rPr>
                      <w:szCs w:val="21"/>
                    </w:rPr>
                  </w:pPr>
                  <w:r>
                    <w:rPr>
                      <w:rFonts w:hint="eastAsia"/>
                      <w:szCs w:val="21"/>
                    </w:rPr>
                    <w:t>三车间1套，七车间3套，八车间2套</w:t>
                  </w:r>
                </w:p>
              </w:tc>
            </w:tr>
            <w:tr w14:paraId="56D9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3523DB86">
                  <w:pPr>
                    <w:pStyle w:val="12"/>
                    <w:spacing w:after="0" w:line="240" w:lineRule="auto"/>
                    <w:jc w:val="center"/>
                    <w:rPr>
                      <w:sz w:val="21"/>
                      <w:szCs w:val="21"/>
                    </w:rPr>
                  </w:pPr>
                  <w:r>
                    <w:rPr>
                      <w:sz w:val="21"/>
                      <w:szCs w:val="21"/>
                    </w:rPr>
                    <w:t>4</w:t>
                  </w:r>
                </w:p>
              </w:tc>
              <w:tc>
                <w:tcPr>
                  <w:tcW w:w="2122" w:type="dxa"/>
                  <w:vAlign w:val="center"/>
                </w:tcPr>
                <w:p w14:paraId="3BA96BD6">
                  <w:pPr>
                    <w:jc w:val="center"/>
                    <w:rPr>
                      <w:szCs w:val="21"/>
                    </w:rPr>
                  </w:pPr>
                  <w:r>
                    <w:rPr>
                      <w:kern w:val="0"/>
                      <w:szCs w:val="21"/>
                    </w:rPr>
                    <w:t>校直机</w:t>
                  </w:r>
                </w:p>
              </w:tc>
              <w:tc>
                <w:tcPr>
                  <w:tcW w:w="2116" w:type="dxa"/>
                  <w:vAlign w:val="center"/>
                </w:tcPr>
                <w:p w14:paraId="6D9AC782">
                  <w:pPr>
                    <w:pStyle w:val="12"/>
                    <w:spacing w:after="0" w:line="240" w:lineRule="auto"/>
                    <w:jc w:val="center"/>
                    <w:rPr>
                      <w:sz w:val="21"/>
                      <w:szCs w:val="21"/>
                    </w:rPr>
                  </w:pPr>
                  <w:r>
                    <w:rPr>
                      <w:sz w:val="21"/>
                      <w:szCs w:val="21"/>
                    </w:rPr>
                    <w:t>/</w:t>
                  </w:r>
                </w:p>
              </w:tc>
              <w:tc>
                <w:tcPr>
                  <w:tcW w:w="851" w:type="dxa"/>
                  <w:vAlign w:val="center"/>
                </w:tcPr>
                <w:p w14:paraId="65E4AD1A">
                  <w:pPr>
                    <w:jc w:val="center"/>
                    <w:rPr>
                      <w:szCs w:val="21"/>
                    </w:rPr>
                  </w:pPr>
                  <w:r>
                    <w:rPr>
                      <w:szCs w:val="21"/>
                    </w:rPr>
                    <w:t>6</w:t>
                  </w:r>
                </w:p>
              </w:tc>
              <w:tc>
                <w:tcPr>
                  <w:tcW w:w="850" w:type="dxa"/>
                  <w:vAlign w:val="center"/>
                </w:tcPr>
                <w:p w14:paraId="10D1A76C">
                  <w:pPr>
                    <w:jc w:val="center"/>
                    <w:rPr>
                      <w:szCs w:val="21"/>
                    </w:rPr>
                  </w:pPr>
                  <w:r>
                    <w:rPr>
                      <w:szCs w:val="21"/>
                    </w:rPr>
                    <w:t>台</w:t>
                  </w:r>
                </w:p>
              </w:tc>
              <w:tc>
                <w:tcPr>
                  <w:tcW w:w="1702" w:type="dxa"/>
                  <w:vAlign w:val="center"/>
                </w:tcPr>
                <w:p w14:paraId="5610A011">
                  <w:pPr>
                    <w:jc w:val="center"/>
                    <w:rPr>
                      <w:szCs w:val="21"/>
                    </w:rPr>
                  </w:pPr>
                  <w:r>
                    <w:rPr>
                      <w:rFonts w:hint="eastAsia"/>
                      <w:szCs w:val="21"/>
                    </w:rPr>
                    <w:t>三车间1台，七车间3台，八车间2台</w:t>
                  </w:r>
                </w:p>
              </w:tc>
            </w:tr>
            <w:tr w14:paraId="2F20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73A085FB">
                  <w:pPr>
                    <w:pStyle w:val="12"/>
                    <w:spacing w:after="0" w:line="240" w:lineRule="auto"/>
                    <w:jc w:val="center"/>
                    <w:rPr>
                      <w:sz w:val="21"/>
                      <w:szCs w:val="21"/>
                    </w:rPr>
                  </w:pPr>
                  <w:r>
                    <w:rPr>
                      <w:sz w:val="21"/>
                      <w:szCs w:val="21"/>
                    </w:rPr>
                    <w:t>5</w:t>
                  </w:r>
                </w:p>
              </w:tc>
              <w:tc>
                <w:tcPr>
                  <w:tcW w:w="2122" w:type="dxa"/>
                  <w:vAlign w:val="center"/>
                </w:tcPr>
                <w:p w14:paraId="7040F1D4">
                  <w:pPr>
                    <w:jc w:val="center"/>
                    <w:rPr>
                      <w:szCs w:val="21"/>
                    </w:rPr>
                  </w:pPr>
                  <w:r>
                    <w:rPr>
                      <w:kern w:val="0"/>
                      <w:szCs w:val="21"/>
                    </w:rPr>
                    <w:t>电动飞锯</w:t>
                  </w:r>
                </w:p>
              </w:tc>
              <w:tc>
                <w:tcPr>
                  <w:tcW w:w="2116" w:type="dxa"/>
                  <w:vAlign w:val="center"/>
                </w:tcPr>
                <w:p w14:paraId="068A57C4">
                  <w:pPr>
                    <w:pStyle w:val="12"/>
                    <w:spacing w:after="0" w:line="240" w:lineRule="auto"/>
                    <w:jc w:val="center"/>
                    <w:rPr>
                      <w:sz w:val="21"/>
                      <w:szCs w:val="21"/>
                    </w:rPr>
                  </w:pPr>
                  <w:r>
                    <w:rPr>
                      <w:sz w:val="21"/>
                      <w:szCs w:val="21"/>
                    </w:rPr>
                    <w:t>/</w:t>
                  </w:r>
                </w:p>
              </w:tc>
              <w:tc>
                <w:tcPr>
                  <w:tcW w:w="851" w:type="dxa"/>
                  <w:vAlign w:val="center"/>
                </w:tcPr>
                <w:p w14:paraId="0455B686">
                  <w:pPr>
                    <w:jc w:val="center"/>
                    <w:rPr>
                      <w:szCs w:val="21"/>
                    </w:rPr>
                  </w:pPr>
                  <w:r>
                    <w:rPr>
                      <w:szCs w:val="21"/>
                    </w:rPr>
                    <w:t>6</w:t>
                  </w:r>
                </w:p>
              </w:tc>
              <w:tc>
                <w:tcPr>
                  <w:tcW w:w="850" w:type="dxa"/>
                  <w:vAlign w:val="center"/>
                </w:tcPr>
                <w:p w14:paraId="6747EE9F">
                  <w:pPr>
                    <w:jc w:val="center"/>
                    <w:rPr>
                      <w:szCs w:val="21"/>
                    </w:rPr>
                  </w:pPr>
                  <w:r>
                    <w:rPr>
                      <w:szCs w:val="21"/>
                    </w:rPr>
                    <w:t>台</w:t>
                  </w:r>
                </w:p>
              </w:tc>
              <w:tc>
                <w:tcPr>
                  <w:tcW w:w="1702" w:type="dxa"/>
                  <w:vAlign w:val="center"/>
                </w:tcPr>
                <w:p w14:paraId="4D9A2F97">
                  <w:pPr>
                    <w:jc w:val="center"/>
                    <w:rPr>
                      <w:szCs w:val="21"/>
                    </w:rPr>
                  </w:pPr>
                  <w:r>
                    <w:rPr>
                      <w:rFonts w:hint="eastAsia"/>
                      <w:szCs w:val="21"/>
                    </w:rPr>
                    <w:t>三车间1台，七车间3台，八车间2台</w:t>
                  </w:r>
                </w:p>
              </w:tc>
            </w:tr>
            <w:tr w14:paraId="6A6D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59F951A7">
                  <w:pPr>
                    <w:pStyle w:val="12"/>
                    <w:spacing w:after="0" w:line="240" w:lineRule="auto"/>
                    <w:jc w:val="center"/>
                    <w:rPr>
                      <w:sz w:val="21"/>
                      <w:szCs w:val="21"/>
                    </w:rPr>
                  </w:pPr>
                  <w:r>
                    <w:rPr>
                      <w:sz w:val="21"/>
                      <w:szCs w:val="21"/>
                    </w:rPr>
                    <w:t>6</w:t>
                  </w:r>
                </w:p>
              </w:tc>
              <w:tc>
                <w:tcPr>
                  <w:tcW w:w="2122" w:type="dxa"/>
                  <w:vAlign w:val="center"/>
                </w:tcPr>
                <w:p w14:paraId="4CBE4BEF">
                  <w:pPr>
                    <w:pStyle w:val="12"/>
                    <w:spacing w:after="0" w:line="240" w:lineRule="auto"/>
                    <w:jc w:val="center"/>
                    <w:rPr>
                      <w:sz w:val="21"/>
                      <w:szCs w:val="21"/>
                    </w:rPr>
                  </w:pPr>
                  <w:r>
                    <w:rPr>
                      <w:sz w:val="21"/>
                      <w:szCs w:val="21"/>
                    </w:rPr>
                    <w:t>袋式除尘器</w:t>
                  </w:r>
                </w:p>
              </w:tc>
              <w:tc>
                <w:tcPr>
                  <w:tcW w:w="2116" w:type="dxa"/>
                  <w:vAlign w:val="center"/>
                </w:tcPr>
                <w:p w14:paraId="3B73E89D">
                  <w:pPr>
                    <w:jc w:val="center"/>
                    <w:rPr>
                      <w:szCs w:val="21"/>
                    </w:rPr>
                  </w:pPr>
                  <w:r>
                    <w:rPr>
                      <w:szCs w:val="21"/>
                    </w:rPr>
                    <w:t>/</w:t>
                  </w:r>
                </w:p>
              </w:tc>
              <w:tc>
                <w:tcPr>
                  <w:tcW w:w="851" w:type="dxa"/>
                  <w:vAlign w:val="center"/>
                </w:tcPr>
                <w:p w14:paraId="68AFB23D">
                  <w:pPr>
                    <w:pStyle w:val="12"/>
                    <w:spacing w:after="0" w:line="240" w:lineRule="auto"/>
                    <w:jc w:val="center"/>
                    <w:rPr>
                      <w:sz w:val="21"/>
                      <w:szCs w:val="21"/>
                    </w:rPr>
                  </w:pPr>
                  <w:r>
                    <w:rPr>
                      <w:sz w:val="21"/>
                      <w:szCs w:val="21"/>
                    </w:rPr>
                    <w:t xml:space="preserve"> 6</w:t>
                  </w:r>
                </w:p>
              </w:tc>
              <w:tc>
                <w:tcPr>
                  <w:tcW w:w="850" w:type="dxa"/>
                  <w:vAlign w:val="center"/>
                </w:tcPr>
                <w:p w14:paraId="3755BAE2">
                  <w:pPr>
                    <w:jc w:val="center"/>
                    <w:rPr>
                      <w:szCs w:val="21"/>
                    </w:rPr>
                  </w:pPr>
                  <w:r>
                    <w:rPr>
                      <w:szCs w:val="21"/>
                    </w:rPr>
                    <w:t>台</w:t>
                  </w:r>
                </w:p>
              </w:tc>
              <w:tc>
                <w:tcPr>
                  <w:tcW w:w="1702" w:type="dxa"/>
                </w:tcPr>
                <w:p w14:paraId="6EEF3914">
                  <w:pPr>
                    <w:pStyle w:val="12"/>
                    <w:spacing w:after="0" w:line="240" w:lineRule="auto"/>
                    <w:jc w:val="center"/>
                    <w:rPr>
                      <w:sz w:val="21"/>
                      <w:szCs w:val="21"/>
                    </w:rPr>
                  </w:pPr>
                  <w:r>
                    <w:rPr>
                      <w:rFonts w:hint="eastAsia"/>
                      <w:szCs w:val="21"/>
                    </w:rPr>
                    <w:t>三车间1台，七车间3台，八车间2台</w:t>
                  </w:r>
                </w:p>
              </w:tc>
            </w:tr>
          </w:tbl>
          <w:p w14:paraId="42019205">
            <w:pPr>
              <w:adjustRightInd w:val="0"/>
              <w:snapToGrid w:val="0"/>
              <w:spacing w:line="360" w:lineRule="auto"/>
              <w:ind w:firstLine="480" w:firstLineChars="200"/>
              <w:rPr>
                <w:kern w:val="24"/>
                <w:sz w:val="24"/>
              </w:rPr>
            </w:pPr>
          </w:p>
          <w:p w14:paraId="514B9186">
            <w:pPr>
              <w:adjustRightInd w:val="0"/>
              <w:snapToGrid w:val="0"/>
              <w:spacing w:line="360" w:lineRule="auto"/>
              <w:jc w:val="left"/>
              <w:rPr>
                <w:b/>
                <w:bCs/>
                <w:sz w:val="24"/>
              </w:rPr>
            </w:pPr>
            <w:r>
              <w:rPr>
                <w:b/>
                <w:bCs/>
                <w:sz w:val="24"/>
              </w:rPr>
              <w:t>4</w:t>
            </w:r>
            <w:r>
              <w:rPr>
                <w:rFonts w:hint="eastAsia"/>
                <w:b/>
                <w:bCs/>
                <w:sz w:val="24"/>
              </w:rPr>
              <w:t>、主要原辅材料及能源</w:t>
            </w:r>
          </w:p>
          <w:p w14:paraId="09522B3B">
            <w:pPr>
              <w:adjustRightInd w:val="0"/>
              <w:snapToGrid w:val="0"/>
              <w:spacing w:line="360" w:lineRule="auto"/>
              <w:ind w:firstLine="480" w:firstLineChars="200"/>
              <w:rPr>
                <w:kern w:val="24"/>
                <w:sz w:val="24"/>
              </w:rPr>
            </w:pPr>
            <w:r>
              <w:rPr>
                <w:kern w:val="24"/>
                <w:sz w:val="24"/>
              </w:rPr>
              <w:t>本项目具体原辅材料使用消耗情况见表</w:t>
            </w:r>
            <w:r>
              <w:rPr>
                <w:rFonts w:hint="eastAsia"/>
                <w:kern w:val="24"/>
                <w:sz w:val="24"/>
              </w:rPr>
              <w:t>2</w:t>
            </w:r>
            <w:r>
              <w:rPr>
                <w:kern w:val="24"/>
                <w:sz w:val="24"/>
              </w:rPr>
              <w:t>-4。</w:t>
            </w:r>
          </w:p>
          <w:p w14:paraId="589D057A">
            <w:pPr>
              <w:adjustRightInd w:val="0"/>
              <w:snapToGrid w:val="0"/>
              <w:spacing w:line="360" w:lineRule="auto"/>
              <w:ind w:firstLine="482" w:firstLineChars="200"/>
              <w:jc w:val="center"/>
              <w:rPr>
                <w:b/>
                <w:bCs/>
                <w:kern w:val="24"/>
                <w:sz w:val="24"/>
              </w:rPr>
            </w:pPr>
            <w:r>
              <w:rPr>
                <w:b/>
                <w:bCs/>
                <w:kern w:val="24"/>
                <w:sz w:val="24"/>
              </w:rPr>
              <w:t xml:space="preserve">2-4  </w:t>
            </w:r>
            <w:r>
              <w:rPr>
                <w:rFonts w:hint="eastAsia"/>
                <w:b/>
                <w:bCs/>
                <w:kern w:val="24"/>
                <w:sz w:val="24"/>
              </w:rPr>
              <w:t>项目主要原辅材料及能源消耗表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140"/>
              <w:gridCol w:w="1180"/>
              <w:gridCol w:w="1276"/>
              <w:gridCol w:w="1417"/>
              <w:gridCol w:w="1324"/>
              <w:gridCol w:w="1976"/>
            </w:tblGrid>
            <w:tr w14:paraId="768F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35097E16">
                  <w:pPr>
                    <w:adjustRightInd w:val="0"/>
                    <w:jc w:val="center"/>
                    <w:textAlignment w:val="baseline"/>
                    <w:rPr>
                      <w:kern w:val="24"/>
                      <w:szCs w:val="21"/>
                    </w:rPr>
                  </w:pPr>
                  <w:r>
                    <w:rPr>
                      <w:rFonts w:hint="eastAsia"/>
                      <w:kern w:val="24"/>
                      <w:szCs w:val="21"/>
                    </w:rPr>
                    <w:t>类别</w:t>
                  </w:r>
                </w:p>
              </w:tc>
              <w:tc>
                <w:tcPr>
                  <w:tcW w:w="1140" w:type="dxa"/>
                  <w:vAlign w:val="center"/>
                </w:tcPr>
                <w:p w14:paraId="4836D115">
                  <w:pPr>
                    <w:adjustRightInd w:val="0"/>
                    <w:jc w:val="center"/>
                    <w:textAlignment w:val="baseline"/>
                    <w:rPr>
                      <w:kern w:val="24"/>
                      <w:szCs w:val="21"/>
                    </w:rPr>
                  </w:pPr>
                  <w:r>
                    <w:rPr>
                      <w:kern w:val="24"/>
                      <w:szCs w:val="21"/>
                    </w:rPr>
                    <w:t>名称</w:t>
                  </w:r>
                </w:p>
              </w:tc>
              <w:tc>
                <w:tcPr>
                  <w:tcW w:w="1180" w:type="dxa"/>
                  <w:vAlign w:val="center"/>
                </w:tcPr>
                <w:p w14:paraId="79FFEA38">
                  <w:pPr>
                    <w:adjustRightInd w:val="0"/>
                    <w:jc w:val="center"/>
                    <w:textAlignment w:val="baseline"/>
                    <w:rPr>
                      <w:kern w:val="24"/>
                      <w:szCs w:val="21"/>
                    </w:rPr>
                  </w:pPr>
                  <w:r>
                    <w:rPr>
                      <w:kern w:val="24"/>
                      <w:szCs w:val="21"/>
                    </w:rPr>
                    <w:t>单位</w:t>
                  </w:r>
                </w:p>
              </w:tc>
              <w:tc>
                <w:tcPr>
                  <w:tcW w:w="1276" w:type="dxa"/>
                  <w:vAlign w:val="center"/>
                </w:tcPr>
                <w:p w14:paraId="69C94D25">
                  <w:pPr>
                    <w:adjustRightInd w:val="0"/>
                    <w:jc w:val="center"/>
                    <w:textAlignment w:val="baseline"/>
                    <w:rPr>
                      <w:kern w:val="24"/>
                      <w:szCs w:val="21"/>
                    </w:rPr>
                  </w:pPr>
                  <w:r>
                    <w:rPr>
                      <w:rFonts w:hint="eastAsia"/>
                      <w:kern w:val="24"/>
                      <w:szCs w:val="21"/>
                    </w:rPr>
                    <w:t>年用量</w:t>
                  </w:r>
                </w:p>
              </w:tc>
              <w:tc>
                <w:tcPr>
                  <w:tcW w:w="1417" w:type="dxa"/>
                  <w:vAlign w:val="center"/>
                </w:tcPr>
                <w:p w14:paraId="6AA1665F">
                  <w:pPr>
                    <w:adjustRightInd w:val="0"/>
                    <w:jc w:val="center"/>
                    <w:textAlignment w:val="baseline"/>
                    <w:rPr>
                      <w:kern w:val="24"/>
                      <w:szCs w:val="21"/>
                    </w:rPr>
                  </w:pPr>
                  <w:r>
                    <w:rPr>
                      <w:rFonts w:hint="eastAsia"/>
                      <w:kern w:val="24"/>
                      <w:szCs w:val="21"/>
                    </w:rPr>
                    <w:t>最大储存量</w:t>
                  </w:r>
                </w:p>
              </w:tc>
              <w:tc>
                <w:tcPr>
                  <w:tcW w:w="1324" w:type="dxa"/>
                  <w:vAlign w:val="center"/>
                </w:tcPr>
                <w:p w14:paraId="1D85B375">
                  <w:pPr>
                    <w:adjustRightInd w:val="0"/>
                    <w:jc w:val="center"/>
                    <w:textAlignment w:val="baseline"/>
                    <w:rPr>
                      <w:kern w:val="24"/>
                      <w:szCs w:val="21"/>
                    </w:rPr>
                  </w:pPr>
                  <w:r>
                    <w:rPr>
                      <w:rFonts w:hint="eastAsia"/>
                      <w:kern w:val="24"/>
                      <w:szCs w:val="21"/>
                    </w:rPr>
                    <w:t>形态</w:t>
                  </w:r>
                </w:p>
              </w:tc>
              <w:tc>
                <w:tcPr>
                  <w:tcW w:w="1976" w:type="dxa"/>
                  <w:vAlign w:val="center"/>
                </w:tcPr>
                <w:p w14:paraId="4CE133DC">
                  <w:pPr>
                    <w:adjustRightInd w:val="0"/>
                    <w:jc w:val="center"/>
                    <w:textAlignment w:val="baseline"/>
                    <w:rPr>
                      <w:kern w:val="24"/>
                      <w:szCs w:val="21"/>
                    </w:rPr>
                  </w:pPr>
                  <w:r>
                    <w:rPr>
                      <w:rFonts w:hint="eastAsia"/>
                      <w:kern w:val="24"/>
                      <w:szCs w:val="21"/>
                    </w:rPr>
                    <w:t>备注</w:t>
                  </w:r>
                </w:p>
              </w:tc>
            </w:tr>
            <w:tr w14:paraId="5DE6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768628E7">
                  <w:pPr>
                    <w:adjustRightInd w:val="0"/>
                    <w:jc w:val="center"/>
                    <w:textAlignment w:val="baseline"/>
                    <w:rPr>
                      <w:kern w:val="24"/>
                      <w:szCs w:val="21"/>
                    </w:rPr>
                  </w:pPr>
                  <w:r>
                    <w:rPr>
                      <w:rFonts w:hint="eastAsia"/>
                      <w:kern w:val="24"/>
                      <w:szCs w:val="21"/>
                    </w:rPr>
                    <w:t>原料</w:t>
                  </w:r>
                </w:p>
              </w:tc>
              <w:tc>
                <w:tcPr>
                  <w:tcW w:w="1140" w:type="dxa"/>
                  <w:vAlign w:val="center"/>
                </w:tcPr>
                <w:p w14:paraId="13DC1B55">
                  <w:pPr>
                    <w:adjustRightInd w:val="0"/>
                    <w:jc w:val="center"/>
                    <w:textAlignment w:val="baseline"/>
                    <w:rPr>
                      <w:kern w:val="24"/>
                      <w:szCs w:val="21"/>
                    </w:rPr>
                  </w:pPr>
                  <w:r>
                    <w:rPr>
                      <w:kern w:val="24"/>
                      <w:szCs w:val="21"/>
                    </w:rPr>
                    <w:t>带钢</w:t>
                  </w:r>
                </w:p>
              </w:tc>
              <w:tc>
                <w:tcPr>
                  <w:tcW w:w="1180" w:type="dxa"/>
                  <w:vAlign w:val="center"/>
                </w:tcPr>
                <w:p w14:paraId="7E1157A1">
                  <w:pPr>
                    <w:adjustRightInd w:val="0"/>
                    <w:jc w:val="center"/>
                    <w:textAlignment w:val="baseline"/>
                    <w:rPr>
                      <w:kern w:val="24"/>
                      <w:szCs w:val="21"/>
                    </w:rPr>
                  </w:pPr>
                  <w:r>
                    <w:rPr>
                      <w:rFonts w:hint="eastAsia"/>
                      <w:kern w:val="24"/>
                      <w:szCs w:val="21"/>
                    </w:rPr>
                    <w:t>吨</w:t>
                  </w:r>
                </w:p>
              </w:tc>
              <w:tc>
                <w:tcPr>
                  <w:tcW w:w="1276" w:type="dxa"/>
                  <w:vAlign w:val="center"/>
                </w:tcPr>
                <w:p w14:paraId="7A5BADD3">
                  <w:pPr>
                    <w:adjustRightInd w:val="0"/>
                    <w:jc w:val="center"/>
                    <w:textAlignment w:val="baseline"/>
                    <w:rPr>
                      <w:kern w:val="24"/>
                      <w:szCs w:val="21"/>
                    </w:rPr>
                  </w:pPr>
                  <w:r>
                    <w:rPr>
                      <w:kern w:val="24"/>
                      <w:szCs w:val="21"/>
                    </w:rPr>
                    <w:t>204000</w:t>
                  </w:r>
                </w:p>
              </w:tc>
              <w:tc>
                <w:tcPr>
                  <w:tcW w:w="1417" w:type="dxa"/>
                  <w:vAlign w:val="center"/>
                </w:tcPr>
                <w:p w14:paraId="2A287F0D">
                  <w:pPr>
                    <w:adjustRightInd w:val="0"/>
                    <w:jc w:val="center"/>
                    <w:textAlignment w:val="baseline"/>
                    <w:rPr>
                      <w:kern w:val="24"/>
                      <w:szCs w:val="21"/>
                    </w:rPr>
                  </w:pPr>
                  <w:r>
                    <w:rPr>
                      <w:kern w:val="24"/>
                      <w:szCs w:val="21"/>
                    </w:rPr>
                    <w:t>700</w:t>
                  </w:r>
                </w:p>
              </w:tc>
              <w:tc>
                <w:tcPr>
                  <w:tcW w:w="1324" w:type="dxa"/>
                  <w:vAlign w:val="center"/>
                </w:tcPr>
                <w:p w14:paraId="64C8098F">
                  <w:pPr>
                    <w:adjustRightInd w:val="0"/>
                    <w:jc w:val="center"/>
                    <w:textAlignment w:val="baseline"/>
                    <w:rPr>
                      <w:kern w:val="24"/>
                      <w:szCs w:val="21"/>
                    </w:rPr>
                  </w:pPr>
                  <w:r>
                    <w:rPr>
                      <w:rFonts w:hint="eastAsia"/>
                      <w:kern w:val="24"/>
                      <w:szCs w:val="21"/>
                    </w:rPr>
                    <w:t>固态</w:t>
                  </w:r>
                </w:p>
              </w:tc>
              <w:tc>
                <w:tcPr>
                  <w:tcW w:w="1976" w:type="dxa"/>
                  <w:vAlign w:val="center"/>
                </w:tcPr>
                <w:p w14:paraId="6E9ED1E3">
                  <w:pPr>
                    <w:adjustRightInd w:val="0"/>
                    <w:jc w:val="center"/>
                    <w:textAlignment w:val="baseline"/>
                    <w:rPr>
                      <w:kern w:val="24"/>
                      <w:szCs w:val="21"/>
                    </w:rPr>
                  </w:pPr>
                  <w:r>
                    <w:rPr>
                      <w:rFonts w:hint="eastAsia"/>
                      <w:kern w:val="24"/>
                      <w:szCs w:val="21"/>
                    </w:rPr>
                    <w:t>外购，用于焊管生产</w:t>
                  </w:r>
                </w:p>
              </w:tc>
            </w:tr>
            <w:tr w14:paraId="26E8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restart"/>
                  <w:vAlign w:val="center"/>
                </w:tcPr>
                <w:p w14:paraId="7F002861">
                  <w:pPr>
                    <w:adjustRightInd w:val="0"/>
                    <w:jc w:val="center"/>
                    <w:textAlignment w:val="baseline"/>
                    <w:rPr>
                      <w:kern w:val="24"/>
                      <w:szCs w:val="21"/>
                    </w:rPr>
                  </w:pPr>
                  <w:r>
                    <w:rPr>
                      <w:rFonts w:hint="eastAsia"/>
                      <w:kern w:val="24"/>
                      <w:szCs w:val="21"/>
                    </w:rPr>
                    <w:t>辅料</w:t>
                  </w:r>
                </w:p>
              </w:tc>
              <w:tc>
                <w:tcPr>
                  <w:tcW w:w="1140" w:type="dxa"/>
                  <w:vAlign w:val="center"/>
                </w:tcPr>
                <w:p w14:paraId="441A18DC">
                  <w:pPr>
                    <w:adjustRightInd w:val="0"/>
                    <w:jc w:val="center"/>
                    <w:textAlignment w:val="baseline"/>
                    <w:rPr>
                      <w:kern w:val="24"/>
                      <w:szCs w:val="21"/>
                    </w:rPr>
                  </w:pPr>
                  <w:r>
                    <w:rPr>
                      <w:rFonts w:hint="eastAsia"/>
                      <w:kern w:val="24"/>
                      <w:szCs w:val="21"/>
                    </w:rPr>
                    <w:t>润滑油</w:t>
                  </w:r>
                </w:p>
              </w:tc>
              <w:tc>
                <w:tcPr>
                  <w:tcW w:w="1180" w:type="dxa"/>
                  <w:vAlign w:val="center"/>
                </w:tcPr>
                <w:p w14:paraId="38388112">
                  <w:pPr>
                    <w:adjustRightInd w:val="0"/>
                    <w:jc w:val="center"/>
                    <w:textAlignment w:val="baseline"/>
                    <w:rPr>
                      <w:kern w:val="24"/>
                      <w:szCs w:val="21"/>
                    </w:rPr>
                  </w:pPr>
                  <w:r>
                    <w:rPr>
                      <w:rFonts w:hint="eastAsia"/>
                      <w:kern w:val="24"/>
                      <w:szCs w:val="21"/>
                    </w:rPr>
                    <w:t>吨</w:t>
                  </w:r>
                </w:p>
              </w:tc>
              <w:tc>
                <w:tcPr>
                  <w:tcW w:w="1276" w:type="dxa"/>
                  <w:vAlign w:val="center"/>
                </w:tcPr>
                <w:p w14:paraId="6ABC5E83">
                  <w:pPr>
                    <w:adjustRightInd w:val="0"/>
                    <w:jc w:val="center"/>
                    <w:textAlignment w:val="baseline"/>
                    <w:rPr>
                      <w:kern w:val="24"/>
                      <w:szCs w:val="21"/>
                    </w:rPr>
                  </w:pPr>
                  <w:r>
                    <w:rPr>
                      <w:kern w:val="24"/>
                      <w:szCs w:val="21"/>
                    </w:rPr>
                    <w:t>0.6</w:t>
                  </w:r>
                </w:p>
              </w:tc>
              <w:tc>
                <w:tcPr>
                  <w:tcW w:w="1417" w:type="dxa"/>
                  <w:vAlign w:val="center"/>
                </w:tcPr>
                <w:p w14:paraId="5782B2A9">
                  <w:pPr>
                    <w:adjustRightInd w:val="0"/>
                    <w:jc w:val="center"/>
                    <w:textAlignment w:val="baseline"/>
                    <w:rPr>
                      <w:kern w:val="24"/>
                      <w:szCs w:val="21"/>
                    </w:rPr>
                  </w:pPr>
                  <w:r>
                    <w:rPr>
                      <w:rFonts w:hint="eastAsia"/>
                      <w:kern w:val="24"/>
                      <w:szCs w:val="21"/>
                    </w:rPr>
                    <w:t>0.2</w:t>
                  </w:r>
                </w:p>
              </w:tc>
              <w:tc>
                <w:tcPr>
                  <w:tcW w:w="1324" w:type="dxa"/>
                  <w:vAlign w:val="center"/>
                </w:tcPr>
                <w:p w14:paraId="13D17393">
                  <w:pPr>
                    <w:adjustRightInd w:val="0"/>
                    <w:jc w:val="center"/>
                    <w:textAlignment w:val="baseline"/>
                    <w:rPr>
                      <w:kern w:val="24"/>
                      <w:szCs w:val="21"/>
                    </w:rPr>
                  </w:pPr>
                  <w:r>
                    <w:rPr>
                      <w:rFonts w:hint="eastAsia"/>
                      <w:kern w:val="24"/>
                      <w:szCs w:val="21"/>
                    </w:rPr>
                    <w:t>液态</w:t>
                  </w:r>
                </w:p>
              </w:tc>
              <w:tc>
                <w:tcPr>
                  <w:tcW w:w="1976" w:type="dxa"/>
                  <w:vAlign w:val="center"/>
                </w:tcPr>
                <w:p w14:paraId="4C0CECE3">
                  <w:pPr>
                    <w:adjustRightInd w:val="0"/>
                    <w:jc w:val="center"/>
                    <w:textAlignment w:val="baseline"/>
                    <w:rPr>
                      <w:kern w:val="24"/>
                      <w:szCs w:val="21"/>
                    </w:rPr>
                  </w:pPr>
                  <w:r>
                    <w:rPr>
                      <w:rFonts w:hint="eastAsia"/>
                      <w:kern w:val="24"/>
                      <w:szCs w:val="21"/>
                    </w:rPr>
                    <w:t>外购，用于生产设备润滑</w:t>
                  </w:r>
                </w:p>
              </w:tc>
            </w:tr>
            <w:tr w14:paraId="33E9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vAlign w:val="center"/>
                </w:tcPr>
                <w:p w14:paraId="46126163">
                  <w:pPr>
                    <w:adjustRightInd w:val="0"/>
                    <w:jc w:val="center"/>
                    <w:textAlignment w:val="baseline"/>
                    <w:rPr>
                      <w:kern w:val="24"/>
                      <w:szCs w:val="21"/>
                    </w:rPr>
                  </w:pPr>
                </w:p>
              </w:tc>
              <w:tc>
                <w:tcPr>
                  <w:tcW w:w="1140" w:type="dxa"/>
                  <w:vAlign w:val="center"/>
                </w:tcPr>
                <w:p w14:paraId="4A2EDA5F">
                  <w:pPr>
                    <w:adjustRightInd w:val="0"/>
                    <w:jc w:val="center"/>
                    <w:textAlignment w:val="baseline"/>
                    <w:rPr>
                      <w:kern w:val="24"/>
                      <w:szCs w:val="21"/>
                    </w:rPr>
                  </w:pPr>
                  <w:r>
                    <w:rPr>
                      <w:rFonts w:hint="eastAsia"/>
                      <w:kern w:val="24"/>
                      <w:szCs w:val="21"/>
                    </w:rPr>
                    <w:t>肥皂</w:t>
                  </w:r>
                </w:p>
              </w:tc>
              <w:tc>
                <w:tcPr>
                  <w:tcW w:w="1180" w:type="dxa"/>
                  <w:vAlign w:val="center"/>
                </w:tcPr>
                <w:p w14:paraId="027C4C53">
                  <w:pPr>
                    <w:adjustRightInd w:val="0"/>
                    <w:jc w:val="center"/>
                    <w:textAlignment w:val="baseline"/>
                    <w:rPr>
                      <w:kern w:val="24"/>
                      <w:szCs w:val="21"/>
                    </w:rPr>
                  </w:pPr>
                  <w:r>
                    <w:rPr>
                      <w:rFonts w:hint="eastAsia"/>
                      <w:kern w:val="24"/>
                      <w:szCs w:val="21"/>
                    </w:rPr>
                    <w:t>吨</w:t>
                  </w:r>
                </w:p>
              </w:tc>
              <w:tc>
                <w:tcPr>
                  <w:tcW w:w="1276" w:type="dxa"/>
                  <w:vAlign w:val="center"/>
                </w:tcPr>
                <w:p w14:paraId="7588CF83">
                  <w:pPr>
                    <w:adjustRightInd w:val="0"/>
                    <w:jc w:val="center"/>
                    <w:textAlignment w:val="baseline"/>
                    <w:rPr>
                      <w:kern w:val="24"/>
                      <w:szCs w:val="21"/>
                    </w:rPr>
                  </w:pPr>
                  <w:r>
                    <w:rPr>
                      <w:kern w:val="24"/>
                      <w:szCs w:val="21"/>
                    </w:rPr>
                    <w:t>1</w:t>
                  </w:r>
                </w:p>
              </w:tc>
              <w:tc>
                <w:tcPr>
                  <w:tcW w:w="1417" w:type="dxa"/>
                  <w:vAlign w:val="center"/>
                </w:tcPr>
                <w:p w14:paraId="1C8DB9BF">
                  <w:pPr>
                    <w:adjustRightInd w:val="0"/>
                    <w:jc w:val="center"/>
                    <w:textAlignment w:val="baseline"/>
                    <w:rPr>
                      <w:kern w:val="24"/>
                      <w:szCs w:val="21"/>
                    </w:rPr>
                  </w:pPr>
                  <w:r>
                    <w:rPr>
                      <w:kern w:val="24"/>
                      <w:szCs w:val="21"/>
                    </w:rPr>
                    <w:t>0.2</w:t>
                  </w:r>
                </w:p>
              </w:tc>
              <w:tc>
                <w:tcPr>
                  <w:tcW w:w="1324" w:type="dxa"/>
                  <w:vAlign w:val="center"/>
                </w:tcPr>
                <w:p w14:paraId="1F298ABD">
                  <w:pPr>
                    <w:adjustRightInd w:val="0"/>
                    <w:jc w:val="center"/>
                    <w:textAlignment w:val="baseline"/>
                    <w:rPr>
                      <w:kern w:val="24"/>
                      <w:szCs w:val="21"/>
                    </w:rPr>
                  </w:pPr>
                  <w:r>
                    <w:rPr>
                      <w:rFonts w:hint="eastAsia"/>
                      <w:kern w:val="24"/>
                      <w:szCs w:val="21"/>
                    </w:rPr>
                    <w:t>固态</w:t>
                  </w:r>
                </w:p>
              </w:tc>
              <w:tc>
                <w:tcPr>
                  <w:tcW w:w="1976" w:type="dxa"/>
                  <w:vAlign w:val="center"/>
                </w:tcPr>
                <w:p w14:paraId="041BA730">
                  <w:pPr>
                    <w:adjustRightInd w:val="0"/>
                    <w:jc w:val="center"/>
                    <w:textAlignment w:val="baseline"/>
                    <w:rPr>
                      <w:kern w:val="24"/>
                      <w:szCs w:val="21"/>
                    </w:rPr>
                  </w:pPr>
                  <w:r>
                    <w:rPr>
                      <w:rFonts w:hint="eastAsia"/>
                      <w:kern w:val="24"/>
                      <w:szCs w:val="21"/>
                    </w:rPr>
                    <w:t>外购，用于直接冷却水，做润滑作用</w:t>
                  </w:r>
                </w:p>
              </w:tc>
            </w:tr>
            <w:tr w14:paraId="76C2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vAlign w:val="center"/>
                </w:tcPr>
                <w:p w14:paraId="5354B12E">
                  <w:pPr>
                    <w:adjustRightInd w:val="0"/>
                    <w:jc w:val="center"/>
                    <w:textAlignment w:val="baseline"/>
                    <w:rPr>
                      <w:kern w:val="24"/>
                      <w:szCs w:val="21"/>
                    </w:rPr>
                  </w:pPr>
                </w:p>
              </w:tc>
              <w:tc>
                <w:tcPr>
                  <w:tcW w:w="1140" w:type="dxa"/>
                  <w:vAlign w:val="center"/>
                </w:tcPr>
                <w:p w14:paraId="731E0567">
                  <w:pPr>
                    <w:adjustRightInd w:val="0"/>
                    <w:jc w:val="center"/>
                    <w:textAlignment w:val="baseline"/>
                    <w:rPr>
                      <w:kern w:val="24"/>
                      <w:szCs w:val="21"/>
                    </w:rPr>
                  </w:pPr>
                  <w:r>
                    <w:rPr>
                      <w:rFonts w:hint="eastAsia"/>
                      <w:kern w:val="24"/>
                      <w:szCs w:val="21"/>
                    </w:rPr>
                    <w:t>铝丝</w:t>
                  </w:r>
                </w:p>
              </w:tc>
              <w:tc>
                <w:tcPr>
                  <w:tcW w:w="1180" w:type="dxa"/>
                  <w:vAlign w:val="center"/>
                </w:tcPr>
                <w:p w14:paraId="61C23C7F">
                  <w:pPr>
                    <w:adjustRightInd w:val="0"/>
                    <w:jc w:val="center"/>
                    <w:textAlignment w:val="baseline"/>
                    <w:rPr>
                      <w:kern w:val="24"/>
                      <w:szCs w:val="21"/>
                    </w:rPr>
                  </w:pPr>
                  <w:r>
                    <w:rPr>
                      <w:rFonts w:hint="eastAsia"/>
                      <w:kern w:val="24"/>
                      <w:szCs w:val="21"/>
                    </w:rPr>
                    <w:t>吨</w:t>
                  </w:r>
                </w:p>
              </w:tc>
              <w:tc>
                <w:tcPr>
                  <w:tcW w:w="1276" w:type="dxa"/>
                  <w:vAlign w:val="center"/>
                </w:tcPr>
                <w:p w14:paraId="7397CC8B">
                  <w:pPr>
                    <w:adjustRightInd w:val="0"/>
                    <w:jc w:val="center"/>
                    <w:textAlignment w:val="baseline"/>
                    <w:rPr>
                      <w:kern w:val="24"/>
                      <w:szCs w:val="21"/>
                    </w:rPr>
                  </w:pPr>
                  <w:r>
                    <w:rPr>
                      <w:rFonts w:hint="eastAsia"/>
                      <w:kern w:val="24"/>
                      <w:szCs w:val="21"/>
                    </w:rPr>
                    <w:t>2</w:t>
                  </w:r>
                </w:p>
              </w:tc>
              <w:tc>
                <w:tcPr>
                  <w:tcW w:w="1417" w:type="dxa"/>
                  <w:vAlign w:val="center"/>
                </w:tcPr>
                <w:p w14:paraId="218EECBB">
                  <w:pPr>
                    <w:adjustRightInd w:val="0"/>
                    <w:jc w:val="center"/>
                    <w:textAlignment w:val="baseline"/>
                    <w:rPr>
                      <w:kern w:val="24"/>
                      <w:szCs w:val="21"/>
                    </w:rPr>
                  </w:pPr>
                  <w:r>
                    <w:rPr>
                      <w:rFonts w:hint="eastAsia"/>
                      <w:kern w:val="24"/>
                      <w:szCs w:val="21"/>
                    </w:rPr>
                    <w:t>0</w:t>
                  </w:r>
                  <w:r>
                    <w:rPr>
                      <w:kern w:val="24"/>
                      <w:szCs w:val="21"/>
                    </w:rPr>
                    <w:t>.2</w:t>
                  </w:r>
                </w:p>
              </w:tc>
              <w:tc>
                <w:tcPr>
                  <w:tcW w:w="1324" w:type="dxa"/>
                  <w:vAlign w:val="center"/>
                </w:tcPr>
                <w:p w14:paraId="285C9863">
                  <w:pPr>
                    <w:adjustRightInd w:val="0"/>
                    <w:jc w:val="center"/>
                    <w:textAlignment w:val="baseline"/>
                    <w:rPr>
                      <w:kern w:val="24"/>
                      <w:szCs w:val="21"/>
                    </w:rPr>
                  </w:pPr>
                  <w:r>
                    <w:rPr>
                      <w:rFonts w:hint="eastAsia"/>
                      <w:kern w:val="24"/>
                      <w:szCs w:val="21"/>
                    </w:rPr>
                    <w:t>固态</w:t>
                  </w:r>
                </w:p>
              </w:tc>
              <w:tc>
                <w:tcPr>
                  <w:tcW w:w="1976" w:type="dxa"/>
                  <w:vAlign w:val="center"/>
                </w:tcPr>
                <w:p w14:paraId="031C7BB5">
                  <w:pPr>
                    <w:adjustRightInd w:val="0"/>
                    <w:jc w:val="center"/>
                    <w:textAlignment w:val="baseline"/>
                    <w:rPr>
                      <w:kern w:val="24"/>
                      <w:szCs w:val="21"/>
                    </w:rPr>
                  </w:pPr>
                  <w:r>
                    <w:rPr>
                      <w:rFonts w:hint="eastAsia"/>
                      <w:kern w:val="24"/>
                      <w:szCs w:val="21"/>
                    </w:rPr>
                    <w:t>外购，用于焊缝修补</w:t>
                  </w:r>
                </w:p>
              </w:tc>
            </w:tr>
            <w:tr w14:paraId="6849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restart"/>
                  <w:vAlign w:val="center"/>
                </w:tcPr>
                <w:p w14:paraId="4D665E42">
                  <w:pPr>
                    <w:adjustRightInd w:val="0"/>
                    <w:jc w:val="center"/>
                    <w:textAlignment w:val="baseline"/>
                    <w:rPr>
                      <w:kern w:val="24"/>
                      <w:szCs w:val="21"/>
                    </w:rPr>
                  </w:pPr>
                  <w:r>
                    <w:rPr>
                      <w:rFonts w:hint="eastAsia"/>
                      <w:kern w:val="24"/>
                      <w:szCs w:val="21"/>
                    </w:rPr>
                    <w:t>能源</w:t>
                  </w:r>
                </w:p>
              </w:tc>
              <w:tc>
                <w:tcPr>
                  <w:tcW w:w="1140" w:type="dxa"/>
                  <w:vAlign w:val="center"/>
                </w:tcPr>
                <w:p w14:paraId="6B3ADC05">
                  <w:pPr>
                    <w:adjustRightInd w:val="0"/>
                    <w:jc w:val="center"/>
                    <w:textAlignment w:val="baseline"/>
                    <w:rPr>
                      <w:kern w:val="24"/>
                      <w:szCs w:val="21"/>
                    </w:rPr>
                  </w:pPr>
                  <w:r>
                    <w:rPr>
                      <w:rFonts w:hint="eastAsia"/>
                      <w:kern w:val="24"/>
                      <w:szCs w:val="21"/>
                    </w:rPr>
                    <w:t>电力</w:t>
                  </w:r>
                </w:p>
              </w:tc>
              <w:tc>
                <w:tcPr>
                  <w:tcW w:w="1180" w:type="dxa"/>
                  <w:vAlign w:val="center"/>
                </w:tcPr>
                <w:p w14:paraId="4C17A80C">
                  <w:pPr>
                    <w:adjustRightInd w:val="0"/>
                    <w:jc w:val="center"/>
                    <w:textAlignment w:val="baseline"/>
                    <w:rPr>
                      <w:kern w:val="24"/>
                      <w:szCs w:val="21"/>
                    </w:rPr>
                  </w:pPr>
                  <w:r>
                    <w:rPr>
                      <w:rFonts w:hint="eastAsia"/>
                      <w:kern w:val="24"/>
                      <w:szCs w:val="21"/>
                    </w:rPr>
                    <w:t>万kW·h</w:t>
                  </w:r>
                </w:p>
              </w:tc>
              <w:tc>
                <w:tcPr>
                  <w:tcW w:w="1276" w:type="dxa"/>
                  <w:vAlign w:val="center"/>
                </w:tcPr>
                <w:p w14:paraId="4296B47E">
                  <w:pPr>
                    <w:adjustRightInd w:val="0"/>
                    <w:jc w:val="center"/>
                    <w:textAlignment w:val="baseline"/>
                    <w:rPr>
                      <w:kern w:val="24"/>
                      <w:szCs w:val="21"/>
                    </w:rPr>
                  </w:pPr>
                  <w:r>
                    <w:t>400</w:t>
                  </w:r>
                </w:p>
              </w:tc>
              <w:tc>
                <w:tcPr>
                  <w:tcW w:w="1417" w:type="dxa"/>
                  <w:vAlign w:val="center"/>
                </w:tcPr>
                <w:p w14:paraId="2A972156">
                  <w:pPr>
                    <w:adjustRightInd w:val="0"/>
                    <w:jc w:val="center"/>
                    <w:textAlignment w:val="baseline"/>
                    <w:rPr>
                      <w:kern w:val="24"/>
                      <w:szCs w:val="21"/>
                    </w:rPr>
                  </w:pPr>
                  <w:r>
                    <w:rPr>
                      <w:rFonts w:hint="eastAsia"/>
                      <w:kern w:val="24"/>
                      <w:szCs w:val="21"/>
                    </w:rPr>
                    <w:t>/</w:t>
                  </w:r>
                </w:p>
              </w:tc>
              <w:tc>
                <w:tcPr>
                  <w:tcW w:w="1324" w:type="dxa"/>
                  <w:vAlign w:val="center"/>
                </w:tcPr>
                <w:p w14:paraId="050E5C4A">
                  <w:pPr>
                    <w:adjustRightInd w:val="0"/>
                    <w:jc w:val="center"/>
                    <w:textAlignment w:val="baseline"/>
                    <w:rPr>
                      <w:kern w:val="24"/>
                      <w:szCs w:val="21"/>
                    </w:rPr>
                  </w:pPr>
                  <w:r>
                    <w:rPr>
                      <w:rFonts w:hint="eastAsia"/>
                      <w:kern w:val="24"/>
                      <w:szCs w:val="21"/>
                    </w:rPr>
                    <w:t>/</w:t>
                  </w:r>
                </w:p>
              </w:tc>
              <w:tc>
                <w:tcPr>
                  <w:tcW w:w="1976" w:type="dxa"/>
                  <w:vAlign w:val="center"/>
                </w:tcPr>
                <w:p w14:paraId="02E6B8BD">
                  <w:pPr>
                    <w:adjustRightInd w:val="0"/>
                    <w:jc w:val="center"/>
                    <w:textAlignment w:val="baseline"/>
                    <w:rPr>
                      <w:kern w:val="24"/>
                      <w:szCs w:val="21"/>
                    </w:rPr>
                  </w:pPr>
                  <w:r>
                    <w:rPr>
                      <w:rFonts w:hint="eastAsia"/>
                      <w:kern w:val="24"/>
                      <w:szCs w:val="21"/>
                    </w:rPr>
                    <w:t>市政供电</w:t>
                  </w:r>
                </w:p>
              </w:tc>
            </w:tr>
            <w:tr w14:paraId="078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vAlign w:val="center"/>
                </w:tcPr>
                <w:p w14:paraId="4D324EC9">
                  <w:pPr>
                    <w:adjustRightInd w:val="0"/>
                    <w:jc w:val="center"/>
                    <w:textAlignment w:val="baseline"/>
                    <w:rPr>
                      <w:kern w:val="24"/>
                      <w:szCs w:val="21"/>
                    </w:rPr>
                  </w:pPr>
                </w:p>
              </w:tc>
              <w:tc>
                <w:tcPr>
                  <w:tcW w:w="1140" w:type="dxa"/>
                  <w:vAlign w:val="center"/>
                </w:tcPr>
                <w:p w14:paraId="1E056497">
                  <w:pPr>
                    <w:adjustRightInd w:val="0"/>
                    <w:jc w:val="center"/>
                    <w:textAlignment w:val="baseline"/>
                    <w:rPr>
                      <w:kern w:val="24"/>
                      <w:szCs w:val="21"/>
                    </w:rPr>
                  </w:pPr>
                  <w:r>
                    <w:rPr>
                      <w:rFonts w:hint="eastAsia"/>
                      <w:kern w:val="24"/>
                      <w:szCs w:val="21"/>
                    </w:rPr>
                    <w:t>水</w:t>
                  </w:r>
                </w:p>
              </w:tc>
              <w:tc>
                <w:tcPr>
                  <w:tcW w:w="1180" w:type="dxa"/>
                  <w:vAlign w:val="center"/>
                </w:tcPr>
                <w:p w14:paraId="4FF0BA17">
                  <w:pPr>
                    <w:adjustRightInd w:val="0"/>
                    <w:jc w:val="center"/>
                    <w:textAlignment w:val="baseline"/>
                    <w:rPr>
                      <w:kern w:val="24"/>
                      <w:szCs w:val="21"/>
                    </w:rPr>
                  </w:pPr>
                  <w:r>
                    <w:rPr>
                      <w:rFonts w:hint="eastAsia"/>
                      <w:kern w:val="24"/>
                      <w:szCs w:val="21"/>
                    </w:rPr>
                    <w:t>吨</w:t>
                  </w:r>
                </w:p>
              </w:tc>
              <w:tc>
                <w:tcPr>
                  <w:tcW w:w="1276" w:type="dxa"/>
                  <w:vAlign w:val="center"/>
                </w:tcPr>
                <w:p w14:paraId="611FD7E6">
                  <w:pPr>
                    <w:adjustRightInd w:val="0"/>
                    <w:jc w:val="center"/>
                    <w:textAlignment w:val="baseline"/>
                    <w:rPr>
                      <w:kern w:val="24"/>
                      <w:szCs w:val="21"/>
                    </w:rPr>
                  </w:pPr>
                  <w:r>
                    <w:rPr>
                      <w:rFonts w:hint="eastAsia"/>
                      <w:kern w:val="0"/>
                      <w:szCs w:val="21"/>
                      <w:lang w:bidi="ar"/>
                    </w:rPr>
                    <w:t>5</w:t>
                  </w:r>
                  <w:r>
                    <w:rPr>
                      <w:kern w:val="0"/>
                      <w:szCs w:val="21"/>
                      <w:lang w:bidi="ar"/>
                    </w:rPr>
                    <w:t>820</w:t>
                  </w:r>
                </w:p>
              </w:tc>
              <w:tc>
                <w:tcPr>
                  <w:tcW w:w="1417" w:type="dxa"/>
                  <w:vAlign w:val="center"/>
                </w:tcPr>
                <w:p w14:paraId="1DAA80B4">
                  <w:pPr>
                    <w:adjustRightInd w:val="0"/>
                    <w:jc w:val="center"/>
                    <w:textAlignment w:val="baseline"/>
                    <w:rPr>
                      <w:kern w:val="24"/>
                      <w:szCs w:val="21"/>
                    </w:rPr>
                  </w:pPr>
                  <w:r>
                    <w:rPr>
                      <w:rFonts w:hint="eastAsia"/>
                      <w:kern w:val="24"/>
                      <w:szCs w:val="21"/>
                    </w:rPr>
                    <w:t>/</w:t>
                  </w:r>
                </w:p>
              </w:tc>
              <w:tc>
                <w:tcPr>
                  <w:tcW w:w="1324" w:type="dxa"/>
                  <w:vAlign w:val="center"/>
                </w:tcPr>
                <w:p w14:paraId="2ED0E867">
                  <w:pPr>
                    <w:adjustRightInd w:val="0"/>
                    <w:jc w:val="center"/>
                    <w:textAlignment w:val="baseline"/>
                  </w:pPr>
                  <w:r>
                    <w:rPr>
                      <w:rFonts w:hint="eastAsia"/>
                      <w:kern w:val="24"/>
                      <w:szCs w:val="21"/>
                    </w:rPr>
                    <w:t>/</w:t>
                  </w:r>
                </w:p>
              </w:tc>
              <w:tc>
                <w:tcPr>
                  <w:tcW w:w="1976" w:type="dxa"/>
                  <w:vAlign w:val="center"/>
                </w:tcPr>
                <w:p w14:paraId="31182D51">
                  <w:pPr>
                    <w:adjustRightInd w:val="0"/>
                    <w:jc w:val="center"/>
                    <w:textAlignment w:val="baseline"/>
                    <w:rPr>
                      <w:kern w:val="24"/>
                      <w:szCs w:val="21"/>
                    </w:rPr>
                  </w:pPr>
                  <w:r>
                    <w:t>市政供水</w:t>
                  </w:r>
                </w:p>
              </w:tc>
            </w:tr>
          </w:tbl>
          <w:p w14:paraId="2AEE0C5E">
            <w:pPr>
              <w:adjustRightInd w:val="0"/>
              <w:snapToGrid w:val="0"/>
              <w:spacing w:line="360" w:lineRule="auto"/>
              <w:ind w:firstLine="480" w:firstLineChars="200"/>
              <w:jc w:val="left"/>
              <w:rPr>
                <w:sz w:val="24"/>
              </w:rPr>
            </w:pPr>
          </w:p>
          <w:p w14:paraId="36D3BBA2">
            <w:pPr>
              <w:adjustRightInd w:val="0"/>
              <w:snapToGrid w:val="0"/>
              <w:spacing w:line="360" w:lineRule="auto"/>
              <w:jc w:val="left"/>
              <w:rPr>
                <w:b/>
                <w:bCs/>
                <w:sz w:val="24"/>
              </w:rPr>
            </w:pPr>
            <w:r>
              <w:rPr>
                <w:rFonts w:hint="eastAsia"/>
                <w:b/>
                <w:bCs/>
                <w:sz w:val="24"/>
              </w:rPr>
              <w:t>5、劳动定员和工作制度</w:t>
            </w:r>
          </w:p>
          <w:p w14:paraId="7F82F258">
            <w:pPr>
              <w:adjustRightInd w:val="0"/>
              <w:snapToGrid w:val="0"/>
              <w:spacing w:line="360" w:lineRule="auto"/>
              <w:ind w:firstLine="480" w:firstLineChars="200"/>
              <w:rPr>
                <w:bCs/>
                <w:sz w:val="24"/>
              </w:rPr>
            </w:pPr>
            <w:r>
              <w:rPr>
                <w:rFonts w:hint="eastAsia"/>
                <w:bCs/>
                <w:sz w:val="24"/>
              </w:rPr>
              <w:t>劳动定员：本项目劳动定员</w:t>
            </w:r>
            <w:r>
              <w:rPr>
                <w:bCs/>
                <w:sz w:val="24"/>
              </w:rPr>
              <w:t>60</w:t>
            </w:r>
            <w:r>
              <w:rPr>
                <w:rFonts w:hint="eastAsia"/>
                <w:bCs/>
                <w:sz w:val="24"/>
              </w:rPr>
              <w:t>人。</w:t>
            </w:r>
            <w:r>
              <w:rPr>
                <w:bCs/>
                <w:sz w:val="24"/>
              </w:rPr>
              <w:t>60</w:t>
            </w:r>
            <w:r>
              <w:rPr>
                <w:rFonts w:hint="eastAsia"/>
                <w:bCs/>
                <w:sz w:val="24"/>
              </w:rPr>
              <w:t>人在厂内食堂就餐，20人在厂内生活区住宿。</w:t>
            </w:r>
          </w:p>
          <w:p w14:paraId="6A071CA2">
            <w:pPr>
              <w:adjustRightInd w:val="0"/>
              <w:snapToGrid w:val="0"/>
              <w:spacing w:line="360" w:lineRule="auto"/>
              <w:ind w:firstLine="480" w:firstLineChars="200"/>
              <w:rPr>
                <w:bCs/>
                <w:sz w:val="24"/>
              </w:rPr>
            </w:pPr>
            <w:r>
              <w:rPr>
                <w:rFonts w:hint="eastAsia"/>
                <w:bCs/>
                <w:sz w:val="24"/>
              </w:rPr>
              <w:t>工作制度：</w:t>
            </w:r>
            <w:r>
              <w:rPr>
                <w:rFonts w:hint="eastAsia"/>
                <w:kern w:val="24"/>
                <w:sz w:val="24"/>
              </w:rPr>
              <w:t>本项目年工作</w:t>
            </w:r>
            <w:r>
              <w:rPr>
                <w:kern w:val="24"/>
                <w:sz w:val="24"/>
              </w:rPr>
              <w:t>300</w:t>
            </w:r>
            <w:r>
              <w:rPr>
                <w:rFonts w:hint="eastAsia"/>
                <w:kern w:val="24"/>
                <w:sz w:val="24"/>
              </w:rPr>
              <w:t>天</w:t>
            </w:r>
            <w:r>
              <w:rPr>
                <w:rFonts w:hint="eastAsia"/>
                <w:bCs/>
                <w:sz w:val="24"/>
              </w:rPr>
              <w:t>，实行两班制，每班</w:t>
            </w:r>
            <w:r>
              <w:rPr>
                <w:bCs/>
                <w:sz w:val="24"/>
              </w:rPr>
              <w:t>10</w:t>
            </w:r>
            <w:r>
              <w:rPr>
                <w:rFonts w:hint="eastAsia"/>
                <w:bCs/>
                <w:sz w:val="24"/>
              </w:rPr>
              <w:t>小时，年工作时间6</w:t>
            </w:r>
            <w:r>
              <w:rPr>
                <w:bCs/>
                <w:sz w:val="24"/>
              </w:rPr>
              <w:t>000h</w:t>
            </w:r>
            <w:r>
              <w:rPr>
                <w:rFonts w:hint="eastAsia"/>
                <w:bCs/>
                <w:sz w:val="24"/>
              </w:rPr>
              <w:t>。</w:t>
            </w:r>
          </w:p>
          <w:p w14:paraId="6E1866CD">
            <w:pPr>
              <w:adjustRightInd w:val="0"/>
              <w:snapToGrid w:val="0"/>
              <w:spacing w:line="360" w:lineRule="auto"/>
              <w:jc w:val="left"/>
              <w:rPr>
                <w:b/>
                <w:bCs/>
                <w:sz w:val="24"/>
              </w:rPr>
            </w:pPr>
            <w:bookmarkStart w:id="5" w:name="_Hlk157613922"/>
            <w:r>
              <w:rPr>
                <w:b/>
                <w:bCs/>
                <w:sz w:val="24"/>
              </w:rPr>
              <w:t>6</w:t>
            </w:r>
            <w:r>
              <w:rPr>
                <w:rFonts w:hint="eastAsia"/>
                <w:b/>
                <w:bCs/>
                <w:sz w:val="24"/>
              </w:rPr>
              <w:t>、水平衡分析</w:t>
            </w:r>
          </w:p>
          <w:p w14:paraId="4934C818">
            <w:pPr>
              <w:adjustRightInd w:val="0"/>
              <w:snapToGrid w:val="0"/>
              <w:spacing w:line="360" w:lineRule="auto"/>
              <w:jc w:val="left"/>
              <w:rPr>
                <w:b/>
                <w:bCs/>
                <w:sz w:val="24"/>
              </w:rPr>
            </w:pPr>
            <w:r>
              <w:rPr>
                <w:rFonts w:hint="eastAsia"/>
                <w:b/>
                <w:bCs/>
                <w:sz w:val="24"/>
              </w:rPr>
              <w:t>6.1 用水量</w:t>
            </w:r>
          </w:p>
          <w:p w14:paraId="08ED10C9">
            <w:pPr>
              <w:pStyle w:val="58"/>
              <w:spacing w:line="360" w:lineRule="auto"/>
              <w:ind w:firstLine="480" w:firstLineChars="200"/>
              <w:rPr>
                <w:rFonts w:hint="eastAsia"/>
                <w:kern w:val="24"/>
                <w:sz w:val="24"/>
              </w:rPr>
            </w:pPr>
            <w:r>
              <w:rPr>
                <w:kern w:val="24"/>
                <w:sz w:val="24"/>
              </w:rPr>
              <w:t>本项目用水主要为生活用水</w:t>
            </w:r>
            <w:r>
              <w:rPr>
                <w:rFonts w:hint="eastAsia"/>
                <w:kern w:val="24"/>
                <w:sz w:val="24"/>
              </w:rPr>
              <w:t>、间接冷却水补水、直接冷却水补水</w:t>
            </w:r>
            <w:r>
              <w:rPr>
                <w:kern w:val="24"/>
                <w:sz w:val="24"/>
              </w:rPr>
              <w:t>。</w:t>
            </w:r>
          </w:p>
          <w:p w14:paraId="5D5E1D64">
            <w:pPr>
              <w:adjustRightInd w:val="0"/>
              <w:snapToGrid w:val="0"/>
              <w:spacing w:line="360" w:lineRule="auto"/>
              <w:ind w:firstLine="480" w:firstLineChars="200"/>
              <w:rPr>
                <w:bCs/>
                <w:sz w:val="24"/>
              </w:rPr>
            </w:pPr>
            <w:r>
              <w:rPr>
                <w:rFonts w:hint="eastAsia"/>
                <w:bCs/>
                <w:sz w:val="24"/>
              </w:rPr>
              <w:t>（</w:t>
            </w:r>
            <w:r>
              <w:rPr>
                <w:bCs/>
                <w:sz w:val="24"/>
              </w:rPr>
              <w:t>1</w:t>
            </w:r>
            <w:r>
              <w:rPr>
                <w:rFonts w:hint="eastAsia"/>
                <w:bCs/>
                <w:sz w:val="24"/>
              </w:rPr>
              <w:t>）生活用水</w:t>
            </w:r>
          </w:p>
          <w:p w14:paraId="6578AA3B">
            <w:pPr>
              <w:pStyle w:val="31"/>
              <w:snapToGrid w:val="0"/>
              <w:spacing w:after="0" w:line="360" w:lineRule="auto"/>
              <w:ind w:left="0" w:leftChars="0" w:firstLine="480"/>
              <w:rPr>
                <w:bCs/>
                <w:sz w:val="24"/>
              </w:rPr>
            </w:pPr>
            <w:r>
              <w:rPr>
                <w:kern w:val="24"/>
                <w:sz w:val="24"/>
              </w:rPr>
              <w:t>项目建成后共有职工60人，</w:t>
            </w:r>
            <w:r>
              <w:rPr>
                <w:bCs/>
                <w:sz w:val="24"/>
              </w:rPr>
              <w:t>60</w:t>
            </w:r>
            <w:r>
              <w:rPr>
                <w:rFonts w:hint="eastAsia"/>
                <w:bCs/>
                <w:sz w:val="24"/>
              </w:rPr>
              <w:t>人在厂内食堂就餐，20人在厂内生活区住宿。</w:t>
            </w:r>
          </w:p>
          <w:p w14:paraId="0A95F49C">
            <w:pPr>
              <w:pStyle w:val="31"/>
              <w:snapToGrid w:val="0"/>
              <w:spacing w:after="0" w:line="360" w:lineRule="auto"/>
              <w:ind w:left="0" w:leftChars="0" w:firstLine="480"/>
              <w:rPr>
                <w:kern w:val="24"/>
                <w:sz w:val="24"/>
              </w:rPr>
            </w:pPr>
            <w:r>
              <w:rPr>
                <w:kern w:val="24"/>
                <w:sz w:val="24"/>
              </w:rPr>
              <w:t>根据《云南省用水定额标准》（DB53/T168-2019）</w:t>
            </w:r>
            <w:r>
              <w:rPr>
                <w:bCs/>
                <w:kern w:val="24"/>
                <w:sz w:val="24"/>
              </w:rPr>
              <w:t>，</w:t>
            </w:r>
            <w:r>
              <w:rPr>
                <w:kern w:val="24"/>
                <w:sz w:val="24"/>
              </w:rPr>
              <w:t>结合本项目所在地生活用水实际情况，项目</w:t>
            </w:r>
            <w:r>
              <w:rPr>
                <w:rFonts w:hint="eastAsia"/>
                <w:bCs/>
                <w:snapToGrid w:val="0"/>
                <w:kern w:val="0"/>
                <w:sz w:val="24"/>
              </w:rPr>
              <w:t>住宿职工</w:t>
            </w:r>
            <w:r>
              <w:rPr>
                <w:rFonts w:hint="eastAsia"/>
                <w:kern w:val="24"/>
                <w:sz w:val="24"/>
              </w:rPr>
              <w:t>生活用水</w:t>
            </w:r>
            <w:r>
              <w:rPr>
                <w:kern w:val="24"/>
                <w:sz w:val="24"/>
              </w:rPr>
              <w:t>用水量</w:t>
            </w:r>
            <w:r>
              <w:rPr>
                <w:rFonts w:hint="eastAsia"/>
                <w:kern w:val="24"/>
                <w:sz w:val="24"/>
              </w:rPr>
              <w:t>取</w:t>
            </w:r>
            <w:r>
              <w:rPr>
                <w:kern w:val="24"/>
                <w:sz w:val="24"/>
              </w:rPr>
              <w:t>120L/人·d计，</w:t>
            </w:r>
            <w:r>
              <w:rPr>
                <w:rFonts w:hint="eastAsia"/>
                <w:bCs/>
                <w:snapToGrid w:val="0"/>
                <w:kern w:val="0"/>
                <w:sz w:val="24"/>
              </w:rPr>
              <w:t>不住宿职工生活用水按30L/人.d 计，</w:t>
            </w:r>
            <w:r>
              <w:rPr>
                <w:rFonts w:hint="eastAsia" w:cs="宋体"/>
                <w:sz w:val="24"/>
              </w:rPr>
              <w:t>年工作时间300天，</w:t>
            </w:r>
            <w:r>
              <w:rPr>
                <w:kern w:val="24"/>
                <w:sz w:val="24"/>
              </w:rPr>
              <w:t>则生活用水量为1080 m</w:t>
            </w:r>
            <w:r>
              <w:rPr>
                <w:kern w:val="24"/>
                <w:sz w:val="24"/>
                <w:vertAlign w:val="superscript"/>
              </w:rPr>
              <w:t>3</w:t>
            </w:r>
            <w:r>
              <w:rPr>
                <w:kern w:val="24"/>
                <w:sz w:val="24"/>
              </w:rPr>
              <w:t>/a（3.6 m</w:t>
            </w:r>
            <w:r>
              <w:rPr>
                <w:kern w:val="24"/>
                <w:sz w:val="24"/>
                <w:vertAlign w:val="superscript"/>
              </w:rPr>
              <w:t>3</w:t>
            </w:r>
            <w:r>
              <w:rPr>
                <w:kern w:val="24"/>
                <w:sz w:val="24"/>
              </w:rPr>
              <w:t>/d）。</w:t>
            </w:r>
          </w:p>
          <w:p w14:paraId="0CBFC1DF">
            <w:pPr>
              <w:pStyle w:val="31"/>
              <w:adjustRightInd w:val="0"/>
              <w:snapToGrid w:val="0"/>
              <w:spacing w:after="0" w:line="360" w:lineRule="auto"/>
              <w:ind w:left="0" w:leftChars="0" w:firstLine="480"/>
              <w:rPr>
                <w:rFonts w:cs="宋体"/>
                <w:sz w:val="24"/>
              </w:rPr>
            </w:pPr>
            <w:r>
              <w:rPr>
                <w:kern w:val="24"/>
                <w:sz w:val="24"/>
              </w:rPr>
              <w:t>项目食堂用餐人数按60人计，</w:t>
            </w:r>
            <w:r>
              <w:rPr>
                <w:rFonts w:hint="eastAsia" w:cs="宋体"/>
                <w:sz w:val="24"/>
              </w:rPr>
              <w:t>食堂</w:t>
            </w:r>
            <w:r>
              <w:rPr>
                <w:rFonts w:cs="宋体"/>
                <w:sz w:val="24"/>
              </w:rPr>
              <w:t>用水按</w:t>
            </w:r>
            <w:r>
              <w:rPr>
                <w:rFonts w:hint="eastAsia" w:cs="宋体"/>
                <w:sz w:val="24"/>
              </w:rPr>
              <w:t>3</w:t>
            </w:r>
            <w:r>
              <w:rPr>
                <w:rFonts w:cs="宋体"/>
                <w:sz w:val="24"/>
              </w:rPr>
              <w:t>0L/（</w:t>
            </w:r>
            <w:r>
              <w:rPr>
                <w:rFonts w:hint="eastAsia" w:cs="宋体"/>
                <w:sz w:val="24"/>
              </w:rPr>
              <w:t>人</w:t>
            </w:r>
            <w:r>
              <w:rPr>
                <w:rFonts w:cs="宋体"/>
                <w:sz w:val="24"/>
              </w:rPr>
              <w:t>·</w:t>
            </w:r>
            <w:r>
              <w:rPr>
                <w:rFonts w:hint="eastAsia" w:cs="宋体"/>
                <w:sz w:val="24"/>
              </w:rPr>
              <w:t>d</w:t>
            </w:r>
            <w:r>
              <w:rPr>
                <w:rFonts w:cs="宋体"/>
                <w:sz w:val="24"/>
              </w:rPr>
              <w:t>）计，</w:t>
            </w:r>
            <w:r>
              <w:rPr>
                <w:rFonts w:hint="eastAsia" w:cs="宋体"/>
                <w:sz w:val="24"/>
              </w:rPr>
              <w:t>年工作时间300天，</w:t>
            </w:r>
            <w:r>
              <w:rPr>
                <w:rFonts w:cs="宋体"/>
                <w:sz w:val="24"/>
              </w:rPr>
              <w:t>项目食堂用水量为540 m</w:t>
            </w:r>
            <w:r>
              <w:rPr>
                <w:rFonts w:cs="宋体"/>
                <w:sz w:val="24"/>
                <w:vertAlign w:val="superscript"/>
              </w:rPr>
              <w:t>3</w:t>
            </w:r>
            <w:r>
              <w:rPr>
                <w:rFonts w:cs="宋体"/>
                <w:sz w:val="24"/>
              </w:rPr>
              <w:t>/a （1.8 m</w:t>
            </w:r>
            <w:r>
              <w:rPr>
                <w:rFonts w:cs="宋体"/>
                <w:sz w:val="24"/>
                <w:vertAlign w:val="superscript"/>
              </w:rPr>
              <w:t>3</w:t>
            </w:r>
            <w:r>
              <w:rPr>
                <w:rFonts w:cs="宋体"/>
                <w:sz w:val="24"/>
              </w:rPr>
              <w:t>/d）</w:t>
            </w:r>
            <w:r>
              <w:rPr>
                <w:rFonts w:hint="eastAsia" w:cs="宋体"/>
                <w:sz w:val="24"/>
              </w:rPr>
              <w:t>。</w:t>
            </w:r>
          </w:p>
          <w:p w14:paraId="40295572">
            <w:pPr>
              <w:pStyle w:val="31"/>
              <w:snapToGrid w:val="0"/>
              <w:spacing w:after="0" w:line="360" w:lineRule="auto"/>
              <w:ind w:left="0" w:leftChars="0" w:firstLine="480"/>
              <w:rPr>
                <w:kern w:val="24"/>
                <w:sz w:val="24"/>
              </w:rPr>
            </w:pPr>
            <w:r>
              <w:rPr>
                <w:rFonts w:hint="eastAsia"/>
                <w:kern w:val="24"/>
                <w:sz w:val="24"/>
              </w:rPr>
              <w:t>则生活用水总量为</w:t>
            </w:r>
            <w:r>
              <w:rPr>
                <w:kern w:val="24"/>
                <w:sz w:val="24"/>
              </w:rPr>
              <w:t>1620</w:t>
            </w:r>
            <w:r>
              <w:rPr>
                <w:rFonts w:hint="eastAsia"/>
                <w:kern w:val="24"/>
                <w:sz w:val="24"/>
              </w:rPr>
              <w:t xml:space="preserve"> m</w:t>
            </w:r>
            <w:r>
              <w:rPr>
                <w:rFonts w:hint="eastAsia"/>
                <w:kern w:val="24"/>
                <w:sz w:val="24"/>
                <w:vertAlign w:val="superscript"/>
              </w:rPr>
              <w:t>3</w:t>
            </w:r>
            <w:r>
              <w:rPr>
                <w:rFonts w:hint="eastAsia"/>
                <w:kern w:val="24"/>
                <w:sz w:val="24"/>
              </w:rPr>
              <w:t>/a（</w:t>
            </w:r>
            <w:r>
              <w:rPr>
                <w:kern w:val="24"/>
                <w:sz w:val="24"/>
              </w:rPr>
              <w:t xml:space="preserve">5.4 </w:t>
            </w:r>
            <w:r>
              <w:rPr>
                <w:rFonts w:hint="eastAsia"/>
                <w:kern w:val="24"/>
                <w:sz w:val="24"/>
              </w:rPr>
              <w:t>m</w:t>
            </w:r>
            <w:r>
              <w:rPr>
                <w:rFonts w:hint="eastAsia"/>
                <w:kern w:val="24"/>
                <w:sz w:val="24"/>
                <w:vertAlign w:val="superscript"/>
              </w:rPr>
              <w:t>3</w:t>
            </w:r>
            <w:r>
              <w:rPr>
                <w:rFonts w:hint="eastAsia"/>
                <w:kern w:val="24"/>
                <w:sz w:val="24"/>
              </w:rPr>
              <w:t>/d）。</w:t>
            </w:r>
          </w:p>
          <w:p w14:paraId="450CB200">
            <w:pPr>
              <w:adjustRightInd w:val="0"/>
              <w:snapToGrid w:val="0"/>
              <w:spacing w:line="360" w:lineRule="auto"/>
              <w:ind w:firstLine="480" w:firstLineChars="200"/>
              <w:rPr>
                <w:bCs/>
                <w:sz w:val="24"/>
              </w:rPr>
            </w:pPr>
            <w:r>
              <w:rPr>
                <w:rFonts w:hint="eastAsia"/>
                <w:bCs/>
                <w:sz w:val="24"/>
              </w:rPr>
              <w:t>（2）</w:t>
            </w:r>
            <w:r>
              <w:rPr>
                <w:rFonts w:hint="eastAsia"/>
                <w:kern w:val="24"/>
                <w:sz w:val="24"/>
              </w:rPr>
              <w:t>间接冷却水补水</w:t>
            </w:r>
          </w:p>
          <w:p w14:paraId="29C10BFB">
            <w:pPr>
              <w:pStyle w:val="58"/>
              <w:spacing w:line="360" w:lineRule="auto"/>
              <w:ind w:firstLine="480" w:firstLineChars="200"/>
              <w:rPr>
                <w:rFonts w:ascii="Times New Roman" w:hAnsi="Times New Roman" w:cs="Times New Roman"/>
                <w:sz w:val="24"/>
                <w:lang w:val="en-US"/>
              </w:rPr>
            </w:pPr>
            <w:r>
              <w:rPr>
                <w:rFonts w:ascii="Times New Roman" w:hAnsi="Times New Roman" w:cs="Times New Roman"/>
                <w:sz w:val="24"/>
                <w:lang w:val="en-US"/>
              </w:rPr>
              <w:t>间接冷却水主要是对高频焊管机组电机等设备进行冷却，不与物料直接接触，为间接冷却水，水质较为洁净，循环使用不外排。本项目共设置5个净循环水池、水槽/水箱，总容积500 m</w:t>
            </w:r>
            <w:r>
              <w:rPr>
                <w:rFonts w:ascii="Times New Roman" w:hAnsi="Times New Roman" w:cs="Times New Roman"/>
                <w:sz w:val="24"/>
                <w:vertAlign w:val="superscript"/>
                <w:lang w:val="en-US"/>
              </w:rPr>
              <w:t>3</w:t>
            </w:r>
            <w:r>
              <w:rPr>
                <w:rFonts w:ascii="Times New Roman" w:hAnsi="Times New Roman" w:cs="Times New Roman"/>
                <w:sz w:val="24"/>
                <w:lang w:val="en-US"/>
              </w:rPr>
              <w:t>。本项目间接冷却水设计总循环水量为</w:t>
            </w:r>
            <w:r>
              <w:rPr>
                <w:rFonts w:hint="eastAsia" w:ascii="Times New Roman" w:hAnsi="Times New Roman" w:cs="Times New Roman"/>
                <w:sz w:val="24"/>
                <w:lang w:val="en-US"/>
              </w:rPr>
              <w:t>3</w:t>
            </w:r>
            <w:r>
              <w:rPr>
                <w:rFonts w:ascii="Times New Roman" w:hAnsi="Times New Roman" w:cs="Times New Roman"/>
                <w:sz w:val="24"/>
                <w:lang w:val="en-US"/>
              </w:rPr>
              <w:t>0m</w:t>
            </w:r>
            <w:r>
              <w:rPr>
                <w:rFonts w:ascii="Times New Roman" w:hAnsi="Times New Roman" w:cs="Times New Roman"/>
                <w:sz w:val="24"/>
                <w:vertAlign w:val="superscript"/>
                <w:lang w:val="en-US"/>
              </w:rPr>
              <w:t>3</w:t>
            </w:r>
            <w:r>
              <w:rPr>
                <w:rFonts w:ascii="Times New Roman" w:hAnsi="Times New Roman" w:cs="Times New Roman"/>
                <w:sz w:val="24"/>
                <w:lang w:val="en-US"/>
              </w:rPr>
              <w:t>/h</w:t>
            </w:r>
            <w:r>
              <w:rPr>
                <w:rFonts w:hint="eastAsia" w:ascii="Times New Roman" w:hAnsi="Times New Roman" w:cs="Times New Roman"/>
                <w:sz w:val="24"/>
                <w:lang w:val="en-US"/>
              </w:rPr>
              <w:t>，</w:t>
            </w:r>
            <w:r>
              <w:rPr>
                <w:rFonts w:ascii="Times New Roman" w:hAnsi="Times New Roman" w:cs="Times New Roman"/>
                <w:sz w:val="24"/>
                <w:lang w:val="en-US"/>
              </w:rPr>
              <w:t>600 m</w:t>
            </w:r>
            <w:r>
              <w:rPr>
                <w:rFonts w:ascii="Times New Roman" w:hAnsi="Times New Roman" w:cs="Times New Roman"/>
                <w:sz w:val="24"/>
                <w:vertAlign w:val="superscript"/>
                <w:lang w:val="en-US"/>
              </w:rPr>
              <w:t>3</w:t>
            </w:r>
            <w:r>
              <w:rPr>
                <w:rFonts w:ascii="Times New Roman" w:hAnsi="Times New Roman" w:cs="Times New Roman"/>
                <w:sz w:val="24"/>
                <w:lang w:val="en-US"/>
              </w:rPr>
              <w:t>/d</w:t>
            </w:r>
            <w:r>
              <w:rPr>
                <w:rFonts w:hint="eastAsia" w:ascii="Times New Roman" w:hAnsi="Times New Roman" w:cs="Times New Roman"/>
                <w:sz w:val="24"/>
                <w:lang w:val="en-US"/>
              </w:rPr>
              <w:t>。</w:t>
            </w:r>
            <w:r>
              <w:rPr>
                <w:rFonts w:ascii="Times New Roman" w:hAnsi="Times New Roman" w:cs="Times New Roman"/>
                <w:sz w:val="24"/>
                <w:lang w:val="en-US"/>
              </w:rPr>
              <w:t>根据</w:t>
            </w:r>
            <w:r>
              <w:rPr>
                <w:rFonts w:ascii="Times New Roman" w:hAnsi="Times New Roman" w:cs="Times New Roman"/>
                <w:kern w:val="0"/>
                <w:sz w:val="24"/>
                <w:lang w:val="en-US"/>
              </w:rPr>
              <w:t>业主提供的</w:t>
            </w:r>
            <w:r>
              <w:rPr>
                <w:rFonts w:ascii="Times New Roman" w:hAnsi="Times New Roman" w:cs="Times New Roman"/>
                <w:sz w:val="24"/>
                <w:lang w:val="en-US"/>
              </w:rPr>
              <w:t>现有项目</w:t>
            </w:r>
            <w:r>
              <w:rPr>
                <w:rFonts w:hint="eastAsia"/>
                <w:kern w:val="24"/>
                <w:sz w:val="24"/>
              </w:rPr>
              <w:t>间接冷却水补水</w:t>
            </w:r>
            <w:r>
              <w:rPr>
                <w:rFonts w:ascii="Times New Roman" w:hAnsi="Times New Roman" w:cs="Times New Roman"/>
                <w:sz w:val="24"/>
                <w:lang w:val="en-US"/>
              </w:rPr>
              <w:t>资料</w:t>
            </w:r>
            <w:r>
              <w:rPr>
                <w:rFonts w:hint="eastAsia" w:ascii="Times New Roman" w:hAnsi="Times New Roman" w:cs="Times New Roman"/>
                <w:sz w:val="24"/>
                <w:lang w:val="en-US"/>
              </w:rPr>
              <w:t>折算，每1</w:t>
            </w:r>
            <w:r>
              <w:rPr>
                <w:rFonts w:ascii="Times New Roman" w:hAnsi="Times New Roman" w:cs="Times New Roman"/>
                <w:sz w:val="24"/>
                <w:lang w:val="en-US"/>
              </w:rPr>
              <w:t>0</w:t>
            </w:r>
            <w:r>
              <w:rPr>
                <w:rFonts w:hint="eastAsia" w:ascii="Times New Roman" w:hAnsi="Times New Roman" w:cs="Times New Roman"/>
                <w:sz w:val="24"/>
                <w:lang w:val="en-US"/>
              </w:rPr>
              <w:t>万吨产品</w:t>
            </w:r>
            <w:r>
              <w:rPr>
                <w:rFonts w:hint="eastAsia"/>
                <w:kern w:val="24"/>
                <w:sz w:val="24"/>
              </w:rPr>
              <w:t>间接冷却水</w:t>
            </w:r>
            <w:r>
              <w:rPr>
                <w:rFonts w:hint="eastAsia" w:ascii="Times New Roman" w:hAnsi="Times New Roman" w:cs="Times New Roman"/>
                <w:sz w:val="24"/>
                <w:lang w:val="en-US"/>
              </w:rPr>
              <w:t>补水量为</w:t>
            </w:r>
            <w:r>
              <w:rPr>
                <w:rFonts w:ascii="Times New Roman" w:hAnsi="Times New Roman" w:cs="Times New Roman"/>
                <w:sz w:val="24"/>
                <w:lang w:val="en-US"/>
              </w:rPr>
              <w:t>4 m</w:t>
            </w:r>
            <w:r>
              <w:rPr>
                <w:rFonts w:ascii="Times New Roman" w:hAnsi="Times New Roman" w:cs="Times New Roman"/>
                <w:sz w:val="24"/>
                <w:vertAlign w:val="superscript"/>
                <w:lang w:val="en-US"/>
              </w:rPr>
              <w:t>3</w:t>
            </w:r>
            <w:r>
              <w:rPr>
                <w:rFonts w:ascii="Times New Roman" w:hAnsi="Times New Roman" w:cs="Times New Roman"/>
                <w:sz w:val="24"/>
                <w:lang w:val="en-US"/>
              </w:rPr>
              <w:t>/d，</w:t>
            </w:r>
            <w:r>
              <w:rPr>
                <w:rFonts w:hint="eastAsia" w:ascii="Times New Roman" w:hAnsi="Times New Roman" w:cs="Times New Roman"/>
                <w:kern w:val="0"/>
                <w:sz w:val="24"/>
                <w:lang w:val="en-US"/>
              </w:rPr>
              <w:t>则本项目</w:t>
            </w:r>
            <w:r>
              <w:rPr>
                <w:rFonts w:ascii="Times New Roman" w:hAnsi="Times New Roman" w:cs="Times New Roman"/>
                <w:kern w:val="24"/>
                <w:sz w:val="24"/>
              </w:rPr>
              <w:t>间接冷却水</w:t>
            </w:r>
            <w:r>
              <w:rPr>
                <w:rFonts w:hint="eastAsia"/>
                <w:kern w:val="24"/>
                <w:sz w:val="24"/>
              </w:rPr>
              <w:t>补水量约</w:t>
            </w:r>
            <w:r>
              <w:rPr>
                <w:rFonts w:ascii="Times New Roman" w:hAnsi="Times New Roman" w:cs="Times New Roman"/>
                <w:kern w:val="24"/>
                <w:sz w:val="24"/>
              </w:rPr>
              <w:t>为2400 m</w:t>
            </w:r>
            <w:r>
              <w:rPr>
                <w:rFonts w:ascii="Times New Roman" w:hAnsi="Times New Roman" w:cs="Times New Roman"/>
                <w:kern w:val="24"/>
                <w:sz w:val="24"/>
                <w:vertAlign w:val="superscript"/>
              </w:rPr>
              <w:t>3</w:t>
            </w:r>
            <w:r>
              <w:rPr>
                <w:rFonts w:ascii="Times New Roman" w:hAnsi="Times New Roman" w:cs="Times New Roman"/>
                <w:kern w:val="24"/>
                <w:sz w:val="24"/>
              </w:rPr>
              <w:t>/a（8 m</w:t>
            </w:r>
            <w:r>
              <w:rPr>
                <w:rFonts w:ascii="Times New Roman" w:hAnsi="Times New Roman" w:cs="Times New Roman"/>
                <w:kern w:val="24"/>
                <w:sz w:val="24"/>
                <w:vertAlign w:val="superscript"/>
              </w:rPr>
              <w:t>3</w:t>
            </w:r>
            <w:r>
              <w:rPr>
                <w:rFonts w:ascii="Times New Roman" w:hAnsi="Times New Roman" w:cs="Times New Roman"/>
                <w:kern w:val="24"/>
                <w:sz w:val="24"/>
              </w:rPr>
              <w:t>/d）</w:t>
            </w:r>
            <w:r>
              <w:rPr>
                <w:rFonts w:hint="eastAsia" w:ascii="Times New Roman" w:hAnsi="Times New Roman" w:cs="Times New Roman"/>
                <w:sz w:val="24"/>
                <w:lang w:val="en-US"/>
              </w:rPr>
              <w:t>。</w:t>
            </w:r>
          </w:p>
          <w:p w14:paraId="3AB28C92">
            <w:pPr>
              <w:pStyle w:val="83"/>
              <w:ind w:firstLine="480"/>
            </w:pPr>
            <w:r>
              <w:rPr>
                <w:rFonts w:hint="eastAsia"/>
                <w:kern w:val="24"/>
              </w:rPr>
              <w:t>（3）直接冷却水补水</w:t>
            </w:r>
          </w:p>
          <w:p w14:paraId="0C99121A">
            <w:pPr>
              <w:pStyle w:val="58"/>
              <w:spacing w:line="360" w:lineRule="auto"/>
              <w:ind w:firstLine="480" w:firstLineChars="200"/>
              <w:rPr>
                <w:rFonts w:hint="eastAsia" w:ascii="Times New Roman" w:cs="Times New Roman"/>
                <w:sz w:val="24"/>
                <w:lang w:val="en-US"/>
              </w:rPr>
            </w:pPr>
            <w:r>
              <w:rPr>
                <w:rFonts w:hint="eastAsia" w:ascii="Times New Roman" w:cs="Times New Roman"/>
                <w:sz w:val="24"/>
                <w:lang w:val="en-US"/>
              </w:rPr>
              <w:t>直接冷却水主要是对焊管进行冷却，与物料直接接触，为直接冷却水，通过生产线下方排水管道引入浊循环水池，焊管直接冷却水经沉淀、冷却后循环利用，定期补充，不外排。</w:t>
            </w:r>
          </w:p>
          <w:p w14:paraId="7AF64346">
            <w:pPr>
              <w:pStyle w:val="83"/>
              <w:ind w:firstLine="480"/>
            </w:pPr>
            <w:r>
              <w:t>本项目共设置10个</w:t>
            </w:r>
            <w:r>
              <w:rPr>
                <w:rFonts w:hint="eastAsia"/>
              </w:rPr>
              <w:t>浊</w:t>
            </w:r>
            <w:r>
              <w:t>循环水池、水槽/水箱，总容积560 m</w:t>
            </w:r>
            <w:r>
              <w:rPr>
                <w:vertAlign w:val="superscript"/>
              </w:rPr>
              <w:t>3</w:t>
            </w:r>
            <w:r>
              <w:t>。本项目</w:t>
            </w:r>
            <w:r>
              <w:rPr>
                <w:rFonts w:hint="eastAsia"/>
              </w:rPr>
              <w:t>直接冷却水</w:t>
            </w:r>
            <w:r>
              <w:t>设计总循环水量为20m</w:t>
            </w:r>
            <w:r>
              <w:rPr>
                <w:vertAlign w:val="superscript"/>
              </w:rPr>
              <w:t>3</w:t>
            </w:r>
            <w:r>
              <w:t>/h</w:t>
            </w:r>
            <w:r>
              <w:rPr>
                <w:rFonts w:hint="eastAsia"/>
              </w:rPr>
              <w:t>，</w:t>
            </w:r>
            <w:r>
              <w:t>400 m</w:t>
            </w:r>
            <w:r>
              <w:rPr>
                <w:vertAlign w:val="superscript"/>
              </w:rPr>
              <w:t>3</w:t>
            </w:r>
            <w:r>
              <w:t>/d</w:t>
            </w:r>
            <w:r>
              <w:rPr>
                <w:rFonts w:hint="eastAsia"/>
              </w:rPr>
              <w:t>。</w:t>
            </w:r>
            <w:r>
              <w:t>根据</w:t>
            </w:r>
            <w:r>
              <w:rPr>
                <w:kern w:val="0"/>
              </w:rPr>
              <w:t>业主提供的</w:t>
            </w:r>
            <w:r>
              <w:t>现有项目实际运行资料</w:t>
            </w:r>
            <w:r>
              <w:rPr>
                <w:rFonts w:hint="eastAsia"/>
              </w:rPr>
              <w:t>折算</w:t>
            </w:r>
            <w:r>
              <w:t>，</w:t>
            </w:r>
            <w:r>
              <w:rPr>
                <w:rFonts w:hint="eastAsia"/>
              </w:rPr>
              <w:t>每1</w:t>
            </w:r>
            <w:r>
              <w:t>0</w:t>
            </w:r>
            <w:r>
              <w:rPr>
                <w:rFonts w:hint="eastAsia"/>
              </w:rPr>
              <w:t>万吨产品直接</w:t>
            </w:r>
            <w:r>
              <w:rPr>
                <w:rFonts w:hint="eastAsia"/>
                <w:kern w:val="24"/>
              </w:rPr>
              <w:t>冷却水</w:t>
            </w:r>
            <w:r>
              <w:rPr>
                <w:rFonts w:hint="eastAsia"/>
              </w:rPr>
              <w:t>补水量为</w:t>
            </w:r>
            <w:r>
              <w:t>3 m</w:t>
            </w:r>
            <w:r>
              <w:rPr>
                <w:vertAlign w:val="superscript"/>
              </w:rPr>
              <w:t>3</w:t>
            </w:r>
            <w:r>
              <w:t>/d，</w:t>
            </w:r>
            <w:r>
              <w:rPr>
                <w:rFonts w:hint="eastAsia"/>
                <w:kern w:val="0"/>
              </w:rPr>
              <w:t>则本项目</w:t>
            </w:r>
            <w:r>
              <w:rPr>
                <w:rFonts w:hint="eastAsia"/>
                <w:kern w:val="24"/>
              </w:rPr>
              <w:t>直接冷却水补水量约</w:t>
            </w:r>
            <w:r>
              <w:rPr>
                <w:kern w:val="24"/>
              </w:rPr>
              <w:t>为1800 m</w:t>
            </w:r>
            <w:r>
              <w:rPr>
                <w:kern w:val="24"/>
                <w:vertAlign w:val="superscript"/>
              </w:rPr>
              <w:t>3</w:t>
            </w:r>
            <w:r>
              <w:rPr>
                <w:kern w:val="24"/>
              </w:rPr>
              <w:t>/a（6 m</w:t>
            </w:r>
            <w:r>
              <w:rPr>
                <w:kern w:val="24"/>
                <w:vertAlign w:val="superscript"/>
              </w:rPr>
              <w:t>3</w:t>
            </w:r>
            <w:r>
              <w:rPr>
                <w:kern w:val="24"/>
              </w:rPr>
              <w:t>/d）</w:t>
            </w:r>
            <w:r>
              <w:rPr>
                <w:rFonts w:hint="eastAsia"/>
              </w:rPr>
              <w:t>。</w:t>
            </w:r>
          </w:p>
          <w:p w14:paraId="360968C5">
            <w:pPr>
              <w:adjustRightInd w:val="0"/>
              <w:snapToGrid w:val="0"/>
              <w:spacing w:line="360" w:lineRule="auto"/>
              <w:jc w:val="left"/>
              <w:rPr>
                <w:b/>
                <w:bCs/>
                <w:sz w:val="24"/>
              </w:rPr>
            </w:pPr>
            <w:r>
              <w:rPr>
                <w:rFonts w:hint="eastAsia"/>
                <w:b/>
                <w:bCs/>
                <w:sz w:val="24"/>
              </w:rPr>
              <w:t xml:space="preserve">6.2 </w:t>
            </w:r>
            <w:r>
              <w:rPr>
                <w:b/>
                <w:bCs/>
                <w:sz w:val="24"/>
              </w:rPr>
              <w:t>废水量</w:t>
            </w:r>
          </w:p>
          <w:p w14:paraId="355969DC">
            <w:pPr>
              <w:adjustRightInd w:val="0"/>
              <w:snapToGrid w:val="0"/>
              <w:spacing w:line="360" w:lineRule="auto"/>
              <w:ind w:firstLine="480" w:firstLineChars="200"/>
              <w:rPr>
                <w:kern w:val="24"/>
                <w:sz w:val="24"/>
              </w:rPr>
            </w:pPr>
            <w:r>
              <w:rPr>
                <w:kern w:val="24"/>
                <w:sz w:val="24"/>
              </w:rPr>
              <w:t>本项目废水主要为</w:t>
            </w:r>
            <w:r>
              <w:rPr>
                <w:rFonts w:hint="eastAsia"/>
                <w:kern w:val="24"/>
                <w:sz w:val="24"/>
              </w:rPr>
              <w:t>生产废水、生活污水，生产废水循环使用不外排。</w:t>
            </w:r>
          </w:p>
          <w:p w14:paraId="1541C20D">
            <w:pPr>
              <w:pStyle w:val="83"/>
              <w:ind w:firstLine="480"/>
            </w:pPr>
            <w:r>
              <w:rPr>
                <w:rFonts w:hint="eastAsia"/>
              </w:rPr>
              <w:t>（1）</w:t>
            </w:r>
            <w:r>
              <w:rPr>
                <w:rFonts w:hint="eastAsia"/>
                <w:bCs/>
              </w:rPr>
              <w:t>生产废水</w:t>
            </w:r>
          </w:p>
          <w:p w14:paraId="7F3D7D38">
            <w:pPr>
              <w:pStyle w:val="83"/>
              <w:ind w:firstLine="480"/>
              <w:rPr>
                <w:bCs/>
              </w:rPr>
            </w:pPr>
            <w:r>
              <w:rPr>
                <w:rFonts w:hint="eastAsia"/>
                <w:kern w:val="24"/>
              </w:rPr>
              <w:t>本项目生产废水为间接冷却水、直接冷却水，循环使用，定期补充，不外排。</w:t>
            </w:r>
          </w:p>
          <w:p w14:paraId="54D5D156">
            <w:pPr>
              <w:pStyle w:val="83"/>
              <w:ind w:firstLine="480"/>
            </w:pPr>
            <w:r>
              <w:rPr>
                <w:rFonts w:hint="eastAsia"/>
              </w:rPr>
              <w:t>（</w:t>
            </w:r>
            <w:r>
              <w:t>2</w:t>
            </w:r>
            <w:r>
              <w:rPr>
                <w:rFonts w:hint="eastAsia"/>
              </w:rPr>
              <w:t>）</w:t>
            </w:r>
            <w:r>
              <w:rPr>
                <w:rFonts w:hint="eastAsia"/>
                <w:bCs/>
              </w:rPr>
              <w:t>生活污水</w:t>
            </w:r>
          </w:p>
          <w:p w14:paraId="29CCAEE1">
            <w:pPr>
              <w:pStyle w:val="83"/>
              <w:ind w:firstLine="480"/>
            </w:pPr>
            <w:r>
              <w:rPr>
                <w:rFonts w:hint="eastAsia"/>
                <w:bCs/>
              </w:rPr>
              <w:t>项目生活污水量按生活用水量的80%计算，则生活污水产生量为</w:t>
            </w:r>
            <w:r>
              <w:rPr>
                <w:kern w:val="24"/>
              </w:rPr>
              <w:t>1296 m</w:t>
            </w:r>
            <w:r>
              <w:rPr>
                <w:kern w:val="24"/>
                <w:vertAlign w:val="superscript"/>
              </w:rPr>
              <w:t>3</w:t>
            </w:r>
            <w:r>
              <w:rPr>
                <w:kern w:val="24"/>
              </w:rPr>
              <w:t>/a（4.32 m</w:t>
            </w:r>
            <w:r>
              <w:rPr>
                <w:kern w:val="24"/>
                <w:vertAlign w:val="superscript"/>
              </w:rPr>
              <w:t>3</w:t>
            </w:r>
            <w:r>
              <w:rPr>
                <w:kern w:val="24"/>
              </w:rPr>
              <w:t>/d）</w:t>
            </w:r>
            <w:r>
              <w:rPr>
                <w:rFonts w:hint="eastAsia"/>
                <w:bCs/>
              </w:rPr>
              <w:t>。</w:t>
            </w:r>
          </w:p>
          <w:p w14:paraId="78523ABC">
            <w:pPr>
              <w:adjustRightInd w:val="0"/>
              <w:snapToGrid w:val="0"/>
              <w:spacing w:line="360" w:lineRule="auto"/>
              <w:jc w:val="left"/>
              <w:rPr>
                <w:b/>
                <w:bCs/>
                <w:sz w:val="24"/>
              </w:rPr>
            </w:pPr>
            <w:r>
              <w:rPr>
                <w:rFonts w:hint="eastAsia"/>
                <w:b/>
                <w:bCs/>
                <w:sz w:val="24"/>
              </w:rPr>
              <w:t>6.3废水排放去向</w:t>
            </w:r>
          </w:p>
          <w:p w14:paraId="03FEE3A3">
            <w:pPr>
              <w:pStyle w:val="83"/>
              <w:ind w:firstLine="480"/>
              <w:rPr>
                <w:bCs/>
              </w:rPr>
            </w:pPr>
            <w:r>
              <w:rPr>
                <w:rFonts w:hint="eastAsia"/>
                <w:bCs/>
              </w:rPr>
              <w:t>项目生产废水主要为焊管生产车间设备冷却水和产品冷却水，焊管生产车间设备冷却水经焊管设备净循环水池冷却后循环使用，不外排；产品冷却水经焊管车间浊循环水池冷却后循环使用，不外排；生活污水依托现有隔油池、化粪池和生活污水处理站处理，项目食堂废水经隔油池处理后与其他污水经化粪池预处理后，再排入现有生活污水处理站处理达标后用于直接冷却水的补充水，不外排。回用水执行《城市污水再生利用 工业用水水质》（GB/T 19923-2024）表1间冷开式循环冷却水补充水标准。</w:t>
            </w:r>
          </w:p>
          <w:bookmarkEnd w:id="5"/>
          <w:p w14:paraId="53E0569F">
            <w:pPr>
              <w:pStyle w:val="83"/>
              <w:ind w:firstLine="480"/>
            </w:pPr>
            <w:r>
              <w:t>本项目运营期废水产排情况见表2-5。</w:t>
            </w:r>
          </w:p>
          <w:p w14:paraId="6067F1D1">
            <w:pPr>
              <w:adjustRightInd w:val="0"/>
              <w:snapToGrid w:val="0"/>
              <w:spacing w:line="360" w:lineRule="auto"/>
              <w:ind w:firstLine="482" w:firstLineChars="200"/>
              <w:jc w:val="center"/>
              <w:rPr>
                <w:b/>
                <w:bCs/>
                <w:kern w:val="24"/>
                <w:sz w:val="24"/>
              </w:rPr>
            </w:pPr>
            <w:r>
              <w:rPr>
                <w:b/>
                <w:bCs/>
                <w:kern w:val="24"/>
                <w:sz w:val="24"/>
              </w:rPr>
              <w:t xml:space="preserve">表2-5  </w:t>
            </w:r>
            <w:r>
              <w:rPr>
                <w:rFonts w:hint="eastAsia"/>
                <w:b/>
                <w:bCs/>
                <w:kern w:val="24"/>
                <w:sz w:val="24"/>
              </w:rPr>
              <w:t>项目用水量及废水产生量一览表</w:t>
            </w:r>
          </w:p>
          <w:tbl>
            <w:tblPr>
              <w:tblStyle w:val="3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123"/>
              <w:gridCol w:w="964"/>
              <w:gridCol w:w="1156"/>
              <w:gridCol w:w="1269"/>
              <w:gridCol w:w="1256"/>
              <w:gridCol w:w="962"/>
              <w:gridCol w:w="948"/>
              <w:gridCol w:w="870"/>
            </w:tblGrid>
            <w:tr w14:paraId="211EC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237" w:type="pct"/>
                  <w:vMerge w:val="restart"/>
                  <w:tcMar>
                    <w:top w:w="15" w:type="dxa"/>
                    <w:left w:w="15" w:type="dxa"/>
                    <w:right w:w="15" w:type="dxa"/>
                  </w:tcMar>
                  <w:vAlign w:val="center"/>
                </w:tcPr>
                <w:p w14:paraId="0EB4D9E3">
                  <w:pPr>
                    <w:widowControl/>
                    <w:adjustRightInd w:val="0"/>
                    <w:snapToGrid w:val="0"/>
                    <w:jc w:val="center"/>
                    <w:textAlignment w:val="center"/>
                    <w:rPr>
                      <w:kern w:val="0"/>
                      <w:szCs w:val="21"/>
                      <w:lang w:bidi="ar"/>
                    </w:rPr>
                  </w:pPr>
                  <w:r>
                    <w:rPr>
                      <w:kern w:val="0"/>
                      <w:szCs w:val="21"/>
                      <w:lang w:bidi="ar"/>
                    </w:rPr>
                    <w:t>序号</w:t>
                  </w:r>
                </w:p>
              </w:tc>
              <w:tc>
                <w:tcPr>
                  <w:tcW w:w="626" w:type="pct"/>
                  <w:vMerge w:val="restart"/>
                  <w:tcMar>
                    <w:top w:w="15" w:type="dxa"/>
                    <w:left w:w="15" w:type="dxa"/>
                    <w:right w:w="15" w:type="dxa"/>
                  </w:tcMar>
                  <w:vAlign w:val="center"/>
                </w:tcPr>
                <w:p w14:paraId="4B178FB6">
                  <w:pPr>
                    <w:widowControl/>
                    <w:adjustRightInd w:val="0"/>
                    <w:snapToGrid w:val="0"/>
                    <w:jc w:val="center"/>
                    <w:textAlignment w:val="center"/>
                    <w:rPr>
                      <w:kern w:val="0"/>
                      <w:szCs w:val="21"/>
                      <w:lang w:bidi="ar"/>
                    </w:rPr>
                  </w:pPr>
                  <w:r>
                    <w:rPr>
                      <w:rFonts w:hint="eastAsia"/>
                      <w:kern w:val="0"/>
                      <w:szCs w:val="21"/>
                      <w:lang w:bidi="ar"/>
                    </w:rPr>
                    <w:t>项目</w:t>
                  </w:r>
                </w:p>
              </w:tc>
              <w:tc>
                <w:tcPr>
                  <w:tcW w:w="537" w:type="pct"/>
                  <w:vMerge w:val="restart"/>
                  <w:tcMar>
                    <w:top w:w="15" w:type="dxa"/>
                    <w:left w:w="15" w:type="dxa"/>
                    <w:right w:w="15" w:type="dxa"/>
                  </w:tcMar>
                  <w:vAlign w:val="center"/>
                </w:tcPr>
                <w:p w14:paraId="61F12670">
                  <w:pPr>
                    <w:widowControl/>
                    <w:adjustRightInd w:val="0"/>
                    <w:snapToGrid w:val="0"/>
                    <w:jc w:val="center"/>
                    <w:textAlignment w:val="center"/>
                    <w:rPr>
                      <w:kern w:val="0"/>
                      <w:szCs w:val="21"/>
                      <w:lang w:bidi="ar"/>
                    </w:rPr>
                  </w:pPr>
                  <w:r>
                    <w:rPr>
                      <w:kern w:val="0"/>
                      <w:szCs w:val="21"/>
                      <w:lang w:bidi="ar"/>
                    </w:rPr>
                    <w:t>用水标准</w:t>
                  </w:r>
                </w:p>
              </w:tc>
              <w:tc>
                <w:tcPr>
                  <w:tcW w:w="644" w:type="pct"/>
                  <w:vMerge w:val="restart"/>
                  <w:tcMar>
                    <w:top w:w="15" w:type="dxa"/>
                    <w:left w:w="15" w:type="dxa"/>
                    <w:right w:w="15" w:type="dxa"/>
                  </w:tcMar>
                  <w:vAlign w:val="center"/>
                </w:tcPr>
                <w:p w14:paraId="7B5C710C">
                  <w:pPr>
                    <w:widowControl/>
                    <w:adjustRightInd w:val="0"/>
                    <w:snapToGrid w:val="0"/>
                    <w:jc w:val="center"/>
                    <w:textAlignment w:val="center"/>
                    <w:rPr>
                      <w:kern w:val="0"/>
                      <w:szCs w:val="21"/>
                      <w:lang w:bidi="ar"/>
                    </w:rPr>
                  </w:pPr>
                  <w:r>
                    <w:rPr>
                      <w:kern w:val="0"/>
                      <w:szCs w:val="21"/>
                      <w:lang w:bidi="ar"/>
                    </w:rPr>
                    <w:t>规模/天数</w:t>
                  </w:r>
                </w:p>
              </w:tc>
              <w:tc>
                <w:tcPr>
                  <w:tcW w:w="1407" w:type="pct"/>
                  <w:gridSpan w:val="2"/>
                  <w:tcMar>
                    <w:top w:w="15" w:type="dxa"/>
                    <w:left w:w="15" w:type="dxa"/>
                    <w:right w:w="15" w:type="dxa"/>
                  </w:tcMar>
                  <w:vAlign w:val="center"/>
                </w:tcPr>
                <w:p w14:paraId="2469DBD0">
                  <w:pPr>
                    <w:widowControl/>
                    <w:adjustRightInd w:val="0"/>
                    <w:snapToGrid w:val="0"/>
                    <w:jc w:val="center"/>
                    <w:textAlignment w:val="center"/>
                    <w:rPr>
                      <w:kern w:val="0"/>
                      <w:szCs w:val="21"/>
                      <w:lang w:bidi="ar"/>
                    </w:rPr>
                  </w:pPr>
                  <w:r>
                    <w:rPr>
                      <w:kern w:val="0"/>
                      <w:szCs w:val="21"/>
                      <w:lang w:bidi="ar"/>
                    </w:rPr>
                    <w:t>用水量</w:t>
                  </w:r>
                </w:p>
              </w:tc>
              <w:tc>
                <w:tcPr>
                  <w:tcW w:w="536" w:type="pct"/>
                  <w:vMerge w:val="restart"/>
                  <w:tcMar>
                    <w:top w:w="15" w:type="dxa"/>
                    <w:left w:w="15" w:type="dxa"/>
                    <w:right w:w="15" w:type="dxa"/>
                  </w:tcMar>
                  <w:vAlign w:val="center"/>
                </w:tcPr>
                <w:p w14:paraId="0C22772F">
                  <w:pPr>
                    <w:widowControl/>
                    <w:adjustRightInd w:val="0"/>
                    <w:snapToGrid w:val="0"/>
                    <w:jc w:val="center"/>
                    <w:textAlignment w:val="center"/>
                    <w:rPr>
                      <w:kern w:val="0"/>
                      <w:szCs w:val="21"/>
                      <w:lang w:bidi="ar"/>
                    </w:rPr>
                  </w:pPr>
                  <w:r>
                    <w:rPr>
                      <w:rFonts w:hint="eastAsia"/>
                      <w:kern w:val="0"/>
                      <w:szCs w:val="21"/>
                      <w:lang w:bidi="ar"/>
                    </w:rPr>
                    <w:t>损耗量</w:t>
                  </w:r>
                  <w:r>
                    <w:rPr>
                      <w:kern w:val="0"/>
                      <w:szCs w:val="21"/>
                      <w:lang w:bidi="ar"/>
                    </w:rPr>
                    <w:t>（</w:t>
                  </w:r>
                  <w:r>
                    <w:rPr>
                      <w:szCs w:val="21"/>
                    </w:rPr>
                    <w:t>m</w:t>
                  </w:r>
                  <w:r>
                    <w:rPr>
                      <w:szCs w:val="21"/>
                      <w:vertAlign w:val="superscript"/>
                    </w:rPr>
                    <w:t>3</w:t>
                  </w:r>
                  <w:r>
                    <w:rPr>
                      <w:szCs w:val="21"/>
                    </w:rPr>
                    <w:t>/d</w:t>
                  </w:r>
                  <w:r>
                    <w:rPr>
                      <w:kern w:val="0"/>
                      <w:szCs w:val="21"/>
                      <w:lang w:bidi="ar"/>
                    </w:rPr>
                    <w:t>）</w:t>
                  </w:r>
                </w:p>
              </w:tc>
              <w:tc>
                <w:tcPr>
                  <w:tcW w:w="1013" w:type="pct"/>
                  <w:gridSpan w:val="2"/>
                  <w:tcMar>
                    <w:top w:w="15" w:type="dxa"/>
                    <w:left w:w="15" w:type="dxa"/>
                    <w:right w:w="15" w:type="dxa"/>
                  </w:tcMar>
                  <w:vAlign w:val="center"/>
                </w:tcPr>
                <w:p w14:paraId="2142F787">
                  <w:pPr>
                    <w:widowControl/>
                    <w:adjustRightInd w:val="0"/>
                    <w:snapToGrid w:val="0"/>
                    <w:jc w:val="center"/>
                    <w:textAlignment w:val="center"/>
                    <w:rPr>
                      <w:kern w:val="0"/>
                      <w:szCs w:val="21"/>
                      <w:lang w:bidi="ar"/>
                    </w:rPr>
                  </w:pPr>
                  <w:r>
                    <w:rPr>
                      <w:kern w:val="0"/>
                      <w:szCs w:val="21"/>
                      <w:lang w:bidi="ar"/>
                    </w:rPr>
                    <w:t>废水产生量</w:t>
                  </w:r>
                </w:p>
              </w:tc>
            </w:tr>
            <w:tr w14:paraId="7DC13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7" w:type="pct"/>
                  <w:vMerge w:val="continue"/>
                  <w:tcMar>
                    <w:top w:w="15" w:type="dxa"/>
                    <w:left w:w="15" w:type="dxa"/>
                    <w:right w:w="15" w:type="dxa"/>
                  </w:tcMar>
                  <w:vAlign w:val="center"/>
                </w:tcPr>
                <w:p w14:paraId="356D6A89">
                  <w:pPr>
                    <w:widowControl/>
                    <w:adjustRightInd w:val="0"/>
                    <w:snapToGrid w:val="0"/>
                    <w:jc w:val="center"/>
                    <w:rPr>
                      <w:kern w:val="0"/>
                      <w:szCs w:val="21"/>
                      <w:lang w:bidi="ar"/>
                    </w:rPr>
                  </w:pPr>
                </w:p>
              </w:tc>
              <w:tc>
                <w:tcPr>
                  <w:tcW w:w="626" w:type="pct"/>
                  <w:vMerge w:val="continue"/>
                  <w:tcMar>
                    <w:top w:w="15" w:type="dxa"/>
                    <w:left w:w="15" w:type="dxa"/>
                    <w:right w:w="15" w:type="dxa"/>
                  </w:tcMar>
                  <w:vAlign w:val="center"/>
                </w:tcPr>
                <w:p w14:paraId="419CCDE1">
                  <w:pPr>
                    <w:widowControl/>
                    <w:adjustRightInd w:val="0"/>
                    <w:snapToGrid w:val="0"/>
                    <w:jc w:val="center"/>
                    <w:rPr>
                      <w:kern w:val="0"/>
                      <w:szCs w:val="21"/>
                      <w:lang w:bidi="ar"/>
                    </w:rPr>
                  </w:pPr>
                </w:p>
              </w:tc>
              <w:tc>
                <w:tcPr>
                  <w:tcW w:w="537" w:type="pct"/>
                  <w:vMerge w:val="continue"/>
                  <w:tcMar>
                    <w:top w:w="15" w:type="dxa"/>
                    <w:left w:w="15" w:type="dxa"/>
                    <w:right w:w="15" w:type="dxa"/>
                  </w:tcMar>
                  <w:vAlign w:val="center"/>
                </w:tcPr>
                <w:p w14:paraId="37930ED9">
                  <w:pPr>
                    <w:widowControl/>
                    <w:adjustRightInd w:val="0"/>
                    <w:snapToGrid w:val="0"/>
                    <w:jc w:val="center"/>
                    <w:rPr>
                      <w:kern w:val="0"/>
                      <w:szCs w:val="21"/>
                      <w:lang w:bidi="ar"/>
                    </w:rPr>
                  </w:pPr>
                </w:p>
              </w:tc>
              <w:tc>
                <w:tcPr>
                  <w:tcW w:w="644" w:type="pct"/>
                  <w:vMerge w:val="continue"/>
                  <w:tcMar>
                    <w:top w:w="15" w:type="dxa"/>
                    <w:left w:w="15" w:type="dxa"/>
                    <w:right w:w="15" w:type="dxa"/>
                  </w:tcMar>
                  <w:vAlign w:val="center"/>
                </w:tcPr>
                <w:p w14:paraId="1FAD7A11">
                  <w:pPr>
                    <w:widowControl/>
                    <w:adjustRightInd w:val="0"/>
                    <w:snapToGrid w:val="0"/>
                    <w:jc w:val="center"/>
                    <w:rPr>
                      <w:kern w:val="0"/>
                      <w:szCs w:val="21"/>
                      <w:lang w:bidi="ar"/>
                    </w:rPr>
                  </w:pPr>
                </w:p>
              </w:tc>
              <w:tc>
                <w:tcPr>
                  <w:tcW w:w="707" w:type="pct"/>
                  <w:tcMar>
                    <w:top w:w="15" w:type="dxa"/>
                    <w:left w:w="15" w:type="dxa"/>
                    <w:right w:w="15" w:type="dxa"/>
                  </w:tcMar>
                  <w:vAlign w:val="center"/>
                </w:tcPr>
                <w:p w14:paraId="5D30B2D8">
                  <w:pPr>
                    <w:widowControl/>
                    <w:adjustRightInd w:val="0"/>
                    <w:snapToGrid w:val="0"/>
                    <w:jc w:val="center"/>
                    <w:textAlignment w:val="center"/>
                    <w:rPr>
                      <w:kern w:val="0"/>
                      <w:szCs w:val="21"/>
                      <w:lang w:bidi="ar"/>
                    </w:rPr>
                  </w:pPr>
                  <w:r>
                    <w:rPr>
                      <w:kern w:val="0"/>
                      <w:szCs w:val="21"/>
                      <w:lang w:bidi="ar"/>
                    </w:rPr>
                    <w:t>（</w:t>
                  </w:r>
                  <w:r>
                    <w:rPr>
                      <w:szCs w:val="21"/>
                    </w:rPr>
                    <w:t>m</w:t>
                  </w:r>
                  <w:r>
                    <w:rPr>
                      <w:szCs w:val="21"/>
                      <w:vertAlign w:val="superscript"/>
                    </w:rPr>
                    <w:t>3</w:t>
                  </w:r>
                  <w:r>
                    <w:rPr>
                      <w:szCs w:val="21"/>
                    </w:rPr>
                    <w:t>/d</w:t>
                  </w:r>
                  <w:r>
                    <w:rPr>
                      <w:kern w:val="0"/>
                      <w:szCs w:val="21"/>
                      <w:lang w:bidi="ar"/>
                    </w:rPr>
                    <w:t>）</w:t>
                  </w:r>
                </w:p>
              </w:tc>
              <w:tc>
                <w:tcPr>
                  <w:tcW w:w="700" w:type="pct"/>
                  <w:tcMar>
                    <w:top w:w="15" w:type="dxa"/>
                    <w:left w:w="15" w:type="dxa"/>
                    <w:right w:w="15" w:type="dxa"/>
                  </w:tcMar>
                  <w:vAlign w:val="center"/>
                </w:tcPr>
                <w:p w14:paraId="3049EC0D">
                  <w:pPr>
                    <w:widowControl/>
                    <w:adjustRightInd w:val="0"/>
                    <w:snapToGrid w:val="0"/>
                    <w:jc w:val="center"/>
                    <w:textAlignment w:val="center"/>
                    <w:rPr>
                      <w:kern w:val="0"/>
                      <w:szCs w:val="21"/>
                      <w:lang w:bidi="ar"/>
                    </w:rPr>
                  </w:pPr>
                  <w:r>
                    <w:rPr>
                      <w:kern w:val="0"/>
                      <w:szCs w:val="21"/>
                      <w:lang w:bidi="ar"/>
                    </w:rPr>
                    <w:t>（</w:t>
                  </w:r>
                  <w:r>
                    <w:rPr>
                      <w:szCs w:val="21"/>
                    </w:rPr>
                    <w:t>m</w:t>
                  </w:r>
                  <w:r>
                    <w:rPr>
                      <w:szCs w:val="21"/>
                      <w:vertAlign w:val="superscript"/>
                    </w:rPr>
                    <w:t>3</w:t>
                  </w:r>
                  <w:r>
                    <w:rPr>
                      <w:kern w:val="0"/>
                      <w:szCs w:val="21"/>
                      <w:lang w:bidi="ar"/>
                    </w:rPr>
                    <w:t>/a）</w:t>
                  </w:r>
                </w:p>
              </w:tc>
              <w:tc>
                <w:tcPr>
                  <w:tcW w:w="536" w:type="pct"/>
                  <w:vMerge w:val="continue"/>
                  <w:tcMar>
                    <w:top w:w="15" w:type="dxa"/>
                    <w:left w:w="15" w:type="dxa"/>
                    <w:right w:w="15" w:type="dxa"/>
                  </w:tcMar>
                  <w:vAlign w:val="center"/>
                </w:tcPr>
                <w:p w14:paraId="1EF17190">
                  <w:pPr>
                    <w:widowControl/>
                    <w:adjustRightInd w:val="0"/>
                    <w:snapToGrid w:val="0"/>
                    <w:jc w:val="center"/>
                    <w:textAlignment w:val="center"/>
                    <w:rPr>
                      <w:kern w:val="0"/>
                      <w:szCs w:val="21"/>
                      <w:lang w:bidi="ar"/>
                    </w:rPr>
                  </w:pPr>
                </w:p>
              </w:tc>
              <w:tc>
                <w:tcPr>
                  <w:tcW w:w="528" w:type="pct"/>
                  <w:tcMar>
                    <w:top w:w="15" w:type="dxa"/>
                    <w:left w:w="15" w:type="dxa"/>
                    <w:right w:w="15" w:type="dxa"/>
                  </w:tcMar>
                  <w:vAlign w:val="center"/>
                </w:tcPr>
                <w:p w14:paraId="2F9E55B0">
                  <w:pPr>
                    <w:widowControl/>
                    <w:adjustRightInd w:val="0"/>
                    <w:snapToGrid w:val="0"/>
                    <w:jc w:val="center"/>
                    <w:textAlignment w:val="center"/>
                    <w:rPr>
                      <w:kern w:val="0"/>
                      <w:szCs w:val="21"/>
                      <w:lang w:bidi="ar"/>
                    </w:rPr>
                  </w:pPr>
                  <w:r>
                    <w:rPr>
                      <w:kern w:val="0"/>
                      <w:szCs w:val="21"/>
                      <w:lang w:bidi="ar"/>
                    </w:rPr>
                    <w:t>（</w:t>
                  </w:r>
                  <w:r>
                    <w:rPr>
                      <w:szCs w:val="21"/>
                    </w:rPr>
                    <w:t>m</w:t>
                  </w:r>
                  <w:r>
                    <w:rPr>
                      <w:szCs w:val="21"/>
                      <w:vertAlign w:val="superscript"/>
                    </w:rPr>
                    <w:t>3</w:t>
                  </w:r>
                  <w:r>
                    <w:rPr>
                      <w:kern w:val="0"/>
                      <w:szCs w:val="21"/>
                      <w:lang w:bidi="ar"/>
                    </w:rPr>
                    <w:t>/d）</w:t>
                  </w:r>
                </w:p>
              </w:tc>
              <w:tc>
                <w:tcPr>
                  <w:tcW w:w="485" w:type="pct"/>
                  <w:tcMar>
                    <w:top w:w="15" w:type="dxa"/>
                    <w:left w:w="15" w:type="dxa"/>
                    <w:right w:w="15" w:type="dxa"/>
                  </w:tcMar>
                  <w:vAlign w:val="center"/>
                </w:tcPr>
                <w:p w14:paraId="684A1980">
                  <w:pPr>
                    <w:widowControl/>
                    <w:adjustRightInd w:val="0"/>
                    <w:snapToGrid w:val="0"/>
                    <w:jc w:val="center"/>
                    <w:textAlignment w:val="center"/>
                    <w:rPr>
                      <w:kern w:val="0"/>
                      <w:szCs w:val="21"/>
                      <w:lang w:bidi="ar"/>
                    </w:rPr>
                  </w:pPr>
                  <w:r>
                    <w:rPr>
                      <w:kern w:val="0"/>
                      <w:szCs w:val="21"/>
                      <w:lang w:bidi="ar"/>
                    </w:rPr>
                    <w:t>（</w:t>
                  </w:r>
                  <w:r>
                    <w:rPr>
                      <w:szCs w:val="21"/>
                    </w:rPr>
                    <w:t>m</w:t>
                  </w:r>
                  <w:r>
                    <w:rPr>
                      <w:szCs w:val="21"/>
                      <w:vertAlign w:val="superscript"/>
                    </w:rPr>
                    <w:t>3</w:t>
                  </w:r>
                  <w:r>
                    <w:rPr>
                      <w:kern w:val="0"/>
                      <w:szCs w:val="21"/>
                      <w:lang w:bidi="ar"/>
                    </w:rPr>
                    <w:t>/a）</w:t>
                  </w:r>
                </w:p>
              </w:tc>
            </w:tr>
            <w:tr w14:paraId="2A546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7" w:type="pct"/>
                  <w:tcMar>
                    <w:top w:w="15" w:type="dxa"/>
                    <w:left w:w="15" w:type="dxa"/>
                    <w:right w:w="15" w:type="dxa"/>
                  </w:tcMar>
                  <w:vAlign w:val="center"/>
                </w:tcPr>
                <w:p w14:paraId="42B32552">
                  <w:pPr>
                    <w:widowControl/>
                    <w:adjustRightInd w:val="0"/>
                    <w:snapToGrid w:val="0"/>
                    <w:jc w:val="center"/>
                    <w:rPr>
                      <w:kern w:val="0"/>
                      <w:szCs w:val="21"/>
                      <w:lang w:bidi="ar"/>
                    </w:rPr>
                  </w:pPr>
                  <w:r>
                    <w:rPr>
                      <w:rFonts w:hint="eastAsia"/>
                      <w:kern w:val="0"/>
                      <w:szCs w:val="21"/>
                      <w:lang w:bidi="ar"/>
                    </w:rPr>
                    <w:t>1</w:t>
                  </w:r>
                </w:p>
              </w:tc>
              <w:tc>
                <w:tcPr>
                  <w:tcW w:w="626" w:type="pct"/>
                  <w:tcMar>
                    <w:top w:w="15" w:type="dxa"/>
                    <w:left w:w="15" w:type="dxa"/>
                    <w:right w:w="15" w:type="dxa"/>
                  </w:tcMar>
                  <w:vAlign w:val="center"/>
                </w:tcPr>
                <w:p w14:paraId="6DABA017">
                  <w:pPr>
                    <w:widowControl/>
                    <w:adjustRightInd w:val="0"/>
                    <w:snapToGrid w:val="0"/>
                    <w:jc w:val="center"/>
                    <w:rPr>
                      <w:kern w:val="0"/>
                      <w:szCs w:val="21"/>
                      <w:lang w:bidi="ar"/>
                    </w:rPr>
                  </w:pPr>
                  <w:r>
                    <w:rPr>
                      <w:rFonts w:hint="eastAsia"/>
                      <w:szCs w:val="21"/>
                    </w:rPr>
                    <w:t>住宿职工生活用水</w:t>
                  </w:r>
                </w:p>
              </w:tc>
              <w:tc>
                <w:tcPr>
                  <w:tcW w:w="537" w:type="pct"/>
                  <w:tcMar>
                    <w:top w:w="15" w:type="dxa"/>
                    <w:left w:w="15" w:type="dxa"/>
                    <w:right w:w="15" w:type="dxa"/>
                  </w:tcMar>
                  <w:vAlign w:val="center"/>
                </w:tcPr>
                <w:p w14:paraId="6C29825F">
                  <w:pPr>
                    <w:widowControl/>
                    <w:adjustRightInd w:val="0"/>
                    <w:snapToGrid w:val="0"/>
                    <w:jc w:val="center"/>
                    <w:rPr>
                      <w:kern w:val="0"/>
                      <w:szCs w:val="21"/>
                      <w:lang w:bidi="ar"/>
                    </w:rPr>
                  </w:pPr>
                  <w:r>
                    <w:rPr>
                      <w:kern w:val="0"/>
                      <w:szCs w:val="21"/>
                      <w:lang w:bidi="ar"/>
                    </w:rPr>
                    <w:t>120</w:t>
                  </w:r>
                  <w:r>
                    <w:rPr>
                      <w:rFonts w:hint="eastAsia"/>
                      <w:kern w:val="0"/>
                      <w:szCs w:val="21"/>
                      <w:lang w:bidi="ar"/>
                    </w:rPr>
                    <w:t>L/人·d</w:t>
                  </w:r>
                </w:p>
              </w:tc>
              <w:tc>
                <w:tcPr>
                  <w:tcW w:w="644" w:type="pct"/>
                  <w:tcMar>
                    <w:top w:w="15" w:type="dxa"/>
                    <w:left w:w="15" w:type="dxa"/>
                    <w:right w:w="15" w:type="dxa"/>
                  </w:tcMar>
                  <w:vAlign w:val="center"/>
                </w:tcPr>
                <w:p w14:paraId="0F7B65A2">
                  <w:pPr>
                    <w:widowControl/>
                    <w:adjustRightInd w:val="0"/>
                    <w:snapToGrid w:val="0"/>
                    <w:jc w:val="center"/>
                    <w:rPr>
                      <w:kern w:val="0"/>
                      <w:szCs w:val="21"/>
                      <w:lang w:bidi="ar"/>
                    </w:rPr>
                  </w:pPr>
                  <w:r>
                    <w:rPr>
                      <w:kern w:val="0"/>
                      <w:szCs w:val="21"/>
                      <w:lang w:bidi="ar"/>
                    </w:rPr>
                    <w:t>20</w:t>
                  </w:r>
                  <w:r>
                    <w:rPr>
                      <w:rFonts w:hint="eastAsia"/>
                      <w:kern w:val="0"/>
                      <w:szCs w:val="21"/>
                      <w:lang w:bidi="ar"/>
                    </w:rPr>
                    <w:t>人/</w:t>
                  </w:r>
                  <w:r>
                    <w:rPr>
                      <w:kern w:val="0"/>
                      <w:szCs w:val="21"/>
                      <w:lang w:bidi="ar"/>
                    </w:rPr>
                    <w:t>300d</w:t>
                  </w:r>
                </w:p>
              </w:tc>
              <w:tc>
                <w:tcPr>
                  <w:tcW w:w="707" w:type="pct"/>
                  <w:tcMar>
                    <w:top w:w="15" w:type="dxa"/>
                    <w:left w:w="15" w:type="dxa"/>
                    <w:right w:w="15" w:type="dxa"/>
                  </w:tcMar>
                  <w:vAlign w:val="center"/>
                </w:tcPr>
                <w:p w14:paraId="0BF6B9B8">
                  <w:pPr>
                    <w:widowControl/>
                    <w:adjustRightInd w:val="0"/>
                    <w:snapToGrid w:val="0"/>
                    <w:jc w:val="center"/>
                    <w:textAlignment w:val="center"/>
                    <w:rPr>
                      <w:kern w:val="0"/>
                      <w:szCs w:val="21"/>
                      <w:lang w:bidi="ar"/>
                    </w:rPr>
                  </w:pPr>
                  <w:r>
                    <w:rPr>
                      <w:rFonts w:hint="eastAsia"/>
                      <w:kern w:val="0"/>
                      <w:szCs w:val="21"/>
                      <w:lang w:bidi="ar"/>
                    </w:rPr>
                    <w:t>2</w:t>
                  </w:r>
                  <w:r>
                    <w:rPr>
                      <w:kern w:val="0"/>
                      <w:szCs w:val="21"/>
                      <w:lang w:bidi="ar"/>
                    </w:rPr>
                    <w:t>.4</w:t>
                  </w:r>
                </w:p>
              </w:tc>
              <w:tc>
                <w:tcPr>
                  <w:tcW w:w="700" w:type="pct"/>
                  <w:tcMar>
                    <w:top w:w="15" w:type="dxa"/>
                    <w:left w:w="15" w:type="dxa"/>
                    <w:right w:w="15" w:type="dxa"/>
                  </w:tcMar>
                  <w:vAlign w:val="center"/>
                </w:tcPr>
                <w:p w14:paraId="133F6E5C">
                  <w:pPr>
                    <w:widowControl/>
                    <w:adjustRightInd w:val="0"/>
                    <w:snapToGrid w:val="0"/>
                    <w:jc w:val="center"/>
                    <w:textAlignment w:val="center"/>
                    <w:rPr>
                      <w:kern w:val="0"/>
                      <w:szCs w:val="21"/>
                      <w:lang w:bidi="ar"/>
                    </w:rPr>
                  </w:pPr>
                  <w:r>
                    <w:rPr>
                      <w:rFonts w:hint="eastAsia"/>
                      <w:kern w:val="0"/>
                      <w:szCs w:val="21"/>
                      <w:lang w:bidi="ar"/>
                    </w:rPr>
                    <w:t>7</w:t>
                  </w:r>
                  <w:r>
                    <w:rPr>
                      <w:kern w:val="0"/>
                      <w:szCs w:val="21"/>
                      <w:lang w:bidi="ar"/>
                    </w:rPr>
                    <w:t>20</w:t>
                  </w:r>
                </w:p>
              </w:tc>
              <w:tc>
                <w:tcPr>
                  <w:tcW w:w="536" w:type="pct"/>
                  <w:tcMar>
                    <w:top w:w="15" w:type="dxa"/>
                    <w:left w:w="15" w:type="dxa"/>
                    <w:right w:w="15" w:type="dxa"/>
                  </w:tcMar>
                  <w:vAlign w:val="center"/>
                </w:tcPr>
                <w:p w14:paraId="037980D7">
                  <w:pPr>
                    <w:widowControl/>
                    <w:adjustRightInd w:val="0"/>
                    <w:snapToGrid w:val="0"/>
                    <w:jc w:val="center"/>
                    <w:textAlignment w:val="center"/>
                    <w:rPr>
                      <w:kern w:val="0"/>
                      <w:szCs w:val="21"/>
                      <w:lang w:bidi="ar"/>
                    </w:rPr>
                  </w:pPr>
                  <w:r>
                    <w:rPr>
                      <w:rFonts w:hint="eastAsia"/>
                      <w:kern w:val="0"/>
                      <w:szCs w:val="21"/>
                      <w:lang w:bidi="ar"/>
                    </w:rPr>
                    <w:t>0</w:t>
                  </w:r>
                  <w:r>
                    <w:rPr>
                      <w:kern w:val="0"/>
                      <w:szCs w:val="21"/>
                      <w:lang w:bidi="ar"/>
                    </w:rPr>
                    <w:t>.48</w:t>
                  </w:r>
                </w:p>
              </w:tc>
              <w:tc>
                <w:tcPr>
                  <w:tcW w:w="528" w:type="pct"/>
                  <w:tcMar>
                    <w:top w:w="15" w:type="dxa"/>
                    <w:left w:w="15" w:type="dxa"/>
                    <w:right w:w="15" w:type="dxa"/>
                  </w:tcMar>
                  <w:vAlign w:val="center"/>
                </w:tcPr>
                <w:p w14:paraId="67505B2B">
                  <w:pPr>
                    <w:widowControl/>
                    <w:adjustRightInd w:val="0"/>
                    <w:snapToGrid w:val="0"/>
                    <w:jc w:val="center"/>
                    <w:textAlignment w:val="center"/>
                    <w:rPr>
                      <w:kern w:val="0"/>
                      <w:szCs w:val="21"/>
                      <w:lang w:bidi="ar"/>
                    </w:rPr>
                  </w:pPr>
                  <w:r>
                    <w:rPr>
                      <w:rFonts w:hint="eastAsia"/>
                      <w:kern w:val="0"/>
                      <w:szCs w:val="21"/>
                      <w:lang w:bidi="ar"/>
                    </w:rPr>
                    <w:t>1</w:t>
                  </w:r>
                  <w:r>
                    <w:rPr>
                      <w:kern w:val="0"/>
                      <w:szCs w:val="21"/>
                      <w:lang w:bidi="ar"/>
                    </w:rPr>
                    <w:t>.92</w:t>
                  </w:r>
                </w:p>
              </w:tc>
              <w:tc>
                <w:tcPr>
                  <w:tcW w:w="485" w:type="pct"/>
                  <w:tcMar>
                    <w:top w:w="15" w:type="dxa"/>
                    <w:left w:w="15" w:type="dxa"/>
                    <w:right w:w="15" w:type="dxa"/>
                  </w:tcMar>
                  <w:vAlign w:val="center"/>
                </w:tcPr>
                <w:p w14:paraId="10C68120">
                  <w:pPr>
                    <w:widowControl/>
                    <w:adjustRightInd w:val="0"/>
                    <w:snapToGrid w:val="0"/>
                    <w:jc w:val="center"/>
                    <w:textAlignment w:val="center"/>
                    <w:rPr>
                      <w:kern w:val="0"/>
                      <w:szCs w:val="21"/>
                      <w:lang w:bidi="ar"/>
                    </w:rPr>
                  </w:pPr>
                  <w:r>
                    <w:rPr>
                      <w:rFonts w:hint="eastAsia"/>
                      <w:kern w:val="0"/>
                      <w:szCs w:val="21"/>
                      <w:lang w:bidi="ar"/>
                    </w:rPr>
                    <w:t>5</w:t>
                  </w:r>
                  <w:r>
                    <w:rPr>
                      <w:kern w:val="0"/>
                      <w:szCs w:val="21"/>
                      <w:lang w:bidi="ar"/>
                    </w:rPr>
                    <w:t>76</w:t>
                  </w:r>
                </w:p>
              </w:tc>
            </w:tr>
            <w:tr w14:paraId="100B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7" w:type="pct"/>
                  <w:tcMar>
                    <w:top w:w="15" w:type="dxa"/>
                    <w:left w:w="15" w:type="dxa"/>
                    <w:right w:w="15" w:type="dxa"/>
                  </w:tcMar>
                  <w:vAlign w:val="center"/>
                </w:tcPr>
                <w:p w14:paraId="33D9F3DF">
                  <w:pPr>
                    <w:widowControl/>
                    <w:adjustRightInd w:val="0"/>
                    <w:snapToGrid w:val="0"/>
                    <w:jc w:val="center"/>
                    <w:rPr>
                      <w:kern w:val="0"/>
                      <w:szCs w:val="21"/>
                      <w:lang w:bidi="ar"/>
                    </w:rPr>
                  </w:pPr>
                  <w:r>
                    <w:rPr>
                      <w:rFonts w:hint="eastAsia"/>
                      <w:kern w:val="0"/>
                      <w:szCs w:val="21"/>
                      <w:lang w:bidi="ar"/>
                    </w:rPr>
                    <w:t>2</w:t>
                  </w:r>
                </w:p>
              </w:tc>
              <w:tc>
                <w:tcPr>
                  <w:tcW w:w="626" w:type="pct"/>
                  <w:tcMar>
                    <w:top w:w="15" w:type="dxa"/>
                    <w:left w:w="15" w:type="dxa"/>
                    <w:right w:w="15" w:type="dxa"/>
                  </w:tcMar>
                  <w:vAlign w:val="center"/>
                </w:tcPr>
                <w:p w14:paraId="4B6D91EB">
                  <w:pPr>
                    <w:widowControl/>
                    <w:adjustRightInd w:val="0"/>
                    <w:snapToGrid w:val="0"/>
                    <w:jc w:val="center"/>
                    <w:rPr>
                      <w:szCs w:val="21"/>
                    </w:rPr>
                  </w:pPr>
                  <w:r>
                    <w:rPr>
                      <w:rFonts w:hint="eastAsia"/>
                      <w:szCs w:val="21"/>
                    </w:rPr>
                    <w:t>不住宿职工生活用水</w:t>
                  </w:r>
                </w:p>
              </w:tc>
              <w:tc>
                <w:tcPr>
                  <w:tcW w:w="537" w:type="pct"/>
                  <w:tcMar>
                    <w:top w:w="15" w:type="dxa"/>
                    <w:left w:w="15" w:type="dxa"/>
                    <w:right w:w="15" w:type="dxa"/>
                  </w:tcMar>
                  <w:vAlign w:val="center"/>
                </w:tcPr>
                <w:p w14:paraId="4583D164">
                  <w:pPr>
                    <w:widowControl/>
                    <w:adjustRightInd w:val="0"/>
                    <w:snapToGrid w:val="0"/>
                    <w:jc w:val="center"/>
                    <w:rPr>
                      <w:kern w:val="0"/>
                      <w:szCs w:val="21"/>
                      <w:lang w:bidi="ar"/>
                    </w:rPr>
                  </w:pPr>
                  <w:r>
                    <w:rPr>
                      <w:kern w:val="0"/>
                      <w:szCs w:val="21"/>
                      <w:lang w:bidi="ar"/>
                    </w:rPr>
                    <w:t>30</w:t>
                  </w:r>
                  <w:r>
                    <w:rPr>
                      <w:rFonts w:hint="eastAsia"/>
                      <w:kern w:val="0"/>
                      <w:szCs w:val="21"/>
                      <w:lang w:bidi="ar"/>
                    </w:rPr>
                    <w:t>L/人·d</w:t>
                  </w:r>
                </w:p>
              </w:tc>
              <w:tc>
                <w:tcPr>
                  <w:tcW w:w="644" w:type="pct"/>
                  <w:tcMar>
                    <w:top w:w="15" w:type="dxa"/>
                    <w:left w:w="15" w:type="dxa"/>
                    <w:right w:w="15" w:type="dxa"/>
                  </w:tcMar>
                  <w:vAlign w:val="center"/>
                </w:tcPr>
                <w:p w14:paraId="6D04CE2E">
                  <w:pPr>
                    <w:widowControl/>
                    <w:adjustRightInd w:val="0"/>
                    <w:snapToGrid w:val="0"/>
                    <w:jc w:val="center"/>
                    <w:rPr>
                      <w:kern w:val="0"/>
                      <w:szCs w:val="21"/>
                      <w:lang w:bidi="ar"/>
                    </w:rPr>
                  </w:pPr>
                  <w:r>
                    <w:rPr>
                      <w:kern w:val="0"/>
                      <w:szCs w:val="21"/>
                      <w:lang w:bidi="ar"/>
                    </w:rPr>
                    <w:t>40</w:t>
                  </w:r>
                  <w:r>
                    <w:rPr>
                      <w:rFonts w:hint="eastAsia"/>
                      <w:kern w:val="0"/>
                      <w:szCs w:val="21"/>
                      <w:lang w:bidi="ar"/>
                    </w:rPr>
                    <w:t>人/</w:t>
                  </w:r>
                  <w:r>
                    <w:rPr>
                      <w:kern w:val="0"/>
                      <w:szCs w:val="21"/>
                      <w:lang w:bidi="ar"/>
                    </w:rPr>
                    <w:t>300d</w:t>
                  </w:r>
                </w:p>
              </w:tc>
              <w:tc>
                <w:tcPr>
                  <w:tcW w:w="707" w:type="pct"/>
                  <w:tcMar>
                    <w:top w:w="15" w:type="dxa"/>
                    <w:left w:w="15" w:type="dxa"/>
                    <w:right w:w="15" w:type="dxa"/>
                  </w:tcMar>
                  <w:vAlign w:val="center"/>
                </w:tcPr>
                <w:p w14:paraId="6C66A748">
                  <w:pPr>
                    <w:widowControl/>
                    <w:adjustRightInd w:val="0"/>
                    <w:snapToGrid w:val="0"/>
                    <w:jc w:val="center"/>
                    <w:textAlignment w:val="center"/>
                    <w:rPr>
                      <w:kern w:val="24"/>
                      <w:szCs w:val="21"/>
                    </w:rPr>
                  </w:pPr>
                  <w:r>
                    <w:rPr>
                      <w:rFonts w:hint="eastAsia"/>
                      <w:kern w:val="24"/>
                      <w:szCs w:val="21"/>
                    </w:rPr>
                    <w:t>1</w:t>
                  </w:r>
                  <w:r>
                    <w:rPr>
                      <w:kern w:val="24"/>
                      <w:szCs w:val="21"/>
                    </w:rPr>
                    <w:t>.2</w:t>
                  </w:r>
                </w:p>
              </w:tc>
              <w:tc>
                <w:tcPr>
                  <w:tcW w:w="700" w:type="pct"/>
                  <w:tcMar>
                    <w:top w:w="15" w:type="dxa"/>
                    <w:left w:w="15" w:type="dxa"/>
                    <w:right w:w="15" w:type="dxa"/>
                  </w:tcMar>
                  <w:vAlign w:val="center"/>
                </w:tcPr>
                <w:p w14:paraId="392C56A4">
                  <w:pPr>
                    <w:widowControl/>
                    <w:adjustRightInd w:val="0"/>
                    <w:snapToGrid w:val="0"/>
                    <w:jc w:val="center"/>
                    <w:textAlignment w:val="center"/>
                    <w:rPr>
                      <w:kern w:val="24"/>
                      <w:szCs w:val="21"/>
                    </w:rPr>
                  </w:pPr>
                  <w:r>
                    <w:rPr>
                      <w:rFonts w:hint="eastAsia"/>
                      <w:kern w:val="24"/>
                      <w:szCs w:val="21"/>
                    </w:rPr>
                    <w:t>3</w:t>
                  </w:r>
                  <w:r>
                    <w:rPr>
                      <w:kern w:val="24"/>
                      <w:szCs w:val="21"/>
                    </w:rPr>
                    <w:t>60</w:t>
                  </w:r>
                </w:p>
              </w:tc>
              <w:tc>
                <w:tcPr>
                  <w:tcW w:w="536" w:type="pct"/>
                  <w:tcMar>
                    <w:top w:w="15" w:type="dxa"/>
                    <w:left w:w="15" w:type="dxa"/>
                    <w:right w:w="15" w:type="dxa"/>
                  </w:tcMar>
                  <w:vAlign w:val="center"/>
                </w:tcPr>
                <w:p w14:paraId="75049130">
                  <w:pPr>
                    <w:widowControl/>
                    <w:adjustRightInd w:val="0"/>
                    <w:snapToGrid w:val="0"/>
                    <w:jc w:val="center"/>
                    <w:textAlignment w:val="center"/>
                    <w:rPr>
                      <w:kern w:val="0"/>
                      <w:szCs w:val="21"/>
                      <w:lang w:bidi="ar"/>
                    </w:rPr>
                  </w:pPr>
                  <w:r>
                    <w:rPr>
                      <w:rFonts w:hint="eastAsia"/>
                      <w:kern w:val="0"/>
                      <w:szCs w:val="21"/>
                      <w:lang w:bidi="ar"/>
                    </w:rPr>
                    <w:t>0</w:t>
                  </w:r>
                  <w:r>
                    <w:rPr>
                      <w:kern w:val="0"/>
                      <w:szCs w:val="21"/>
                      <w:lang w:bidi="ar"/>
                    </w:rPr>
                    <w:t>.24</w:t>
                  </w:r>
                </w:p>
              </w:tc>
              <w:tc>
                <w:tcPr>
                  <w:tcW w:w="528" w:type="pct"/>
                  <w:tcMar>
                    <w:top w:w="15" w:type="dxa"/>
                    <w:left w:w="15" w:type="dxa"/>
                    <w:right w:w="15" w:type="dxa"/>
                  </w:tcMar>
                  <w:vAlign w:val="center"/>
                </w:tcPr>
                <w:p w14:paraId="4B42E6CE">
                  <w:pPr>
                    <w:widowControl/>
                    <w:adjustRightInd w:val="0"/>
                    <w:snapToGrid w:val="0"/>
                    <w:jc w:val="center"/>
                    <w:textAlignment w:val="center"/>
                    <w:rPr>
                      <w:kern w:val="24"/>
                      <w:szCs w:val="21"/>
                    </w:rPr>
                  </w:pPr>
                  <w:r>
                    <w:rPr>
                      <w:rFonts w:hint="eastAsia"/>
                      <w:kern w:val="24"/>
                      <w:szCs w:val="21"/>
                    </w:rPr>
                    <w:t>0</w:t>
                  </w:r>
                  <w:r>
                    <w:rPr>
                      <w:kern w:val="24"/>
                      <w:szCs w:val="21"/>
                    </w:rPr>
                    <w:t>.96</w:t>
                  </w:r>
                </w:p>
              </w:tc>
              <w:tc>
                <w:tcPr>
                  <w:tcW w:w="485" w:type="pct"/>
                  <w:tcMar>
                    <w:top w:w="15" w:type="dxa"/>
                    <w:left w:w="15" w:type="dxa"/>
                    <w:right w:w="15" w:type="dxa"/>
                  </w:tcMar>
                  <w:vAlign w:val="center"/>
                </w:tcPr>
                <w:p w14:paraId="609D5D27">
                  <w:pPr>
                    <w:widowControl/>
                    <w:adjustRightInd w:val="0"/>
                    <w:snapToGrid w:val="0"/>
                    <w:jc w:val="center"/>
                    <w:textAlignment w:val="center"/>
                    <w:rPr>
                      <w:kern w:val="24"/>
                      <w:szCs w:val="21"/>
                    </w:rPr>
                  </w:pPr>
                  <w:r>
                    <w:rPr>
                      <w:rFonts w:hint="eastAsia"/>
                      <w:kern w:val="24"/>
                      <w:szCs w:val="21"/>
                    </w:rPr>
                    <w:t>2</w:t>
                  </w:r>
                  <w:r>
                    <w:rPr>
                      <w:kern w:val="24"/>
                      <w:szCs w:val="21"/>
                    </w:rPr>
                    <w:t>88</w:t>
                  </w:r>
                </w:p>
              </w:tc>
            </w:tr>
            <w:tr w14:paraId="05FE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7" w:type="pct"/>
                  <w:tcMar>
                    <w:top w:w="15" w:type="dxa"/>
                    <w:left w:w="15" w:type="dxa"/>
                    <w:right w:w="15" w:type="dxa"/>
                  </w:tcMar>
                  <w:vAlign w:val="center"/>
                </w:tcPr>
                <w:p w14:paraId="44C6E259">
                  <w:pPr>
                    <w:widowControl/>
                    <w:adjustRightInd w:val="0"/>
                    <w:snapToGrid w:val="0"/>
                    <w:jc w:val="center"/>
                    <w:rPr>
                      <w:kern w:val="0"/>
                      <w:szCs w:val="21"/>
                      <w:lang w:bidi="ar"/>
                    </w:rPr>
                  </w:pPr>
                  <w:r>
                    <w:rPr>
                      <w:rFonts w:hint="eastAsia"/>
                      <w:kern w:val="0"/>
                      <w:szCs w:val="21"/>
                      <w:lang w:bidi="ar"/>
                    </w:rPr>
                    <w:t>3</w:t>
                  </w:r>
                </w:p>
              </w:tc>
              <w:tc>
                <w:tcPr>
                  <w:tcW w:w="626" w:type="pct"/>
                  <w:tcMar>
                    <w:top w:w="15" w:type="dxa"/>
                    <w:left w:w="15" w:type="dxa"/>
                    <w:right w:w="15" w:type="dxa"/>
                  </w:tcMar>
                  <w:vAlign w:val="center"/>
                </w:tcPr>
                <w:p w14:paraId="1CE64D52">
                  <w:pPr>
                    <w:widowControl/>
                    <w:adjustRightInd w:val="0"/>
                    <w:snapToGrid w:val="0"/>
                    <w:jc w:val="center"/>
                    <w:rPr>
                      <w:szCs w:val="21"/>
                    </w:rPr>
                  </w:pPr>
                  <w:r>
                    <w:rPr>
                      <w:rFonts w:hint="eastAsia"/>
                      <w:szCs w:val="21"/>
                    </w:rPr>
                    <w:t>食堂用水</w:t>
                  </w:r>
                </w:p>
              </w:tc>
              <w:tc>
                <w:tcPr>
                  <w:tcW w:w="537" w:type="pct"/>
                  <w:tcMar>
                    <w:top w:w="15" w:type="dxa"/>
                    <w:left w:w="15" w:type="dxa"/>
                    <w:right w:w="15" w:type="dxa"/>
                  </w:tcMar>
                  <w:vAlign w:val="center"/>
                </w:tcPr>
                <w:p w14:paraId="4A310639">
                  <w:pPr>
                    <w:widowControl/>
                    <w:adjustRightInd w:val="0"/>
                    <w:snapToGrid w:val="0"/>
                    <w:jc w:val="center"/>
                    <w:rPr>
                      <w:kern w:val="0"/>
                      <w:szCs w:val="21"/>
                      <w:lang w:bidi="ar"/>
                    </w:rPr>
                  </w:pPr>
                  <w:r>
                    <w:rPr>
                      <w:kern w:val="0"/>
                      <w:szCs w:val="21"/>
                      <w:lang w:bidi="ar"/>
                    </w:rPr>
                    <w:t>30</w:t>
                  </w:r>
                  <w:r>
                    <w:rPr>
                      <w:rFonts w:hint="eastAsia"/>
                      <w:kern w:val="0"/>
                      <w:szCs w:val="21"/>
                      <w:lang w:bidi="ar"/>
                    </w:rPr>
                    <w:t>L/人·d</w:t>
                  </w:r>
                </w:p>
              </w:tc>
              <w:tc>
                <w:tcPr>
                  <w:tcW w:w="644" w:type="pct"/>
                  <w:tcMar>
                    <w:top w:w="15" w:type="dxa"/>
                    <w:left w:w="15" w:type="dxa"/>
                    <w:right w:w="15" w:type="dxa"/>
                  </w:tcMar>
                  <w:vAlign w:val="center"/>
                </w:tcPr>
                <w:p w14:paraId="55C8A4D4">
                  <w:pPr>
                    <w:widowControl/>
                    <w:adjustRightInd w:val="0"/>
                    <w:snapToGrid w:val="0"/>
                    <w:jc w:val="center"/>
                    <w:rPr>
                      <w:kern w:val="0"/>
                      <w:szCs w:val="21"/>
                      <w:lang w:bidi="ar"/>
                    </w:rPr>
                  </w:pPr>
                  <w:r>
                    <w:rPr>
                      <w:kern w:val="0"/>
                      <w:szCs w:val="21"/>
                      <w:lang w:bidi="ar"/>
                    </w:rPr>
                    <w:t>60</w:t>
                  </w:r>
                  <w:r>
                    <w:rPr>
                      <w:rFonts w:hint="eastAsia"/>
                      <w:kern w:val="0"/>
                      <w:szCs w:val="21"/>
                      <w:lang w:bidi="ar"/>
                    </w:rPr>
                    <w:t>人/</w:t>
                  </w:r>
                  <w:r>
                    <w:rPr>
                      <w:kern w:val="0"/>
                      <w:szCs w:val="21"/>
                      <w:lang w:bidi="ar"/>
                    </w:rPr>
                    <w:t>300d</w:t>
                  </w:r>
                </w:p>
              </w:tc>
              <w:tc>
                <w:tcPr>
                  <w:tcW w:w="707" w:type="pct"/>
                  <w:tcMar>
                    <w:top w:w="15" w:type="dxa"/>
                    <w:left w:w="15" w:type="dxa"/>
                    <w:right w:w="15" w:type="dxa"/>
                  </w:tcMar>
                  <w:vAlign w:val="center"/>
                </w:tcPr>
                <w:p w14:paraId="0D6836FB">
                  <w:pPr>
                    <w:widowControl/>
                    <w:adjustRightInd w:val="0"/>
                    <w:snapToGrid w:val="0"/>
                    <w:jc w:val="center"/>
                    <w:textAlignment w:val="center"/>
                    <w:rPr>
                      <w:kern w:val="24"/>
                      <w:szCs w:val="21"/>
                    </w:rPr>
                  </w:pPr>
                  <w:r>
                    <w:rPr>
                      <w:rFonts w:hint="eastAsia"/>
                      <w:kern w:val="24"/>
                      <w:szCs w:val="21"/>
                    </w:rPr>
                    <w:t>1</w:t>
                  </w:r>
                  <w:r>
                    <w:rPr>
                      <w:kern w:val="24"/>
                      <w:szCs w:val="21"/>
                    </w:rPr>
                    <w:t>.8</w:t>
                  </w:r>
                </w:p>
              </w:tc>
              <w:tc>
                <w:tcPr>
                  <w:tcW w:w="700" w:type="pct"/>
                  <w:tcMar>
                    <w:top w:w="15" w:type="dxa"/>
                    <w:left w:w="15" w:type="dxa"/>
                    <w:right w:w="15" w:type="dxa"/>
                  </w:tcMar>
                  <w:vAlign w:val="center"/>
                </w:tcPr>
                <w:p w14:paraId="7211E61D">
                  <w:pPr>
                    <w:widowControl/>
                    <w:adjustRightInd w:val="0"/>
                    <w:snapToGrid w:val="0"/>
                    <w:jc w:val="center"/>
                    <w:textAlignment w:val="center"/>
                    <w:rPr>
                      <w:kern w:val="24"/>
                      <w:szCs w:val="21"/>
                    </w:rPr>
                  </w:pPr>
                  <w:r>
                    <w:rPr>
                      <w:rFonts w:hint="eastAsia"/>
                      <w:kern w:val="24"/>
                      <w:szCs w:val="21"/>
                    </w:rPr>
                    <w:t>5</w:t>
                  </w:r>
                  <w:r>
                    <w:rPr>
                      <w:kern w:val="24"/>
                      <w:szCs w:val="21"/>
                    </w:rPr>
                    <w:t>40</w:t>
                  </w:r>
                </w:p>
              </w:tc>
              <w:tc>
                <w:tcPr>
                  <w:tcW w:w="536" w:type="pct"/>
                  <w:tcMar>
                    <w:top w:w="15" w:type="dxa"/>
                    <w:left w:w="15" w:type="dxa"/>
                    <w:right w:w="15" w:type="dxa"/>
                  </w:tcMar>
                  <w:vAlign w:val="center"/>
                </w:tcPr>
                <w:p w14:paraId="33B5E9D0">
                  <w:pPr>
                    <w:widowControl/>
                    <w:adjustRightInd w:val="0"/>
                    <w:snapToGrid w:val="0"/>
                    <w:jc w:val="center"/>
                    <w:textAlignment w:val="center"/>
                    <w:rPr>
                      <w:kern w:val="0"/>
                      <w:szCs w:val="21"/>
                      <w:lang w:bidi="ar"/>
                    </w:rPr>
                  </w:pPr>
                  <w:r>
                    <w:rPr>
                      <w:rFonts w:hint="eastAsia"/>
                      <w:kern w:val="0"/>
                      <w:szCs w:val="21"/>
                      <w:lang w:bidi="ar"/>
                    </w:rPr>
                    <w:t>0</w:t>
                  </w:r>
                  <w:r>
                    <w:rPr>
                      <w:kern w:val="0"/>
                      <w:szCs w:val="21"/>
                      <w:lang w:bidi="ar"/>
                    </w:rPr>
                    <w:t>.36</w:t>
                  </w:r>
                </w:p>
              </w:tc>
              <w:tc>
                <w:tcPr>
                  <w:tcW w:w="528" w:type="pct"/>
                  <w:tcMar>
                    <w:top w:w="15" w:type="dxa"/>
                    <w:left w:w="15" w:type="dxa"/>
                    <w:right w:w="15" w:type="dxa"/>
                  </w:tcMar>
                  <w:vAlign w:val="center"/>
                </w:tcPr>
                <w:p w14:paraId="64D78D07">
                  <w:pPr>
                    <w:widowControl/>
                    <w:adjustRightInd w:val="0"/>
                    <w:snapToGrid w:val="0"/>
                    <w:jc w:val="center"/>
                    <w:textAlignment w:val="center"/>
                    <w:rPr>
                      <w:kern w:val="24"/>
                      <w:szCs w:val="21"/>
                    </w:rPr>
                  </w:pPr>
                  <w:r>
                    <w:rPr>
                      <w:rFonts w:hint="eastAsia"/>
                      <w:kern w:val="24"/>
                      <w:szCs w:val="21"/>
                    </w:rPr>
                    <w:t>1</w:t>
                  </w:r>
                  <w:r>
                    <w:rPr>
                      <w:kern w:val="24"/>
                      <w:szCs w:val="21"/>
                    </w:rPr>
                    <w:t>.44</w:t>
                  </w:r>
                </w:p>
              </w:tc>
              <w:tc>
                <w:tcPr>
                  <w:tcW w:w="485" w:type="pct"/>
                  <w:tcMar>
                    <w:top w:w="15" w:type="dxa"/>
                    <w:left w:w="15" w:type="dxa"/>
                    <w:right w:w="15" w:type="dxa"/>
                  </w:tcMar>
                  <w:vAlign w:val="center"/>
                </w:tcPr>
                <w:p w14:paraId="3C4A35C9">
                  <w:pPr>
                    <w:widowControl/>
                    <w:adjustRightInd w:val="0"/>
                    <w:snapToGrid w:val="0"/>
                    <w:jc w:val="center"/>
                    <w:textAlignment w:val="center"/>
                    <w:rPr>
                      <w:kern w:val="24"/>
                      <w:szCs w:val="21"/>
                    </w:rPr>
                  </w:pPr>
                  <w:r>
                    <w:rPr>
                      <w:rFonts w:hint="eastAsia"/>
                      <w:kern w:val="24"/>
                      <w:szCs w:val="21"/>
                    </w:rPr>
                    <w:t>4</w:t>
                  </w:r>
                  <w:r>
                    <w:rPr>
                      <w:kern w:val="24"/>
                      <w:szCs w:val="21"/>
                    </w:rPr>
                    <w:t>32</w:t>
                  </w:r>
                </w:p>
              </w:tc>
            </w:tr>
            <w:tr w14:paraId="0A2B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7" w:type="pct"/>
                  <w:tcMar>
                    <w:top w:w="15" w:type="dxa"/>
                    <w:left w:w="15" w:type="dxa"/>
                    <w:right w:w="15" w:type="dxa"/>
                  </w:tcMar>
                  <w:vAlign w:val="center"/>
                </w:tcPr>
                <w:p w14:paraId="5E7B077C">
                  <w:pPr>
                    <w:widowControl/>
                    <w:adjustRightInd w:val="0"/>
                    <w:snapToGrid w:val="0"/>
                    <w:jc w:val="center"/>
                    <w:rPr>
                      <w:kern w:val="0"/>
                      <w:szCs w:val="21"/>
                      <w:lang w:bidi="ar"/>
                    </w:rPr>
                  </w:pPr>
                  <w:r>
                    <w:rPr>
                      <w:kern w:val="0"/>
                      <w:szCs w:val="21"/>
                      <w:lang w:bidi="ar"/>
                    </w:rPr>
                    <w:t>4</w:t>
                  </w:r>
                </w:p>
              </w:tc>
              <w:tc>
                <w:tcPr>
                  <w:tcW w:w="626" w:type="pct"/>
                  <w:tcMar>
                    <w:top w:w="15" w:type="dxa"/>
                    <w:left w:w="15" w:type="dxa"/>
                    <w:right w:w="15" w:type="dxa"/>
                  </w:tcMar>
                  <w:vAlign w:val="center"/>
                </w:tcPr>
                <w:p w14:paraId="30DAFE75">
                  <w:pPr>
                    <w:widowControl/>
                    <w:adjustRightInd w:val="0"/>
                    <w:snapToGrid w:val="0"/>
                    <w:jc w:val="center"/>
                    <w:rPr>
                      <w:kern w:val="0"/>
                      <w:szCs w:val="21"/>
                      <w:lang w:bidi="ar"/>
                    </w:rPr>
                  </w:pPr>
                  <w:r>
                    <w:rPr>
                      <w:rFonts w:hint="eastAsia"/>
                      <w:kern w:val="0"/>
                      <w:szCs w:val="21"/>
                    </w:rPr>
                    <w:t>间接冷却水补水</w:t>
                  </w:r>
                </w:p>
              </w:tc>
              <w:tc>
                <w:tcPr>
                  <w:tcW w:w="537" w:type="pct"/>
                  <w:tcMar>
                    <w:top w:w="15" w:type="dxa"/>
                    <w:left w:w="15" w:type="dxa"/>
                    <w:right w:w="15" w:type="dxa"/>
                  </w:tcMar>
                  <w:vAlign w:val="center"/>
                </w:tcPr>
                <w:p w14:paraId="5C60A33F">
                  <w:pPr>
                    <w:widowControl/>
                    <w:adjustRightInd w:val="0"/>
                    <w:snapToGrid w:val="0"/>
                    <w:jc w:val="center"/>
                    <w:rPr>
                      <w:kern w:val="0"/>
                      <w:szCs w:val="21"/>
                      <w:lang w:bidi="ar"/>
                    </w:rPr>
                  </w:pPr>
                  <w:r>
                    <w:rPr>
                      <w:kern w:val="0"/>
                      <w:szCs w:val="21"/>
                      <w:lang w:bidi="ar"/>
                    </w:rPr>
                    <w:t>4 m</w:t>
                  </w:r>
                  <w:r>
                    <w:rPr>
                      <w:kern w:val="0"/>
                      <w:szCs w:val="21"/>
                      <w:vertAlign w:val="superscript"/>
                      <w:lang w:bidi="ar"/>
                    </w:rPr>
                    <w:t>3</w:t>
                  </w:r>
                  <w:r>
                    <w:rPr>
                      <w:kern w:val="0"/>
                      <w:szCs w:val="21"/>
                      <w:lang w:bidi="ar"/>
                    </w:rPr>
                    <w:t>/d-10</w:t>
                  </w:r>
                  <w:r>
                    <w:rPr>
                      <w:rFonts w:hint="eastAsia"/>
                      <w:kern w:val="0"/>
                      <w:szCs w:val="21"/>
                      <w:lang w:bidi="ar"/>
                    </w:rPr>
                    <w:t>万吨产品</w:t>
                  </w:r>
                </w:p>
              </w:tc>
              <w:tc>
                <w:tcPr>
                  <w:tcW w:w="644" w:type="pct"/>
                  <w:tcMar>
                    <w:top w:w="15" w:type="dxa"/>
                    <w:left w:w="15" w:type="dxa"/>
                    <w:right w:w="15" w:type="dxa"/>
                  </w:tcMar>
                  <w:vAlign w:val="center"/>
                </w:tcPr>
                <w:p w14:paraId="02639270">
                  <w:pPr>
                    <w:widowControl/>
                    <w:adjustRightInd w:val="0"/>
                    <w:snapToGrid w:val="0"/>
                    <w:jc w:val="center"/>
                    <w:rPr>
                      <w:kern w:val="0"/>
                      <w:szCs w:val="21"/>
                      <w:lang w:bidi="ar"/>
                    </w:rPr>
                  </w:pPr>
                  <w:r>
                    <w:rPr>
                      <w:kern w:val="0"/>
                      <w:szCs w:val="21"/>
                      <w:lang w:bidi="ar"/>
                    </w:rPr>
                    <w:t>20</w:t>
                  </w:r>
                  <w:r>
                    <w:rPr>
                      <w:rFonts w:hint="eastAsia"/>
                      <w:kern w:val="0"/>
                      <w:szCs w:val="21"/>
                      <w:lang w:bidi="ar"/>
                    </w:rPr>
                    <w:t>万吨产品</w:t>
                  </w:r>
                </w:p>
              </w:tc>
              <w:tc>
                <w:tcPr>
                  <w:tcW w:w="707" w:type="pct"/>
                  <w:tcMar>
                    <w:top w:w="15" w:type="dxa"/>
                    <w:left w:w="15" w:type="dxa"/>
                    <w:right w:w="15" w:type="dxa"/>
                  </w:tcMar>
                  <w:vAlign w:val="center"/>
                </w:tcPr>
                <w:p w14:paraId="40F59167">
                  <w:pPr>
                    <w:widowControl/>
                    <w:adjustRightInd w:val="0"/>
                    <w:snapToGrid w:val="0"/>
                    <w:jc w:val="center"/>
                    <w:textAlignment w:val="center"/>
                    <w:rPr>
                      <w:kern w:val="0"/>
                      <w:szCs w:val="21"/>
                      <w:lang w:bidi="ar"/>
                    </w:rPr>
                  </w:pPr>
                  <w:r>
                    <w:rPr>
                      <w:szCs w:val="21"/>
                    </w:rPr>
                    <w:t>8</w:t>
                  </w:r>
                </w:p>
              </w:tc>
              <w:tc>
                <w:tcPr>
                  <w:tcW w:w="700" w:type="pct"/>
                  <w:tcMar>
                    <w:top w:w="15" w:type="dxa"/>
                    <w:left w:w="15" w:type="dxa"/>
                    <w:right w:w="15" w:type="dxa"/>
                  </w:tcMar>
                  <w:vAlign w:val="center"/>
                </w:tcPr>
                <w:p w14:paraId="27D7F789">
                  <w:pPr>
                    <w:widowControl/>
                    <w:adjustRightInd w:val="0"/>
                    <w:snapToGrid w:val="0"/>
                    <w:jc w:val="center"/>
                    <w:textAlignment w:val="center"/>
                    <w:rPr>
                      <w:kern w:val="0"/>
                      <w:szCs w:val="21"/>
                      <w:lang w:bidi="ar"/>
                    </w:rPr>
                  </w:pPr>
                  <w:r>
                    <w:rPr>
                      <w:szCs w:val="21"/>
                    </w:rPr>
                    <w:t>2400</w:t>
                  </w:r>
                </w:p>
              </w:tc>
              <w:tc>
                <w:tcPr>
                  <w:tcW w:w="536" w:type="pct"/>
                  <w:tcMar>
                    <w:top w:w="15" w:type="dxa"/>
                    <w:left w:w="15" w:type="dxa"/>
                    <w:right w:w="15" w:type="dxa"/>
                  </w:tcMar>
                  <w:vAlign w:val="center"/>
                </w:tcPr>
                <w:p w14:paraId="23400874">
                  <w:pPr>
                    <w:widowControl/>
                    <w:adjustRightInd w:val="0"/>
                    <w:snapToGrid w:val="0"/>
                    <w:jc w:val="center"/>
                    <w:textAlignment w:val="center"/>
                    <w:rPr>
                      <w:kern w:val="0"/>
                      <w:szCs w:val="21"/>
                      <w:lang w:bidi="ar"/>
                    </w:rPr>
                  </w:pPr>
                  <w:r>
                    <w:rPr>
                      <w:szCs w:val="21"/>
                    </w:rPr>
                    <w:t>8</w:t>
                  </w:r>
                </w:p>
              </w:tc>
              <w:tc>
                <w:tcPr>
                  <w:tcW w:w="528" w:type="pct"/>
                  <w:tcMar>
                    <w:top w:w="15" w:type="dxa"/>
                    <w:left w:w="15" w:type="dxa"/>
                    <w:right w:w="15" w:type="dxa"/>
                  </w:tcMar>
                  <w:vAlign w:val="center"/>
                </w:tcPr>
                <w:p w14:paraId="6A912121">
                  <w:pPr>
                    <w:widowControl/>
                    <w:adjustRightInd w:val="0"/>
                    <w:snapToGrid w:val="0"/>
                    <w:jc w:val="center"/>
                    <w:textAlignment w:val="center"/>
                    <w:rPr>
                      <w:kern w:val="0"/>
                      <w:szCs w:val="21"/>
                      <w:lang w:bidi="ar"/>
                    </w:rPr>
                  </w:pPr>
                  <w:r>
                    <w:rPr>
                      <w:rFonts w:hint="eastAsia"/>
                      <w:kern w:val="0"/>
                      <w:szCs w:val="21"/>
                      <w:lang w:bidi="ar"/>
                    </w:rPr>
                    <w:t>0</w:t>
                  </w:r>
                </w:p>
              </w:tc>
              <w:tc>
                <w:tcPr>
                  <w:tcW w:w="485" w:type="pct"/>
                  <w:tcMar>
                    <w:top w:w="15" w:type="dxa"/>
                    <w:left w:w="15" w:type="dxa"/>
                    <w:right w:w="15" w:type="dxa"/>
                  </w:tcMar>
                  <w:vAlign w:val="center"/>
                </w:tcPr>
                <w:p w14:paraId="5CB0EAC5">
                  <w:pPr>
                    <w:widowControl/>
                    <w:adjustRightInd w:val="0"/>
                    <w:snapToGrid w:val="0"/>
                    <w:jc w:val="center"/>
                    <w:textAlignment w:val="center"/>
                    <w:rPr>
                      <w:kern w:val="0"/>
                      <w:szCs w:val="21"/>
                      <w:lang w:bidi="ar"/>
                    </w:rPr>
                  </w:pPr>
                  <w:r>
                    <w:rPr>
                      <w:rFonts w:hint="eastAsia"/>
                      <w:kern w:val="0"/>
                      <w:szCs w:val="21"/>
                      <w:lang w:bidi="ar"/>
                    </w:rPr>
                    <w:t>0</w:t>
                  </w:r>
                </w:p>
              </w:tc>
            </w:tr>
            <w:tr w14:paraId="61A56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7" w:type="pct"/>
                  <w:tcMar>
                    <w:top w:w="15" w:type="dxa"/>
                    <w:left w:w="15" w:type="dxa"/>
                    <w:right w:w="15" w:type="dxa"/>
                  </w:tcMar>
                  <w:vAlign w:val="center"/>
                </w:tcPr>
                <w:p w14:paraId="77703965">
                  <w:pPr>
                    <w:widowControl/>
                    <w:adjustRightInd w:val="0"/>
                    <w:snapToGrid w:val="0"/>
                    <w:jc w:val="center"/>
                    <w:rPr>
                      <w:kern w:val="0"/>
                      <w:szCs w:val="21"/>
                      <w:lang w:bidi="ar"/>
                    </w:rPr>
                  </w:pPr>
                  <w:r>
                    <w:rPr>
                      <w:kern w:val="0"/>
                      <w:szCs w:val="21"/>
                      <w:lang w:bidi="ar"/>
                    </w:rPr>
                    <w:t>5</w:t>
                  </w:r>
                </w:p>
              </w:tc>
              <w:tc>
                <w:tcPr>
                  <w:tcW w:w="626" w:type="pct"/>
                  <w:tcMar>
                    <w:top w:w="15" w:type="dxa"/>
                    <w:left w:w="15" w:type="dxa"/>
                    <w:right w:w="15" w:type="dxa"/>
                  </w:tcMar>
                  <w:vAlign w:val="center"/>
                </w:tcPr>
                <w:p w14:paraId="2756BFC5">
                  <w:pPr>
                    <w:widowControl/>
                    <w:adjustRightInd w:val="0"/>
                    <w:snapToGrid w:val="0"/>
                    <w:jc w:val="center"/>
                    <w:rPr>
                      <w:kern w:val="0"/>
                      <w:szCs w:val="21"/>
                      <w:lang w:bidi="ar"/>
                    </w:rPr>
                  </w:pPr>
                  <w:r>
                    <w:rPr>
                      <w:rFonts w:hint="eastAsia"/>
                      <w:kern w:val="0"/>
                      <w:szCs w:val="21"/>
                      <w:lang w:bidi="ar"/>
                    </w:rPr>
                    <w:t>直接冷却水</w:t>
                  </w:r>
                  <w:r>
                    <w:rPr>
                      <w:rFonts w:hint="eastAsia"/>
                      <w:kern w:val="0"/>
                      <w:szCs w:val="21"/>
                    </w:rPr>
                    <w:t>补水</w:t>
                  </w:r>
                </w:p>
              </w:tc>
              <w:tc>
                <w:tcPr>
                  <w:tcW w:w="537" w:type="pct"/>
                  <w:tcMar>
                    <w:top w:w="15" w:type="dxa"/>
                    <w:left w:w="15" w:type="dxa"/>
                    <w:right w:w="15" w:type="dxa"/>
                  </w:tcMar>
                  <w:vAlign w:val="center"/>
                </w:tcPr>
                <w:p w14:paraId="4607A795">
                  <w:pPr>
                    <w:widowControl/>
                    <w:adjustRightInd w:val="0"/>
                    <w:snapToGrid w:val="0"/>
                    <w:jc w:val="center"/>
                    <w:rPr>
                      <w:kern w:val="0"/>
                      <w:szCs w:val="21"/>
                      <w:lang w:bidi="ar"/>
                    </w:rPr>
                  </w:pPr>
                  <w:r>
                    <w:rPr>
                      <w:kern w:val="0"/>
                      <w:szCs w:val="21"/>
                      <w:lang w:bidi="ar"/>
                    </w:rPr>
                    <w:t>3 m</w:t>
                  </w:r>
                  <w:r>
                    <w:rPr>
                      <w:kern w:val="0"/>
                      <w:szCs w:val="21"/>
                      <w:vertAlign w:val="superscript"/>
                      <w:lang w:bidi="ar"/>
                    </w:rPr>
                    <w:t>3</w:t>
                  </w:r>
                  <w:r>
                    <w:rPr>
                      <w:kern w:val="0"/>
                      <w:szCs w:val="21"/>
                      <w:lang w:bidi="ar"/>
                    </w:rPr>
                    <w:t>/d-10</w:t>
                  </w:r>
                  <w:r>
                    <w:rPr>
                      <w:rFonts w:hint="eastAsia"/>
                      <w:kern w:val="0"/>
                      <w:szCs w:val="21"/>
                      <w:lang w:bidi="ar"/>
                    </w:rPr>
                    <w:t>万吨产品</w:t>
                  </w:r>
                </w:p>
              </w:tc>
              <w:tc>
                <w:tcPr>
                  <w:tcW w:w="644" w:type="pct"/>
                  <w:tcMar>
                    <w:top w:w="15" w:type="dxa"/>
                    <w:left w:w="15" w:type="dxa"/>
                    <w:right w:w="15" w:type="dxa"/>
                  </w:tcMar>
                  <w:vAlign w:val="center"/>
                </w:tcPr>
                <w:p w14:paraId="2EB4CFC1">
                  <w:pPr>
                    <w:widowControl/>
                    <w:adjustRightInd w:val="0"/>
                    <w:snapToGrid w:val="0"/>
                    <w:jc w:val="center"/>
                    <w:rPr>
                      <w:kern w:val="0"/>
                      <w:szCs w:val="21"/>
                      <w:lang w:bidi="ar"/>
                    </w:rPr>
                  </w:pPr>
                  <w:r>
                    <w:rPr>
                      <w:kern w:val="0"/>
                      <w:szCs w:val="21"/>
                      <w:lang w:bidi="ar"/>
                    </w:rPr>
                    <w:t>20</w:t>
                  </w:r>
                  <w:r>
                    <w:rPr>
                      <w:rFonts w:hint="eastAsia"/>
                      <w:kern w:val="0"/>
                      <w:szCs w:val="21"/>
                      <w:lang w:bidi="ar"/>
                    </w:rPr>
                    <w:t>万吨产品</w:t>
                  </w:r>
                </w:p>
              </w:tc>
              <w:tc>
                <w:tcPr>
                  <w:tcW w:w="707" w:type="pct"/>
                  <w:tcMar>
                    <w:top w:w="15" w:type="dxa"/>
                    <w:left w:w="15" w:type="dxa"/>
                    <w:right w:w="15" w:type="dxa"/>
                  </w:tcMar>
                  <w:vAlign w:val="center"/>
                </w:tcPr>
                <w:p w14:paraId="6992E3AC">
                  <w:pPr>
                    <w:widowControl/>
                    <w:adjustRightInd w:val="0"/>
                    <w:snapToGrid w:val="0"/>
                    <w:jc w:val="center"/>
                    <w:textAlignment w:val="center"/>
                    <w:rPr>
                      <w:kern w:val="0"/>
                      <w:szCs w:val="21"/>
                      <w:lang w:bidi="ar"/>
                    </w:rPr>
                  </w:pPr>
                  <w:r>
                    <w:rPr>
                      <w:szCs w:val="21"/>
                    </w:rPr>
                    <w:t>6</w:t>
                  </w:r>
                </w:p>
              </w:tc>
              <w:tc>
                <w:tcPr>
                  <w:tcW w:w="700" w:type="pct"/>
                  <w:tcMar>
                    <w:top w:w="15" w:type="dxa"/>
                    <w:left w:w="15" w:type="dxa"/>
                    <w:right w:w="15" w:type="dxa"/>
                  </w:tcMar>
                  <w:vAlign w:val="center"/>
                </w:tcPr>
                <w:p w14:paraId="43351F0B">
                  <w:pPr>
                    <w:widowControl/>
                    <w:adjustRightInd w:val="0"/>
                    <w:snapToGrid w:val="0"/>
                    <w:jc w:val="center"/>
                    <w:textAlignment w:val="center"/>
                    <w:rPr>
                      <w:kern w:val="0"/>
                      <w:szCs w:val="21"/>
                      <w:lang w:bidi="ar"/>
                    </w:rPr>
                  </w:pPr>
                  <w:r>
                    <w:rPr>
                      <w:szCs w:val="21"/>
                    </w:rPr>
                    <w:t>1800</w:t>
                  </w:r>
                </w:p>
              </w:tc>
              <w:tc>
                <w:tcPr>
                  <w:tcW w:w="536" w:type="pct"/>
                  <w:tcMar>
                    <w:top w:w="15" w:type="dxa"/>
                    <w:left w:w="15" w:type="dxa"/>
                    <w:right w:w="15" w:type="dxa"/>
                  </w:tcMar>
                  <w:vAlign w:val="center"/>
                </w:tcPr>
                <w:p w14:paraId="67F4AF80">
                  <w:pPr>
                    <w:widowControl/>
                    <w:adjustRightInd w:val="0"/>
                    <w:snapToGrid w:val="0"/>
                    <w:jc w:val="center"/>
                    <w:textAlignment w:val="center"/>
                    <w:rPr>
                      <w:kern w:val="0"/>
                      <w:szCs w:val="21"/>
                      <w:lang w:bidi="ar"/>
                    </w:rPr>
                  </w:pPr>
                  <w:r>
                    <w:rPr>
                      <w:szCs w:val="21"/>
                    </w:rPr>
                    <w:t>6</w:t>
                  </w:r>
                </w:p>
              </w:tc>
              <w:tc>
                <w:tcPr>
                  <w:tcW w:w="528" w:type="pct"/>
                  <w:tcMar>
                    <w:top w:w="15" w:type="dxa"/>
                    <w:left w:w="15" w:type="dxa"/>
                    <w:right w:w="15" w:type="dxa"/>
                  </w:tcMar>
                  <w:vAlign w:val="center"/>
                </w:tcPr>
                <w:p w14:paraId="30FDBEC8">
                  <w:pPr>
                    <w:widowControl/>
                    <w:adjustRightInd w:val="0"/>
                    <w:snapToGrid w:val="0"/>
                    <w:jc w:val="center"/>
                    <w:textAlignment w:val="center"/>
                    <w:rPr>
                      <w:kern w:val="0"/>
                      <w:szCs w:val="21"/>
                      <w:lang w:bidi="ar"/>
                    </w:rPr>
                  </w:pPr>
                  <w:r>
                    <w:rPr>
                      <w:rFonts w:hint="eastAsia"/>
                      <w:kern w:val="0"/>
                      <w:szCs w:val="21"/>
                      <w:lang w:bidi="ar"/>
                    </w:rPr>
                    <w:t>0</w:t>
                  </w:r>
                </w:p>
              </w:tc>
              <w:tc>
                <w:tcPr>
                  <w:tcW w:w="485" w:type="pct"/>
                  <w:tcMar>
                    <w:top w:w="15" w:type="dxa"/>
                    <w:left w:w="15" w:type="dxa"/>
                    <w:right w:w="15" w:type="dxa"/>
                  </w:tcMar>
                  <w:vAlign w:val="center"/>
                </w:tcPr>
                <w:p w14:paraId="118CCD1C">
                  <w:pPr>
                    <w:widowControl/>
                    <w:adjustRightInd w:val="0"/>
                    <w:snapToGrid w:val="0"/>
                    <w:jc w:val="center"/>
                    <w:textAlignment w:val="center"/>
                    <w:rPr>
                      <w:kern w:val="0"/>
                      <w:szCs w:val="21"/>
                      <w:lang w:bidi="ar"/>
                    </w:rPr>
                  </w:pPr>
                  <w:r>
                    <w:rPr>
                      <w:rFonts w:hint="eastAsia"/>
                      <w:kern w:val="0"/>
                      <w:szCs w:val="21"/>
                      <w:lang w:bidi="ar"/>
                    </w:rPr>
                    <w:t>0</w:t>
                  </w:r>
                </w:p>
              </w:tc>
            </w:tr>
            <w:tr w14:paraId="26B5F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044" w:type="pct"/>
                  <w:gridSpan w:val="4"/>
                  <w:noWrap/>
                  <w:tcMar>
                    <w:top w:w="15" w:type="dxa"/>
                    <w:left w:w="15" w:type="dxa"/>
                    <w:right w:w="15" w:type="dxa"/>
                  </w:tcMar>
                  <w:vAlign w:val="center"/>
                </w:tcPr>
                <w:p w14:paraId="512252B3">
                  <w:pPr>
                    <w:widowControl/>
                    <w:jc w:val="center"/>
                    <w:textAlignment w:val="center"/>
                    <w:rPr>
                      <w:kern w:val="0"/>
                      <w:szCs w:val="21"/>
                      <w:lang w:bidi="ar"/>
                    </w:rPr>
                  </w:pPr>
                  <w:r>
                    <w:rPr>
                      <w:kern w:val="0"/>
                      <w:szCs w:val="21"/>
                      <w:lang w:bidi="ar"/>
                    </w:rPr>
                    <w:t>合计</w:t>
                  </w:r>
                </w:p>
              </w:tc>
              <w:tc>
                <w:tcPr>
                  <w:tcW w:w="707" w:type="pct"/>
                  <w:noWrap/>
                  <w:tcMar>
                    <w:top w:w="15" w:type="dxa"/>
                    <w:left w:w="15" w:type="dxa"/>
                    <w:right w:w="15" w:type="dxa"/>
                  </w:tcMar>
                  <w:vAlign w:val="center"/>
                </w:tcPr>
                <w:p w14:paraId="2CCB7645">
                  <w:pPr>
                    <w:widowControl/>
                    <w:jc w:val="center"/>
                    <w:textAlignment w:val="center"/>
                    <w:rPr>
                      <w:kern w:val="0"/>
                      <w:szCs w:val="21"/>
                      <w:lang w:bidi="ar"/>
                    </w:rPr>
                  </w:pPr>
                  <w:r>
                    <w:rPr>
                      <w:rFonts w:hint="eastAsia"/>
                      <w:kern w:val="0"/>
                      <w:szCs w:val="21"/>
                      <w:lang w:bidi="ar"/>
                    </w:rPr>
                    <w:t>1</w:t>
                  </w:r>
                  <w:r>
                    <w:rPr>
                      <w:kern w:val="0"/>
                      <w:szCs w:val="21"/>
                      <w:lang w:bidi="ar"/>
                    </w:rPr>
                    <w:t>9.4</w:t>
                  </w:r>
                </w:p>
              </w:tc>
              <w:tc>
                <w:tcPr>
                  <w:tcW w:w="700" w:type="pct"/>
                  <w:noWrap/>
                  <w:tcMar>
                    <w:top w:w="15" w:type="dxa"/>
                    <w:left w:w="15" w:type="dxa"/>
                    <w:right w:w="15" w:type="dxa"/>
                  </w:tcMar>
                  <w:vAlign w:val="center"/>
                </w:tcPr>
                <w:p w14:paraId="1484F55C">
                  <w:pPr>
                    <w:widowControl/>
                    <w:jc w:val="center"/>
                    <w:textAlignment w:val="center"/>
                    <w:rPr>
                      <w:kern w:val="0"/>
                      <w:szCs w:val="21"/>
                      <w:lang w:bidi="ar"/>
                    </w:rPr>
                  </w:pPr>
                  <w:r>
                    <w:rPr>
                      <w:rFonts w:hint="eastAsia"/>
                      <w:kern w:val="0"/>
                      <w:szCs w:val="21"/>
                      <w:lang w:bidi="ar"/>
                    </w:rPr>
                    <w:t>5</w:t>
                  </w:r>
                  <w:r>
                    <w:rPr>
                      <w:kern w:val="0"/>
                      <w:szCs w:val="21"/>
                      <w:lang w:bidi="ar"/>
                    </w:rPr>
                    <w:t>820</w:t>
                  </w:r>
                </w:p>
              </w:tc>
              <w:tc>
                <w:tcPr>
                  <w:tcW w:w="536" w:type="pct"/>
                  <w:noWrap/>
                  <w:tcMar>
                    <w:top w:w="15" w:type="dxa"/>
                    <w:left w:w="15" w:type="dxa"/>
                    <w:right w:w="15" w:type="dxa"/>
                  </w:tcMar>
                  <w:vAlign w:val="center"/>
                </w:tcPr>
                <w:p w14:paraId="4BC5780E">
                  <w:pPr>
                    <w:widowControl/>
                    <w:jc w:val="center"/>
                    <w:textAlignment w:val="center"/>
                    <w:rPr>
                      <w:kern w:val="0"/>
                      <w:szCs w:val="21"/>
                      <w:lang w:bidi="ar"/>
                    </w:rPr>
                  </w:pPr>
                  <w:r>
                    <w:rPr>
                      <w:rFonts w:hint="eastAsia"/>
                      <w:kern w:val="0"/>
                      <w:szCs w:val="21"/>
                      <w:lang w:bidi="ar"/>
                    </w:rPr>
                    <w:t>1</w:t>
                  </w:r>
                  <w:r>
                    <w:rPr>
                      <w:kern w:val="0"/>
                      <w:szCs w:val="21"/>
                      <w:lang w:bidi="ar"/>
                    </w:rPr>
                    <w:t>5.08</w:t>
                  </w:r>
                </w:p>
              </w:tc>
              <w:tc>
                <w:tcPr>
                  <w:tcW w:w="528" w:type="pct"/>
                  <w:noWrap/>
                  <w:tcMar>
                    <w:top w:w="15" w:type="dxa"/>
                    <w:left w:w="15" w:type="dxa"/>
                    <w:right w:w="15" w:type="dxa"/>
                  </w:tcMar>
                  <w:vAlign w:val="center"/>
                </w:tcPr>
                <w:p w14:paraId="719B7C50">
                  <w:pPr>
                    <w:widowControl/>
                    <w:adjustRightInd w:val="0"/>
                    <w:snapToGrid w:val="0"/>
                    <w:jc w:val="center"/>
                    <w:textAlignment w:val="center"/>
                    <w:rPr>
                      <w:kern w:val="0"/>
                      <w:szCs w:val="21"/>
                      <w:lang w:bidi="ar"/>
                    </w:rPr>
                  </w:pPr>
                  <w:r>
                    <w:rPr>
                      <w:rFonts w:hint="eastAsia"/>
                      <w:kern w:val="0"/>
                      <w:szCs w:val="21"/>
                      <w:lang w:bidi="ar"/>
                    </w:rPr>
                    <w:t>4</w:t>
                  </w:r>
                  <w:r>
                    <w:rPr>
                      <w:kern w:val="0"/>
                      <w:szCs w:val="21"/>
                      <w:lang w:bidi="ar"/>
                    </w:rPr>
                    <w:t>.32</w:t>
                  </w:r>
                </w:p>
              </w:tc>
              <w:tc>
                <w:tcPr>
                  <w:tcW w:w="485" w:type="pct"/>
                  <w:noWrap/>
                  <w:tcMar>
                    <w:top w:w="15" w:type="dxa"/>
                    <w:left w:w="15" w:type="dxa"/>
                    <w:right w:w="15" w:type="dxa"/>
                  </w:tcMar>
                  <w:vAlign w:val="center"/>
                </w:tcPr>
                <w:p w14:paraId="74FCF0FC">
                  <w:pPr>
                    <w:widowControl/>
                    <w:adjustRightInd w:val="0"/>
                    <w:snapToGrid w:val="0"/>
                    <w:jc w:val="center"/>
                    <w:textAlignment w:val="center"/>
                    <w:rPr>
                      <w:kern w:val="0"/>
                      <w:szCs w:val="21"/>
                      <w:lang w:bidi="ar"/>
                    </w:rPr>
                  </w:pPr>
                  <w:r>
                    <w:rPr>
                      <w:kern w:val="0"/>
                      <w:szCs w:val="21"/>
                      <w:lang w:bidi="ar"/>
                    </w:rPr>
                    <w:t>1296</w:t>
                  </w:r>
                </w:p>
              </w:tc>
            </w:tr>
          </w:tbl>
          <w:p w14:paraId="373AC717">
            <w:pPr>
              <w:pStyle w:val="30"/>
              <w:adjustRightInd w:val="0"/>
              <w:snapToGrid w:val="0"/>
              <w:ind w:firstLine="480" w:firstLineChars="200"/>
              <w:rPr>
                <w:kern w:val="24"/>
                <w:sz w:val="24"/>
              </w:rPr>
            </w:pPr>
            <w:r>
              <w:rPr>
                <w:rFonts w:hint="eastAsia"/>
                <w:kern w:val="24"/>
                <w:sz w:val="24"/>
              </w:rPr>
              <w:t>项目水平衡图如下所示：</w:t>
            </w:r>
          </w:p>
          <w:p w14:paraId="2A2100F2">
            <w:pPr>
              <w:pStyle w:val="83"/>
              <w:ind w:firstLine="14" w:firstLineChars="6"/>
              <w:jc w:val="center"/>
            </w:pPr>
            <w:r>
              <w:object>
                <v:shape id="_x0000_i1025" o:spt="75" type="#_x0000_t75" style="height:287.25pt;width:424.1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2E5BA95C">
            <w:pPr>
              <w:pStyle w:val="58"/>
              <w:spacing w:line="360" w:lineRule="auto"/>
              <w:ind w:firstLine="482" w:firstLineChars="200"/>
              <w:jc w:val="center"/>
              <w:rPr>
                <w:rFonts w:ascii="Times New Roman" w:hAnsi="Times New Roman" w:cs="Times New Roman"/>
                <w:b/>
                <w:kern w:val="24"/>
                <w:sz w:val="24"/>
              </w:rPr>
            </w:pPr>
            <w:r>
              <w:rPr>
                <w:rFonts w:ascii="Times New Roman" w:cs="Times New Roman"/>
                <w:b/>
                <w:kern w:val="24"/>
                <w:sz w:val="24"/>
              </w:rPr>
              <w:t>图</w:t>
            </w:r>
            <w:r>
              <w:rPr>
                <w:rFonts w:hint="eastAsia" w:ascii="Times New Roman" w:hAnsi="Times New Roman" w:cs="Times New Roman"/>
                <w:b/>
                <w:kern w:val="24"/>
                <w:sz w:val="24"/>
              </w:rPr>
              <w:t>2-1</w:t>
            </w:r>
            <w:r>
              <w:rPr>
                <w:rFonts w:ascii="Times New Roman" w:hAnsi="Times New Roman" w:cs="Times New Roman"/>
                <w:b/>
                <w:kern w:val="24"/>
                <w:sz w:val="24"/>
              </w:rPr>
              <w:t xml:space="preserve">  </w:t>
            </w:r>
            <w:r>
              <w:rPr>
                <w:rFonts w:ascii="Times New Roman" w:cs="Times New Roman"/>
                <w:b/>
                <w:kern w:val="24"/>
                <w:sz w:val="24"/>
              </w:rPr>
              <w:t>项目水平衡图</w:t>
            </w:r>
            <w:r>
              <w:rPr>
                <w:rFonts w:ascii="Times New Roman" w:hAnsi="Times New Roman" w:cs="Times New Roman"/>
                <w:b/>
                <w:kern w:val="24"/>
                <w:sz w:val="24"/>
              </w:rPr>
              <w:t xml:space="preserve">  </w:t>
            </w:r>
            <w:r>
              <w:rPr>
                <w:rFonts w:hint="eastAsia" w:ascii="Times New Roman" w:hAnsi="Times New Roman" w:cs="Times New Roman"/>
                <w:b/>
                <w:kern w:val="24"/>
                <w:sz w:val="24"/>
              </w:rPr>
              <w:t xml:space="preserve"> </w:t>
            </w:r>
            <w:r>
              <w:rPr>
                <w:rFonts w:ascii="Times New Roman" w:cs="Times New Roman"/>
                <w:b/>
                <w:kern w:val="24"/>
                <w:sz w:val="24"/>
              </w:rPr>
              <w:t>单位：</w:t>
            </w:r>
            <w:r>
              <w:rPr>
                <w:rFonts w:hint="eastAsia" w:ascii="Times New Roman" w:hAnsi="Times New Roman" w:cs="Times New Roman"/>
                <w:b/>
                <w:kern w:val="24"/>
                <w:sz w:val="24"/>
              </w:rPr>
              <w:t>m</w:t>
            </w:r>
            <w:r>
              <w:rPr>
                <w:rFonts w:hint="eastAsia" w:ascii="Times New Roman" w:hAnsi="Times New Roman" w:cs="Times New Roman"/>
                <w:b/>
                <w:kern w:val="24"/>
                <w:sz w:val="24"/>
                <w:vertAlign w:val="superscript"/>
              </w:rPr>
              <w:t>3</w:t>
            </w:r>
            <w:r>
              <w:rPr>
                <w:rFonts w:hint="eastAsia" w:ascii="Times New Roman" w:hAnsi="Times New Roman" w:cs="Times New Roman"/>
                <w:b/>
                <w:kern w:val="24"/>
                <w:sz w:val="24"/>
              </w:rPr>
              <w:t>/d</w:t>
            </w:r>
          </w:p>
          <w:p w14:paraId="023F75AB">
            <w:pPr>
              <w:adjustRightInd w:val="0"/>
              <w:snapToGrid w:val="0"/>
              <w:spacing w:line="360" w:lineRule="auto"/>
              <w:jc w:val="left"/>
              <w:rPr>
                <w:b/>
                <w:bCs/>
                <w:sz w:val="24"/>
              </w:rPr>
            </w:pPr>
            <w:r>
              <w:rPr>
                <w:b/>
                <w:bCs/>
                <w:sz w:val="24"/>
              </w:rPr>
              <w:t>7</w:t>
            </w:r>
            <w:r>
              <w:rPr>
                <w:rFonts w:hint="eastAsia"/>
                <w:b/>
                <w:bCs/>
                <w:sz w:val="24"/>
              </w:rPr>
              <w:t>、项目厂区平面布置</w:t>
            </w:r>
          </w:p>
          <w:p w14:paraId="386A31E6">
            <w:pPr>
              <w:adjustRightInd w:val="0"/>
              <w:snapToGrid w:val="0"/>
              <w:spacing w:line="360" w:lineRule="auto"/>
              <w:ind w:firstLine="480" w:firstLineChars="200"/>
              <w:rPr>
                <w:kern w:val="24"/>
                <w:sz w:val="24"/>
              </w:rPr>
            </w:pPr>
            <w:r>
              <w:rPr>
                <w:rFonts w:hint="eastAsia"/>
                <w:kern w:val="24"/>
                <w:sz w:val="24"/>
              </w:rPr>
              <w:t>本项目厂址位于通海县纳古镇珠山顶原通海华宇工贸有限责任公司。原通海华宇工贸有限责任公司</w:t>
            </w:r>
            <w:r>
              <w:rPr>
                <w:kern w:val="24"/>
                <w:sz w:val="24"/>
              </w:rPr>
              <w:t>厂区呈</w:t>
            </w:r>
            <w:r>
              <w:rPr>
                <w:rFonts w:hint="eastAsia"/>
                <w:kern w:val="24"/>
                <w:sz w:val="24"/>
              </w:rPr>
              <w:t>不</w:t>
            </w:r>
            <w:r>
              <w:rPr>
                <w:kern w:val="24"/>
                <w:sz w:val="24"/>
              </w:rPr>
              <w:t>规则</w:t>
            </w:r>
            <w:r>
              <w:rPr>
                <w:rFonts w:hint="eastAsia"/>
                <w:kern w:val="24"/>
                <w:sz w:val="24"/>
              </w:rPr>
              <w:t>多边</w:t>
            </w:r>
            <w:r>
              <w:rPr>
                <w:kern w:val="24"/>
                <w:sz w:val="24"/>
              </w:rPr>
              <w:t>形</w:t>
            </w:r>
            <w:r>
              <w:rPr>
                <w:rFonts w:hint="eastAsia"/>
                <w:kern w:val="24"/>
                <w:sz w:val="24"/>
              </w:rPr>
              <w:t>，厂区平面布置从东北向西南依次为员工生活区，办公宿舍楼，一车间，配电房及辅助用房，3</w:t>
            </w:r>
            <w:r>
              <w:rPr>
                <w:kern w:val="24"/>
                <w:sz w:val="24"/>
              </w:rPr>
              <w:t>5</w:t>
            </w:r>
            <w:r>
              <w:rPr>
                <w:rFonts w:hint="eastAsia"/>
                <w:kern w:val="24"/>
                <w:sz w:val="24"/>
              </w:rPr>
              <w:t>k</w:t>
            </w:r>
            <w:r>
              <w:rPr>
                <w:kern w:val="24"/>
                <w:sz w:val="24"/>
              </w:rPr>
              <w:t>V</w:t>
            </w:r>
            <w:r>
              <w:rPr>
                <w:rFonts w:hint="eastAsia"/>
                <w:kern w:val="24"/>
                <w:sz w:val="24"/>
              </w:rPr>
              <w:t>变电站，十车间，九车间，食堂，八车间，二车间，五车间，六车间，七车间，三车间，四车间。</w:t>
            </w:r>
          </w:p>
          <w:p w14:paraId="76413E54">
            <w:pPr>
              <w:adjustRightInd w:val="0"/>
              <w:snapToGrid w:val="0"/>
              <w:spacing w:line="360" w:lineRule="auto"/>
              <w:ind w:firstLine="480" w:firstLineChars="200"/>
              <w:rPr>
                <w:kern w:val="24"/>
                <w:sz w:val="24"/>
              </w:rPr>
            </w:pPr>
            <w:r>
              <w:rPr>
                <w:rFonts w:hint="eastAsia"/>
                <w:kern w:val="24"/>
                <w:sz w:val="24"/>
              </w:rPr>
              <w:t>本项目利用原通海华宇工贸有限责任公司的三车间、四车间、七车间、八车间进行改造，三车间、四车间、七车间、八车间位于厂区东南侧。项目平面布置图详见附图</w:t>
            </w:r>
            <w:r>
              <w:rPr>
                <w:kern w:val="24"/>
                <w:sz w:val="24"/>
              </w:rPr>
              <w:t>2</w:t>
            </w:r>
            <w:r>
              <w:rPr>
                <w:rFonts w:hint="eastAsia"/>
                <w:kern w:val="24"/>
                <w:sz w:val="24"/>
              </w:rPr>
              <w:t>。</w:t>
            </w:r>
          </w:p>
          <w:p w14:paraId="07602460">
            <w:pPr>
              <w:adjustRightInd w:val="0"/>
              <w:snapToGrid w:val="0"/>
              <w:spacing w:line="360" w:lineRule="auto"/>
              <w:jc w:val="left"/>
              <w:rPr>
                <w:b/>
                <w:bCs/>
                <w:sz w:val="24"/>
              </w:rPr>
            </w:pPr>
            <w:r>
              <w:rPr>
                <w:b/>
                <w:bCs/>
                <w:sz w:val="24"/>
              </w:rPr>
              <w:t>8</w:t>
            </w:r>
            <w:r>
              <w:rPr>
                <w:rFonts w:hint="eastAsia"/>
                <w:b/>
                <w:bCs/>
                <w:sz w:val="24"/>
              </w:rPr>
              <w:t>、环保投资</w:t>
            </w:r>
          </w:p>
          <w:p w14:paraId="0E603CDD">
            <w:pPr>
              <w:adjustRightInd w:val="0"/>
              <w:snapToGrid w:val="0"/>
              <w:spacing w:line="360" w:lineRule="auto"/>
              <w:ind w:firstLine="480" w:firstLineChars="200"/>
              <w:rPr>
                <w:kern w:val="24"/>
                <w:sz w:val="24"/>
              </w:rPr>
            </w:pPr>
            <w:r>
              <w:rPr>
                <w:kern w:val="24"/>
                <w:sz w:val="24"/>
              </w:rPr>
              <w:t>本项目总投资</w:t>
            </w:r>
            <w:r>
              <w:rPr>
                <w:sz w:val="24"/>
              </w:rPr>
              <w:t>600</w:t>
            </w:r>
            <w:r>
              <w:rPr>
                <w:kern w:val="24"/>
                <w:sz w:val="24"/>
              </w:rPr>
              <w:t>万元，其中环保</w:t>
            </w:r>
            <w:r>
              <w:rPr>
                <w:rFonts w:hint="eastAsia"/>
                <w:kern w:val="24"/>
                <w:sz w:val="24"/>
              </w:rPr>
              <w:t>总</w:t>
            </w:r>
            <w:r>
              <w:rPr>
                <w:kern w:val="24"/>
                <w:sz w:val="24"/>
              </w:rPr>
              <w:t>投资60万元，占总投资的10%，各环保设施组成及投资估算详见表</w:t>
            </w:r>
            <w:r>
              <w:rPr>
                <w:rFonts w:hint="eastAsia"/>
                <w:kern w:val="24"/>
                <w:sz w:val="24"/>
              </w:rPr>
              <w:t>2</w:t>
            </w:r>
            <w:r>
              <w:rPr>
                <w:kern w:val="24"/>
                <w:sz w:val="24"/>
              </w:rPr>
              <w:t>-6。</w:t>
            </w:r>
          </w:p>
          <w:p w14:paraId="36CC3086">
            <w:pPr>
              <w:adjustRightInd w:val="0"/>
              <w:snapToGrid w:val="0"/>
              <w:spacing w:line="360" w:lineRule="auto"/>
              <w:jc w:val="center"/>
              <w:rPr>
                <w:b/>
                <w:bCs/>
                <w:sz w:val="24"/>
              </w:rPr>
            </w:pPr>
            <w:r>
              <w:rPr>
                <w:b/>
                <w:bCs/>
                <w:sz w:val="24"/>
              </w:rPr>
              <w:t>表</w:t>
            </w:r>
            <w:r>
              <w:rPr>
                <w:rFonts w:hint="eastAsia"/>
                <w:b/>
                <w:bCs/>
                <w:sz w:val="24"/>
              </w:rPr>
              <w:t>2</w:t>
            </w:r>
            <w:r>
              <w:rPr>
                <w:b/>
                <w:bCs/>
                <w:sz w:val="24"/>
              </w:rPr>
              <w:t xml:space="preserve">-6 </w:t>
            </w:r>
            <w:r>
              <w:rPr>
                <w:rFonts w:hint="eastAsia"/>
                <w:b/>
                <w:bCs/>
                <w:sz w:val="24"/>
              </w:rPr>
              <w:t xml:space="preserve"> 项目</w:t>
            </w:r>
            <w:r>
              <w:rPr>
                <w:b/>
                <w:bCs/>
                <w:sz w:val="24"/>
              </w:rPr>
              <w:t>环保投资</w:t>
            </w:r>
            <w:r>
              <w:rPr>
                <w:rFonts w:hint="eastAsia"/>
                <w:b/>
                <w:bCs/>
                <w:sz w:val="24"/>
              </w:rPr>
              <w:t>估算</w:t>
            </w:r>
            <w:r>
              <w:rPr>
                <w:b/>
                <w:bCs/>
                <w:sz w:val="24"/>
              </w:rPr>
              <w:t>表</w:t>
            </w:r>
          </w:p>
          <w:tbl>
            <w:tblPr>
              <w:tblStyle w:val="3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445"/>
              <w:gridCol w:w="1119"/>
              <w:gridCol w:w="4533"/>
              <w:gridCol w:w="851"/>
              <w:gridCol w:w="1472"/>
            </w:tblGrid>
            <w:tr w14:paraId="4653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21" w:type="dxa"/>
                  <w:gridSpan w:val="3"/>
                  <w:vAlign w:val="center"/>
                </w:tcPr>
                <w:p w14:paraId="7D80AEDE">
                  <w:pPr>
                    <w:autoSpaceDE w:val="0"/>
                    <w:autoSpaceDN w:val="0"/>
                    <w:adjustRightInd w:val="0"/>
                    <w:snapToGrid w:val="0"/>
                    <w:jc w:val="center"/>
                    <w:rPr>
                      <w:szCs w:val="21"/>
                    </w:rPr>
                  </w:pPr>
                  <w:bookmarkStart w:id="6" w:name="_Toc299498044"/>
                  <w:r>
                    <w:rPr>
                      <w:szCs w:val="21"/>
                    </w:rPr>
                    <w:t>项目</w:t>
                  </w:r>
                  <w:bookmarkEnd w:id="6"/>
                </w:p>
              </w:tc>
              <w:tc>
                <w:tcPr>
                  <w:tcW w:w="4533" w:type="dxa"/>
                  <w:vAlign w:val="center"/>
                </w:tcPr>
                <w:p w14:paraId="4CC17169">
                  <w:pPr>
                    <w:autoSpaceDE w:val="0"/>
                    <w:autoSpaceDN w:val="0"/>
                    <w:adjustRightInd w:val="0"/>
                    <w:snapToGrid w:val="0"/>
                    <w:jc w:val="center"/>
                    <w:rPr>
                      <w:szCs w:val="21"/>
                    </w:rPr>
                  </w:pPr>
                  <w:r>
                    <w:rPr>
                      <w:rFonts w:hint="eastAsia"/>
                      <w:szCs w:val="21"/>
                    </w:rPr>
                    <w:t>环保设施</w:t>
                  </w:r>
                </w:p>
              </w:tc>
              <w:tc>
                <w:tcPr>
                  <w:tcW w:w="851" w:type="dxa"/>
                  <w:vAlign w:val="center"/>
                </w:tcPr>
                <w:p w14:paraId="34289F3D">
                  <w:pPr>
                    <w:autoSpaceDE w:val="0"/>
                    <w:autoSpaceDN w:val="0"/>
                    <w:adjustRightInd w:val="0"/>
                    <w:snapToGrid w:val="0"/>
                    <w:jc w:val="center"/>
                    <w:rPr>
                      <w:szCs w:val="21"/>
                    </w:rPr>
                  </w:pPr>
                  <w:bookmarkStart w:id="7" w:name="_Toc299498045"/>
                  <w:r>
                    <w:rPr>
                      <w:szCs w:val="21"/>
                    </w:rPr>
                    <w:t>数量</w:t>
                  </w:r>
                  <w:bookmarkEnd w:id="7"/>
                </w:p>
              </w:tc>
              <w:tc>
                <w:tcPr>
                  <w:tcW w:w="1472" w:type="dxa"/>
                  <w:vAlign w:val="center"/>
                </w:tcPr>
                <w:p w14:paraId="1571B5B0">
                  <w:pPr>
                    <w:autoSpaceDE w:val="0"/>
                    <w:autoSpaceDN w:val="0"/>
                    <w:adjustRightInd w:val="0"/>
                    <w:snapToGrid w:val="0"/>
                    <w:jc w:val="center"/>
                    <w:rPr>
                      <w:szCs w:val="21"/>
                    </w:rPr>
                  </w:pPr>
                  <w:bookmarkStart w:id="8" w:name="_Toc299498046"/>
                  <w:r>
                    <w:rPr>
                      <w:rFonts w:hint="eastAsia"/>
                      <w:szCs w:val="21"/>
                    </w:rPr>
                    <w:t>投资</w:t>
                  </w:r>
                  <w:r>
                    <w:rPr>
                      <w:szCs w:val="21"/>
                    </w:rPr>
                    <w:t>（万元）</w:t>
                  </w:r>
                  <w:bookmarkEnd w:id="8"/>
                </w:p>
              </w:tc>
            </w:tr>
            <w:tr w14:paraId="7095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57" w:type="dxa"/>
                  <w:vMerge w:val="restart"/>
                  <w:vAlign w:val="center"/>
                </w:tcPr>
                <w:p w14:paraId="1B19A063">
                  <w:pPr>
                    <w:autoSpaceDE w:val="0"/>
                    <w:autoSpaceDN w:val="0"/>
                    <w:adjustRightInd w:val="0"/>
                    <w:snapToGrid w:val="0"/>
                    <w:jc w:val="center"/>
                    <w:rPr>
                      <w:szCs w:val="21"/>
                    </w:rPr>
                  </w:pPr>
                  <w:bookmarkStart w:id="9" w:name="_Toc299498054"/>
                  <w:r>
                    <w:rPr>
                      <w:szCs w:val="21"/>
                    </w:rPr>
                    <w:t>施工期</w:t>
                  </w:r>
                </w:p>
              </w:tc>
              <w:tc>
                <w:tcPr>
                  <w:tcW w:w="1564" w:type="dxa"/>
                  <w:gridSpan w:val="2"/>
                  <w:vAlign w:val="center"/>
                </w:tcPr>
                <w:p w14:paraId="412AB1FC">
                  <w:pPr>
                    <w:autoSpaceDE w:val="0"/>
                    <w:autoSpaceDN w:val="0"/>
                    <w:adjustRightInd w:val="0"/>
                    <w:snapToGrid w:val="0"/>
                    <w:jc w:val="center"/>
                    <w:rPr>
                      <w:szCs w:val="21"/>
                    </w:rPr>
                  </w:pPr>
                  <w:r>
                    <w:rPr>
                      <w:rFonts w:hint="eastAsia"/>
                      <w:szCs w:val="21"/>
                    </w:rPr>
                    <w:t>大气防治措施</w:t>
                  </w:r>
                </w:p>
                <w:bookmarkEnd w:id="9"/>
              </w:tc>
              <w:tc>
                <w:tcPr>
                  <w:tcW w:w="4533" w:type="dxa"/>
                  <w:vAlign w:val="center"/>
                </w:tcPr>
                <w:p w14:paraId="1DFAD6FB">
                  <w:pPr>
                    <w:autoSpaceDE w:val="0"/>
                    <w:autoSpaceDN w:val="0"/>
                    <w:adjustRightInd w:val="0"/>
                    <w:snapToGrid w:val="0"/>
                    <w:jc w:val="center"/>
                    <w:rPr>
                      <w:szCs w:val="21"/>
                    </w:rPr>
                  </w:pPr>
                  <w:bookmarkStart w:id="10" w:name="_Toc299498052"/>
                  <w:r>
                    <w:rPr>
                      <w:rFonts w:hint="eastAsia"/>
                      <w:szCs w:val="21"/>
                    </w:rPr>
                    <w:t>施工场地围挡、施工材料覆盖、</w:t>
                  </w:r>
                  <w:r>
                    <w:rPr>
                      <w:szCs w:val="21"/>
                    </w:rPr>
                    <w:t>洒水降尘设施</w:t>
                  </w:r>
                  <w:bookmarkEnd w:id="10"/>
                </w:p>
              </w:tc>
              <w:tc>
                <w:tcPr>
                  <w:tcW w:w="851" w:type="dxa"/>
                  <w:vAlign w:val="center"/>
                </w:tcPr>
                <w:p w14:paraId="3B162B22">
                  <w:pPr>
                    <w:autoSpaceDE w:val="0"/>
                    <w:autoSpaceDN w:val="0"/>
                    <w:adjustRightInd w:val="0"/>
                    <w:snapToGrid w:val="0"/>
                    <w:jc w:val="center"/>
                    <w:rPr>
                      <w:szCs w:val="21"/>
                    </w:rPr>
                  </w:pPr>
                  <w:r>
                    <w:rPr>
                      <w:szCs w:val="21"/>
                    </w:rPr>
                    <w:t>/</w:t>
                  </w:r>
                </w:p>
              </w:tc>
              <w:tc>
                <w:tcPr>
                  <w:tcW w:w="1472" w:type="dxa"/>
                  <w:vAlign w:val="center"/>
                </w:tcPr>
                <w:p w14:paraId="5C8189EC">
                  <w:pPr>
                    <w:autoSpaceDE w:val="0"/>
                    <w:autoSpaceDN w:val="0"/>
                    <w:adjustRightInd w:val="0"/>
                    <w:snapToGrid w:val="0"/>
                    <w:jc w:val="center"/>
                    <w:rPr>
                      <w:rFonts w:eastAsia="Calibri"/>
                      <w:szCs w:val="21"/>
                    </w:rPr>
                  </w:pPr>
                  <w:r>
                    <w:rPr>
                      <w:szCs w:val="21"/>
                    </w:rPr>
                    <w:t>0.5</w:t>
                  </w:r>
                </w:p>
              </w:tc>
            </w:tr>
            <w:tr w14:paraId="6CEE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57" w:type="dxa"/>
                  <w:vMerge w:val="continue"/>
                  <w:vAlign w:val="center"/>
                </w:tcPr>
                <w:p w14:paraId="1FA199F4">
                  <w:pPr>
                    <w:autoSpaceDE w:val="0"/>
                    <w:autoSpaceDN w:val="0"/>
                    <w:adjustRightInd w:val="0"/>
                    <w:snapToGrid w:val="0"/>
                    <w:jc w:val="center"/>
                    <w:rPr>
                      <w:szCs w:val="21"/>
                    </w:rPr>
                  </w:pPr>
                </w:p>
              </w:tc>
              <w:tc>
                <w:tcPr>
                  <w:tcW w:w="1564" w:type="dxa"/>
                  <w:gridSpan w:val="2"/>
                  <w:vAlign w:val="center"/>
                </w:tcPr>
                <w:p w14:paraId="159BF5E4">
                  <w:pPr>
                    <w:autoSpaceDE w:val="0"/>
                    <w:autoSpaceDN w:val="0"/>
                    <w:adjustRightInd w:val="0"/>
                    <w:snapToGrid w:val="0"/>
                    <w:jc w:val="center"/>
                    <w:rPr>
                      <w:szCs w:val="21"/>
                    </w:rPr>
                  </w:pPr>
                  <w:r>
                    <w:rPr>
                      <w:rFonts w:hint="eastAsia"/>
                      <w:szCs w:val="21"/>
                    </w:rPr>
                    <w:t>废水防治措施</w:t>
                  </w:r>
                </w:p>
              </w:tc>
              <w:tc>
                <w:tcPr>
                  <w:tcW w:w="4533" w:type="dxa"/>
                  <w:vAlign w:val="center"/>
                </w:tcPr>
                <w:p w14:paraId="1B34F3E9">
                  <w:pPr>
                    <w:autoSpaceDE w:val="0"/>
                    <w:autoSpaceDN w:val="0"/>
                    <w:adjustRightInd w:val="0"/>
                    <w:snapToGrid w:val="0"/>
                    <w:jc w:val="center"/>
                    <w:rPr>
                      <w:szCs w:val="21"/>
                    </w:rPr>
                  </w:pPr>
                  <w:r>
                    <w:rPr>
                      <w:rFonts w:hint="eastAsia"/>
                      <w:szCs w:val="21"/>
                    </w:rPr>
                    <w:t>临时沉淀池，</w:t>
                  </w:r>
                  <w:r>
                    <w:rPr>
                      <w:szCs w:val="21"/>
                    </w:rPr>
                    <w:t>2</w:t>
                  </w:r>
                  <w:r>
                    <w:rPr>
                      <w:rFonts w:hint="eastAsia"/>
                      <w:szCs w:val="21"/>
                    </w:rPr>
                    <w:t>m</w:t>
                  </w:r>
                  <w:r>
                    <w:rPr>
                      <w:rFonts w:hint="eastAsia"/>
                      <w:szCs w:val="21"/>
                      <w:vertAlign w:val="superscript"/>
                    </w:rPr>
                    <w:t>3</w:t>
                  </w:r>
                  <w:r>
                    <w:rPr>
                      <w:rFonts w:hint="eastAsia"/>
                      <w:szCs w:val="21"/>
                    </w:rPr>
                    <w:t>；</w:t>
                  </w:r>
                  <w:r>
                    <w:rPr>
                      <w:szCs w:val="21"/>
                    </w:rPr>
                    <w:t>进出施工车辆车轮冲洗设施</w:t>
                  </w:r>
                </w:p>
              </w:tc>
              <w:tc>
                <w:tcPr>
                  <w:tcW w:w="851" w:type="dxa"/>
                  <w:vAlign w:val="center"/>
                </w:tcPr>
                <w:p w14:paraId="597E0171">
                  <w:pPr>
                    <w:autoSpaceDE w:val="0"/>
                    <w:autoSpaceDN w:val="0"/>
                    <w:adjustRightInd w:val="0"/>
                    <w:snapToGrid w:val="0"/>
                    <w:jc w:val="center"/>
                    <w:rPr>
                      <w:rFonts w:eastAsia="Calibri"/>
                      <w:szCs w:val="21"/>
                    </w:rPr>
                  </w:pPr>
                  <w:r>
                    <w:rPr>
                      <w:szCs w:val="21"/>
                    </w:rPr>
                    <w:t>1</w:t>
                  </w:r>
                  <w:r>
                    <w:rPr>
                      <w:rFonts w:hint="eastAsia"/>
                      <w:szCs w:val="21"/>
                    </w:rPr>
                    <w:t>个</w:t>
                  </w:r>
                </w:p>
              </w:tc>
              <w:tc>
                <w:tcPr>
                  <w:tcW w:w="1472" w:type="dxa"/>
                  <w:vAlign w:val="center"/>
                </w:tcPr>
                <w:p w14:paraId="520A370C">
                  <w:pPr>
                    <w:autoSpaceDE w:val="0"/>
                    <w:autoSpaceDN w:val="0"/>
                    <w:adjustRightInd w:val="0"/>
                    <w:snapToGrid w:val="0"/>
                    <w:jc w:val="center"/>
                    <w:rPr>
                      <w:rFonts w:eastAsia="Calibri"/>
                      <w:szCs w:val="21"/>
                    </w:rPr>
                  </w:pPr>
                  <w:r>
                    <w:rPr>
                      <w:szCs w:val="21"/>
                    </w:rPr>
                    <w:t>0.5</w:t>
                  </w:r>
                </w:p>
              </w:tc>
            </w:tr>
            <w:tr w14:paraId="5EBE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1BDE59DB">
                  <w:pPr>
                    <w:autoSpaceDE w:val="0"/>
                    <w:autoSpaceDN w:val="0"/>
                    <w:adjustRightInd w:val="0"/>
                    <w:snapToGrid w:val="0"/>
                    <w:jc w:val="center"/>
                    <w:rPr>
                      <w:szCs w:val="21"/>
                    </w:rPr>
                  </w:pPr>
                </w:p>
              </w:tc>
              <w:tc>
                <w:tcPr>
                  <w:tcW w:w="1564" w:type="dxa"/>
                  <w:gridSpan w:val="2"/>
                  <w:vAlign w:val="center"/>
                </w:tcPr>
                <w:p w14:paraId="3C29D7A3">
                  <w:pPr>
                    <w:autoSpaceDE w:val="0"/>
                    <w:autoSpaceDN w:val="0"/>
                    <w:adjustRightInd w:val="0"/>
                    <w:snapToGrid w:val="0"/>
                    <w:jc w:val="center"/>
                    <w:rPr>
                      <w:szCs w:val="21"/>
                    </w:rPr>
                  </w:pPr>
                  <w:r>
                    <w:rPr>
                      <w:rFonts w:hint="eastAsia"/>
                      <w:szCs w:val="21"/>
                    </w:rPr>
                    <w:t>噪声防治措施</w:t>
                  </w:r>
                </w:p>
              </w:tc>
              <w:tc>
                <w:tcPr>
                  <w:tcW w:w="4533" w:type="dxa"/>
                  <w:vAlign w:val="center"/>
                </w:tcPr>
                <w:p w14:paraId="2C426115">
                  <w:pPr>
                    <w:autoSpaceDE w:val="0"/>
                    <w:autoSpaceDN w:val="0"/>
                    <w:adjustRightInd w:val="0"/>
                    <w:snapToGrid w:val="0"/>
                    <w:jc w:val="center"/>
                    <w:rPr>
                      <w:rFonts w:eastAsia="Calibri"/>
                      <w:szCs w:val="21"/>
                    </w:rPr>
                  </w:pPr>
                  <w:r>
                    <w:rPr>
                      <w:rFonts w:hint="eastAsia"/>
                      <w:szCs w:val="21"/>
                    </w:rPr>
                    <w:t>选用低噪设备、</w:t>
                  </w:r>
                  <w:r>
                    <w:rPr>
                      <w:szCs w:val="21"/>
                    </w:rPr>
                    <w:t>减振垫、</w:t>
                  </w:r>
                  <w:r>
                    <w:rPr>
                      <w:rFonts w:hint="eastAsia"/>
                      <w:szCs w:val="21"/>
                    </w:rPr>
                    <w:t>设禁鸣及减速标志牌、</w:t>
                  </w:r>
                  <w:r>
                    <w:rPr>
                      <w:szCs w:val="21"/>
                    </w:rPr>
                    <w:t>合理施工等</w:t>
                  </w:r>
                </w:p>
              </w:tc>
              <w:tc>
                <w:tcPr>
                  <w:tcW w:w="851" w:type="dxa"/>
                  <w:vAlign w:val="center"/>
                </w:tcPr>
                <w:p w14:paraId="09932671">
                  <w:pPr>
                    <w:autoSpaceDE w:val="0"/>
                    <w:autoSpaceDN w:val="0"/>
                    <w:adjustRightInd w:val="0"/>
                    <w:snapToGrid w:val="0"/>
                    <w:jc w:val="center"/>
                    <w:rPr>
                      <w:szCs w:val="21"/>
                    </w:rPr>
                  </w:pPr>
                  <w:r>
                    <w:rPr>
                      <w:szCs w:val="21"/>
                    </w:rPr>
                    <w:t>/</w:t>
                  </w:r>
                </w:p>
              </w:tc>
              <w:tc>
                <w:tcPr>
                  <w:tcW w:w="1472" w:type="dxa"/>
                  <w:vAlign w:val="center"/>
                </w:tcPr>
                <w:p w14:paraId="6D367F49">
                  <w:pPr>
                    <w:autoSpaceDE w:val="0"/>
                    <w:autoSpaceDN w:val="0"/>
                    <w:adjustRightInd w:val="0"/>
                    <w:snapToGrid w:val="0"/>
                    <w:jc w:val="center"/>
                    <w:rPr>
                      <w:szCs w:val="21"/>
                    </w:rPr>
                  </w:pPr>
                  <w:r>
                    <w:rPr>
                      <w:szCs w:val="21"/>
                    </w:rPr>
                    <w:t>0.5</w:t>
                  </w:r>
                </w:p>
              </w:tc>
            </w:tr>
            <w:tr w14:paraId="0A17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3A8F0E68">
                  <w:pPr>
                    <w:autoSpaceDE w:val="0"/>
                    <w:autoSpaceDN w:val="0"/>
                    <w:adjustRightInd w:val="0"/>
                    <w:snapToGrid w:val="0"/>
                    <w:jc w:val="center"/>
                    <w:rPr>
                      <w:szCs w:val="21"/>
                    </w:rPr>
                  </w:pPr>
                </w:p>
              </w:tc>
              <w:tc>
                <w:tcPr>
                  <w:tcW w:w="1564" w:type="dxa"/>
                  <w:gridSpan w:val="2"/>
                  <w:vAlign w:val="center"/>
                </w:tcPr>
                <w:p w14:paraId="1D287E0E">
                  <w:pPr>
                    <w:autoSpaceDE w:val="0"/>
                    <w:autoSpaceDN w:val="0"/>
                    <w:adjustRightInd w:val="0"/>
                    <w:snapToGrid w:val="0"/>
                    <w:jc w:val="center"/>
                    <w:rPr>
                      <w:szCs w:val="21"/>
                    </w:rPr>
                  </w:pPr>
                  <w:r>
                    <w:rPr>
                      <w:rFonts w:hint="eastAsia"/>
                      <w:szCs w:val="21"/>
                    </w:rPr>
                    <w:t>固废防治措施</w:t>
                  </w:r>
                </w:p>
              </w:tc>
              <w:tc>
                <w:tcPr>
                  <w:tcW w:w="4533" w:type="dxa"/>
                  <w:vAlign w:val="center"/>
                </w:tcPr>
                <w:p w14:paraId="3578A37F">
                  <w:pPr>
                    <w:autoSpaceDE w:val="0"/>
                    <w:autoSpaceDN w:val="0"/>
                    <w:adjustRightInd w:val="0"/>
                    <w:snapToGrid w:val="0"/>
                    <w:jc w:val="center"/>
                    <w:rPr>
                      <w:rFonts w:eastAsia="Calibri"/>
                      <w:szCs w:val="21"/>
                    </w:rPr>
                  </w:pPr>
                  <w:r>
                    <w:rPr>
                      <w:szCs w:val="21"/>
                    </w:rPr>
                    <w:t>施工</w:t>
                  </w:r>
                  <w:r>
                    <w:rPr>
                      <w:rFonts w:hint="eastAsia"/>
                      <w:szCs w:val="21"/>
                    </w:rPr>
                    <w:t>建筑垃圾、生活垃圾及时清运</w:t>
                  </w:r>
                </w:p>
              </w:tc>
              <w:tc>
                <w:tcPr>
                  <w:tcW w:w="851" w:type="dxa"/>
                  <w:vAlign w:val="center"/>
                </w:tcPr>
                <w:p w14:paraId="702512C1">
                  <w:pPr>
                    <w:autoSpaceDE w:val="0"/>
                    <w:autoSpaceDN w:val="0"/>
                    <w:adjustRightInd w:val="0"/>
                    <w:snapToGrid w:val="0"/>
                    <w:jc w:val="center"/>
                    <w:rPr>
                      <w:szCs w:val="21"/>
                    </w:rPr>
                  </w:pPr>
                  <w:r>
                    <w:rPr>
                      <w:szCs w:val="21"/>
                    </w:rPr>
                    <w:t>/</w:t>
                  </w:r>
                </w:p>
              </w:tc>
              <w:tc>
                <w:tcPr>
                  <w:tcW w:w="1472" w:type="dxa"/>
                  <w:vAlign w:val="center"/>
                </w:tcPr>
                <w:p w14:paraId="594D6B3A">
                  <w:pPr>
                    <w:autoSpaceDE w:val="0"/>
                    <w:autoSpaceDN w:val="0"/>
                    <w:adjustRightInd w:val="0"/>
                    <w:snapToGrid w:val="0"/>
                    <w:jc w:val="center"/>
                    <w:rPr>
                      <w:szCs w:val="21"/>
                    </w:rPr>
                  </w:pPr>
                  <w:r>
                    <w:rPr>
                      <w:szCs w:val="21"/>
                    </w:rPr>
                    <w:t>0.5</w:t>
                  </w:r>
                </w:p>
              </w:tc>
            </w:tr>
            <w:tr w14:paraId="0860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restart"/>
                  <w:vAlign w:val="center"/>
                </w:tcPr>
                <w:p w14:paraId="3EBCE786">
                  <w:pPr>
                    <w:autoSpaceDE w:val="0"/>
                    <w:autoSpaceDN w:val="0"/>
                    <w:adjustRightInd w:val="0"/>
                    <w:snapToGrid w:val="0"/>
                    <w:jc w:val="center"/>
                    <w:rPr>
                      <w:szCs w:val="21"/>
                    </w:rPr>
                  </w:pPr>
                  <w:bookmarkStart w:id="11" w:name="_Toc299498075"/>
                  <w:r>
                    <w:rPr>
                      <w:szCs w:val="21"/>
                    </w:rPr>
                    <w:t>营运期</w:t>
                  </w:r>
                  <w:bookmarkEnd w:id="11"/>
                </w:p>
              </w:tc>
              <w:tc>
                <w:tcPr>
                  <w:tcW w:w="445" w:type="dxa"/>
                  <w:vMerge w:val="restart"/>
                  <w:vAlign w:val="center"/>
                </w:tcPr>
                <w:p w14:paraId="700ADF10">
                  <w:pPr>
                    <w:autoSpaceDE w:val="0"/>
                    <w:autoSpaceDN w:val="0"/>
                    <w:adjustRightInd w:val="0"/>
                    <w:snapToGrid w:val="0"/>
                    <w:jc w:val="center"/>
                    <w:rPr>
                      <w:szCs w:val="21"/>
                    </w:rPr>
                  </w:pPr>
                  <w:r>
                    <w:rPr>
                      <w:rFonts w:hint="eastAsia"/>
                      <w:szCs w:val="21"/>
                    </w:rPr>
                    <w:t>废气防治措施</w:t>
                  </w:r>
                </w:p>
              </w:tc>
              <w:tc>
                <w:tcPr>
                  <w:tcW w:w="1119" w:type="dxa"/>
                  <w:vAlign w:val="center"/>
                </w:tcPr>
                <w:p w14:paraId="6C1C4B6A">
                  <w:pPr>
                    <w:autoSpaceDE w:val="0"/>
                    <w:autoSpaceDN w:val="0"/>
                    <w:adjustRightInd w:val="0"/>
                    <w:snapToGrid w:val="0"/>
                    <w:jc w:val="center"/>
                    <w:rPr>
                      <w:szCs w:val="21"/>
                    </w:rPr>
                  </w:pPr>
                  <w:r>
                    <w:rPr>
                      <w:rFonts w:hint="eastAsia"/>
                      <w:szCs w:val="21"/>
                    </w:rPr>
                    <w:t>高频焊接烟尘</w:t>
                  </w:r>
                </w:p>
              </w:tc>
              <w:tc>
                <w:tcPr>
                  <w:tcW w:w="4533" w:type="dxa"/>
                  <w:vAlign w:val="center"/>
                </w:tcPr>
                <w:p w14:paraId="14862336">
                  <w:pPr>
                    <w:autoSpaceDE w:val="0"/>
                    <w:autoSpaceDN w:val="0"/>
                    <w:adjustRightInd w:val="0"/>
                    <w:snapToGrid w:val="0"/>
                    <w:jc w:val="center"/>
                    <w:rPr>
                      <w:szCs w:val="21"/>
                    </w:rPr>
                  </w:pPr>
                  <w:r>
                    <w:rPr>
                      <w:rFonts w:hint="eastAsia"/>
                      <w:szCs w:val="21"/>
                    </w:rPr>
                    <w:t>每条生产线焊接工段配套1套集气罩(四周设置软帘)+布袋除尘器，共设置6套。共设置3根15m排气筒。</w:t>
                  </w:r>
                </w:p>
              </w:tc>
              <w:tc>
                <w:tcPr>
                  <w:tcW w:w="851" w:type="dxa"/>
                  <w:vAlign w:val="center"/>
                </w:tcPr>
                <w:p w14:paraId="79019246">
                  <w:pPr>
                    <w:autoSpaceDE w:val="0"/>
                    <w:autoSpaceDN w:val="0"/>
                    <w:adjustRightInd w:val="0"/>
                    <w:snapToGrid w:val="0"/>
                    <w:jc w:val="center"/>
                    <w:rPr>
                      <w:szCs w:val="21"/>
                    </w:rPr>
                  </w:pPr>
                  <w:r>
                    <w:rPr>
                      <w:szCs w:val="21"/>
                    </w:rPr>
                    <w:t>6</w:t>
                  </w:r>
                  <w:r>
                    <w:rPr>
                      <w:rFonts w:hint="eastAsia"/>
                      <w:szCs w:val="21"/>
                    </w:rPr>
                    <w:t>套</w:t>
                  </w:r>
                </w:p>
              </w:tc>
              <w:tc>
                <w:tcPr>
                  <w:tcW w:w="1472" w:type="dxa"/>
                  <w:vAlign w:val="center"/>
                </w:tcPr>
                <w:p w14:paraId="4C558875">
                  <w:pPr>
                    <w:autoSpaceDE w:val="0"/>
                    <w:autoSpaceDN w:val="0"/>
                    <w:adjustRightInd w:val="0"/>
                    <w:snapToGrid w:val="0"/>
                    <w:jc w:val="center"/>
                    <w:rPr>
                      <w:szCs w:val="21"/>
                    </w:rPr>
                  </w:pPr>
                  <w:r>
                    <w:rPr>
                      <w:szCs w:val="21"/>
                    </w:rPr>
                    <w:t>12.0</w:t>
                  </w:r>
                </w:p>
              </w:tc>
            </w:tr>
            <w:tr w14:paraId="3396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0308F19D">
                  <w:pPr>
                    <w:autoSpaceDE w:val="0"/>
                    <w:autoSpaceDN w:val="0"/>
                    <w:adjustRightInd w:val="0"/>
                    <w:snapToGrid w:val="0"/>
                    <w:jc w:val="center"/>
                    <w:rPr>
                      <w:szCs w:val="21"/>
                    </w:rPr>
                  </w:pPr>
                </w:p>
              </w:tc>
              <w:tc>
                <w:tcPr>
                  <w:tcW w:w="445" w:type="dxa"/>
                  <w:vMerge w:val="continue"/>
                  <w:vAlign w:val="center"/>
                </w:tcPr>
                <w:p w14:paraId="0929B7C8">
                  <w:pPr>
                    <w:autoSpaceDE w:val="0"/>
                    <w:autoSpaceDN w:val="0"/>
                    <w:adjustRightInd w:val="0"/>
                    <w:snapToGrid w:val="0"/>
                    <w:jc w:val="center"/>
                    <w:rPr>
                      <w:szCs w:val="21"/>
                    </w:rPr>
                  </w:pPr>
                </w:p>
              </w:tc>
              <w:tc>
                <w:tcPr>
                  <w:tcW w:w="1119" w:type="dxa"/>
                  <w:vAlign w:val="center"/>
                </w:tcPr>
                <w:p w14:paraId="207C196D">
                  <w:pPr>
                    <w:autoSpaceDE w:val="0"/>
                    <w:autoSpaceDN w:val="0"/>
                    <w:adjustRightInd w:val="0"/>
                    <w:snapToGrid w:val="0"/>
                    <w:jc w:val="center"/>
                    <w:rPr>
                      <w:szCs w:val="21"/>
                    </w:rPr>
                  </w:pPr>
                  <w:r>
                    <w:rPr>
                      <w:rFonts w:hint="eastAsia"/>
                      <w:szCs w:val="21"/>
                    </w:rPr>
                    <w:t>车间无组织烟尘</w:t>
                  </w:r>
                </w:p>
              </w:tc>
              <w:tc>
                <w:tcPr>
                  <w:tcW w:w="4533" w:type="dxa"/>
                  <w:vAlign w:val="center"/>
                </w:tcPr>
                <w:p w14:paraId="53E823AF">
                  <w:pPr>
                    <w:autoSpaceDE w:val="0"/>
                    <w:autoSpaceDN w:val="0"/>
                    <w:adjustRightInd w:val="0"/>
                    <w:snapToGrid w:val="0"/>
                    <w:jc w:val="center"/>
                    <w:rPr>
                      <w:szCs w:val="21"/>
                    </w:rPr>
                  </w:pPr>
                  <w:r>
                    <w:rPr>
                      <w:rFonts w:hint="eastAsia"/>
                      <w:szCs w:val="21"/>
                    </w:rPr>
                    <w:t>项目车间改造为封闭式厂房。</w:t>
                  </w:r>
                </w:p>
              </w:tc>
              <w:tc>
                <w:tcPr>
                  <w:tcW w:w="851" w:type="dxa"/>
                  <w:vAlign w:val="center"/>
                </w:tcPr>
                <w:p w14:paraId="0BADCAE7">
                  <w:pPr>
                    <w:autoSpaceDE w:val="0"/>
                    <w:autoSpaceDN w:val="0"/>
                    <w:adjustRightInd w:val="0"/>
                    <w:snapToGrid w:val="0"/>
                    <w:jc w:val="center"/>
                    <w:rPr>
                      <w:szCs w:val="21"/>
                    </w:rPr>
                  </w:pPr>
                  <w:r>
                    <w:rPr>
                      <w:szCs w:val="21"/>
                    </w:rPr>
                    <w:t>4</w:t>
                  </w:r>
                  <w:r>
                    <w:rPr>
                      <w:rFonts w:hint="eastAsia"/>
                      <w:szCs w:val="21"/>
                    </w:rPr>
                    <w:t>间</w:t>
                  </w:r>
                </w:p>
              </w:tc>
              <w:tc>
                <w:tcPr>
                  <w:tcW w:w="1472" w:type="dxa"/>
                  <w:vAlign w:val="center"/>
                </w:tcPr>
                <w:p w14:paraId="254DC54E">
                  <w:pPr>
                    <w:autoSpaceDE w:val="0"/>
                    <w:autoSpaceDN w:val="0"/>
                    <w:adjustRightInd w:val="0"/>
                    <w:snapToGrid w:val="0"/>
                    <w:jc w:val="center"/>
                    <w:rPr>
                      <w:szCs w:val="21"/>
                    </w:rPr>
                  </w:pPr>
                  <w:r>
                    <w:rPr>
                      <w:szCs w:val="21"/>
                    </w:rPr>
                    <w:t>2.0</w:t>
                  </w:r>
                </w:p>
              </w:tc>
            </w:tr>
            <w:tr w14:paraId="51B5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425FD40B">
                  <w:pPr>
                    <w:autoSpaceDE w:val="0"/>
                    <w:autoSpaceDN w:val="0"/>
                    <w:adjustRightInd w:val="0"/>
                    <w:snapToGrid w:val="0"/>
                    <w:jc w:val="center"/>
                    <w:rPr>
                      <w:szCs w:val="21"/>
                    </w:rPr>
                  </w:pPr>
                </w:p>
              </w:tc>
              <w:tc>
                <w:tcPr>
                  <w:tcW w:w="445" w:type="dxa"/>
                  <w:vMerge w:val="restart"/>
                  <w:vAlign w:val="center"/>
                </w:tcPr>
                <w:p w14:paraId="71568508">
                  <w:pPr>
                    <w:autoSpaceDE w:val="0"/>
                    <w:autoSpaceDN w:val="0"/>
                    <w:adjustRightInd w:val="0"/>
                    <w:snapToGrid w:val="0"/>
                    <w:jc w:val="center"/>
                    <w:rPr>
                      <w:szCs w:val="21"/>
                    </w:rPr>
                  </w:pPr>
                  <w:r>
                    <w:rPr>
                      <w:rFonts w:hint="eastAsia"/>
                      <w:szCs w:val="21"/>
                    </w:rPr>
                    <w:t>废水防治措施</w:t>
                  </w:r>
                </w:p>
              </w:tc>
              <w:tc>
                <w:tcPr>
                  <w:tcW w:w="1119" w:type="dxa"/>
                  <w:vAlign w:val="center"/>
                </w:tcPr>
                <w:p w14:paraId="1F3A7859">
                  <w:pPr>
                    <w:autoSpaceDE w:val="0"/>
                    <w:autoSpaceDN w:val="0"/>
                    <w:adjustRightInd w:val="0"/>
                    <w:snapToGrid w:val="0"/>
                    <w:jc w:val="center"/>
                    <w:rPr>
                      <w:szCs w:val="21"/>
                    </w:rPr>
                  </w:pPr>
                  <w:r>
                    <w:rPr>
                      <w:szCs w:val="21"/>
                    </w:rPr>
                    <w:t>生活污水</w:t>
                  </w:r>
                </w:p>
              </w:tc>
              <w:tc>
                <w:tcPr>
                  <w:tcW w:w="4533" w:type="dxa"/>
                  <w:vAlign w:val="center"/>
                </w:tcPr>
                <w:p w14:paraId="2127AC4D">
                  <w:pPr>
                    <w:autoSpaceDE w:val="0"/>
                    <w:autoSpaceDN w:val="0"/>
                    <w:adjustRightInd w:val="0"/>
                    <w:snapToGrid w:val="0"/>
                    <w:jc w:val="center"/>
                    <w:rPr>
                      <w:szCs w:val="21"/>
                    </w:rPr>
                  </w:pPr>
                  <w:r>
                    <w:rPr>
                      <w:szCs w:val="21"/>
                    </w:rPr>
                    <w:t>生活污水依托现有隔油池（1个、2m</w:t>
                  </w:r>
                  <w:r>
                    <w:rPr>
                      <w:szCs w:val="21"/>
                      <w:vertAlign w:val="superscript"/>
                    </w:rPr>
                    <w:t>3</w:t>
                  </w:r>
                  <w:r>
                    <w:rPr>
                      <w:szCs w:val="21"/>
                    </w:rPr>
                    <w:t>）、化粪池（1个，容积10m</w:t>
                  </w:r>
                  <w:r>
                    <w:rPr>
                      <w:szCs w:val="21"/>
                      <w:vertAlign w:val="superscript"/>
                    </w:rPr>
                    <w:t>3</w:t>
                  </w:r>
                  <w:r>
                    <w:rPr>
                      <w:szCs w:val="21"/>
                    </w:rPr>
                    <w:t>）和生活污水处理站（1座，处理能力10m</w:t>
                  </w:r>
                  <w:r>
                    <w:rPr>
                      <w:szCs w:val="21"/>
                      <w:vertAlign w:val="superscript"/>
                    </w:rPr>
                    <w:t>3</w:t>
                  </w:r>
                  <w:r>
                    <w:rPr>
                      <w:szCs w:val="21"/>
                    </w:rPr>
                    <w:t>/d）处理</w:t>
                  </w:r>
                  <w:r>
                    <w:rPr>
                      <w:rFonts w:hint="eastAsia"/>
                      <w:szCs w:val="21"/>
                    </w:rPr>
                    <w:t>。</w:t>
                  </w:r>
                </w:p>
              </w:tc>
              <w:tc>
                <w:tcPr>
                  <w:tcW w:w="851" w:type="dxa"/>
                  <w:vAlign w:val="center"/>
                </w:tcPr>
                <w:p w14:paraId="0A09C1C5">
                  <w:pPr>
                    <w:autoSpaceDE w:val="0"/>
                    <w:autoSpaceDN w:val="0"/>
                    <w:adjustRightInd w:val="0"/>
                    <w:snapToGrid w:val="0"/>
                    <w:jc w:val="center"/>
                    <w:rPr>
                      <w:szCs w:val="21"/>
                    </w:rPr>
                  </w:pPr>
                  <w:r>
                    <w:rPr>
                      <w:rFonts w:hint="eastAsia"/>
                      <w:szCs w:val="21"/>
                    </w:rPr>
                    <w:t>/</w:t>
                  </w:r>
                </w:p>
              </w:tc>
              <w:tc>
                <w:tcPr>
                  <w:tcW w:w="1472" w:type="dxa"/>
                  <w:vAlign w:val="center"/>
                </w:tcPr>
                <w:p w14:paraId="335B5418">
                  <w:pPr>
                    <w:autoSpaceDE w:val="0"/>
                    <w:autoSpaceDN w:val="0"/>
                    <w:adjustRightInd w:val="0"/>
                    <w:snapToGrid w:val="0"/>
                    <w:jc w:val="center"/>
                    <w:rPr>
                      <w:szCs w:val="21"/>
                    </w:rPr>
                  </w:pPr>
                  <w:r>
                    <w:rPr>
                      <w:szCs w:val="21"/>
                    </w:rPr>
                    <w:t>0</w:t>
                  </w:r>
                </w:p>
              </w:tc>
            </w:tr>
            <w:tr w14:paraId="1078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4D1F795A">
                  <w:pPr>
                    <w:autoSpaceDE w:val="0"/>
                    <w:autoSpaceDN w:val="0"/>
                    <w:adjustRightInd w:val="0"/>
                    <w:snapToGrid w:val="0"/>
                    <w:jc w:val="center"/>
                    <w:rPr>
                      <w:szCs w:val="21"/>
                    </w:rPr>
                  </w:pPr>
                </w:p>
              </w:tc>
              <w:tc>
                <w:tcPr>
                  <w:tcW w:w="445" w:type="dxa"/>
                  <w:vMerge w:val="continue"/>
                  <w:vAlign w:val="center"/>
                </w:tcPr>
                <w:p w14:paraId="4B7F5C8B">
                  <w:pPr>
                    <w:autoSpaceDE w:val="0"/>
                    <w:autoSpaceDN w:val="0"/>
                    <w:adjustRightInd w:val="0"/>
                    <w:snapToGrid w:val="0"/>
                    <w:jc w:val="center"/>
                    <w:rPr>
                      <w:szCs w:val="21"/>
                    </w:rPr>
                  </w:pPr>
                </w:p>
              </w:tc>
              <w:tc>
                <w:tcPr>
                  <w:tcW w:w="1119" w:type="dxa"/>
                  <w:vAlign w:val="center"/>
                </w:tcPr>
                <w:p w14:paraId="700E1B15">
                  <w:pPr>
                    <w:autoSpaceDE w:val="0"/>
                    <w:autoSpaceDN w:val="0"/>
                    <w:adjustRightInd w:val="0"/>
                    <w:snapToGrid w:val="0"/>
                    <w:jc w:val="center"/>
                    <w:rPr>
                      <w:szCs w:val="21"/>
                    </w:rPr>
                  </w:pPr>
                  <w:r>
                    <w:rPr>
                      <w:rFonts w:hint="eastAsia"/>
                      <w:szCs w:val="21"/>
                    </w:rPr>
                    <w:t>直接冷却水</w:t>
                  </w:r>
                </w:p>
              </w:tc>
              <w:tc>
                <w:tcPr>
                  <w:tcW w:w="4533" w:type="dxa"/>
                  <w:vAlign w:val="center"/>
                </w:tcPr>
                <w:p w14:paraId="6831E59E">
                  <w:pPr>
                    <w:autoSpaceDE w:val="0"/>
                    <w:autoSpaceDN w:val="0"/>
                    <w:adjustRightInd w:val="0"/>
                    <w:snapToGrid w:val="0"/>
                    <w:jc w:val="center"/>
                    <w:rPr>
                      <w:szCs w:val="21"/>
                    </w:rPr>
                  </w:pPr>
                  <w:r>
                    <w:rPr>
                      <w:rFonts w:hint="eastAsia"/>
                      <w:kern w:val="0"/>
                      <w:szCs w:val="21"/>
                    </w:rPr>
                    <w:t>项目三车间、四车间设置浊循环水槽6个，每个容积20m</w:t>
                  </w:r>
                  <w:r>
                    <w:rPr>
                      <w:rFonts w:hint="eastAsia"/>
                      <w:kern w:val="0"/>
                      <w:szCs w:val="21"/>
                      <w:vertAlign w:val="superscript"/>
                    </w:rPr>
                    <w:t>3</w:t>
                  </w:r>
                  <w:r>
                    <w:rPr>
                      <w:rFonts w:hint="eastAsia"/>
                      <w:kern w:val="0"/>
                      <w:szCs w:val="21"/>
                    </w:rPr>
                    <w:t>，共120m</w:t>
                  </w:r>
                  <w:r>
                    <w:rPr>
                      <w:rFonts w:hint="eastAsia"/>
                      <w:kern w:val="0"/>
                      <w:szCs w:val="21"/>
                      <w:vertAlign w:val="superscript"/>
                    </w:rPr>
                    <w:t>3</w:t>
                  </w:r>
                  <w:r>
                    <w:rPr>
                      <w:rFonts w:hint="eastAsia"/>
                      <w:kern w:val="0"/>
                      <w:szCs w:val="21"/>
                    </w:rPr>
                    <w:t>。项目七车间设置2个</w:t>
                  </w:r>
                  <w:r>
                    <w:rPr>
                      <w:rFonts w:hint="eastAsia"/>
                    </w:rPr>
                    <w:t>浊循环水池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。项目</w:t>
                  </w:r>
                  <w:r>
                    <w:rPr>
                      <w:rFonts w:hint="eastAsia"/>
                      <w:szCs w:val="21"/>
                    </w:rPr>
                    <w:t>八</w:t>
                  </w:r>
                  <w:r>
                    <w:rPr>
                      <w:rFonts w:hint="eastAsia"/>
                      <w:kern w:val="0"/>
                      <w:szCs w:val="21"/>
                    </w:rPr>
                    <w:t>车间设置2个</w:t>
                  </w:r>
                  <w:r>
                    <w:rPr>
                      <w:rFonts w:hint="eastAsia"/>
                    </w:rPr>
                    <w:t>浊循环水池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w:t>
                  </w:r>
                </w:p>
              </w:tc>
              <w:tc>
                <w:tcPr>
                  <w:tcW w:w="851" w:type="dxa"/>
                  <w:vAlign w:val="center"/>
                </w:tcPr>
                <w:p w14:paraId="5D42DB4D">
                  <w:pPr>
                    <w:autoSpaceDE w:val="0"/>
                    <w:autoSpaceDN w:val="0"/>
                    <w:adjustRightInd w:val="0"/>
                    <w:snapToGrid w:val="0"/>
                    <w:jc w:val="center"/>
                    <w:rPr>
                      <w:szCs w:val="21"/>
                    </w:rPr>
                  </w:pPr>
                  <w:r>
                    <w:rPr>
                      <w:szCs w:val="21"/>
                    </w:rPr>
                    <w:t>10</w:t>
                  </w:r>
                  <w:r>
                    <w:rPr>
                      <w:rFonts w:hint="eastAsia"/>
                      <w:szCs w:val="21"/>
                    </w:rPr>
                    <w:t>个</w:t>
                  </w:r>
                </w:p>
              </w:tc>
              <w:tc>
                <w:tcPr>
                  <w:tcW w:w="1472" w:type="dxa"/>
                  <w:vAlign w:val="center"/>
                </w:tcPr>
                <w:p w14:paraId="68E4114E">
                  <w:pPr>
                    <w:autoSpaceDE w:val="0"/>
                    <w:autoSpaceDN w:val="0"/>
                    <w:adjustRightInd w:val="0"/>
                    <w:snapToGrid w:val="0"/>
                    <w:jc w:val="center"/>
                    <w:rPr>
                      <w:szCs w:val="21"/>
                    </w:rPr>
                  </w:pPr>
                  <w:r>
                    <w:rPr>
                      <w:szCs w:val="21"/>
                    </w:rPr>
                    <w:t>20.0</w:t>
                  </w:r>
                </w:p>
              </w:tc>
            </w:tr>
            <w:tr w14:paraId="1047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06341BB1">
                  <w:pPr>
                    <w:autoSpaceDE w:val="0"/>
                    <w:autoSpaceDN w:val="0"/>
                    <w:adjustRightInd w:val="0"/>
                    <w:snapToGrid w:val="0"/>
                    <w:jc w:val="center"/>
                    <w:rPr>
                      <w:szCs w:val="21"/>
                    </w:rPr>
                  </w:pPr>
                </w:p>
              </w:tc>
              <w:tc>
                <w:tcPr>
                  <w:tcW w:w="445" w:type="dxa"/>
                  <w:vMerge w:val="continue"/>
                  <w:vAlign w:val="center"/>
                </w:tcPr>
                <w:p w14:paraId="1816FC31">
                  <w:pPr>
                    <w:autoSpaceDE w:val="0"/>
                    <w:autoSpaceDN w:val="0"/>
                    <w:adjustRightInd w:val="0"/>
                    <w:snapToGrid w:val="0"/>
                    <w:jc w:val="center"/>
                    <w:rPr>
                      <w:szCs w:val="21"/>
                    </w:rPr>
                  </w:pPr>
                </w:p>
              </w:tc>
              <w:tc>
                <w:tcPr>
                  <w:tcW w:w="1119" w:type="dxa"/>
                  <w:vAlign w:val="center"/>
                </w:tcPr>
                <w:p w14:paraId="44D5A1B1">
                  <w:pPr>
                    <w:autoSpaceDE w:val="0"/>
                    <w:autoSpaceDN w:val="0"/>
                    <w:adjustRightInd w:val="0"/>
                    <w:snapToGrid w:val="0"/>
                    <w:jc w:val="center"/>
                    <w:rPr>
                      <w:szCs w:val="21"/>
                    </w:rPr>
                  </w:pPr>
                  <w:r>
                    <w:rPr>
                      <w:rFonts w:hint="eastAsia"/>
                      <w:szCs w:val="21"/>
                    </w:rPr>
                    <w:t>间接冷却水</w:t>
                  </w:r>
                </w:p>
              </w:tc>
              <w:tc>
                <w:tcPr>
                  <w:tcW w:w="4533" w:type="dxa"/>
                  <w:vAlign w:val="center"/>
                </w:tcPr>
                <w:p w14:paraId="52A8DE7D">
                  <w:pPr>
                    <w:autoSpaceDE w:val="0"/>
                    <w:autoSpaceDN w:val="0"/>
                    <w:adjustRightInd w:val="0"/>
                    <w:snapToGrid w:val="0"/>
                    <w:jc w:val="center"/>
                    <w:rPr>
                      <w:szCs w:val="21"/>
                    </w:rPr>
                  </w:pPr>
                  <w:r>
                    <w:rPr>
                      <w:rFonts w:hint="eastAsia"/>
                      <w:kern w:val="0"/>
                      <w:szCs w:val="21"/>
                    </w:rPr>
                    <w:t>项目三车间、四车间设置净循环水箱</w:t>
                  </w:r>
                  <w:r>
                    <w:rPr>
                      <w:kern w:val="0"/>
                      <w:szCs w:val="21"/>
                    </w:rPr>
                    <w:t>1</w:t>
                  </w:r>
                  <w:r>
                    <w:rPr>
                      <w:rFonts w:hint="eastAsia"/>
                      <w:kern w:val="0"/>
                      <w:szCs w:val="21"/>
                    </w:rPr>
                    <w:t>个，容积</w:t>
                  </w:r>
                  <w:r>
                    <w:rPr>
                      <w:kern w:val="0"/>
                      <w:szCs w:val="21"/>
                    </w:rPr>
                    <w:t>6</w:t>
                  </w:r>
                  <w:r>
                    <w:rPr>
                      <w:rFonts w:hint="eastAsia"/>
                      <w:kern w:val="0"/>
                      <w:szCs w:val="21"/>
                    </w:rPr>
                    <w:t>0m</w:t>
                  </w:r>
                  <w:r>
                    <w:rPr>
                      <w:rFonts w:hint="eastAsia"/>
                      <w:kern w:val="0"/>
                      <w:szCs w:val="21"/>
                      <w:vertAlign w:val="superscript"/>
                    </w:rPr>
                    <w:t>3</w:t>
                  </w:r>
                  <w:r>
                    <w:rPr>
                      <w:rFonts w:hint="eastAsia"/>
                      <w:kern w:val="0"/>
                      <w:szCs w:val="21"/>
                    </w:rPr>
                    <w:t>。项目七车间设置2个</w:t>
                  </w:r>
                  <w:r>
                    <w:rPr>
                      <w:rFonts w:hint="eastAsia"/>
                    </w:rPr>
                    <w:t>净循环水池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。项目</w:t>
                  </w:r>
                  <w:r>
                    <w:rPr>
                      <w:rFonts w:hint="eastAsia"/>
                      <w:szCs w:val="21"/>
                    </w:rPr>
                    <w:t>八</w:t>
                  </w:r>
                  <w:r>
                    <w:rPr>
                      <w:rFonts w:hint="eastAsia"/>
                      <w:kern w:val="0"/>
                      <w:szCs w:val="21"/>
                    </w:rPr>
                    <w:t>车间设置2个</w:t>
                  </w:r>
                  <w:r>
                    <w:rPr>
                      <w:rFonts w:hint="eastAsia"/>
                    </w:rPr>
                    <w:t>净循环水池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w:t>
                  </w:r>
                </w:p>
              </w:tc>
              <w:tc>
                <w:tcPr>
                  <w:tcW w:w="851" w:type="dxa"/>
                  <w:vAlign w:val="center"/>
                </w:tcPr>
                <w:p w14:paraId="336C3D6C">
                  <w:pPr>
                    <w:autoSpaceDE w:val="0"/>
                    <w:autoSpaceDN w:val="0"/>
                    <w:adjustRightInd w:val="0"/>
                    <w:snapToGrid w:val="0"/>
                    <w:jc w:val="center"/>
                    <w:rPr>
                      <w:szCs w:val="21"/>
                    </w:rPr>
                  </w:pPr>
                  <w:r>
                    <w:rPr>
                      <w:szCs w:val="21"/>
                    </w:rPr>
                    <w:t>5</w:t>
                  </w:r>
                  <w:r>
                    <w:rPr>
                      <w:rFonts w:hint="eastAsia"/>
                      <w:szCs w:val="21"/>
                    </w:rPr>
                    <w:t>个</w:t>
                  </w:r>
                </w:p>
              </w:tc>
              <w:tc>
                <w:tcPr>
                  <w:tcW w:w="1472" w:type="dxa"/>
                  <w:vAlign w:val="center"/>
                </w:tcPr>
                <w:p w14:paraId="5A7D342C">
                  <w:pPr>
                    <w:autoSpaceDE w:val="0"/>
                    <w:autoSpaceDN w:val="0"/>
                    <w:adjustRightInd w:val="0"/>
                    <w:snapToGrid w:val="0"/>
                    <w:jc w:val="center"/>
                    <w:rPr>
                      <w:szCs w:val="21"/>
                    </w:rPr>
                  </w:pPr>
                  <w:r>
                    <w:rPr>
                      <w:szCs w:val="21"/>
                    </w:rPr>
                    <w:t>10.0</w:t>
                  </w:r>
                </w:p>
              </w:tc>
            </w:tr>
            <w:tr w14:paraId="5C17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1AF979BC">
                  <w:pPr>
                    <w:autoSpaceDE w:val="0"/>
                    <w:autoSpaceDN w:val="0"/>
                    <w:adjustRightInd w:val="0"/>
                    <w:snapToGrid w:val="0"/>
                    <w:jc w:val="center"/>
                    <w:rPr>
                      <w:szCs w:val="21"/>
                    </w:rPr>
                  </w:pPr>
                </w:p>
              </w:tc>
              <w:tc>
                <w:tcPr>
                  <w:tcW w:w="445" w:type="dxa"/>
                  <w:vMerge w:val="restart"/>
                  <w:vAlign w:val="center"/>
                </w:tcPr>
                <w:p w14:paraId="6FBFD3A5">
                  <w:pPr>
                    <w:autoSpaceDE w:val="0"/>
                    <w:autoSpaceDN w:val="0"/>
                    <w:adjustRightInd w:val="0"/>
                    <w:snapToGrid w:val="0"/>
                    <w:jc w:val="center"/>
                    <w:rPr>
                      <w:szCs w:val="21"/>
                    </w:rPr>
                  </w:pPr>
                  <w:r>
                    <w:rPr>
                      <w:rFonts w:hint="eastAsia"/>
                      <w:szCs w:val="21"/>
                    </w:rPr>
                    <w:t>固废</w:t>
                  </w:r>
                </w:p>
              </w:tc>
              <w:tc>
                <w:tcPr>
                  <w:tcW w:w="1119" w:type="dxa"/>
                  <w:vAlign w:val="center"/>
                </w:tcPr>
                <w:p w14:paraId="2D27638B">
                  <w:pPr>
                    <w:autoSpaceDE w:val="0"/>
                    <w:autoSpaceDN w:val="0"/>
                    <w:adjustRightInd w:val="0"/>
                    <w:snapToGrid w:val="0"/>
                    <w:jc w:val="center"/>
                    <w:rPr>
                      <w:szCs w:val="21"/>
                    </w:rPr>
                  </w:pPr>
                  <w:r>
                    <w:rPr>
                      <w:szCs w:val="21"/>
                    </w:rPr>
                    <w:t>生活垃圾</w:t>
                  </w:r>
                </w:p>
              </w:tc>
              <w:tc>
                <w:tcPr>
                  <w:tcW w:w="4533" w:type="dxa"/>
                  <w:vAlign w:val="center"/>
                </w:tcPr>
                <w:p w14:paraId="5B22960C">
                  <w:pPr>
                    <w:autoSpaceDE w:val="0"/>
                    <w:autoSpaceDN w:val="0"/>
                    <w:adjustRightInd w:val="0"/>
                    <w:snapToGrid w:val="0"/>
                    <w:jc w:val="center"/>
                    <w:rPr>
                      <w:szCs w:val="21"/>
                    </w:rPr>
                  </w:pPr>
                  <w:r>
                    <w:rPr>
                      <w:rFonts w:hint="eastAsia"/>
                      <w:szCs w:val="21"/>
                    </w:rPr>
                    <w:t>依托现有</w:t>
                  </w:r>
                  <w:r>
                    <w:rPr>
                      <w:szCs w:val="21"/>
                    </w:rPr>
                    <w:t>垃圾桶，</w:t>
                  </w:r>
                  <w:r>
                    <w:rPr>
                      <w:rFonts w:hint="eastAsia" w:asciiTheme="minorEastAsia" w:hAnsiTheme="minorEastAsia" w:eastAsiaTheme="minorEastAsia"/>
                      <w:szCs w:val="21"/>
                    </w:rPr>
                    <w:t>委托环卫部门清运处置</w:t>
                  </w:r>
                </w:p>
              </w:tc>
              <w:tc>
                <w:tcPr>
                  <w:tcW w:w="851" w:type="dxa"/>
                  <w:vAlign w:val="center"/>
                </w:tcPr>
                <w:p w14:paraId="58E3404C">
                  <w:pPr>
                    <w:autoSpaceDE w:val="0"/>
                    <w:autoSpaceDN w:val="0"/>
                    <w:adjustRightInd w:val="0"/>
                    <w:snapToGrid w:val="0"/>
                    <w:jc w:val="center"/>
                    <w:rPr>
                      <w:szCs w:val="21"/>
                    </w:rPr>
                  </w:pPr>
                  <w:r>
                    <w:rPr>
                      <w:rFonts w:hint="eastAsia"/>
                      <w:szCs w:val="21"/>
                    </w:rPr>
                    <w:t>/</w:t>
                  </w:r>
                </w:p>
              </w:tc>
              <w:tc>
                <w:tcPr>
                  <w:tcW w:w="1472" w:type="dxa"/>
                  <w:vAlign w:val="center"/>
                </w:tcPr>
                <w:p w14:paraId="212679B4">
                  <w:pPr>
                    <w:autoSpaceDE w:val="0"/>
                    <w:autoSpaceDN w:val="0"/>
                    <w:adjustRightInd w:val="0"/>
                    <w:snapToGrid w:val="0"/>
                    <w:jc w:val="center"/>
                    <w:rPr>
                      <w:szCs w:val="21"/>
                    </w:rPr>
                  </w:pPr>
                  <w:r>
                    <w:rPr>
                      <w:szCs w:val="21"/>
                    </w:rPr>
                    <w:t>0</w:t>
                  </w:r>
                </w:p>
              </w:tc>
            </w:tr>
            <w:tr w14:paraId="08EE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15B744A3">
                  <w:pPr>
                    <w:autoSpaceDE w:val="0"/>
                    <w:autoSpaceDN w:val="0"/>
                    <w:adjustRightInd w:val="0"/>
                    <w:snapToGrid w:val="0"/>
                    <w:jc w:val="center"/>
                    <w:rPr>
                      <w:szCs w:val="21"/>
                    </w:rPr>
                  </w:pPr>
                </w:p>
              </w:tc>
              <w:tc>
                <w:tcPr>
                  <w:tcW w:w="445" w:type="dxa"/>
                  <w:vMerge w:val="continue"/>
                  <w:vAlign w:val="center"/>
                </w:tcPr>
                <w:p w14:paraId="32D0DCB6">
                  <w:pPr>
                    <w:autoSpaceDE w:val="0"/>
                    <w:autoSpaceDN w:val="0"/>
                    <w:adjustRightInd w:val="0"/>
                    <w:snapToGrid w:val="0"/>
                    <w:jc w:val="center"/>
                    <w:rPr>
                      <w:szCs w:val="21"/>
                    </w:rPr>
                  </w:pPr>
                </w:p>
              </w:tc>
              <w:tc>
                <w:tcPr>
                  <w:tcW w:w="1119" w:type="dxa"/>
                  <w:vAlign w:val="center"/>
                </w:tcPr>
                <w:p w14:paraId="11AFEE23">
                  <w:pPr>
                    <w:autoSpaceDE w:val="0"/>
                    <w:autoSpaceDN w:val="0"/>
                    <w:adjustRightInd w:val="0"/>
                    <w:snapToGrid w:val="0"/>
                    <w:jc w:val="center"/>
                    <w:rPr>
                      <w:szCs w:val="21"/>
                    </w:rPr>
                  </w:pPr>
                  <w:r>
                    <w:rPr>
                      <w:rFonts w:hint="eastAsia"/>
                      <w:szCs w:val="21"/>
                    </w:rPr>
                    <w:t>危废暂存间</w:t>
                  </w:r>
                </w:p>
              </w:tc>
              <w:tc>
                <w:tcPr>
                  <w:tcW w:w="4533" w:type="dxa"/>
                  <w:vAlign w:val="center"/>
                </w:tcPr>
                <w:p w14:paraId="254F7B26">
                  <w:pPr>
                    <w:autoSpaceDE w:val="0"/>
                    <w:autoSpaceDN w:val="0"/>
                    <w:adjustRightInd w:val="0"/>
                    <w:snapToGrid w:val="0"/>
                    <w:jc w:val="center"/>
                    <w:rPr>
                      <w:szCs w:val="21"/>
                    </w:rPr>
                  </w:pPr>
                  <w:r>
                    <w:rPr>
                      <w:rFonts w:hint="eastAsia" w:ascii="宋体" w:hAnsi="宋体"/>
                      <w:szCs w:val="18"/>
                    </w:rPr>
                    <w:t>依托</w:t>
                  </w:r>
                  <w:r>
                    <w:rPr>
                      <w:rFonts w:hint="eastAsia"/>
                    </w:rPr>
                    <w:t>现有</w:t>
                  </w:r>
                  <w:r>
                    <w:rPr>
                      <w:rFonts w:hint="eastAsia"/>
                      <w:szCs w:val="21"/>
                    </w:rPr>
                    <w:t>危废暂存间</w:t>
                  </w:r>
                </w:p>
              </w:tc>
              <w:tc>
                <w:tcPr>
                  <w:tcW w:w="851" w:type="dxa"/>
                  <w:vAlign w:val="center"/>
                </w:tcPr>
                <w:p w14:paraId="753430C0">
                  <w:pPr>
                    <w:autoSpaceDE w:val="0"/>
                    <w:autoSpaceDN w:val="0"/>
                    <w:adjustRightInd w:val="0"/>
                    <w:snapToGrid w:val="0"/>
                    <w:jc w:val="center"/>
                    <w:rPr>
                      <w:szCs w:val="21"/>
                    </w:rPr>
                  </w:pPr>
                  <w:r>
                    <w:rPr>
                      <w:rFonts w:hint="eastAsia"/>
                      <w:szCs w:val="21"/>
                    </w:rPr>
                    <w:t>/</w:t>
                  </w:r>
                </w:p>
              </w:tc>
              <w:tc>
                <w:tcPr>
                  <w:tcW w:w="1472" w:type="dxa"/>
                  <w:vAlign w:val="center"/>
                </w:tcPr>
                <w:p w14:paraId="6E3F2EAF">
                  <w:pPr>
                    <w:autoSpaceDE w:val="0"/>
                    <w:autoSpaceDN w:val="0"/>
                    <w:adjustRightInd w:val="0"/>
                    <w:snapToGrid w:val="0"/>
                    <w:jc w:val="center"/>
                    <w:rPr>
                      <w:szCs w:val="21"/>
                    </w:rPr>
                  </w:pPr>
                  <w:r>
                    <w:rPr>
                      <w:rFonts w:hint="eastAsia"/>
                      <w:szCs w:val="21"/>
                    </w:rPr>
                    <w:t>0</w:t>
                  </w:r>
                </w:p>
              </w:tc>
            </w:tr>
            <w:tr w14:paraId="4265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4CAEADE0">
                  <w:pPr>
                    <w:autoSpaceDE w:val="0"/>
                    <w:autoSpaceDN w:val="0"/>
                    <w:adjustRightInd w:val="0"/>
                    <w:snapToGrid w:val="0"/>
                    <w:jc w:val="center"/>
                    <w:rPr>
                      <w:szCs w:val="21"/>
                    </w:rPr>
                  </w:pPr>
                </w:p>
              </w:tc>
              <w:tc>
                <w:tcPr>
                  <w:tcW w:w="1564" w:type="dxa"/>
                  <w:gridSpan w:val="2"/>
                  <w:vAlign w:val="center"/>
                </w:tcPr>
                <w:p w14:paraId="64513959">
                  <w:pPr>
                    <w:autoSpaceDE w:val="0"/>
                    <w:autoSpaceDN w:val="0"/>
                    <w:adjustRightInd w:val="0"/>
                    <w:snapToGrid w:val="0"/>
                    <w:jc w:val="center"/>
                    <w:rPr>
                      <w:szCs w:val="21"/>
                    </w:rPr>
                  </w:pPr>
                  <w:r>
                    <w:rPr>
                      <w:szCs w:val="21"/>
                    </w:rPr>
                    <w:t>噪声防治</w:t>
                  </w:r>
                  <w:r>
                    <w:rPr>
                      <w:rFonts w:hint="eastAsia"/>
                      <w:szCs w:val="21"/>
                    </w:rPr>
                    <w:t>措施</w:t>
                  </w:r>
                </w:p>
              </w:tc>
              <w:tc>
                <w:tcPr>
                  <w:tcW w:w="4533" w:type="dxa"/>
                  <w:vAlign w:val="center"/>
                </w:tcPr>
                <w:p w14:paraId="1B11F668">
                  <w:pPr>
                    <w:autoSpaceDE w:val="0"/>
                    <w:autoSpaceDN w:val="0"/>
                    <w:adjustRightInd w:val="0"/>
                    <w:snapToGrid w:val="0"/>
                    <w:jc w:val="center"/>
                    <w:rPr>
                      <w:szCs w:val="21"/>
                    </w:rPr>
                  </w:pPr>
                  <w:r>
                    <w:rPr>
                      <w:rFonts w:hint="eastAsia"/>
                      <w:szCs w:val="21"/>
                    </w:rPr>
                    <w:t>通过厂房隔声，基础减振，对产生气流噪声的噪声源加装消声器</w:t>
                  </w:r>
                </w:p>
              </w:tc>
              <w:tc>
                <w:tcPr>
                  <w:tcW w:w="851" w:type="dxa"/>
                  <w:vAlign w:val="center"/>
                </w:tcPr>
                <w:p w14:paraId="1B26BCEA">
                  <w:pPr>
                    <w:autoSpaceDE w:val="0"/>
                    <w:autoSpaceDN w:val="0"/>
                    <w:adjustRightInd w:val="0"/>
                    <w:snapToGrid w:val="0"/>
                    <w:jc w:val="center"/>
                    <w:rPr>
                      <w:szCs w:val="21"/>
                    </w:rPr>
                  </w:pPr>
                  <w:r>
                    <w:rPr>
                      <w:rFonts w:hint="eastAsia"/>
                      <w:szCs w:val="21"/>
                    </w:rPr>
                    <w:t>/</w:t>
                  </w:r>
                </w:p>
              </w:tc>
              <w:tc>
                <w:tcPr>
                  <w:tcW w:w="1472" w:type="dxa"/>
                  <w:vAlign w:val="center"/>
                </w:tcPr>
                <w:p w14:paraId="382A1B46">
                  <w:pPr>
                    <w:autoSpaceDE w:val="0"/>
                    <w:autoSpaceDN w:val="0"/>
                    <w:adjustRightInd w:val="0"/>
                    <w:snapToGrid w:val="0"/>
                    <w:jc w:val="center"/>
                    <w:rPr>
                      <w:szCs w:val="21"/>
                    </w:rPr>
                  </w:pPr>
                  <w:r>
                    <w:rPr>
                      <w:szCs w:val="21"/>
                    </w:rPr>
                    <w:t>3.0</w:t>
                  </w:r>
                </w:p>
              </w:tc>
            </w:tr>
            <w:tr w14:paraId="31C5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3D269A7D">
                  <w:pPr>
                    <w:autoSpaceDE w:val="0"/>
                    <w:autoSpaceDN w:val="0"/>
                    <w:adjustRightInd w:val="0"/>
                    <w:snapToGrid w:val="0"/>
                    <w:jc w:val="center"/>
                    <w:rPr>
                      <w:szCs w:val="21"/>
                    </w:rPr>
                  </w:pPr>
                </w:p>
              </w:tc>
              <w:tc>
                <w:tcPr>
                  <w:tcW w:w="445" w:type="dxa"/>
                  <w:vMerge w:val="restart"/>
                  <w:vAlign w:val="center"/>
                </w:tcPr>
                <w:p w14:paraId="0D018B39">
                  <w:pPr>
                    <w:autoSpaceDE w:val="0"/>
                    <w:autoSpaceDN w:val="0"/>
                    <w:adjustRightInd w:val="0"/>
                    <w:snapToGrid w:val="0"/>
                    <w:jc w:val="center"/>
                    <w:rPr>
                      <w:szCs w:val="21"/>
                    </w:rPr>
                  </w:pPr>
                  <w:r>
                    <w:rPr>
                      <w:rFonts w:hint="eastAsia"/>
                      <w:szCs w:val="21"/>
                    </w:rPr>
                    <w:t>防渗措施</w:t>
                  </w:r>
                </w:p>
              </w:tc>
              <w:tc>
                <w:tcPr>
                  <w:tcW w:w="1119" w:type="dxa"/>
                  <w:vAlign w:val="center"/>
                </w:tcPr>
                <w:p w14:paraId="0F46CD12">
                  <w:pPr>
                    <w:widowControl/>
                    <w:jc w:val="center"/>
                    <w:textAlignment w:val="center"/>
                    <w:rPr>
                      <w:kern w:val="0"/>
                      <w:szCs w:val="21"/>
                      <w:lang w:bidi="ar"/>
                    </w:rPr>
                  </w:pPr>
                  <w:r>
                    <w:rPr>
                      <w:rFonts w:hint="eastAsia"/>
                      <w:kern w:val="0"/>
                      <w:szCs w:val="21"/>
                      <w:lang w:bidi="ar"/>
                    </w:rPr>
                    <w:t>重点防渗区</w:t>
                  </w:r>
                </w:p>
              </w:tc>
              <w:tc>
                <w:tcPr>
                  <w:tcW w:w="4533" w:type="dxa"/>
                  <w:vAlign w:val="center"/>
                </w:tcPr>
                <w:p w14:paraId="2A35EA55">
                  <w:pPr>
                    <w:autoSpaceDE w:val="0"/>
                    <w:autoSpaceDN w:val="0"/>
                    <w:adjustRightInd w:val="0"/>
                    <w:snapToGrid w:val="0"/>
                    <w:jc w:val="center"/>
                    <w:rPr>
                      <w:kern w:val="0"/>
                      <w:szCs w:val="21"/>
                      <w:lang w:bidi="ar"/>
                    </w:rPr>
                  </w:pPr>
                  <w:r>
                    <w:rPr>
                      <w:rFonts w:hint="eastAsia"/>
                      <w:kern w:val="0"/>
                      <w:szCs w:val="21"/>
                      <w:lang w:bidi="ar"/>
                    </w:rPr>
                    <w:t>现有项目危废暂存间（已采取重点防渗措施）</w:t>
                  </w:r>
                </w:p>
              </w:tc>
              <w:tc>
                <w:tcPr>
                  <w:tcW w:w="851" w:type="dxa"/>
                  <w:vAlign w:val="center"/>
                </w:tcPr>
                <w:p w14:paraId="716B7A98">
                  <w:pPr>
                    <w:autoSpaceDE w:val="0"/>
                    <w:autoSpaceDN w:val="0"/>
                    <w:adjustRightInd w:val="0"/>
                    <w:snapToGrid w:val="0"/>
                    <w:jc w:val="center"/>
                    <w:rPr>
                      <w:szCs w:val="21"/>
                    </w:rPr>
                  </w:pPr>
                  <w:r>
                    <w:rPr>
                      <w:rFonts w:hint="eastAsia"/>
                      <w:szCs w:val="21"/>
                    </w:rPr>
                    <w:t>/</w:t>
                  </w:r>
                </w:p>
              </w:tc>
              <w:tc>
                <w:tcPr>
                  <w:tcW w:w="1472" w:type="dxa"/>
                  <w:vAlign w:val="center"/>
                </w:tcPr>
                <w:p w14:paraId="434B1081">
                  <w:pPr>
                    <w:autoSpaceDE w:val="0"/>
                    <w:autoSpaceDN w:val="0"/>
                    <w:adjustRightInd w:val="0"/>
                    <w:snapToGrid w:val="0"/>
                    <w:jc w:val="center"/>
                    <w:rPr>
                      <w:szCs w:val="21"/>
                    </w:rPr>
                  </w:pPr>
                  <w:r>
                    <w:rPr>
                      <w:rFonts w:hint="eastAsia"/>
                      <w:szCs w:val="21"/>
                    </w:rPr>
                    <w:t>0</w:t>
                  </w:r>
                </w:p>
              </w:tc>
            </w:tr>
            <w:tr w14:paraId="72C0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6E6905AE">
                  <w:pPr>
                    <w:autoSpaceDE w:val="0"/>
                    <w:autoSpaceDN w:val="0"/>
                    <w:adjustRightInd w:val="0"/>
                    <w:snapToGrid w:val="0"/>
                    <w:jc w:val="center"/>
                    <w:rPr>
                      <w:szCs w:val="21"/>
                    </w:rPr>
                  </w:pPr>
                </w:p>
              </w:tc>
              <w:tc>
                <w:tcPr>
                  <w:tcW w:w="445" w:type="dxa"/>
                  <w:vMerge w:val="continue"/>
                  <w:vAlign w:val="center"/>
                </w:tcPr>
                <w:p w14:paraId="4E0BD294">
                  <w:pPr>
                    <w:autoSpaceDE w:val="0"/>
                    <w:autoSpaceDN w:val="0"/>
                    <w:adjustRightInd w:val="0"/>
                    <w:snapToGrid w:val="0"/>
                    <w:jc w:val="center"/>
                    <w:rPr>
                      <w:szCs w:val="21"/>
                    </w:rPr>
                  </w:pPr>
                </w:p>
              </w:tc>
              <w:tc>
                <w:tcPr>
                  <w:tcW w:w="1119" w:type="dxa"/>
                  <w:vAlign w:val="center"/>
                </w:tcPr>
                <w:p w14:paraId="369A6709">
                  <w:pPr>
                    <w:widowControl/>
                    <w:jc w:val="center"/>
                    <w:textAlignment w:val="center"/>
                    <w:rPr>
                      <w:kern w:val="0"/>
                      <w:szCs w:val="21"/>
                      <w:lang w:bidi="ar"/>
                    </w:rPr>
                  </w:pPr>
                  <w:r>
                    <w:rPr>
                      <w:kern w:val="0"/>
                      <w:szCs w:val="21"/>
                      <w:lang w:bidi="ar"/>
                    </w:rPr>
                    <w:t>一般防</w:t>
                  </w:r>
                </w:p>
                <w:p w14:paraId="5C6F93FE">
                  <w:pPr>
                    <w:autoSpaceDE w:val="0"/>
                    <w:autoSpaceDN w:val="0"/>
                    <w:adjustRightInd w:val="0"/>
                    <w:snapToGrid w:val="0"/>
                    <w:jc w:val="center"/>
                    <w:rPr>
                      <w:szCs w:val="21"/>
                    </w:rPr>
                  </w:pPr>
                  <w:r>
                    <w:rPr>
                      <w:kern w:val="0"/>
                      <w:szCs w:val="21"/>
                      <w:lang w:bidi="ar"/>
                    </w:rPr>
                    <w:t>渗区</w:t>
                  </w:r>
                </w:p>
              </w:tc>
              <w:tc>
                <w:tcPr>
                  <w:tcW w:w="4533" w:type="dxa"/>
                  <w:vAlign w:val="center"/>
                </w:tcPr>
                <w:p w14:paraId="3F8D5B4E">
                  <w:pPr>
                    <w:autoSpaceDE w:val="0"/>
                    <w:autoSpaceDN w:val="0"/>
                    <w:adjustRightInd w:val="0"/>
                    <w:snapToGrid w:val="0"/>
                    <w:jc w:val="center"/>
                    <w:rPr>
                      <w:szCs w:val="21"/>
                    </w:rPr>
                  </w:pPr>
                  <w:r>
                    <w:rPr>
                      <w:rFonts w:hint="eastAsia"/>
                      <w:kern w:val="0"/>
                      <w:szCs w:val="21"/>
                      <w:lang w:bidi="ar"/>
                    </w:rPr>
                    <w:t>各循环水池</w:t>
                  </w:r>
                  <w:r>
                    <w:rPr>
                      <w:rFonts w:hint="eastAsia"/>
                      <w:szCs w:val="21"/>
                    </w:rPr>
                    <w:t>、</w:t>
                  </w:r>
                  <w:r>
                    <w:rPr>
                      <w:rFonts w:hint="eastAsia"/>
                      <w:kern w:val="0"/>
                      <w:szCs w:val="21"/>
                    </w:rPr>
                    <w:t>循环水槽/水箱</w:t>
                  </w:r>
                  <w:r>
                    <w:rPr>
                      <w:rFonts w:hint="eastAsia"/>
                      <w:kern w:val="0"/>
                      <w:szCs w:val="21"/>
                      <w:lang w:bidi="ar"/>
                    </w:rPr>
                    <w:t>进行一般防渗</w:t>
                  </w:r>
                  <w:r>
                    <w:rPr>
                      <w:kern w:val="0"/>
                      <w:szCs w:val="21"/>
                      <w:lang w:bidi="ar"/>
                    </w:rPr>
                    <w:t>，</w:t>
                  </w:r>
                  <w:r>
                    <w:rPr>
                      <w:rFonts w:hint="eastAsia"/>
                      <w:kern w:val="0"/>
                      <w:szCs w:val="21"/>
                      <w:lang w:bidi="ar"/>
                    </w:rPr>
                    <w:t>采用抗渗混凝土硬化。</w:t>
                  </w:r>
                </w:p>
              </w:tc>
              <w:tc>
                <w:tcPr>
                  <w:tcW w:w="851" w:type="dxa"/>
                  <w:vAlign w:val="center"/>
                </w:tcPr>
                <w:p w14:paraId="2CF4859F">
                  <w:pPr>
                    <w:autoSpaceDE w:val="0"/>
                    <w:autoSpaceDN w:val="0"/>
                    <w:adjustRightInd w:val="0"/>
                    <w:snapToGrid w:val="0"/>
                    <w:jc w:val="center"/>
                    <w:rPr>
                      <w:szCs w:val="21"/>
                    </w:rPr>
                  </w:pPr>
                  <w:r>
                    <w:rPr>
                      <w:rFonts w:hint="eastAsia"/>
                      <w:szCs w:val="21"/>
                    </w:rPr>
                    <w:t>/</w:t>
                  </w:r>
                </w:p>
              </w:tc>
              <w:tc>
                <w:tcPr>
                  <w:tcW w:w="1472" w:type="dxa"/>
                  <w:vAlign w:val="center"/>
                </w:tcPr>
                <w:p w14:paraId="3BB6E6C6">
                  <w:pPr>
                    <w:autoSpaceDE w:val="0"/>
                    <w:autoSpaceDN w:val="0"/>
                    <w:adjustRightInd w:val="0"/>
                    <w:snapToGrid w:val="0"/>
                    <w:jc w:val="center"/>
                    <w:rPr>
                      <w:szCs w:val="21"/>
                    </w:rPr>
                  </w:pPr>
                  <w:r>
                    <w:rPr>
                      <w:rFonts w:hint="eastAsia"/>
                      <w:szCs w:val="21"/>
                    </w:rPr>
                    <w:t>5</w:t>
                  </w:r>
                  <w:r>
                    <w:rPr>
                      <w:szCs w:val="21"/>
                    </w:rPr>
                    <w:t>.0</w:t>
                  </w:r>
                </w:p>
              </w:tc>
            </w:tr>
            <w:tr w14:paraId="291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4DE89C8E">
                  <w:pPr>
                    <w:autoSpaceDE w:val="0"/>
                    <w:autoSpaceDN w:val="0"/>
                    <w:adjustRightInd w:val="0"/>
                    <w:snapToGrid w:val="0"/>
                    <w:jc w:val="center"/>
                    <w:rPr>
                      <w:szCs w:val="21"/>
                    </w:rPr>
                  </w:pPr>
                </w:p>
              </w:tc>
              <w:tc>
                <w:tcPr>
                  <w:tcW w:w="445" w:type="dxa"/>
                  <w:vMerge w:val="continue"/>
                  <w:vAlign w:val="center"/>
                </w:tcPr>
                <w:p w14:paraId="6FCAE433">
                  <w:pPr>
                    <w:autoSpaceDE w:val="0"/>
                    <w:autoSpaceDN w:val="0"/>
                    <w:adjustRightInd w:val="0"/>
                    <w:snapToGrid w:val="0"/>
                    <w:jc w:val="center"/>
                    <w:rPr>
                      <w:szCs w:val="21"/>
                    </w:rPr>
                  </w:pPr>
                </w:p>
              </w:tc>
              <w:tc>
                <w:tcPr>
                  <w:tcW w:w="1119" w:type="dxa"/>
                  <w:vAlign w:val="center"/>
                </w:tcPr>
                <w:p w14:paraId="55A178F4">
                  <w:pPr>
                    <w:widowControl/>
                    <w:jc w:val="center"/>
                    <w:textAlignment w:val="center"/>
                    <w:rPr>
                      <w:kern w:val="0"/>
                      <w:szCs w:val="21"/>
                      <w:lang w:bidi="ar"/>
                    </w:rPr>
                  </w:pPr>
                  <w:r>
                    <w:rPr>
                      <w:kern w:val="0"/>
                      <w:szCs w:val="21"/>
                      <w:lang w:bidi="ar"/>
                    </w:rPr>
                    <w:t>简单防</w:t>
                  </w:r>
                </w:p>
                <w:p w14:paraId="2EAA0F5E">
                  <w:pPr>
                    <w:autoSpaceDE w:val="0"/>
                    <w:autoSpaceDN w:val="0"/>
                    <w:adjustRightInd w:val="0"/>
                    <w:snapToGrid w:val="0"/>
                    <w:jc w:val="center"/>
                    <w:rPr>
                      <w:szCs w:val="21"/>
                    </w:rPr>
                  </w:pPr>
                  <w:r>
                    <w:rPr>
                      <w:kern w:val="0"/>
                      <w:szCs w:val="21"/>
                      <w:lang w:bidi="ar"/>
                    </w:rPr>
                    <w:t>渗区</w:t>
                  </w:r>
                </w:p>
              </w:tc>
              <w:tc>
                <w:tcPr>
                  <w:tcW w:w="4533" w:type="dxa"/>
                  <w:vAlign w:val="center"/>
                </w:tcPr>
                <w:p w14:paraId="4D1C641C">
                  <w:pPr>
                    <w:autoSpaceDE w:val="0"/>
                    <w:autoSpaceDN w:val="0"/>
                    <w:adjustRightInd w:val="0"/>
                    <w:snapToGrid w:val="0"/>
                    <w:jc w:val="center"/>
                    <w:rPr>
                      <w:szCs w:val="21"/>
                    </w:rPr>
                  </w:pPr>
                  <w:r>
                    <w:rPr>
                      <w:rFonts w:hint="eastAsia"/>
                      <w:kern w:val="0"/>
                      <w:szCs w:val="21"/>
                      <w:lang w:bidi="ar"/>
                    </w:rPr>
                    <w:t>生产车间、厂内道路等一般区域进行简单防渗，采用一般混凝土地面硬化。</w:t>
                  </w:r>
                </w:p>
              </w:tc>
              <w:tc>
                <w:tcPr>
                  <w:tcW w:w="851" w:type="dxa"/>
                  <w:vAlign w:val="center"/>
                </w:tcPr>
                <w:p w14:paraId="553973A4">
                  <w:pPr>
                    <w:autoSpaceDE w:val="0"/>
                    <w:autoSpaceDN w:val="0"/>
                    <w:adjustRightInd w:val="0"/>
                    <w:snapToGrid w:val="0"/>
                    <w:jc w:val="center"/>
                    <w:rPr>
                      <w:szCs w:val="21"/>
                    </w:rPr>
                  </w:pPr>
                  <w:r>
                    <w:rPr>
                      <w:rFonts w:hint="eastAsia"/>
                      <w:szCs w:val="21"/>
                    </w:rPr>
                    <w:t>/</w:t>
                  </w:r>
                </w:p>
              </w:tc>
              <w:tc>
                <w:tcPr>
                  <w:tcW w:w="1472" w:type="dxa"/>
                  <w:vAlign w:val="center"/>
                </w:tcPr>
                <w:p w14:paraId="181642E2">
                  <w:pPr>
                    <w:autoSpaceDE w:val="0"/>
                    <w:autoSpaceDN w:val="0"/>
                    <w:adjustRightInd w:val="0"/>
                    <w:snapToGrid w:val="0"/>
                    <w:jc w:val="center"/>
                    <w:rPr>
                      <w:szCs w:val="21"/>
                    </w:rPr>
                  </w:pPr>
                  <w:r>
                    <w:rPr>
                      <w:rFonts w:hint="eastAsia"/>
                      <w:szCs w:val="21"/>
                    </w:rPr>
                    <w:t>3</w:t>
                  </w:r>
                  <w:r>
                    <w:rPr>
                      <w:szCs w:val="21"/>
                    </w:rPr>
                    <w:t>.0</w:t>
                  </w:r>
                </w:p>
              </w:tc>
            </w:tr>
            <w:tr w14:paraId="208D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7" w:type="dxa"/>
                  <w:vMerge w:val="continue"/>
                  <w:vAlign w:val="center"/>
                </w:tcPr>
                <w:p w14:paraId="79E188C8">
                  <w:pPr>
                    <w:autoSpaceDE w:val="0"/>
                    <w:autoSpaceDN w:val="0"/>
                    <w:adjustRightInd w:val="0"/>
                    <w:snapToGrid w:val="0"/>
                    <w:jc w:val="center"/>
                    <w:rPr>
                      <w:szCs w:val="21"/>
                    </w:rPr>
                  </w:pPr>
                </w:p>
              </w:tc>
              <w:tc>
                <w:tcPr>
                  <w:tcW w:w="1564" w:type="dxa"/>
                  <w:gridSpan w:val="2"/>
                  <w:vAlign w:val="center"/>
                </w:tcPr>
                <w:p w14:paraId="5C4950D3">
                  <w:pPr>
                    <w:widowControl/>
                    <w:jc w:val="center"/>
                    <w:textAlignment w:val="center"/>
                    <w:rPr>
                      <w:kern w:val="0"/>
                      <w:szCs w:val="21"/>
                      <w:lang w:bidi="ar"/>
                    </w:rPr>
                  </w:pPr>
                  <w:r>
                    <w:rPr>
                      <w:rFonts w:hint="eastAsia"/>
                      <w:kern w:val="0"/>
                      <w:szCs w:val="21"/>
                      <w:lang w:bidi="ar"/>
                    </w:rPr>
                    <w:t>其他</w:t>
                  </w:r>
                </w:p>
              </w:tc>
              <w:tc>
                <w:tcPr>
                  <w:tcW w:w="4533" w:type="dxa"/>
                  <w:vAlign w:val="center"/>
                </w:tcPr>
                <w:p w14:paraId="03AE8559">
                  <w:pPr>
                    <w:autoSpaceDE w:val="0"/>
                    <w:autoSpaceDN w:val="0"/>
                    <w:adjustRightInd w:val="0"/>
                    <w:snapToGrid w:val="0"/>
                    <w:jc w:val="center"/>
                    <w:rPr>
                      <w:kern w:val="0"/>
                      <w:szCs w:val="21"/>
                      <w:lang w:bidi="ar"/>
                    </w:rPr>
                  </w:pPr>
                  <w:r>
                    <w:rPr>
                      <w:rFonts w:hint="eastAsia"/>
                      <w:kern w:val="0"/>
                      <w:szCs w:val="21"/>
                      <w:lang w:bidi="ar"/>
                    </w:rPr>
                    <w:t>环境管理、监测、环保设施运行维护</w:t>
                  </w:r>
                </w:p>
              </w:tc>
              <w:tc>
                <w:tcPr>
                  <w:tcW w:w="851" w:type="dxa"/>
                  <w:vAlign w:val="center"/>
                </w:tcPr>
                <w:p w14:paraId="593E60E0">
                  <w:pPr>
                    <w:autoSpaceDE w:val="0"/>
                    <w:autoSpaceDN w:val="0"/>
                    <w:adjustRightInd w:val="0"/>
                    <w:snapToGrid w:val="0"/>
                    <w:jc w:val="center"/>
                    <w:rPr>
                      <w:szCs w:val="21"/>
                    </w:rPr>
                  </w:pPr>
                  <w:r>
                    <w:rPr>
                      <w:rFonts w:hint="eastAsia"/>
                      <w:kern w:val="0"/>
                      <w:szCs w:val="21"/>
                      <w:lang w:bidi="ar"/>
                    </w:rPr>
                    <w:t>每年</w:t>
                  </w:r>
                </w:p>
              </w:tc>
              <w:tc>
                <w:tcPr>
                  <w:tcW w:w="1472" w:type="dxa"/>
                  <w:vAlign w:val="center"/>
                </w:tcPr>
                <w:p w14:paraId="49175E65">
                  <w:pPr>
                    <w:autoSpaceDE w:val="0"/>
                    <w:autoSpaceDN w:val="0"/>
                    <w:adjustRightInd w:val="0"/>
                    <w:snapToGrid w:val="0"/>
                    <w:jc w:val="center"/>
                    <w:rPr>
                      <w:szCs w:val="21"/>
                    </w:rPr>
                  </w:pPr>
                  <w:r>
                    <w:rPr>
                      <w:szCs w:val="21"/>
                    </w:rPr>
                    <w:t>3.0</w:t>
                  </w:r>
                </w:p>
              </w:tc>
            </w:tr>
            <w:tr w14:paraId="76D3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05" w:type="dxa"/>
                  <w:gridSpan w:val="5"/>
                  <w:vAlign w:val="center"/>
                </w:tcPr>
                <w:p w14:paraId="63191A11">
                  <w:pPr>
                    <w:autoSpaceDE w:val="0"/>
                    <w:autoSpaceDN w:val="0"/>
                    <w:adjustRightInd w:val="0"/>
                    <w:snapToGrid w:val="0"/>
                    <w:jc w:val="center"/>
                    <w:rPr>
                      <w:b/>
                      <w:szCs w:val="21"/>
                    </w:rPr>
                  </w:pPr>
                  <w:bookmarkStart w:id="12" w:name="_Toc299498102"/>
                  <w:bookmarkStart w:id="13" w:name="_Hlk232927954"/>
                  <w:r>
                    <w:rPr>
                      <w:b/>
                      <w:szCs w:val="21"/>
                    </w:rPr>
                    <w:t>合计</w:t>
                  </w:r>
                  <w:bookmarkEnd w:id="12"/>
                </w:p>
              </w:tc>
              <w:tc>
                <w:tcPr>
                  <w:tcW w:w="1472" w:type="dxa"/>
                  <w:vAlign w:val="center"/>
                </w:tcPr>
                <w:p w14:paraId="5509DF95">
                  <w:pPr>
                    <w:autoSpaceDE w:val="0"/>
                    <w:autoSpaceDN w:val="0"/>
                    <w:adjustRightInd w:val="0"/>
                    <w:snapToGrid w:val="0"/>
                    <w:jc w:val="center"/>
                    <w:rPr>
                      <w:rFonts w:eastAsiaTheme="minorEastAsia"/>
                      <w:szCs w:val="21"/>
                    </w:rPr>
                  </w:pPr>
                  <w:r>
                    <w:rPr>
                      <w:rFonts w:eastAsiaTheme="minorEastAsia"/>
                      <w:szCs w:val="21"/>
                    </w:rPr>
                    <w:t>60</w:t>
                  </w:r>
                </w:p>
              </w:tc>
            </w:tr>
            <w:bookmarkEnd w:id="13"/>
          </w:tbl>
          <w:p w14:paraId="2E0E3647">
            <w:pPr>
              <w:pStyle w:val="58"/>
              <w:spacing w:line="360" w:lineRule="auto"/>
              <w:jc w:val="left"/>
              <w:rPr>
                <w:rFonts w:hint="eastAsia"/>
                <w:bCs/>
                <w:szCs w:val="21"/>
                <w:lang w:val="en-US"/>
              </w:rPr>
            </w:pPr>
          </w:p>
          <w:p w14:paraId="3889384F">
            <w:pPr>
              <w:pStyle w:val="58"/>
              <w:spacing w:line="360" w:lineRule="auto"/>
              <w:jc w:val="left"/>
              <w:rPr>
                <w:rFonts w:hint="eastAsia"/>
                <w:bCs/>
                <w:szCs w:val="21"/>
                <w:lang w:val="en-US"/>
              </w:rPr>
            </w:pPr>
          </w:p>
          <w:p w14:paraId="15B91A0B">
            <w:pPr>
              <w:pStyle w:val="58"/>
              <w:spacing w:line="360" w:lineRule="auto"/>
              <w:jc w:val="left"/>
              <w:rPr>
                <w:rFonts w:hint="eastAsia"/>
                <w:bCs/>
                <w:szCs w:val="21"/>
                <w:lang w:val="en-US"/>
              </w:rPr>
            </w:pPr>
          </w:p>
          <w:p w14:paraId="2DD920B6">
            <w:pPr>
              <w:pStyle w:val="58"/>
              <w:spacing w:line="360" w:lineRule="auto"/>
              <w:jc w:val="left"/>
              <w:rPr>
                <w:rFonts w:hint="eastAsia"/>
                <w:bCs/>
                <w:szCs w:val="21"/>
                <w:lang w:val="en-US"/>
              </w:rPr>
            </w:pPr>
          </w:p>
          <w:p w14:paraId="15B31722">
            <w:pPr>
              <w:pStyle w:val="58"/>
              <w:spacing w:line="360" w:lineRule="auto"/>
              <w:jc w:val="left"/>
              <w:rPr>
                <w:rFonts w:hint="eastAsia"/>
                <w:bCs/>
                <w:szCs w:val="21"/>
                <w:lang w:val="en-US"/>
              </w:rPr>
            </w:pPr>
          </w:p>
          <w:p w14:paraId="7FDBDEFE">
            <w:pPr>
              <w:pStyle w:val="58"/>
              <w:spacing w:line="360" w:lineRule="auto"/>
              <w:jc w:val="left"/>
              <w:rPr>
                <w:rFonts w:hint="eastAsia"/>
                <w:bCs/>
                <w:szCs w:val="21"/>
                <w:lang w:val="en-US"/>
              </w:rPr>
            </w:pPr>
          </w:p>
          <w:p w14:paraId="42B7191C">
            <w:pPr>
              <w:pStyle w:val="58"/>
              <w:spacing w:line="360" w:lineRule="auto"/>
              <w:jc w:val="left"/>
              <w:rPr>
                <w:rFonts w:hint="eastAsia"/>
                <w:bCs/>
                <w:szCs w:val="21"/>
                <w:lang w:val="en-US"/>
              </w:rPr>
            </w:pPr>
          </w:p>
        </w:tc>
      </w:tr>
      <w:tr w14:paraId="1B625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6" w:type="dxa"/>
            <w:vAlign w:val="center"/>
          </w:tcPr>
          <w:p w14:paraId="2FBF706F">
            <w:pPr>
              <w:pStyle w:val="28"/>
              <w:adjustRightInd w:val="0"/>
              <w:snapToGrid w:val="0"/>
              <w:spacing w:before="0" w:beforeAutospacing="0" w:after="0" w:afterAutospacing="0"/>
              <w:jc w:val="center"/>
              <w:rPr>
                <w:rFonts w:ascii="Times New Roman" w:hAnsi="Times New Roman"/>
                <w:szCs w:val="24"/>
              </w:rPr>
            </w:pPr>
            <w:r>
              <w:rPr>
                <w:rFonts w:ascii="Times New Roman"/>
                <w:szCs w:val="24"/>
              </w:rPr>
              <w:t>工艺流程和产排污环节</w:t>
            </w:r>
          </w:p>
        </w:tc>
        <w:tc>
          <w:tcPr>
            <w:tcW w:w="9203" w:type="dxa"/>
          </w:tcPr>
          <w:p w14:paraId="584AE1F8">
            <w:pPr>
              <w:adjustRightInd w:val="0"/>
              <w:snapToGrid w:val="0"/>
              <w:spacing w:line="360" w:lineRule="auto"/>
              <w:jc w:val="left"/>
              <w:rPr>
                <w:b/>
                <w:bCs/>
                <w:sz w:val="24"/>
              </w:rPr>
            </w:pPr>
            <w:r>
              <w:rPr>
                <w:rFonts w:hint="eastAsia"/>
                <w:b/>
                <w:bCs/>
                <w:sz w:val="24"/>
              </w:rPr>
              <w:t>1、施工期</w:t>
            </w:r>
          </w:p>
          <w:p w14:paraId="4BCBDF34">
            <w:pPr>
              <w:adjustRightInd w:val="0"/>
              <w:snapToGrid w:val="0"/>
              <w:spacing w:line="360" w:lineRule="auto"/>
              <w:rPr>
                <w:b/>
                <w:kern w:val="24"/>
                <w:sz w:val="24"/>
              </w:rPr>
            </w:pPr>
            <w:r>
              <w:rPr>
                <w:rFonts w:hint="eastAsia"/>
                <w:b/>
                <w:kern w:val="24"/>
                <w:sz w:val="24"/>
              </w:rPr>
              <w:t xml:space="preserve">1.1 </w:t>
            </w:r>
            <w:r>
              <w:rPr>
                <w:b/>
                <w:kern w:val="24"/>
                <w:sz w:val="24"/>
              </w:rPr>
              <w:t>施工期工艺流程</w:t>
            </w:r>
          </w:p>
          <w:p w14:paraId="5F23B3E6">
            <w:pPr>
              <w:pStyle w:val="83"/>
              <w:ind w:firstLine="480"/>
            </w:pPr>
            <w:r>
              <w:rPr>
                <w:rFonts w:hint="eastAsia"/>
              </w:rPr>
              <w:t>本项目施工期主要包括原有部分设备拆除、生产车间杂物清理，生产车间修缮，设备进厂安装。</w:t>
            </w:r>
          </w:p>
          <w:p w14:paraId="6AAF975A">
            <w:pPr>
              <w:adjustRightInd w:val="0"/>
              <w:snapToGrid w:val="0"/>
              <w:spacing w:line="360" w:lineRule="auto"/>
              <w:ind w:firstLine="480" w:firstLineChars="200"/>
              <w:jc w:val="left"/>
              <w:rPr>
                <w:caps/>
                <w:sz w:val="24"/>
              </w:rPr>
            </w:pPr>
            <w:r>
              <w:rPr>
                <w:rFonts w:hint="eastAsia"/>
                <w:sz w:val="24"/>
              </w:rPr>
              <w:t>本项目施工期的工艺流程及产污情况详见下图。</w:t>
            </w:r>
          </w:p>
          <w:p w14:paraId="6D4E4A2F">
            <w:pPr>
              <w:adjustRightInd w:val="0"/>
              <w:snapToGrid w:val="0"/>
              <w:spacing w:line="360" w:lineRule="auto"/>
              <w:ind w:firstLine="14" w:firstLineChars="7"/>
              <w:jc w:val="center"/>
              <w:rPr>
                <w:caps/>
                <w:sz w:val="24"/>
              </w:rPr>
            </w:pPr>
            <w:r>
              <w:object>
                <v:shape id="_x0000_i1026" o:spt="75" type="#_x0000_t75" style="height:113.25pt;width:390.75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14:paraId="6F80DBE4">
            <w:pPr>
              <w:adjustRightInd w:val="0"/>
              <w:snapToGrid w:val="0"/>
              <w:spacing w:line="360" w:lineRule="auto"/>
              <w:ind w:firstLine="422" w:firstLineChars="200"/>
              <w:jc w:val="center"/>
              <w:rPr>
                <w:b/>
                <w:caps/>
                <w:szCs w:val="21"/>
              </w:rPr>
            </w:pPr>
            <w:r>
              <w:rPr>
                <w:rFonts w:hint="eastAsia"/>
                <w:b/>
                <w:szCs w:val="21"/>
              </w:rPr>
              <w:t>图</w:t>
            </w:r>
            <w:r>
              <w:rPr>
                <w:b/>
                <w:szCs w:val="21"/>
              </w:rPr>
              <w:t xml:space="preserve">2-2  </w:t>
            </w:r>
            <w:r>
              <w:rPr>
                <w:rFonts w:hint="eastAsia"/>
                <w:b/>
                <w:szCs w:val="21"/>
              </w:rPr>
              <w:t>施工期工艺流程及产污节点示意图</w:t>
            </w:r>
          </w:p>
          <w:p w14:paraId="3D80AC8B">
            <w:pPr>
              <w:adjustRightInd w:val="0"/>
              <w:snapToGrid w:val="0"/>
              <w:spacing w:line="360" w:lineRule="auto"/>
              <w:ind w:firstLine="480" w:firstLineChars="200"/>
              <w:jc w:val="left"/>
              <w:rPr>
                <w:bCs/>
                <w:sz w:val="24"/>
              </w:rPr>
            </w:pPr>
            <w:r>
              <w:rPr>
                <w:rFonts w:hint="eastAsia"/>
                <w:bCs/>
                <w:sz w:val="24"/>
              </w:rPr>
              <w:t>工艺流程简述：</w:t>
            </w:r>
          </w:p>
          <w:p w14:paraId="519986B8">
            <w:pPr>
              <w:pStyle w:val="83"/>
              <w:ind w:firstLine="480"/>
            </w:pPr>
            <w:r>
              <w:rPr>
                <w:rFonts w:hint="eastAsia"/>
              </w:rPr>
              <w:t>（1）原有部分设备拆除</w:t>
            </w:r>
          </w:p>
          <w:p w14:paraId="09D2252D">
            <w:pPr>
              <w:pStyle w:val="83"/>
              <w:ind w:firstLine="480"/>
            </w:pPr>
            <w:r>
              <w:rPr>
                <w:rFonts w:hint="eastAsia"/>
              </w:rPr>
              <w:t>本项目利用原有生产车间进行改建，对原有部分设备（本项目不利用的）进行拆除，该阶段会产生粉尘、噪声、固废。</w:t>
            </w:r>
          </w:p>
          <w:p w14:paraId="5DE8EB24">
            <w:pPr>
              <w:pStyle w:val="83"/>
              <w:ind w:firstLine="480"/>
            </w:pPr>
            <w:r>
              <w:rPr>
                <w:rFonts w:hint="eastAsia"/>
              </w:rPr>
              <w:t>（2）杂物清理</w:t>
            </w:r>
          </w:p>
          <w:p w14:paraId="4B919BF8">
            <w:pPr>
              <w:pStyle w:val="83"/>
              <w:ind w:firstLine="480"/>
            </w:pPr>
            <w:r>
              <w:rPr>
                <w:rFonts w:hint="eastAsia"/>
              </w:rPr>
              <w:t>本项目对原有生产车间内放置器材及杂物进行清理，该阶段产生的污染物主要为清理过程中产生的粉尘及清理分类出来的固体废物。</w:t>
            </w:r>
          </w:p>
          <w:p w14:paraId="2C195568">
            <w:pPr>
              <w:pStyle w:val="83"/>
              <w:ind w:firstLine="480"/>
            </w:pPr>
            <w:r>
              <w:rPr>
                <w:rFonts w:hint="eastAsia"/>
              </w:rPr>
              <w:t>（3）厂房修缮</w:t>
            </w:r>
          </w:p>
          <w:p w14:paraId="62EE483A">
            <w:pPr>
              <w:pStyle w:val="83"/>
              <w:ind w:firstLine="480"/>
            </w:pPr>
            <w:r>
              <w:rPr>
                <w:rFonts w:hint="eastAsia"/>
              </w:rPr>
              <w:t>本项目对原有生产车间进行修缮，该阶段产生的污染物主要为粉尘、施工机械废弃、噪声。</w:t>
            </w:r>
          </w:p>
          <w:p w14:paraId="6A55C3EA">
            <w:pPr>
              <w:pStyle w:val="83"/>
              <w:ind w:firstLine="480"/>
            </w:pPr>
            <w:r>
              <w:rPr>
                <w:rFonts w:hint="eastAsia"/>
              </w:rPr>
              <w:t>（4）设备安装</w:t>
            </w:r>
          </w:p>
          <w:p w14:paraId="32CC5BA8">
            <w:pPr>
              <w:pStyle w:val="83"/>
              <w:ind w:firstLine="480"/>
            </w:pPr>
            <w:r>
              <w:rPr>
                <w:rFonts w:hint="eastAsia"/>
              </w:rPr>
              <w:t>项目车间内杂物清理完毕并且修缮完毕后，进行设备安装调试后投入使用，该阶段产生的污染物主要为噪声、固体废物。</w:t>
            </w:r>
          </w:p>
          <w:p w14:paraId="6C3D2326">
            <w:pPr>
              <w:adjustRightInd w:val="0"/>
              <w:snapToGrid w:val="0"/>
              <w:spacing w:line="360" w:lineRule="auto"/>
              <w:rPr>
                <w:b/>
                <w:kern w:val="24"/>
                <w:sz w:val="24"/>
              </w:rPr>
            </w:pPr>
            <w:r>
              <w:rPr>
                <w:rFonts w:hint="eastAsia"/>
                <w:b/>
                <w:kern w:val="24"/>
                <w:sz w:val="24"/>
              </w:rPr>
              <w:t>1.2产污环节简述</w:t>
            </w:r>
          </w:p>
          <w:p w14:paraId="007A4904">
            <w:pPr>
              <w:adjustRightInd w:val="0"/>
              <w:snapToGrid w:val="0"/>
              <w:spacing w:line="360" w:lineRule="auto"/>
              <w:ind w:firstLine="480" w:firstLineChars="200"/>
              <w:rPr>
                <w:kern w:val="24"/>
                <w:sz w:val="24"/>
              </w:rPr>
            </w:pPr>
            <w:r>
              <w:rPr>
                <w:kern w:val="24"/>
                <w:sz w:val="24"/>
              </w:rPr>
              <w:t>（1）废气</w:t>
            </w:r>
          </w:p>
          <w:p w14:paraId="6E4FDA9E">
            <w:pPr>
              <w:adjustRightInd w:val="0"/>
              <w:snapToGrid w:val="0"/>
              <w:spacing w:line="360" w:lineRule="auto"/>
              <w:ind w:firstLine="480" w:firstLineChars="200"/>
              <w:rPr>
                <w:kern w:val="24"/>
                <w:sz w:val="24"/>
              </w:rPr>
            </w:pPr>
            <w:r>
              <w:rPr>
                <w:kern w:val="24"/>
                <w:sz w:val="24"/>
              </w:rPr>
              <w:t>本项目施工废气主要有施工扬尘。</w:t>
            </w:r>
          </w:p>
          <w:p w14:paraId="0882DA23">
            <w:pPr>
              <w:adjustRightInd w:val="0"/>
              <w:snapToGrid w:val="0"/>
              <w:spacing w:line="360" w:lineRule="auto"/>
              <w:ind w:firstLine="480" w:firstLineChars="200"/>
              <w:rPr>
                <w:kern w:val="24"/>
                <w:sz w:val="24"/>
              </w:rPr>
            </w:pPr>
            <w:r>
              <w:rPr>
                <w:kern w:val="24"/>
                <w:sz w:val="24"/>
              </w:rPr>
              <w:t>项目施工、运输过程及临时堆放场中将产生扬尘，扬尘呈无组织排放的形式，借助风力使施工区空气环境中的总悬浮颗粒物（TSP）指标升高，污染空气环境。扬尘是施工期最大的大气污染，按起尘的原因可分为风力起尘和动力起尘。风力起尘主要是露天堆放一些建筑材料（如黄沙、水泥等）及裸露的施工区表层浮尘在刮风的情况下产生；动力起尘主要是在建材装卸、汽车运输等过程中因外力作用使空气中有大量悬浮颗粒存在而产生，从而对环境有一定影响。</w:t>
            </w:r>
          </w:p>
          <w:p w14:paraId="1EF71D99">
            <w:pPr>
              <w:adjustRightInd w:val="0"/>
              <w:snapToGrid w:val="0"/>
              <w:spacing w:line="360" w:lineRule="auto"/>
              <w:ind w:firstLine="480" w:firstLineChars="200"/>
              <w:rPr>
                <w:kern w:val="24"/>
                <w:sz w:val="24"/>
              </w:rPr>
            </w:pPr>
            <w:r>
              <w:rPr>
                <w:kern w:val="24"/>
                <w:sz w:val="24"/>
              </w:rPr>
              <w:t>（2）废水</w:t>
            </w:r>
          </w:p>
          <w:p w14:paraId="093748DB">
            <w:pPr>
              <w:adjustRightInd w:val="0"/>
              <w:snapToGrid w:val="0"/>
              <w:spacing w:line="360" w:lineRule="auto"/>
              <w:ind w:firstLine="480" w:firstLineChars="200"/>
              <w:rPr>
                <w:kern w:val="24"/>
                <w:sz w:val="24"/>
              </w:rPr>
            </w:pPr>
            <w:r>
              <w:rPr>
                <w:kern w:val="24"/>
                <w:sz w:val="24"/>
              </w:rPr>
              <w:t>项目施工期废水主要为施工人员生活污水、施工废水。</w:t>
            </w:r>
          </w:p>
          <w:p w14:paraId="28F2BDF8">
            <w:pPr>
              <w:adjustRightInd w:val="0"/>
              <w:snapToGrid w:val="0"/>
              <w:spacing w:line="360" w:lineRule="auto"/>
              <w:ind w:firstLine="480" w:firstLineChars="200"/>
              <w:rPr>
                <w:kern w:val="24"/>
                <w:sz w:val="24"/>
              </w:rPr>
            </w:pPr>
            <w:r>
              <w:rPr>
                <w:rFonts w:hint="eastAsia" w:ascii="宋体" w:hAnsi="宋体" w:cs="宋体"/>
                <w:kern w:val="24"/>
                <w:sz w:val="24"/>
              </w:rPr>
              <w:t>①</w:t>
            </w:r>
            <w:r>
              <w:rPr>
                <w:kern w:val="24"/>
                <w:sz w:val="24"/>
              </w:rPr>
              <w:t>生活污水</w:t>
            </w:r>
          </w:p>
          <w:p w14:paraId="036EA6B8">
            <w:pPr>
              <w:adjustRightInd w:val="0"/>
              <w:snapToGrid w:val="0"/>
              <w:spacing w:line="360" w:lineRule="auto"/>
              <w:ind w:firstLine="480" w:firstLineChars="200"/>
              <w:rPr>
                <w:bCs/>
                <w:caps/>
                <w:sz w:val="24"/>
              </w:rPr>
            </w:pPr>
            <w:r>
              <w:rPr>
                <w:rFonts w:hint="eastAsia"/>
                <w:bCs/>
                <w:sz w:val="24"/>
              </w:rPr>
              <w:t>施工人数平均</w:t>
            </w:r>
            <w:r>
              <w:rPr>
                <w:bCs/>
                <w:sz w:val="24"/>
              </w:rPr>
              <w:t>5</w:t>
            </w:r>
            <w:r>
              <w:rPr>
                <w:rFonts w:hint="eastAsia"/>
                <w:bCs/>
                <w:sz w:val="24"/>
              </w:rPr>
              <w:t>人</w:t>
            </w:r>
            <w:r>
              <w:rPr>
                <w:bCs/>
                <w:sz w:val="24"/>
              </w:rPr>
              <w:t>/d</w:t>
            </w:r>
            <w:r>
              <w:rPr>
                <w:rFonts w:hint="eastAsia"/>
                <w:bCs/>
                <w:sz w:val="24"/>
              </w:rPr>
              <w:t>，施工时间约</w:t>
            </w:r>
            <w:r>
              <w:rPr>
                <w:bCs/>
                <w:sz w:val="24"/>
              </w:rPr>
              <w:t>10</w:t>
            </w:r>
            <w:r>
              <w:rPr>
                <w:rFonts w:hint="eastAsia"/>
                <w:bCs/>
                <w:sz w:val="24"/>
              </w:rPr>
              <w:t>个月，施工人员不在场区内食宿，废水主要为生活污水，生活污水依托现有项目化粪池处理后通过污水管道进入</w:t>
            </w:r>
            <w:r>
              <w:rPr>
                <w:rFonts w:hint="eastAsia"/>
                <w:sz w:val="24"/>
              </w:rPr>
              <w:t>污水处理设施，处理达标后</w:t>
            </w:r>
            <w:r>
              <w:rPr>
                <w:rFonts w:hint="eastAsia"/>
                <w:bCs/>
                <w:sz w:val="24"/>
              </w:rPr>
              <w:t>回用于冷却水的补充。</w:t>
            </w:r>
          </w:p>
          <w:p w14:paraId="46FE893B">
            <w:pPr>
              <w:adjustRightInd w:val="0"/>
              <w:snapToGrid w:val="0"/>
              <w:spacing w:line="360" w:lineRule="auto"/>
              <w:ind w:firstLine="480" w:firstLineChars="200"/>
              <w:rPr>
                <w:kern w:val="24"/>
                <w:sz w:val="24"/>
              </w:rPr>
            </w:pPr>
            <w:r>
              <w:rPr>
                <w:rFonts w:hint="eastAsia" w:ascii="宋体" w:hAnsi="宋体" w:cs="宋体"/>
                <w:kern w:val="24"/>
                <w:sz w:val="24"/>
              </w:rPr>
              <w:t>②</w:t>
            </w:r>
            <w:r>
              <w:rPr>
                <w:kern w:val="24"/>
                <w:sz w:val="24"/>
              </w:rPr>
              <w:t>施工废水</w:t>
            </w:r>
          </w:p>
          <w:p w14:paraId="2DE3729A">
            <w:pPr>
              <w:spacing w:line="360" w:lineRule="auto"/>
              <w:ind w:firstLine="480" w:firstLineChars="200"/>
              <w:rPr>
                <w:sz w:val="24"/>
              </w:rPr>
            </w:pPr>
            <w:r>
              <w:rPr>
                <w:rFonts w:hAnsi="宋体"/>
                <w:sz w:val="24"/>
              </w:rPr>
              <w:t>建设项目施工期</w:t>
            </w:r>
            <w:r>
              <w:rPr>
                <w:rFonts w:hint="eastAsia" w:hAnsi="宋体"/>
                <w:sz w:val="24"/>
              </w:rPr>
              <w:t>废水</w:t>
            </w:r>
            <w:r>
              <w:rPr>
                <w:rFonts w:hAnsi="宋体"/>
                <w:sz w:val="24"/>
              </w:rPr>
              <w:t>主要来自于建筑废水。</w:t>
            </w:r>
          </w:p>
          <w:p w14:paraId="09B05371">
            <w:pPr>
              <w:spacing w:line="360" w:lineRule="auto"/>
              <w:ind w:firstLine="480" w:firstLineChars="200"/>
              <w:rPr>
                <w:sz w:val="24"/>
              </w:rPr>
            </w:pPr>
            <w:r>
              <w:rPr>
                <w:rFonts w:hint="eastAsia"/>
                <w:sz w:val="24"/>
              </w:rPr>
              <w:t>本项目施工废水主要来源于</w:t>
            </w:r>
            <w:r>
              <w:rPr>
                <w:sz w:val="24"/>
              </w:rPr>
              <w:t>混凝土养护</w:t>
            </w:r>
            <w:r>
              <w:rPr>
                <w:rFonts w:hint="eastAsia"/>
                <w:sz w:val="24"/>
              </w:rPr>
              <w:t>过程产生的</w:t>
            </w:r>
            <w:r>
              <w:rPr>
                <w:kern w:val="24"/>
                <w:sz w:val="24"/>
              </w:rPr>
              <w:t>混凝土养护水</w:t>
            </w:r>
            <w:r>
              <w:rPr>
                <w:rFonts w:hint="eastAsia"/>
                <w:sz w:val="24"/>
              </w:rPr>
              <w:t>，</w:t>
            </w:r>
            <w:r>
              <w:rPr>
                <w:sz w:val="24"/>
              </w:rPr>
              <w:t>主要污染物为悬浮物</w:t>
            </w:r>
            <w:r>
              <w:rPr>
                <w:rFonts w:hint="eastAsia"/>
                <w:sz w:val="24"/>
              </w:rPr>
              <w:t>，可经临时沉淀池</w:t>
            </w:r>
            <w:r>
              <w:rPr>
                <w:sz w:val="24"/>
              </w:rPr>
              <w:t>处理后回用于施工用水或施工场地洒水降尘，不外排。</w:t>
            </w:r>
          </w:p>
          <w:p w14:paraId="4C7DD331">
            <w:pPr>
              <w:adjustRightInd w:val="0"/>
              <w:snapToGrid w:val="0"/>
              <w:spacing w:line="360" w:lineRule="auto"/>
              <w:ind w:firstLine="480" w:firstLineChars="200"/>
              <w:rPr>
                <w:kern w:val="24"/>
                <w:sz w:val="24"/>
              </w:rPr>
            </w:pPr>
            <w:r>
              <w:rPr>
                <w:kern w:val="24"/>
                <w:sz w:val="24"/>
              </w:rPr>
              <w:t>（3）噪声</w:t>
            </w:r>
          </w:p>
          <w:p w14:paraId="121BE109">
            <w:pPr>
              <w:adjustRightInd w:val="0"/>
              <w:snapToGrid w:val="0"/>
              <w:spacing w:line="360" w:lineRule="auto"/>
              <w:ind w:firstLine="480" w:firstLineChars="200"/>
              <w:rPr>
                <w:kern w:val="24"/>
                <w:sz w:val="24"/>
              </w:rPr>
            </w:pPr>
            <w:r>
              <w:rPr>
                <w:kern w:val="24"/>
                <w:sz w:val="24"/>
              </w:rPr>
              <w:t>施工期噪声主要来源于施工过程中挖掘机、装载机、钻机、混凝土输送泵、物料运输车辆等机械设备的运行。在不同施工阶段作业噪声限值由于施工机械的数量、构成动作等的随机性，导致了噪声产生的随机性和无规律性，为间歇排放；车辆运输中产生的噪声则与物流量有关，更具有不规律性，属于无组织、不连续排放。施工期间的噪声对施工地点周围及运输途中所经村民居住区会有不同程度的影响。各施工阶段的主要噪声声源及声级见表</w:t>
            </w:r>
            <w:r>
              <w:rPr>
                <w:rFonts w:hint="eastAsia"/>
                <w:kern w:val="24"/>
                <w:sz w:val="24"/>
              </w:rPr>
              <w:t>2</w:t>
            </w:r>
            <w:r>
              <w:rPr>
                <w:kern w:val="24"/>
                <w:sz w:val="24"/>
              </w:rPr>
              <w:t>-7，施工阶段的各运输车辆类型及其声级见表</w:t>
            </w:r>
            <w:r>
              <w:rPr>
                <w:rFonts w:hint="eastAsia"/>
                <w:kern w:val="24"/>
                <w:sz w:val="24"/>
              </w:rPr>
              <w:t>2</w:t>
            </w:r>
            <w:r>
              <w:rPr>
                <w:kern w:val="24"/>
                <w:sz w:val="24"/>
              </w:rPr>
              <w:t>-8。</w:t>
            </w:r>
          </w:p>
          <w:p w14:paraId="5294CEC4">
            <w:pPr>
              <w:adjustRightInd w:val="0"/>
              <w:snapToGrid w:val="0"/>
              <w:spacing w:line="360" w:lineRule="auto"/>
              <w:ind w:firstLine="482" w:firstLineChars="200"/>
              <w:jc w:val="center"/>
              <w:rPr>
                <w:b/>
                <w:kern w:val="24"/>
                <w:sz w:val="24"/>
              </w:rPr>
            </w:pPr>
            <w:r>
              <w:rPr>
                <w:b/>
                <w:kern w:val="24"/>
                <w:sz w:val="24"/>
              </w:rPr>
              <w:t>表</w:t>
            </w:r>
            <w:r>
              <w:rPr>
                <w:rFonts w:hint="eastAsia"/>
                <w:b/>
                <w:kern w:val="24"/>
                <w:sz w:val="24"/>
              </w:rPr>
              <w:t>2</w:t>
            </w:r>
            <w:r>
              <w:rPr>
                <w:b/>
                <w:kern w:val="24"/>
                <w:sz w:val="24"/>
              </w:rPr>
              <w:t>-7</w:t>
            </w:r>
            <w:r>
              <w:rPr>
                <w:rFonts w:hint="eastAsia"/>
                <w:b/>
                <w:kern w:val="24"/>
                <w:sz w:val="24"/>
              </w:rPr>
              <w:t xml:space="preserve">  </w:t>
            </w:r>
            <w:r>
              <w:rPr>
                <w:b/>
                <w:kern w:val="24"/>
                <w:sz w:val="24"/>
              </w:rPr>
              <w:t>施工机械设备和车辆的噪声值（单位：dB(A)）</w:t>
            </w: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809"/>
              <w:gridCol w:w="1810"/>
              <w:gridCol w:w="1810"/>
              <w:gridCol w:w="1808"/>
              <w:gridCol w:w="1824"/>
            </w:tblGrid>
            <w:tr w14:paraId="5AEF363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tcBorders>
                    <w:tl2br w:val="nil"/>
                    <w:tr2bl w:val="nil"/>
                  </w:tcBorders>
                  <w:vAlign w:val="center"/>
                </w:tcPr>
                <w:p w14:paraId="31CD0D65">
                  <w:pPr>
                    <w:adjustRightInd w:val="0"/>
                    <w:snapToGrid w:val="0"/>
                    <w:spacing w:line="320" w:lineRule="exact"/>
                    <w:jc w:val="center"/>
                    <w:rPr>
                      <w:kern w:val="24"/>
                      <w:szCs w:val="21"/>
                    </w:rPr>
                  </w:pPr>
                  <w:r>
                    <w:rPr>
                      <w:kern w:val="24"/>
                      <w:szCs w:val="21"/>
                    </w:rPr>
                    <w:t>施工阶段</w:t>
                  </w:r>
                </w:p>
              </w:tc>
              <w:tc>
                <w:tcPr>
                  <w:tcW w:w="1810" w:type="dxa"/>
                  <w:tcBorders>
                    <w:tl2br w:val="nil"/>
                    <w:tr2bl w:val="nil"/>
                  </w:tcBorders>
                  <w:vAlign w:val="center"/>
                </w:tcPr>
                <w:p w14:paraId="2287AD84">
                  <w:pPr>
                    <w:adjustRightInd w:val="0"/>
                    <w:snapToGrid w:val="0"/>
                    <w:spacing w:line="320" w:lineRule="exact"/>
                    <w:jc w:val="center"/>
                    <w:rPr>
                      <w:kern w:val="24"/>
                      <w:szCs w:val="21"/>
                    </w:rPr>
                  </w:pPr>
                  <w:r>
                    <w:rPr>
                      <w:kern w:val="24"/>
                      <w:szCs w:val="21"/>
                    </w:rPr>
                    <w:t>噪声特点</w:t>
                  </w:r>
                </w:p>
              </w:tc>
              <w:tc>
                <w:tcPr>
                  <w:tcW w:w="1810" w:type="dxa"/>
                  <w:tcBorders>
                    <w:tl2br w:val="nil"/>
                    <w:tr2bl w:val="nil"/>
                  </w:tcBorders>
                  <w:vAlign w:val="center"/>
                </w:tcPr>
                <w:p w14:paraId="4A1861EA">
                  <w:pPr>
                    <w:adjustRightInd w:val="0"/>
                    <w:snapToGrid w:val="0"/>
                    <w:spacing w:line="320" w:lineRule="exact"/>
                    <w:jc w:val="center"/>
                    <w:rPr>
                      <w:kern w:val="24"/>
                      <w:szCs w:val="21"/>
                    </w:rPr>
                  </w:pPr>
                  <w:r>
                    <w:rPr>
                      <w:kern w:val="24"/>
                      <w:szCs w:val="21"/>
                    </w:rPr>
                    <w:t>声源位置</w:t>
                  </w:r>
                </w:p>
              </w:tc>
              <w:tc>
                <w:tcPr>
                  <w:tcW w:w="1808" w:type="dxa"/>
                  <w:tcBorders>
                    <w:tl2br w:val="nil"/>
                    <w:tr2bl w:val="nil"/>
                  </w:tcBorders>
                  <w:vAlign w:val="center"/>
                </w:tcPr>
                <w:p w14:paraId="24713A5B">
                  <w:pPr>
                    <w:adjustRightInd w:val="0"/>
                    <w:snapToGrid w:val="0"/>
                    <w:spacing w:line="320" w:lineRule="exact"/>
                    <w:jc w:val="center"/>
                    <w:rPr>
                      <w:kern w:val="24"/>
                      <w:szCs w:val="21"/>
                    </w:rPr>
                  </w:pPr>
                  <w:r>
                    <w:rPr>
                      <w:kern w:val="24"/>
                      <w:szCs w:val="21"/>
                    </w:rPr>
                    <w:t>主要噪声源</w:t>
                  </w:r>
                </w:p>
              </w:tc>
              <w:tc>
                <w:tcPr>
                  <w:tcW w:w="1824" w:type="dxa"/>
                  <w:tcBorders>
                    <w:tl2br w:val="nil"/>
                    <w:tr2bl w:val="nil"/>
                  </w:tcBorders>
                  <w:vAlign w:val="center"/>
                </w:tcPr>
                <w:p w14:paraId="26D88190">
                  <w:pPr>
                    <w:adjustRightInd w:val="0"/>
                    <w:snapToGrid w:val="0"/>
                    <w:spacing w:line="320" w:lineRule="exact"/>
                    <w:jc w:val="center"/>
                    <w:rPr>
                      <w:kern w:val="24"/>
                      <w:szCs w:val="21"/>
                    </w:rPr>
                  </w:pPr>
                  <w:r>
                    <w:rPr>
                      <w:kern w:val="24"/>
                      <w:szCs w:val="21"/>
                    </w:rPr>
                    <w:t>噪声值（dB（A））</w:t>
                  </w:r>
                </w:p>
              </w:tc>
            </w:tr>
            <w:tr w14:paraId="2C2CEB10">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restart"/>
                  <w:tcBorders>
                    <w:tl2br w:val="nil"/>
                    <w:tr2bl w:val="nil"/>
                  </w:tcBorders>
                  <w:vAlign w:val="center"/>
                </w:tcPr>
                <w:p w14:paraId="2600ECEC">
                  <w:pPr>
                    <w:adjustRightInd w:val="0"/>
                    <w:snapToGrid w:val="0"/>
                    <w:spacing w:line="320" w:lineRule="exact"/>
                    <w:jc w:val="center"/>
                    <w:rPr>
                      <w:kern w:val="24"/>
                      <w:szCs w:val="21"/>
                    </w:rPr>
                  </w:pPr>
                  <w:r>
                    <w:rPr>
                      <w:rFonts w:hint="eastAsia"/>
                      <w:kern w:val="24"/>
                      <w:szCs w:val="21"/>
                    </w:rPr>
                    <w:t>土石方</w:t>
                  </w:r>
                  <w:r>
                    <w:rPr>
                      <w:kern w:val="24"/>
                      <w:szCs w:val="21"/>
                    </w:rPr>
                    <w:t>阶段</w:t>
                  </w:r>
                </w:p>
              </w:tc>
              <w:tc>
                <w:tcPr>
                  <w:tcW w:w="1810" w:type="dxa"/>
                  <w:vMerge w:val="restart"/>
                  <w:tcBorders>
                    <w:tl2br w:val="nil"/>
                    <w:tr2bl w:val="nil"/>
                  </w:tcBorders>
                  <w:vAlign w:val="center"/>
                </w:tcPr>
                <w:p w14:paraId="0C8DF201">
                  <w:pPr>
                    <w:adjustRightInd w:val="0"/>
                    <w:snapToGrid w:val="0"/>
                    <w:spacing w:line="320" w:lineRule="exact"/>
                    <w:jc w:val="center"/>
                    <w:rPr>
                      <w:kern w:val="24"/>
                      <w:szCs w:val="21"/>
                    </w:rPr>
                  </w:pPr>
                  <w:r>
                    <w:rPr>
                      <w:kern w:val="24"/>
                      <w:szCs w:val="21"/>
                    </w:rPr>
                    <w:t>移动式噪声、</w:t>
                  </w:r>
                </w:p>
                <w:p w14:paraId="3C89C2CA">
                  <w:pPr>
                    <w:adjustRightInd w:val="0"/>
                    <w:snapToGrid w:val="0"/>
                    <w:spacing w:line="320" w:lineRule="exact"/>
                    <w:jc w:val="center"/>
                    <w:rPr>
                      <w:kern w:val="24"/>
                      <w:szCs w:val="21"/>
                    </w:rPr>
                  </w:pPr>
                  <w:r>
                    <w:rPr>
                      <w:kern w:val="24"/>
                      <w:szCs w:val="21"/>
                    </w:rPr>
                    <w:t>无明显指向性</w:t>
                  </w:r>
                </w:p>
              </w:tc>
              <w:tc>
                <w:tcPr>
                  <w:tcW w:w="1810" w:type="dxa"/>
                  <w:vMerge w:val="restart"/>
                  <w:tcBorders>
                    <w:tl2br w:val="nil"/>
                    <w:tr2bl w:val="nil"/>
                  </w:tcBorders>
                  <w:vAlign w:val="center"/>
                </w:tcPr>
                <w:p w14:paraId="0C02A297">
                  <w:pPr>
                    <w:adjustRightInd w:val="0"/>
                    <w:snapToGrid w:val="0"/>
                    <w:spacing w:line="320" w:lineRule="exact"/>
                    <w:jc w:val="center"/>
                    <w:rPr>
                      <w:kern w:val="24"/>
                      <w:szCs w:val="21"/>
                    </w:rPr>
                  </w:pPr>
                  <w:r>
                    <w:rPr>
                      <w:kern w:val="24"/>
                      <w:szCs w:val="21"/>
                    </w:rPr>
                    <w:t>无明显指向性，施工场地、施工便道</w:t>
                  </w:r>
                </w:p>
              </w:tc>
              <w:tc>
                <w:tcPr>
                  <w:tcW w:w="1808" w:type="dxa"/>
                  <w:tcBorders>
                    <w:tl2br w:val="nil"/>
                    <w:tr2bl w:val="nil"/>
                  </w:tcBorders>
                  <w:vAlign w:val="center"/>
                </w:tcPr>
                <w:p w14:paraId="5C244136">
                  <w:pPr>
                    <w:adjustRightInd w:val="0"/>
                    <w:snapToGrid w:val="0"/>
                    <w:spacing w:line="320" w:lineRule="exact"/>
                    <w:jc w:val="center"/>
                    <w:rPr>
                      <w:kern w:val="24"/>
                      <w:szCs w:val="21"/>
                    </w:rPr>
                  </w:pPr>
                  <w:r>
                    <w:rPr>
                      <w:rFonts w:hint="eastAsia"/>
                      <w:kern w:val="24"/>
                      <w:szCs w:val="21"/>
                    </w:rPr>
                    <w:t>挖掘</w:t>
                  </w:r>
                  <w:r>
                    <w:rPr>
                      <w:kern w:val="24"/>
                      <w:szCs w:val="21"/>
                    </w:rPr>
                    <w:t>机</w:t>
                  </w:r>
                </w:p>
              </w:tc>
              <w:tc>
                <w:tcPr>
                  <w:tcW w:w="1824" w:type="dxa"/>
                  <w:tcBorders>
                    <w:tl2br w:val="nil"/>
                    <w:tr2bl w:val="nil"/>
                  </w:tcBorders>
                  <w:vAlign w:val="center"/>
                </w:tcPr>
                <w:p w14:paraId="75E6A3F5">
                  <w:pPr>
                    <w:adjustRightInd w:val="0"/>
                    <w:snapToGrid w:val="0"/>
                    <w:spacing w:line="320" w:lineRule="exact"/>
                    <w:jc w:val="center"/>
                    <w:rPr>
                      <w:kern w:val="24"/>
                      <w:szCs w:val="21"/>
                    </w:rPr>
                  </w:pPr>
                  <w:r>
                    <w:rPr>
                      <w:kern w:val="24"/>
                      <w:szCs w:val="21"/>
                    </w:rPr>
                    <w:t>78～96</w:t>
                  </w:r>
                </w:p>
              </w:tc>
            </w:tr>
            <w:tr w14:paraId="12492ED6">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continue"/>
                  <w:tcBorders>
                    <w:tl2br w:val="nil"/>
                    <w:tr2bl w:val="nil"/>
                  </w:tcBorders>
                  <w:vAlign w:val="center"/>
                </w:tcPr>
                <w:p w14:paraId="52427E6E">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5BF935F3">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02978C04">
                  <w:pPr>
                    <w:adjustRightInd w:val="0"/>
                    <w:snapToGrid w:val="0"/>
                    <w:spacing w:line="320" w:lineRule="exact"/>
                    <w:jc w:val="center"/>
                    <w:rPr>
                      <w:kern w:val="24"/>
                      <w:szCs w:val="21"/>
                    </w:rPr>
                  </w:pPr>
                </w:p>
              </w:tc>
              <w:tc>
                <w:tcPr>
                  <w:tcW w:w="1808" w:type="dxa"/>
                  <w:tcBorders>
                    <w:tl2br w:val="nil"/>
                    <w:tr2bl w:val="nil"/>
                  </w:tcBorders>
                  <w:vAlign w:val="center"/>
                </w:tcPr>
                <w:p w14:paraId="0AE315AD">
                  <w:pPr>
                    <w:adjustRightInd w:val="0"/>
                    <w:snapToGrid w:val="0"/>
                    <w:spacing w:line="320" w:lineRule="exact"/>
                    <w:jc w:val="center"/>
                    <w:rPr>
                      <w:kern w:val="24"/>
                      <w:szCs w:val="21"/>
                    </w:rPr>
                  </w:pPr>
                  <w:r>
                    <w:rPr>
                      <w:kern w:val="24"/>
                      <w:szCs w:val="21"/>
                    </w:rPr>
                    <w:t>大型载重车</w:t>
                  </w:r>
                </w:p>
              </w:tc>
              <w:tc>
                <w:tcPr>
                  <w:tcW w:w="1824" w:type="dxa"/>
                  <w:tcBorders>
                    <w:tl2br w:val="nil"/>
                    <w:tr2bl w:val="nil"/>
                  </w:tcBorders>
                  <w:vAlign w:val="center"/>
                </w:tcPr>
                <w:p w14:paraId="44C3455F">
                  <w:pPr>
                    <w:adjustRightInd w:val="0"/>
                    <w:snapToGrid w:val="0"/>
                    <w:spacing w:line="320" w:lineRule="exact"/>
                    <w:jc w:val="center"/>
                    <w:rPr>
                      <w:kern w:val="24"/>
                      <w:szCs w:val="21"/>
                    </w:rPr>
                  </w:pPr>
                  <w:r>
                    <w:rPr>
                      <w:kern w:val="24"/>
                      <w:szCs w:val="21"/>
                    </w:rPr>
                    <w:t>84～89</w:t>
                  </w:r>
                </w:p>
              </w:tc>
            </w:tr>
            <w:tr w14:paraId="58451E5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restart"/>
                  <w:tcBorders>
                    <w:tl2br w:val="nil"/>
                    <w:tr2bl w:val="nil"/>
                  </w:tcBorders>
                  <w:vAlign w:val="center"/>
                </w:tcPr>
                <w:p w14:paraId="1C96906D">
                  <w:pPr>
                    <w:adjustRightInd w:val="0"/>
                    <w:snapToGrid w:val="0"/>
                    <w:spacing w:line="320" w:lineRule="exact"/>
                    <w:jc w:val="center"/>
                    <w:rPr>
                      <w:kern w:val="24"/>
                      <w:szCs w:val="21"/>
                    </w:rPr>
                  </w:pPr>
                  <w:r>
                    <w:rPr>
                      <w:kern w:val="24"/>
                      <w:szCs w:val="21"/>
                    </w:rPr>
                    <w:t>结构阶段</w:t>
                  </w:r>
                </w:p>
              </w:tc>
              <w:tc>
                <w:tcPr>
                  <w:tcW w:w="1810" w:type="dxa"/>
                  <w:vMerge w:val="restart"/>
                  <w:tcBorders>
                    <w:tl2br w:val="nil"/>
                    <w:tr2bl w:val="nil"/>
                  </w:tcBorders>
                  <w:vAlign w:val="center"/>
                </w:tcPr>
                <w:p w14:paraId="572F606A">
                  <w:pPr>
                    <w:adjustRightInd w:val="0"/>
                    <w:snapToGrid w:val="0"/>
                    <w:spacing w:line="320" w:lineRule="exact"/>
                    <w:jc w:val="center"/>
                    <w:rPr>
                      <w:kern w:val="24"/>
                      <w:szCs w:val="21"/>
                    </w:rPr>
                  </w:pPr>
                  <w:r>
                    <w:rPr>
                      <w:kern w:val="24"/>
                      <w:szCs w:val="21"/>
                    </w:rPr>
                    <w:t>施工期长、影响面广</w:t>
                  </w:r>
                </w:p>
              </w:tc>
              <w:tc>
                <w:tcPr>
                  <w:tcW w:w="1810" w:type="dxa"/>
                  <w:vMerge w:val="restart"/>
                  <w:tcBorders>
                    <w:tl2br w:val="nil"/>
                    <w:tr2bl w:val="nil"/>
                  </w:tcBorders>
                  <w:vAlign w:val="center"/>
                </w:tcPr>
                <w:p w14:paraId="4F92B2E6">
                  <w:pPr>
                    <w:adjustRightInd w:val="0"/>
                    <w:snapToGrid w:val="0"/>
                    <w:spacing w:line="320" w:lineRule="exact"/>
                    <w:jc w:val="center"/>
                    <w:rPr>
                      <w:kern w:val="24"/>
                      <w:szCs w:val="21"/>
                    </w:rPr>
                  </w:pPr>
                  <w:r>
                    <w:rPr>
                      <w:kern w:val="24"/>
                      <w:szCs w:val="21"/>
                    </w:rPr>
                    <w:t>无明显指向性，施工场地</w:t>
                  </w:r>
                </w:p>
              </w:tc>
              <w:tc>
                <w:tcPr>
                  <w:tcW w:w="1808" w:type="dxa"/>
                  <w:tcBorders>
                    <w:tl2br w:val="nil"/>
                    <w:tr2bl w:val="nil"/>
                  </w:tcBorders>
                  <w:vAlign w:val="center"/>
                </w:tcPr>
                <w:p w14:paraId="49E60D14">
                  <w:pPr>
                    <w:adjustRightInd w:val="0"/>
                    <w:snapToGrid w:val="0"/>
                    <w:spacing w:line="320" w:lineRule="exact"/>
                    <w:jc w:val="center"/>
                    <w:rPr>
                      <w:kern w:val="24"/>
                      <w:szCs w:val="21"/>
                    </w:rPr>
                  </w:pPr>
                  <w:r>
                    <w:rPr>
                      <w:kern w:val="24"/>
                      <w:szCs w:val="21"/>
                    </w:rPr>
                    <w:t>电锯</w:t>
                  </w:r>
                </w:p>
              </w:tc>
              <w:tc>
                <w:tcPr>
                  <w:tcW w:w="1824" w:type="dxa"/>
                  <w:tcBorders>
                    <w:tl2br w:val="nil"/>
                    <w:tr2bl w:val="nil"/>
                  </w:tcBorders>
                  <w:vAlign w:val="center"/>
                </w:tcPr>
                <w:p w14:paraId="199084D8">
                  <w:pPr>
                    <w:adjustRightInd w:val="0"/>
                    <w:snapToGrid w:val="0"/>
                    <w:spacing w:line="320" w:lineRule="exact"/>
                    <w:jc w:val="center"/>
                    <w:rPr>
                      <w:kern w:val="24"/>
                      <w:szCs w:val="21"/>
                    </w:rPr>
                  </w:pPr>
                  <w:r>
                    <w:rPr>
                      <w:kern w:val="24"/>
                      <w:szCs w:val="21"/>
                    </w:rPr>
                    <w:t>100～105</w:t>
                  </w:r>
                </w:p>
              </w:tc>
            </w:tr>
            <w:tr w14:paraId="0DDDFF2E">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continue"/>
                  <w:tcBorders>
                    <w:tl2br w:val="nil"/>
                    <w:tr2bl w:val="nil"/>
                  </w:tcBorders>
                  <w:vAlign w:val="center"/>
                </w:tcPr>
                <w:p w14:paraId="6EAAFC6C">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30A2BA3D">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6DCF8B80">
                  <w:pPr>
                    <w:adjustRightInd w:val="0"/>
                    <w:snapToGrid w:val="0"/>
                    <w:spacing w:line="320" w:lineRule="exact"/>
                    <w:jc w:val="center"/>
                    <w:rPr>
                      <w:kern w:val="24"/>
                      <w:szCs w:val="21"/>
                    </w:rPr>
                  </w:pPr>
                </w:p>
              </w:tc>
              <w:tc>
                <w:tcPr>
                  <w:tcW w:w="1808" w:type="dxa"/>
                  <w:tcBorders>
                    <w:tl2br w:val="nil"/>
                    <w:tr2bl w:val="nil"/>
                  </w:tcBorders>
                  <w:vAlign w:val="center"/>
                </w:tcPr>
                <w:p w14:paraId="4E27A96E">
                  <w:pPr>
                    <w:adjustRightInd w:val="0"/>
                    <w:snapToGrid w:val="0"/>
                    <w:spacing w:line="320" w:lineRule="exact"/>
                    <w:jc w:val="center"/>
                    <w:rPr>
                      <w:kern w:val="24"/>
                      <w:szCs w:val="21"/>
                    </w:rPr>
                  </w:pPr>
                  <w:r>
                    <w:rPr>
                      <w:kern w:val="24"/>
                      <w:szCs w:val="21"/>
                    </w:rPr>
                    <w:t>电焊机</w:t>
                  </w:r>
                </w:p>
              </w:tc>
              <w:tc>
                <w:tcPr>
                  <w:tcW w:w="1824" w:type="dxa"/>
                  <w:tcBorders>
                    <w:tl2br w:val="nil"/>
                    <w:tr2bl w:val="nil"/>
                  </w:tcBorders>
                  <w:vAlign w:val="center"/>
                </w:tcPr>
                <w:p w14:paraId="629BCB95">
                  <w:pPr>
                    <w:adjustRightInd w:val="0"/>
                    <w:snapToGrid w:val="0"/>
                    <w:spacing w:line="320" w:lineRule="exact"/>
                    <w:jc w:val="center"/>
                    <w:rPr>
                      <w:kern w:val="24"/>
                      <w:szCs w:val="21"/>
                    </w:rPr>
                  </w:pPr>
                  <w:r>
                    <w:rPr>
                      <w:kern w:val="24"/>
                      <w:szCs w:val="21"/>
                    </w:rPr>
                    <w:t>90～95</w:t>
                  </w:r>
                </w:p>
              </w:tc>
            </w:tr>
            <w:tr w14:paraId="689311F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continue"/>
                  <w:tcBorders>
                    <w:tl2br w:val="nil"/>
                    <w:tr2bl w:val="nil"/>
                  </w:tcBorders>
                  <w:vAlign w:val="center"/>
                </w:tcPr>
                <w:p w14:paraId="18933858">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62E53706">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0E7CBDB8">
                  <w:pPr>
                    <w:adjustRightInd w:val="0"/>
                    <w:snapToGrid w:val="0"/>
                    <w:spacing w:line="320" w:lineRule="exact"/>
                    <w:jc w:val="center"/>
                    <w:rPr>
                      <w:kern w:val="24"/>
                      <w:szCs w:val="21"/>
                    </w:rPr>
                  </w:pPr>
                </w:p>
              </w:tc>
              <w:tc>
                <w:tcPr>
                  <w:tcW w:w="1808" w:type="dxa"/>
                  <w:tcBorders>
                    <w:tl2br w:val="nil"/>
                    <w:tr2bl w:val="nil"/>
                  </w:tcBorders>
                  <w:vAlign w:val="center"/>
                </w:tcPr>
                <w:p w14:paraId="6286FBD5">
                  <w:pPr>
                    <w:adjustRightInd w:val="0"/>
                    <w:snapToGrid w:val="0"/>
                    <w:spacing w:line="320" w:lineRule="exact"/>
                    <w:jc w:val="center"/>
                    <w:rPr>
                      <w:kern w:val="24"/>
                      <w:szCs w:val="21"/>
                    </w:rPr>
                  </w:pPr>
                  <w:r>
                    <w:rPr>
                      <w:kern w:val="24"/>
                      <w:szCs w:val="21"/>
                    </w:rPr>
                    <w:t>空压机</w:t>
                  </w:r>
                </w:p>
              </w:tc>
              <w:tc>
                <w:tcPr>
                  <w:tcW w:w="1824" w:type="dxa"/>
                  <w:tcBorders>
                    <w:tl2br w:val="nil"/>
                    <w:tr2bl w:val="nil"/>
                  </w:tcBorders>
                  <w:vAlign w:val="center"/>
                </w:tcPr>
                <w:p w14:paraId="6F77F8DC">
                  <w:pPr>
                    <w:adjustRightInd w:val="0"/>
                    <w:snapToGrid w:val="0"/>
                    <w:spacing w:line="320" w:lineRule="exact"/>
                    <w:jc w:val="center"/>
                    <w:rPr>
                      <w:kern w:val="24"/>
                      <w:szCs w:val="21"/>
                    </w:rPr>
                  </w:pPr>
                  <w:r>
                    <w:rPr>
                      <w:kern w:val="24"/>
                      <w:szCs w:val="21"/>
                    </w:rPr>
                    <w:t>75～85</w:t>
                  </w:r>
                </w:p>
              </w:tc>
            </w:tr>
            <w:tr w14:paraId="39CF6987">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continue"/>
                  <w:tcBorders>
                    <w:tl2br w:val="nil"/>
                    <w:tr2bl w:val="nil"/>
                  </w:tcBorders>
                  <w:vAlign w:val="center"/>
                </w:tcPr>
                <w:p w14:paraId="6D264A10">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70F42D43">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62796171">
                  <w:pPr>
                    <w:adjustRightInd w:val="0"/>
                    <w:snapToGrid w:val="0"/>
                    <w:spacing w:line="320" w:lineRule="exact"/>
                    <w:jc w:val="center"/>
                    <w:rPr>
                      <w:kern w:val="24"/>
                      <w:szCs w:val="21"/>
                    </w:rPr>
                  </w:pPr>
                </w:p>
              </w:tc>
              <w:tc>
                <w:tcPr>
                  <w:tcW w:w="1808" w:type="dxa"/>
                  <w:tcBorders>
                    <w:tl2br w:val="nil"/>
                    <w:tr2bl w:val="nil"/>
                  </w:tcBorders>
                  <w:vAlign w:val="center"/>
                </w:tcPr>
                <w:p w14:paraId="659C20DD">
                  <w:pPr>
                    <w:adjustRightInd w:val="0"/>
                    <w:snapToGrid w:val="0"/>
                    <w:spacing w:line="320" w:lineRule="exact"/>
                    <w:jc w:val="center"/>
                    <w:rPr>
                      <w:kern w:val="24"/>
                      <w:szCs w:val="21"/>
                    </w:rPr>
                  </w:pPr>
                  <w:r>
                    <w:rPr>
                      <w:kern w:val="24"/>
                      <w:szCs w:val="21"/>
                    </w:rPr>
                    <w:t>中型载重车</w:t>
                  </w:r>
                </w:p>
              </w:tc>
              <w:tc>
                <w:tcPr>
                  <w:tcW w:w="1824" w:type="dxa"/>
                  <w:tcBorders>
                    <w:tl2br w:val="nil"/>
                    <w:tr2bl w:val="nil"/>
                  </w:tcBorders>
                  <w:vAlign w:val="center"/>
                </w:tcPr>
                <w:p w14:paraId="31A59EF2">
                  <w:pPr>
                    <w:adjustRightInd w:val="0"/>
                    <w:snapToGrid w:val="0"/>
                    <w:spacing w:line="320" w:lineRule="exact"/>
                    <w:jc w:val="center"/>
                    <w:rPr>
                      <w:kern w:val="24"/>
                      <w:szCs w:val="21"/>
                    </w:rPr>
                  </w:pPr>
                  <w:r>
                    <w:rPr>
                      <w:kern w:val="24"/>
                      <w:szCs w:val="21"/>
                    </w:rPr>
                    <w:t>75～85</w:t>
                  </w:r>
                </w:p>
              </w:tc>
            </w:tr>
            <w:tr w14:paraId="650A0008">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continue"/>
                  <w:tcBorders>
                    <w:tl2br w:val="nil"/>
                    <w:tr2bl w:val="nil"/>
                  </w:tcBorders>
                  <w:vAlign w:val="center"/>
                </w:tcPr>
                <w:p w14:paraId="6510420C">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3BC2B6AD">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37E6EF67">
                  <w:pPr>
                    <w:adjustRightInd w:val="0"/>
                    <w:snapToGrid w:val="0"/>
                    <w:spacing w:line="320" w:lineRule="exact"/>
                    <w:jc w:val="center"/>
                    <w:rPr>
                      <w:kern w:val="24"/>
                      <w:szCs w:val="21"/>
                    </w:rPr>
                  </w:pPr>
                </w:p>
              </w:tc>
              <w:tc>
                <w:tcPr>
                  <w:tcW w:w="1808" w:type="dxa"/>
                  <w:tcBorders>
                    <w:tl2br w:val="nil"/>
                    <w:tr2bl w:val="nil"/>
                  </w:tcBorders>
                  <w:vAlign w:val="center"/>
                </w:tcPr>
                <w:p w14:paraId="317B131E">
                  <w:pPr>
                    <w:adjustRightInd w:val="0"/>
                    <w:snapToGrid w:val="0"/>
                    <w:spacing w:line="320" w:lineRule="exact"/>
                    <w:jc w:val="center"/>
                    <w:rPr>
                      <w:kern w:val="24"/>
                      <w:szCs w:val="21"/>
                    </w:rPr>
                  </w:pPr>
                  <w:r>
                    <w:rPr>
                      <w:kern w:val="24"/>
                      <w:szCs w:val="21"/>
                    </w:rPr>
                    <w:t>混凝土输送泵</w:t>
                  </w:r>
                </w:p>
              </w:tc>
              <w:tc>
                <w:tcPr>
                  <w:tcW w:w="1824" w:type="dxa"/>
                  <w:tcBorders>
                    <w:tl2br w:val="nil"/>
                    <w:tr2bl w:val="nil"/>
                  </w:tcBorders>
                  <w:vAlign w:val="center"/>
                </w:tcPr>
                <w:p w14:paraId="5999316D">
                  <w:pPr>
                    <w:adjustRightInd w:val="0"/>
                    <w:snapToGrid w:val="0"/>
                    <w:spacing w:line="320" w:lineRule="exact"/>
                    <w:jc w:val="center"/>
                    <w:rPr>
                      <w:kern w:val="24"/>
                      <w:szCs w:val="21"/>
                    </w:rPr>
                  </w:pPr>
                  <w:r>
                    <w:rPr>
                      <w:kern w:val="24"/>
                      <w:szCs w:val="21"/>
                    </w:rPr>
                    <w:t>60～70</w:t>
                  </w:r>
                </w:p>
              </w:tc>
            </w:tr>
            <w:tr w14:paraId="7398DEE6">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restart"/>
                  <w:tcBorders>
                    <w:tl2br w:val="nil"/>
                    <w:tr2bl w:val="nil"/>
                  </w:tcBorders>
                  <w:vAlign w:val="center"/>
                </w:tcPr>
                <w:p w14:paraId="4BB02027">
                  <w:pPr>
                    <w:adjustRightInd w:val="0"/>
                    <w:snapToGrid w:val="0"/>
                    <w:spacing w:line="320" w:lineRule="exact"/>
                    <w:jc w:val="center"/>
                    <w:rPr>
                      <w:kern w:val="24"/>
                      <w:szCs w:val="21"/>
                    </w:rPr>
                  </w:pPr>
                  <w:r>
                    <w:rPr>
                      <w:kern w:val="24"/>
                      <w:szCs w:val="21"/>
                    </w:rPr>
                    <w:t>安装、装修阶段</w:t>
                  </w:r>
                </w:p>
              </w:tc>
              <w:tc>
                <w:tcPr>
                  <w:tcW w:w="1810" w:type="dxa"/>
                  <w:vMerge w:val="restart"/>
                  <w:tcBorders>
                    <w:tl2br w:val="nil"/>
                    <w:tr2bl w:val="nil"/>
                  </w:tcBorders>
                  <w:vAlign w:val="center"/>
                </w:tcPr>
                <w:p w14:paraId="3ECE4B90">
                  <w:pPr>
                    <w:adjustRightInd w:val="0"/>
                    <w:snapToGrid w:val="0"/>
                    <w:spacing w:line="320" w:lineRule="exact"/>
                    <w:jc w:val="center"/>
                    <w:rPr>
                      <w:kern w:val="24"/>
                      <w:szCs w:val="21"/>
                    </w:rPr>
                  </w:pPr>
                  <w:r>
                    <w:rPr>
                      <w:kern w:val="24"/>
                      <w:szCs w:val="21"/>
                    </w:rPr>
                    <w:t>施工期长、</w:t>
                  </w:r>
                </w:p>
                <w:p w14:paraId="0B35B386">
                  <w:pPr>
                    <w:adjustRightInd w:val="0"/>
                    <w:snapToGrid w:val="0"/>
                    <w:spacing w:line="320" w:lineRule="exact"/>
                    <w:jc w:val="center"/>
                    <w:rPr>
                      <w:kern w:val="24"/>
                      <w:szCs w:val="21"/>
                    </w:rPr>
                  </w:pPr>
                  <w:r>
                    <w:rPr>
                      <w:kern w:val="24"/>
                      <w:szCs w:val="21"/>
                    </w:rPr>
                    <w:t>声源在</w:t>
                  </w:r>
                  <w:r>
                    <w:rPr>
                      <w:rFonts w:hint="eastAsia"/>
                      <w:kern w:val="24"/>
                      <w:szCs w:val="21"/>
                    </w:rPr>
                    <w:t>室</w:t>
                  </w:r>
                  <w:r>
                    <w:rPr>
                      <w:kern w:val="24"/>
                      <w:szCs w:val="21"/>
                    </w:rPr>
                    <w:t>内</w:t>
                  </w:r>
                </w:p>
              </w:tc>
              <w:tc>
                <w:tcPr>
                  <w:tcW w:w="1810" w:type="dxa"/>
                  <w:vMerge w:val="restart"/>
                  <w:tcBorders>
                    <w:tl2br w:val="nil"/>
                    <w:tr2bl w:val="nil"/>
                  </w:tcBorders>
                  <w:vAlign w:val="center"/>
                </w:tcPr>
                <w:p w14:paraId="2634D7D9">
                  <w:pPr>
                    <w:adjustRightInd w:val="0"/>
                    <w:snapToGrid w:val="0"/>
                    <w:spacing w:line="320" w:lineRule="exact"/>
                    <w:jc w:val="center"/>
                    <w:rPr>
                      <w:kern w:val="24"/>
                      <w:szCs w:val="21"/>
                    </w:rPr>
                  </w:pPr>
                  <w:r>
                    <w:rPr>
                      <w:kern w:val="24"/>
                      <w:szCs w:val="21"/>
                    </w:rPr>
                    <w:t>装修室内</w:t>
                  </w:r>
                </w:p>
              </w:tc>
              <w:tc>
                <w:tcPr>
                  <w:tcW w:w="1808" w:type="dxa"/>
                  <w:tcBorders>
                    <w:tl2br w:val="nil"/>
                    <w:tr2bl w:val="nil"/>
                  </w:tcBorders>
                  <w:vAlign w:val="center"/>
                </w:tcPr>
                <w:p w14:paraId="54497433">
                  <w:pPr>
                    <w:adjustRightInd w:val="0"/>
                    <w:snapToGrid w:val="0"/>
                    <w:spacing w:line="320" w:lineRule="exact"/>
                    <w:jc w:val="center"/>
                    <w:rPr>
                      <w:kern w:val="24"/>
                      <w:szCs w:val="21"/>
                    </w:rPr>
                  </w:pPr>
                  <w:r>
                    <w:rPr>
                      <w:kern w:val="24"/>
                      <w:szCs w:val="21"/>
                    </w:rPr>
                    <w:t>电钻</w:t>
                  </w:r>
                </w:p>
              </w:tc>
              <w:tc>
                <w:tcPr>
                  <w:tcW w:w="1824" w:type="dxa"/>
                  <w:tcBorders>
                    <w:tl2br w:val="nil"/>
                    <w:tr2bl w:val="nil"/>
                  </w:tcBorders>
                  <w:vAlign w:val="center"/>
                </w:tcPr>
                <w:p w14:paraId="20FBB699">
                  <w:pPr>
                    <w:adjustRightInd w:val="0"/>
                    <w:snapToGrid w:val="0"/>
                    <w:spacing w:line="320" w:lineRule="exact"/>
                    <w:jc w:val="center"/>
                    <w:rPr>
                      <w:kern w:val="24"/>
                      <w:szCs w:val="21"/>
                    </w:rPr>
                  </w:pPr>
                  <w:r>
                    <w:rPr>
                      <w:kern w:val="24"/>
                      <w:szCs w:val="21"/>
                    </w:rPr>
                    <w:t>95～100</w:t>
                  </w:r>
                </w:p>
              </w:tc>
            </w:tr>
            <w:tr w14:paraId="23D8B9BA">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continue"/>
                  <w:tcBorders>
                    <w:tl2br w:val="nil"/>
                    <w:tr2bl w:val="nil"/>
                  </w:tcBorders>
                  <w:vAlign w:val="center"/>
                </w:tcPr>
                <w:p w14:paraId="4AAC1D28">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47E76E42">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147DB4F1">
                  <w:pPr>
                    <w:adjustRightInd w:val="0"/>
                    <w:snapToGrid w:val="0"/>
                    <w:spacing w:line="320" w:lineRule="exact"/>
                    <w:jc w:val="center"/>
                    <w:rPr>
                      <w:kern w:val="24"/>
                      <w:szCs w:val="21"/>
                    </w:rPr>
                  </w:pPr>
                </w:p>
              </w:tc>
              <w:tc>
                <w:tcPr>
                  <w:tcW w:w="1808" w:type="dxa"/>
                  <w:tcBorders>
                    <w:tl2br w:val="nil"/>
                    <w:tr2bl w:val="nil"/>
                  </w:tcBorders>
                  <w:vAlign w:val="center"/>
                </w:tcPr>
                <w:p w14:paraId="359348A9">
                  <w:pPr>
                    <w:adjustRightInd w:val="0"/>
                    <w:snapToGrid w:val="0"/>
                    <w:spacing w:line="320" w:lineRule="exact"/>
                    <w:jc w:val="center"/>
                    <w:rPr>
                      <w:kern w:val="24"/>
                      <w:szCs w:val="21"/>
                    </w:rPr>
                  </w:pPr>
                  <w:r>
                    <w:rPr>
                      <w:kern w:val="24"/>
                      <w:szCs w:val="21"/>
                    </w:rPr>
                    <w:t>电锤</w:t>
                  </w:r>
                </w:p>
              </w:tc>
              <w:tc>
                <w:tcPr>
                  <w:tcW w:w="1824" w:type="dxa"/>
                  <w:tcBorders>
                    <w:tl2br w:val="nil"/>
                    <w:tr2bl w:val="nil"/>
                  </w:tcBorders>
                  <w:vAlign w:val="center"/>
                </w:tcPr>
                <w:p w14:paraId="6E573D54">
                  <w:pPr>
                    <w:adjustRightInd w:val="0"/>
                    <w:snapToGrid w:val="0"/>
                    <w:spacing w:line="320" w:lineRule="exact"/>
                    <w:jc w:val="center"/>
                    <w:rPr>
                      <w:kern w:val="24"/>
                      <w:szCs w:val="21"/>
                    </w:rPr>
                  </w:pPr>
                  <w:r>
                    <w:rPr>
                      <w:kern w:val="24"/>
                      <w:szCs w:val="21"/>
                    </w:rPr>
                    <w:t>90～95</w:t>
                  </w:r>
                </w:p>
              </w:tc>
            </w:tr>
            <w:tr w14:paraId="544577C3">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1809" w:type="dxa"/>
                  <w:vMerge w:val="continue"/>
                  <w:tcBorders>
                    <w:tl2br w:val="nil"/>
                    <w:tr2bl w:val="nil"/>
                  </w:tcBorders>
                  <w:vAlign w:val="center"/>
                </w:tcPr>
                <w:p w14:paraId="4C59D1F0">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2CD7B4F6">
                  <w:pPr>
                    <w:adjustRightInd w:val="0"/>
                    <w:snapToGrid w:val="0"/>
                    <w:spacing w:line="320" w:lineRule="exact"/>
                    <w:jc w:val="center"/>
                    <w:rPr>
                      <w:kern w:val="24"/>
                      <w:szCs w:val="21"/>
                    </w:rPr>
                  </w:pPr>
                </w:p>
              </w:tc>
              <w:tc>
                <w:tcPr>
                  <w:tcW w:w="1810" w:type="dxa"/>
                  <w:vMerge w:val="continue"/>
                  <w:tcBorders>
                    <w:tl2br w:val="nil"/>
                    <w:tr2bl w:val="nil"/>
                  </w:tcBorders>
                  <w:vAlign w:val="center"/>
                </w:tcPr>
                <w:p w14:paraId="6A4613DC">
                  <w:pPr>
                    <w:adjustRightInd w:val="0"/>
                    <w:snapToGrid w:val="0"/>
                    <w:spacing w:line="320" w:lineRule="exact"/>
                    <w:jc w:val="center"/>
                    <w:rPr>
                      <w:kern w:val="24"/>
                      <w:szCs w:val="21"/>
                    </w:rPr>
                  </w:pPr>
                </w:p>
              </w:tc>
              <w:tc>
                <w:tcPr>
                  <w:tcW w:w="1808" w:type="dxa"/>
                  <w:tcBorders>
                    <w:tl2br w:val="nil"/>
                    <w:tr2bl w:val="nil"/>
                  </w:tcBorders>
                  <w:vAlign w:val="center"/>
                </w:tcPr>
                <w:p w14:paraId="1D74DE9A">
                  <w:pPr>
                    <w:adjustRightInd w:val="0"/>
                    <w:snapToGrid w:val="0"/>
                    <w:spacing w:line="320" w:lineRule="exact"/>
                    <w:jc w:val="center"/>
                    <w:rPr>
                      <w:kern w:val="24"/>
                      <w:szCs w:val="21"/>
                    </w:rPr>
                  </w:pPr>
                  <w:r>
                    <w:rPr>
                      <w:kern w:val="24"/>
                      <w:szCs w:val="21"/>
                    </w:rPr>
                    <w:t>手工钻</w:t>
                  </w:r>
                </w:p>
              </w:tc>
              <w:tc>
                <w:tcPr>
                  <w:tcW w:w="1824" w:type="dxa"/>
                  <w:tcBorders>
                    <w:tl2br w:val="nil"/>
                    <w:tr2bl w:val="nil"/>
                  </w:tcBorders>
                  <w:vAlign w:val="center"/>
                </w:tcPr>
                <w:p w14:paraId="278C8134">
                  <w:pPr>
                    <w:adjustRightInd w:val="0"/>
                    <w:snapToGrid w:val="0"/>
                    <w:spacing w:line="320" w:lineRule="exact"/>
                    <w:jc w:val="center"/>
                    <w:rPr>
                      <w:kern w:val="24"/>
                      <w:szCs w:val="21"/>
                    </w:rPr>
                  </w:pPr>
                  <w:r>
                    <w:rPr>
                      <w:kern w:val="24"/>
                      <w:szCs w:val="21"/>
                    </w:rPr>
                    <w:t>90～95</w:t>
                  </w:r>
                </w:p>
              </w:tc>
            </w:tr>
          </w:tbl>
          <w:p w14:paraId="5F5C0272">
            <w:pPr>
              <w:adjustRightInd w:val="0"/>
              <w:snapToGrid w:val="0"/>
              <w:spacing w:line="360" w:lineRule="auto"/>
              <w:ind w:firstLine="482" w:firstLineChars="200"/>
              <w:jc w:val="center"/>
              <w:rPr>
                <w:b/>
                <w:kern w:val="24"/>
                <w:sz w:val="24"/>
              </w:rPr>
            </w:pPr>
          </w:p>
          <w:p w14:paraId="081065CF">
            <w:pPr>
              <w:adjustRightInd w:val="0"/>
              <w:snapToGrid w:val="0"/>
              <w:spacing w:line="360" w:lineRule="auto"/>
              <w:ind w:firstLine="482" w:firstLineChars="200"/>
              <w:jc w:val="center"/>
              <w:rPr>
                <w:b/>
                <w:kern w:val="24"/>
                <w:sz w:val="24"/>
              </w:rPr>
            </w:pPr>
            <w:r>
              <w:rPr>
                <w:b/>
                <w:kern w:val="24"/>
                <w:sz w:val="24"/>
              </w:rPr>
              <w:t>表</w:t>
            </w:r>
            <w:r>
              <w:rPr>
                <w:rFonts w:hint="eastAsia"/>
                <w:b/>
                <w:kern w:val="24"/>
                <w:sz w:val="24"/>
              </w:rPr>
              <w:t>2</w:t>
            </w:r>
            <w:r>
              <w:rPr>
                <w:b/>
                <w:kern w:val="24"/>
                <w:sz w:val="24"/>
              </w:rPr>
              <w:t>-8</w:t>
            </w:r>
            <w:r>
              <w:rPr>
                <w:rFonts w:hint="eastAsia"/>
                <w:b/>
                <w:kern w:val="24"/>
                <w:sz w:val="24"/>
              </w:rPr>
              <w:t xml:space="preserve">  </w:t>
            </w:r>
            <w:r>
              <w:rPr>
                <w:b/>
                <w:kern w:val="24"/>
                <w:sz w:val="24"/>
              </w:rPr>
              <w:t>施工阶段各运输车辆噪声源统计</w:t>
            </w:r>
          </w:p>
          <w:tbl>
            <w:tblPr>
              <w:tblStyle w:val="32"/>
              <w:tblW w:w="90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85"/>
              <w:gridCol w:w="2424"/>
              <w:gridCol w:w="2420"/>
              <w:gridCol w:w="2422"/>
            </w:tblGrid>
            <w:tr w14:paraId="46AA38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785" w:type="dxa"/>
                  <w:tcBorders>
                    <w:tl2br w:val="nil"/>
                    <w:tr2bl w:val="nil"/>
                  </w:tcBorders>
                </w:tcPr>
                <w:p w14:paraId="781E743D">
                  <w:pPr>
                    <w:adjustRightInd w:val="0"/>
                    <w:snapToGrid w:val="0"/>
                    <w:spacing w:line="360" w:lineRule="exact"/>
                    <w:jc w:val="center"/>
                    <w:rPr>
                      <w:kern w:val="24"/>
                      <w:szCs w:val="21"/>
                    </w:rPr>
                  </w:pPr>
                  <w:r>
                    <w:rPr>
                      <w:kern w:val="24"/>
                      <w:szCs w:val="21"/>
                    </w:rPr>
                    <w:t>声源</w:t>
                  </w:r>
                </w:p>
              </w:tc>
              <w:tc>
                <w:tcPr>
                  <w:tcW w:w="2424" w:type="dxa"/>
                  <w:tcBorders>
                    <w:tl2br w:val="nil"/>
                    <w:tr2bl w:val="nil"/>
                  </w:tcBorders>
                </w:tcPr>
                <w:p w14:paraId="435E3149">
                  <w:pPr>
                    <w:adjustRightInd w:val="0"/>
                    <w:snapToGrid w:val="0"/>
                    <w:spacing w:line="360" w:lineRule="exact"/>
                    <w:jc w:val="center"/>
                    <w:rPr>
                      <w:kern w:val="24"/>
                      <w:szCs w:val="21"/>
                    </w:rPr>
                  </w:pPr>
                  <w:r>
                    <w:rPr>
                      <w:kern w:val="24"/>
                      <w:szCs w:val="21"/>
                    </w:rPr>
                    <w:t>大型载重车</w:t>
                  </w:r>
                </w:p>
              </w:tc>
              <w:tc>
                <w:tcPr>
                  <w:tcW w:w="2420" w:type="dxa"/>
                  <w:tcBorders>
                    <w:tl2br w:val="nil"/>
                    <w:tr2bl w:val="nil"/>
                  </w:tcBorders>
                </w:tcPr>
                <w:p w14:paraId="0F95915E">
                  <w:pPr>
                    <w:adjustRightInd w:val="0"/>
                    <w:snapToGrid w:val="0"/>
                    <w:spacing w:line="360" w:lineRule="exact"/>
                    <w:jc w:val="center"/>
                    <w:rPr>
                      <w:kern w:val="24"/>
                      <w:szCs w:val="21"/>
                    </w:rPr>
                  </w:pPr>
                  <w:r>
                    <w:rPr>
                      <w:kern w:val="24"/>
                      <w:szCs w:val="21"/>
                    </w:rPr>
                    <w:t>中型载重车</w:t>
                  </w:r>
                </w:p>
              </w:tc>
              <w:tc>
                <w:tcPr>
                  <w:tcW w:w="2422" w:type="dxa"/>
                  <w:tcBorders>
                    <w:tl2br w:val="nil"/>
                    <w:tr2bl w:val="nil"/>
                  </w:tcBorders>
                </w:tcPr>
                <w:p w14:paraId="77F68070">
                  <w:pPr>
                    <w:adjustRightInd w:val="0"/>
                    <w:snapToGrid w:val="0"/>
                    <w:spacing w:line="360" w:lineRule="exact"/>
                    <w:jc w:val="center"/>
                    <w:rPr>
                      <w:kern w:val="24"/>
                      <w:szCs w:val="21"/>
                    </w:rPr>
                  </w:pPr>
                  <w:r>
                    <w:rPr>
                      <w:kern w:val="24"/>
                      <w:szCs w:val="21"/>
                    </w:rPr>
                    <w:t>轻型载重车</w:t>
                  </w:r>
                </w:p>
              </w:tc>
            </w:tr>
            <w:tr w14:paraId="46A5C9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785" w:type="dxa"/>
                  <w:tcBorders>
                    <w:tl2br w:val="nil"/>
                    <w:tr2bl w:val="nil"/>
                  </w:tcBorders>
                </w:tcPr>
                <w:p w14:paraId="0B540041">
                  <w:pPr>
                    <w:adjustRightInd w:val="0"/>
                    <w:snapToGrid w:val="0"/>
                    <w:spacing w:line="360" w:lineRule="exact"/>
                    <w:jc w:val="center"/>
                    <w:rPr>
                      <w:kern w:val="24"/>
                      <w:szCs w:val="21"/>
                    </w:rPr>
                  </w:pPr>
                  <w:r>
                    <w:rPr>
                      <w:kern w:val="24"/>
                      <w:szCs w:val="21"/>
                    </w:rPr>
                    <w:t>声级dB(A)</w:t>
                  </w:r>
                </w:p>
              </w:tc>
              <w:tc>
                <w:tcPr>
                  <w:tcW w:w="2424" w:type="dxa"/>
                  <w:tcBorders>
                    <w:tl2br w:val="nil"/>
                    <w:tr2bl w:val="nil"/>
                  </w:tcBorders>
                </w:tcPr>
                <w:p w14:paraId="309A7729">
                  <w:pPr>
                    <w:adjustRightInd w:val="0"/>
                    <w:snapToGrid w:val="0"/>
                    <w:spacing w:line="360" w:lineRule="exact"/>
                    <w:jc w:val="center"/>
                    <w:rPr>
                      <w:kern w:val="24"/>
                      <w:szCs w:val="21"/>
                    </w:rPr>
                  </w:pPr>
                  <w:r>
                    <w:rPr>
                      <w:kern w:val="24"/>
                      <w:szCs w:val="21"/>
                    </w:rPr>
                    <w:t>79~85</w:t>
                  </w:r>
                </w:p>
              </w:tc>
              <w:tc>
                <w:tcPr>
                  <w:tcW w:w="2420" w:type="dxa"/>
                  <w:tcBorders>
                    <w:tl2br w:val="nil"/>
                    <w:tr2bl w:val="nil"/>
                  </w:tcBorders>
                </w:tcPr>
                <w:p w14:paraId="30DA268E">
                  <w:pPr>
                    <w:adjustRightInd w:val="0"/>
                    <w:snapToGrid w:val="0"/>
                    <w:spacing w:line="360" w:lineRule="exact"/>
                    <w:jc w:val="center"/>
                    <w:rPr>
                      <w:kern w:val="24"/>
                      <w:szCs w:val="21"/>
                    </w:rPr>
                  </w:pPr>
                  <w:r>
                    <w:rPr>
                      <w:kern w:val="24"/>
                      <w:szCs w:val="21"/>
                    </w:rPr>
                    <w:t>65~74</w:t>
                  </w:r>
                </w:p>
              </w:tc>
              <w:tc>
                <w:tcPr>
                  <w:tcW w:w="2422" w:type="dxa"/>
                  <w:tcBorders>
                    <w:tl2br w:val="nil"/>
                    <w:tr2bl w:val="nil"/>
                  </w:tcBorders>
                </w:tcPr>
                <w:p w14:paraId="3C05D414">
                  <w:pPr>
                    <w:adjustRightInd w:val="0"/>
                    <w:snapToGrid w:val="0"/>
                    <w:spacing w:line="360" w:lineRule="exact"/>
                    <w:jc w:val="center"/>
                    <w:rPr>
                      <w:kern w:val="24"/>
                      <w:szCs w:val="21"/>
                    </w:rPr>
                  </w:pPr>
                  <w:r>
                    <w:rPr>
                      <w:kern w:val="24"/>
                      <w:szCs w:val="21"/>
                    </w:rPr>
                    <w:t>60~69</w:t>
                  </w:r>
                </w:p>
              </w:tc>
            </w:tr>
          </w:tbl>
          <w:p w14:paraId="612F085D">
            <w:pPr>
              <w:adjustRightInd w:val="0"/>
              <w:snapToGrid w:val="0"/>
              <w:spacing w:line="360" w:lineRule="auto"/>
              <w:ind w:firstLine="480" w:firstLineChars="200"/>
              <w:rPr>
                <w:kern w:val="24"/>
                <w:sz w:val="24"/>
              </w:rPr>
            </w:pPr>
            <w:r>
              <w:rPr>
                <w:kern w:val="24"/>
                <w:sz w:val="24"/>
              </w:rPr>
              <w:t>（4）固体废物</w:t>
            </w:r>
          </w:p>
          <w:p w14:paraId="6460B6B8">
            <w:pPr>
              <w:adjustRightInd w:val="0"/>
              <w:snapToGrid w:val="0"/>
              <w:spacing w:line="360" w:lineRule="auto"/>
              <w:ind w:firstLine="480" w:firstLineChars="200"/>
              <w:rPr>
                <w:kern w:val="24"/>
                <w:sz w:val="24"/>
              </w:rPr>
            </w:pPr>
            <w:r>
              <w:rPr>
                <w:kern w:val="24"/>
                <w:sz w:val="24"/>
              </w:rPr>
              <w:t>项目施工期固体废物主要来源于施工建筑垃圾及施工人员生活垃圾。</w:t>
            </w:r>
          </w:p>
          <w:p w14:paraId="6D4E9000">
            <w:pPr>
              <w:adjustRightInd w:val="0"/>
              <w:snapToGrid w:val="0"/>
              <w:spacing w:line="360" w:lineRule="auto"/>
              <w:ind w:firstLine="480" w:firstLineChars="200"/>
              <w:rPr>
                <w:kern w:val="24"/>
                <w:sz w:val="24"/>
              </w:rPr>
            </w:pPr>
            <w:r>
              <w:rPr>
                <w:rFonts w:hint="eastAsia" w:ascii="宋体" w:hAnsi="宋体" w:cs="宋体"/>
                <w:kern w:val="24"/>
                <w:sz w:val="24"/>
              </w:rPr>
              <w:t>①</w:t>
            </w:r>
            <w:r>
              <w:rPr>
                <w:kern w:val="24"/>
                <w:sz w:val="24"/>
              </w:rPr>
              <w:t>建筑垃圾</w:t>
            </w:r>
          </w:p>
          <w:p w14:paraId="79F74410">
            <w:pPr>
              <w:adjustRightInd w:val="0"/>
              <w:snapToGrid w:val="0"/>
              <w:spacing w:line="360" w:lineRule="auto"/>
              <w:ind w:firstLine="480" w:firstLineChars="200"/>
              <w:rPr>
                <w:kern w:val="24"/>
                <w:sz w:val="24"/>
              </w:rPr>
            </w:pPr>
            <w:r>
              <w:rPr>
                <w:kern w:val="24"/>
                <w:sz w:val="24"/>
              </w:rPr>
              <w:t>本项目建筑垃圾主要有施工过程中</w:t>
            </w:r>
            <w:r>
              <w:rPr>
                <w:rFonts w:hint="eastAsia"/>
                <w:kern w:val="24"/>
                <w:sz w:val="24"/>
              </w:rPr>
              <w:t>建筑废料</w:t>
            </w:r>
            <w:r>
              <w:rPr>
                <w:kern w:val="24"/>
                <w:sz w:val="24"/>
              </w:rPr>
              <w:t>和废装饰材料等。建筑垃圾经分拣后可回收部分回收利用，不可回收部分及时清运至住建部门指定点堆放。</w:t>
            </w:r>
          </w:p>
          <w:p w14:paraId="1DFB0197">
            <w:pPr>
              <w:adjustRightInd w:val="0"/>
              <w:snapToGrid w:val="0"/>
              <w:spacing w:line="360" w:lineRule="auto"/>
              <w:ind w:firstLine="480" w:firstLineChars="200"/>
              <w:rPr>
                <w:kern w:val="24"/>
                <w:sz w:val="24"/>
              </w:rPr>
            </w:pPr>
            <w:r>
              <w:rPr>
                <w:rFonts w:hint="eastAsia" w:ascii="宋体" w:hAnsi="宋体" w:cs="宋体"/>
                <w:kern w:val="24"/>
                <w:sz w:val="24"/>
              </w:rPr>
              <w:t>②</w:t>
            </w:r>
            <w:r>
              <w:rPr>
                <w:kern w:val="24"/>
                <w:sz w:val="24"/>
              </w:rPr>
              <w:t>生活垃圾</w:t>
            </w:r>
          </w:p>
          <w:p w14:paraId="4178C75C">
            <w:pPr>
              <w:adjustRightInd w:val="0"/>
              <w:snapToGrid w:val="0"/>
              <w:spacing w:line="360" w:lineRule="auto"/>
              <w:ind w:firstLine="480" w:firstLineChars="200"/>
              <w:rPr>
                <w:kern w:val="24"/>
                <w:sz w:val="24"/>
              </w:rPr>
            </w:pPr>
            <w:r>
              <w:rPr>
                <w:kern w:val="24"/>
                <w:sz w:val="24"/>
              </w:rPr>
              <w:t>项目施工期生活垃圾</w:t>
            </w:r>
            <w:r>
              <w:rPr>
                <w:rFonts w:hint="eastAsia"/>
                <w:kern w:val="24"/>
                <w:sz w:val="24"/>
              </w:rPr>
              <w:t>利用现有项目场地内设垃圾桶</w:t>
            </w:r>
            <w:r>
              <w:rPr>
                <w:kern w:val="24"/>
                <w:sz w:val="24"/>
              </w:rPr>
              <w:t>集中收集</w:t>
            </w:r>
            <w:r>
              <w:rPr>
                <w:rFonts w:hint="eastAsia"/>
                <w:kern w:val="24"/>
                <w:sz w:val="24"/>
              </w:rPr>
              <w:t>，</w:t>
            </w:r>
            <w:r>
              <w:rPr>
                <w:kern w:val="24"/>
                <w:sz w:val="24"/>
              </w:rPr>
              <w:t>委托环卫部门清运处置。</w:t>
            </w:r>
          </w:p>
          <w:p w14:paraId="1EAE0320">
            <w:pPr>
              <w:adjustRightInd w:val="0"/>
              <w:snapToGrid w:val="0"/>
              <w:spacing w:line="360" w:lineRule="auto"/>
              <w:ind w:firstLine="480" w:firstLineChars="200"/>
              <w:rPr>
                <w:kern w:val="24"/>
                <w:sz w:val="24"/>
              </w:rPr>
            </w:pPr>
          </w:p>
          <w:p w14:paraId="57731A37">
            <w:pPr>
              <w:adjustRightInd w:val="0"/>
              <w:snapToGrid w:val="0"/>
              <w:spacing w:line="360" w:lineRule="auto"/>
              <w:ind w:firstLine="480" w:firstLineChars="200"/>
              <w:rPr>
                <w:kern w:val="24"/>
                <w:sz w:val="24"/>
              </w:rPr>
            </w:pPr>
          </w:p>
          <w:p w14:paraId="2085A449">
            <w:pPr>
              <w:adjustRightInd w:val="0"/>
              <w:snapToGrid w:val="0"/>
              <w:spacing w:line="360" w:lineRule="auto"/>
              <w:ind w:firstLine="480" w:firstLineChars="200"/>
              <w:rPr>
                <w:kern w:val="24"/>
                <w:sz w:val="24"/>
              </w:rPr>
            </w:pPr>
          </w:p>
          <w:p w14:paraId="07165F9E">
            <w:pPr>
              <w:adjustRightInd w:val="0"/>
              <w:snapToGrid w:val="0"/>
              <w:spacing w:line="360" w:lineRule="auto"/>
              <w:ind w:firstLine="480" w:firstLineChars="200"/>
              <w:rPr>
                <w:kern w:val="24"/>
                <w:sz w:val="24"/>
              </w:rPr>
            </w:pPr>
          </w:p>
          <w:p w14:paraId="554D038B">
            <w:pPr>
              <w:adjustRightInd w:val="0"/>
              <w:snapToGrid w:val="0"/>
              <w:spacing w:line="360" w:lineRule="auto"/>
              <w:ind w:firstLine="480" w:firstLineChars="200"/>
              <w:rPr>
                <w:kern w:val="24"/>
                <w:sz w:val="24"/>
              </w:rPr>
            </w:pPr>
          </w:p>
          <w:p w14:paraId="098D40A5">
            <w:pPr>
              <w:adjustRightInd w:val="0"/>
              <w:snapToGrid w:val="0"/>
              <w:spacing w:line="360" w:lineRule="auto"/>
              <w:ind w:firstLine="480" w:firstLineChars="200"/>
              <w:rPr>
                <w:kern w:val="24"/>
                <w:sz w:val="24"/>
              </w:rPr>
            </w:pPr>
          </w:p>
          <w:p w14:paraId="111E501C">
            <w:pPr>
              <w:adjustRightInd w:val="0"/>
              <w:snapToGrid w:val="0"/>
              <w:spacing w:line="360" w:lineRule="auto"/>
              <w:ind w:firstLine="480" w:firstLineChars="200"/>
              <w:rPr>
                <w:kern w:val="24"/>
                <w:sz w:val="24"/>
              </w:rPr>
            </w:pPr>
          </w:p>
          <w:p w14:paraId="77540E3F">
            <w:pPr>
              <w:adjustRightInd w:val="0"/>
              <w:snapToGrid w:val="0"/>
              <w:spacing w:line="360" w:lineRule="auto"/>
              <w:ind w:firstLine="480" w:firstLineChars="200"/>
              <w:rPr>
                <w:kern w:val="24"/>
                <w:sz w:val="24"/>
              </w:rPr>
            </w:pPr>
          </w:p>
          <w:p w14:paraId="7555B180">
            <w:pPr>
              <w:adjustRightInd w:val="0"/>
              <w:snapToGrid w:val="0"/>
              <w:spacing w:line="360" w:lineRule="auto"/>
              <w:ind w:firstLine="480" w:firstLineChars="200"/>
              <w:rPr>
                <w:kern w:val="24"/>
                <w:sz w:val="24"/>
              </w:rPr>
            </w:pPr>
          </w:p>
          <w:p w14:paraId="2E2BCAF4">
            <w:pPr>
              <w:adjustRightInd w:val="0"/>
              <w:snapToGrid w:val="0"/>
              <w:spacing w:line="360" w:lineRule="auto"/>
              <w:ind w:firstLine="480" w:firstLineChars="200"/>
              <w:rPr>
                <w:kern w:val="24"/>
                <w:sz w:val="24"/>
              </w:rPr>
            </w:pPr>
          </w:p>
          <w:p w14:paraId="175BD585">
            <w:pPr>
              <w:adjustRightInd w:val="0"/>
              <w:snapToGrid w:val="0"/>
              <w:spacing w:line="360" w:lineRule="auto"/>
              <w:ind w:firstLine="480" w:firstLineChars="200"/>
              <w:rPr>
                <w:kern w:val="24"/>
                <w:sz w:val="24"/>
              </w:rPr>
            </w:pPr>
          </w:p>
          <w:p w14:paraId="5EF8D861">
            <w:pPr>
              <w:adjustRightInd w:val="0"/>
              <w:snapToGrid w:val="0"/>
              <w:spacing w:line="360" w:lineRule="auto"/>
              <w:ind w:firstLine="480" w:firstLineChars="200"/>
              <w:rPr>
                <w:kern w:val="24"/>
                <w:sz w:val="24"/>
              </w:rPr>
            </w:pPr>
          </w:p>
          <w:p w14:paraId="76BF123A">
            <w:pPr>
              <w:adjustRightInd w:val="0"/>
              <w:snapToGrid w:val="0"/>
              <w:spacing w:line="360" w:lineRule="auto"/>
              <w:ind w:firstLine="480" w:firstLineChars="200"/>
              <w:rPr>
                <w:kern w:val="24"/>
                <w:sz w:val="24"/>
              </w:rPr>
            </w:pPr>
          </w:p>
          <w:p w14:paraId="6243588F">
            <w:pPr>
              <w:adjustRightInd w:val="0"/>
              <w:snapToGrid w:val="0"/>
              <w:spacing w:line="360" w:lineRule="auto"/>
              <w:ind w:firstLine="480" w:firstLineChars="200"/>
              <w:rPr>
                <w:kern w:val="24"/>
                <w:sz w:val="24"/>
              </w:rPr>
            </w:pPr>
          </w:p>
          <w:p w14:paraId="02A82265">
            <w:pPr>
              <w:adjustRightInd w:val="0"/>
              <w:snapToGrid w:val="0"/>
              <w:spacing w:line="360" w:lineRule="auto"/>
              <w:rPr>
                <w:kern w:val="24"/>
                <w:sz w:val="24"/>
              </w:rPr>
            </w:pPr>
          </w:p>
          <w:p w14:paraId="5184F587">
            <w:pPr>
              <w:adjustRightInd w:val="0"/>
              <w:snapToGrid w:val="0"/>
              <w:spacing w:line="360" w:lineRule="auto"/>
              <w:jc w:val="left"/>
              <w:rPr>
                <w:b/>
                <w:bCs/>
                <w:sz w:val="24"/>
              </w:rPr>
            </w:pPr>
            <w:r>
              <w:rPr>
                <w:rFonts w:hint="eastAsia"/>
                <w:b/>
                <w:bCs/>
                <w:sz w:val="24"/>
              </w:rPr>
              <w:t>2、运营期</w:t>
            </w:r>
          </w:p>
          <w:p w14:paraId="74CC2577">
            <w:pPr>
              <w:adjustRightInd w:val="0"/>
              <w:snapToGrid w:val="0"/>
              <w:spacing w:line="360" w:lineRule="auto"/>
              <w:jc w:val="left"/>
              <w:rPr>
                <w:bCs/>
                <w:sz w:val="24"/>
              </w:rPr>
            </w:pPr>
            <w:r>
              <w:rPr>
                <w:rFonts w:hint="eastAsia"/>
                <w:b/>
                <w:bCs/>
                <w:sz w:val="24"/>
              </w:rPr>
              <w:t>2.1项目运营期工艺流程及产污环节</w:t>
            </w:r>
          </w:p>
          <w:p w14:paraId="498387FF">
            <w:pPr>
              <w:pStyle w:val="83"/>
              <w:ind w:firstLine="480"/>
            </w:pPr>
            <w:r>
              <w:rPr>
                <w:rFonts w:hint="eastAsia"/>
              </w:rPr>
              <w:t>项目运营期工艺流程流程及产污环节见下图。</w:t>
            </w:r>
          </w:p>
          <w:p w14:paraId="109462E8">
            <w:pPr>
              <w:adjustRightInd w:val="0"/>
              <w:snapToGrid w:val="0"/>
              <w:jc w:val="center"/>
            </w:pPr>
            <w:r>
              <w:object>
                <v:shape id="_x0000_i1027" o:spt="75" type="#_x0000_t75" style="height:498.75pt;width:420.7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14:paraId="5E8F22EE">
            <w:pPr>
              <w:adjustRightInd w:val="0"/>
              <w:snapToGrid w:val="0"/>
              <w:spacing w:line="360" w:lineRule="auto"/>
              <w:jc w:val="center"/>
              <w:rPr>
                <w:b/>
                <w:kern w:val="24"/>
                <w:sz w:val="24"/>
              </w:rPr>
            </w:pPr>
            <w:r>
              <w:rPr>
                <w:b/>
                <w:kern w:val="24"/>
                <w:sz w:val="24"/>
              </w:rPr>
              <w:t>图</w:t>
            </w:r>
            <w:r>
              <w:rPr>
                <w:rFonts w:hint="eastAsia"/>
                <w:b/>
                <w:kern w:val="24"/>
                <w:sz w:val="24"/>
              </w:rPr>
              <w:t>2</w:t>
            </w:r>
            <w:r>
              <w:rPr>
                <w:b/>
                <w:kern w:val="24"/>
                <w:sz w:val="24"/>
              </w:rPr>
              <w:t>-3</w:t>
            </w:r>
            <w:r>
              <w:rPr>
                <w:rFonts w:hint="eastAsia"/>
                <w:b/>
                <w:kern w:val="24"/>
                <w:sz w:val="24"/>
              </w:rPr>
              <w:t xml:space="preserve">  工艺流程及产污节点图</w:t>
            </w:r>
          </w:p>
          <w:p w14:paraId="343BEABD">
            <w:pPr>
              <w:adjustRightInd w:val="0"/>
              <w:snapToGrid w:val="0"/>
              <w:spacing w:line="360" w:lineRule="auto"/>
              <w:rPr>
                <w:b/>
                <w:kern w:val="24"/>
                <w:sz w:val="24"/>
              </w:rPr>
            </w:pPr>
            <w:r>
              <w:rPr>
                <w:rFonts w:hint="eastAsia"/>
                <w:b/>
                <w:bCs/>
                <w:sz w:val="24"/>
              </w:rPr>
              <w:t xml:space="preserve">2.2 </w:t>
            </w:r>
            <w:r>
              <w:rPr>
                <w:rFonts w:hint="eastAsia"/>
                <w:b/>
                <w:kern w:val="24"/>
                <w:sz w:val="24"/>
              </w:rPr>
              <w:t>工艺流程及产污环节简述</w:t>
            </w:r>
          </w:p>
          <w:p w14:paraId="5B41229F">
            <w:pPr>
              <w:adjustRightInd w:val="0"/>
              <w:snapToGrid w:val="0"/>
              <w:spacing w:line="360" w:lineRule="auto"/>
              <w:ind w:firstLine="480" w:firstLineChars="200"/>
              <w:rPr>
                <w:kern w:val="24"/>
                <w:sz w:val="24"/>
              </w:rPr>
            </w:pPr>
            <w:r>
              <w:rPr>
                <w:rFonts w:hint="eastAsia"/>
                <w:kern w:val="24"/>
                <w:sz w:val="24"/>
              </w:rPr>
              <w:t>本项目高频直缝焊管主要生产工艺流程为开卷、纵剪、弯曲成型、高频焊接、焊缝修补、校直、切断、质检、打包入库。</w:t>
            </w:r>
          </w:p>
          <w:p w14:paraId="4D5CFCFA">
            <w:pPr>
              <w:adjustRightInd w:val="0"/>
              <w:snapToGrid w:val="0"/>
              <w:spacing w:line="360" w:lineRule="auto"/>
              <w:ind w:firstLine="480" w:firstLineChars="200"/>
              <w:rPr>
                <w:kern w:val="24"/>
                <w:sz w:val="24"/>
              </w:rPr>
            </w:pPr>
            <w:r>
              <w:rPr>
                <w:rFonts w:hint="eastAsia"/>
                <w:kern w:val="24"/>
                <w:sz w:val="24"/>
              </w:rPr>
              <w:t>（</w:t>
            </w:r>
            <w:r>
              <w:rPr>
                <w:kern w:val="24"/>
                <w:sz w:val="24"/>
              </w:rPr>
              <w:t>1</w:t>
            </w:r>
            <w:r>
              <w:rPr>
                <w:rFonts w:hint="eastAsia"/>
                <w:kern w:val="24"/>
                <w:sz w:val="24"/>
              </w:rPr>
              <w:t>）焊管开卷、纵剪：将冷轧工序的成卷的带钢送入纵剪机组，通过开卷机、纵剪机等设备将带钢开卷、纵剪成与焊管型号所需的宽度。该生产过程中会产生噪声、废边角料。</w:t>
            </w:r>
          </w:p>
          <w:p w14:paraId="0361DD43">
            <w:pPr>
              <w:adjustRightInd w:val="0"/>
              <w:snapToGrid w:val="0"/>
              <w:spacing w:line="360" w:lineRule="auto"/>
              <w:ind w:firstLine="480" w:firstLineChars="200"/>
              <w:rPr>
                <w:kern w:val="24"/>
                <w:sz w:val="24"/>
              </w:rPr>
            </w:pPr>
            <w:r>
              <w:rPr>
                <w:rFonts w:hint="eastAsia"/>
                <w:kern w:val="24"/>
                <w:sz w:val="24"/>
              </w:rPr>
              <w:t>（</w:t>
            </w:r>
            <w:r>
              <w:rPr>
                <w:kern w:val="24"/>
                <w:sz w:val="24"/>
              </w:rPr>
              <w:t>2</w:t>
            </w:r>
            <w:r>
              <w:rPr>
                <w:rFonts w:hint="eastAsia"/>
                <w:kern w:val="24"/>
                <w:sz w:val="24"/>
              </w:rPr>
              <w:t>）弯曲成型：纵剪后的带钢进入半成型架，将带钢弯曲成管状。该生产过程中会产生噪声。</w:t>
            </w:r>
          </w:p>
          <w:p w14:paraId="5C721008">
            <w:pPr>
              <w:adjustRightInd w:val="0"/>
              <w:snapToGrid w:val="0"/>
              <w:spacing w:line="360" w:lineRule="auto"/>
              <w:ind w:firstLine="480" w:firstLineChars="200"/>
              <w:rPr>
                <w:kern w:val="24"/>
                <w:sz w:val="24"/>
              </w:rPr>
            </w:pPr>
            <w:r>
              <w:rPr>
                <w:rFonts w:hint="eastAsia"/>
                <w:kern w:val="24"/>
                <w:sz w:val="24"/>
              </w:rPr>
              <w:t>（</w:t>
            </w:r>
            <w:r>
              <w:rPr>
                <w:kern w:val="24"/>
                <w:sz w:val="24"/>
              </w:rPr>
              <w:t>3</w:t>
            </w:r>
            <w:r>
              <w:rPr>
                <w:rFonts w:hint="eastAsia"/>
                <w:kern w:val="24"/>
                <w:sz w:val="24"/>
              </w:rPr>
              <w:t>）高频焊接、刮疤：将初步成型的钢管送入高频焊管机对钢管的缝隙进行焊接、刮疤。高频焊机利用电流的集肤效应和邻近效应将直缝两端边缘加热融化，并在挤压辊的作用下进行焊接，将带钢的两端完全熔合。经过焊接的焊管表面会产生少量焊疤，利用焊机自带的刮疤刀具刮去焊管表面的凸起，使得焊管表面平整光滑。在此工段需用水冷却焊接后的焊管，直接冷却水进入直接冷却循环水池循环使用不外排，焊机的间接冷却水进入间接冷却循环水池循环使用不外排。该生产过程中会产生噪声、废边角料、焊接烟尘、金属沉渣。</w:t>
            </w:r>
          </w:p>
          <w:p w14:paraId="7CAF5853">
            <w:pPr>
              <w:adjustRightInd w:val="0"/>
              <w:snapToGrid w:val="0"/>
              <w:spacing w:line="360" w:lineRule="auto"/>
              <w:ind w:firstLine="480" w:firstLineChars="200"/>
              <w:rPr>
                <w:kern w:val="24"/>
                <w:sz w:val="24"/>
              </w:rPr>
            </w:pPr>
            <w:r>
              <w:rPr>
                <w:rFonts w:hint="eastAsia"/>
                <w:kern w:val="24"/>
                <w:sz w:val="24"/>
              </w:rPr>
              <w:t>（</w:t>
            </w:r>
            <w:r>
              <w:rPr>
                <w:kern w:val="24"/>
                <w:sz w:val="24"/>
              </w:rPr>
              <w:t>4</w:t>
            </w:r>
            <w:r>
              <w:rPr>
                <w:rFonts w:hint="eastAsia"/>
                <w:kern w:val="24"/>
                <w:sz w:val="24"/>
              </w:rPr>
              <w:t>）焊缝修补</w:t>
            </w:r>
          </w:p>
          <w:p w14:paraId="4354BAD1">
            <w:pPr>
              <w:adjustRightInd w:val="0"/>
              <w:snapToGrid w:val="0"/>
              <w:spacing w:line="360" w:lineRule="auto"/>
              <w:ind w:firstLine="480" w:firstLineChars="200"/>
              <w:rPr>
                <w:kern w:val="24"/>
                <w:sz w:val="24"/>
              </w:rPr>
            </w:pPr>
            <w:r>
              <w:rPr>
                <w:rFonts w:hint="eastAsia"/>
                <w:kern w:val="24"/>
                <w:sz w:val="24"/>
              </w:rPr>
              <w:t>部分焊接后</w:t>
            </w:r>
            <w:bookmarkStart w:id="27" w:name="_GoBack"/>
            <w:bookmarkEnd w:id="27"/>
            <w:r>
              <w:rPr>
                <w:rFonts w:hint="eastAsia"/>
                <w:kern w:val="24"/>
                <w:sz w:val="24"/>
                <w:lang w:eastAsia="zh-CN"/>
              </w:rPr>
              <w:t>的</w:t>
            </w:r>
            <w:r>
              <w:rPr>
                <w:rFonts w:hint="eastAsia"/>
                <w:kern w:val="24"/>
                <w:sz w:val="24"/>
              </w:rPr>
              <w:t>钢管根据客户需求，会进行焊缝修补，根据建设方提供资料，本项目，焊缝修补采用铝丝，将铝丝熔融后喷在焊缝表面再进行校直、切割，不需要焊缝修补的其余焊管直接进行校直、切割。</w:t>
            </w:r>
          </w:p>
          <w:p w14:paraId="1EDDE1B1">
            <w:pPr>
              <w:adjustRightInd w:val="0"/>
              <w:snapToGrid w:val="0"/>
              <w:spacing w:line="360" w:lineRule="auto"/>
              <w:ind w:firstLine="480" w:firstLineChars="200"/>
              <w:rPr>
                <w:kern w:val="24"/>
                <w:sz w:val="24"/>
              </w:rPr>
            </w:pPr>
            <w:r>
              <w:rPr>
                <w:rFonts w:hint="eastAsia"/>
                <w:kern w:val="24"/>
                <w:sz w:val="24"/>
              </w:rPr>
              <w:t>（</w:t>
            </w:r>
            <w:r>
              <w:rPr>
                <w:kern w:val="24"/>
                <w:sz w:val="24"/>
              </w:rPr>
              <w:t>5</w:t>
            </w:r>
            <w:r>
              <w:rPr>
                <w:rFonts w:hint="eastAsia"/>
                <w:kern w:val="24"/>
                <w:sz w:val="24"/>
              </w:rPr>
              <w:t>）校直、切断：焊接后的焊管使用校直机进行校直，利用飞锯定尺切割机将钢管切割成国标尺寸或客户需求的定制尺寸，即为产品。该生产过程中会产生噪声、废边角料。</w:t>
            </w:r>
          </w:p>
          <w:p w14:paraId="58BE56D5">
            <w:pPr>
              <w:pStyle w:val="83"/>
              <w:ind w:firstLine="480"/>
            </w:pPr>
            <w:r>
              <w:rPr>
                <w:rFonts w:hint="eastAsia"/>
                <w:kern w:val="24"/>
              </w:rPr>
              <w:t>（</w:t>
            </w:r>
            <w:r>
              <w:rPr>
                <w:kern w:val="24"/>
              </w:rPr>
              <w:t>6</w:t>
            </w:r>
            <w:r>
              <w:rPr>
                <w:rFonts w:hint="eastAsia"/>
                <w:kern w:val="24"/>
              </w:rPr>
              <w:t>）质检、打包入库：质检合格的产品打包入库，</w:t>
            </w:r>
            <w:r>
              <w:rPr>
                <w:rFonts w:hint="eastAsia"/>
              </w:rPr>
              <w:t>不合格产品直接当作废品外售</w:t>
            </w:r>
            <w:r>
              <w:rPr>
                <w:rFonts w:hint="eastAsia"/>
                <w:kern w:val="24"/>
              </w:rPr>
              <w:t>。该生产过程中会产生噪声、不合格产品。</w:t>
            </w:r>
          </w:p>
          <w:p w14:paraId="64C60510">
            <w:pPr>
              <w:pStyle w:val="83"/>
              <w:ind w:firstLine="480"/>
            </w:pPr>
            <w:r>
              <w:rPr>
                <w:rFonts w:hint="eastAsia"/>
              </w:rPr>
              <w:t>本项目产污情况详见下表。</w:t>
            </w:r>
          </w:p>
          <w:p w14:paraId="1BBD2C61">
            <w:pPr>
              <w:adjustRightInd w:val="0"/>
              <w:snapToGrid w:val="0"/>
              <w:spacing w:line="360" w:lineRule="auto"/>
              <w:ind w:firstLine="482" w:firstLineChars="200"/>
              <w:jc w:val="center"/>
              <w:rPr>
                <w:b/>
                <w:kern w:val="24"/>
                <w:sz w:val="24"/>
              </w:rPr>
            </w:pPr>
            <w:r>
              <w:rPr>
                <w:rFonts w:hint="eastAsia"/>
                <w:b/>
                <w:kern w:val="24"/>
                <w:sz w:val="24"/>
              </w:rPr>
              <w:t>表</w:t>
            </w:r>
            <w:r>
              <w:rPr>
                <w:b/>
                <w:kern w:val="24"/>
                <w:sz w:val="24"/>
              </w:rPr>
              <w:t xml:space="preserve">2-9  </w:t>
            </w:r>
            <w:r>
              <w:rPr>
                <w:rFonts w:hint="eastAsia"/>
                <w:b/>
                <w:kern w:val="24"/>
                <w:sz w:val="24"/>
              </w:rPr>
              <w:t>项目产污情况一览表</w:t>
            </w:r>
          </w:p>
          <w:tbl>
            <w:tblPr>
              <w:tblStyle w:val="32"/>
              <w:tblW w:w="8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1809"/>
              <w:gridCol w:w="1685"/>
              <w:gridCol w:w="4442"/>
            </w:tblGrid>
            <w:tr w14:paraId="35CD0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83" w:type="pct"/>
                  <w:tcMar>
                    <w:top w:w="15" w:type="dxa"/>
                    <w:left w:w="15" w:type="dxa"/>
                    <w:right w:w="15" w:type="dxa"/>
                  </w:tcMar>
                  <w:vAlign w:val="center"/>
                </w:tcPr>
                <w:p w14:paraId="7D64E0F4">
                  <w:pPr>
                    <w:adjustRightInd w:val="0"/>
                    <w:snapToGrid w:val="0"/>
                    <w:jc w:val="center"/>
                    <w:textAlignment w:val="baseline"/>
                    <w:rPr>
                      <w:b/>
                      <w:bCs/>
                      <w:szCs w:val="21"/>
                    </w:rPr>
                  </w:pPr>
                  <w:r>
                    <w:rPr>
                      <w:b/>
                      <w:bCs/>
                      <w:szCs w:val="21"/>
                    </w:rPr>
                    <w:t>污染类别</w:t>
                  </w:r>
                </w:p>
              </w:tc>
              <w:tc>
                <w:tcPr>
                  <w:tcW w:w="1007" w:type="pct"/>
                  <w:tcMar>
                    <w:top w:w="15" w:type="dxa"/>
                    <w:left w:w="15" w:type="dxa"/>
                    <w:right w:w="15" w:type="dxa"/>
                  </w:tcMar>
                  <w:vAlign w:val="center"/>
                </w:tcPr>
                <w:p w14:paraId="2216FB43">
                  <w:pPr>
                    <w:adjustRightInd w:val="0"/>
                    <w:snapToGrid w:val="0"/>
                    <w:jc w:val="center"/>
                    <w:textAlignment w:val="baseline"/>
                    <w:rPr>
                      <w:b/>
                      <w:bCs/>
                      <w:szCs w:val="21"/>
                    </w:rPr>
                  </w:pPr>
                  <w:r>
                    <w:rPr>
                      <w:b/>
                      <w:bCs/>
                      <w:szCs w:val="21"/>
                    </w:rPr>
                    <w:t>主要污染源</w:t>
                  </w:r>
                </w:p>
              </w:tc>
              <w:tc>
                <w:tcPr>
                  <w:tcW w:w="938" w:type="pct"/>
                  <w:tcMar>
                    <w:top w:w="15" w:type="dxa"/>
                    <w:left w:w="15" w:type="dxa"/>
                    <w:right w:w="15" w:type="dxa"/>
                  </w:tcMar>
                  <w:vAlign w:val="center"/>
                </w:tcPr>
                <w:p w14:paraId="66B1EE50">
                  <w:pPr>
                    <w:adjustRightInd w:val="0"/>
                    <w:snapToGrid w:val="0"/>
                    <w:jc w:val="center"/>
                    <w:textAlignment w:val="baseline"/>
                    <w:rPr>
                      <w:b/>
                      <w:bCs/>
                      <w:szCs w:val="21"/>
                    </w:rPr>
                  </w:pPr>
                  <w:r>
                    <w:rPr>
                      <w:b/>
                      <w:bCs/>
                      <w:szCs w:val="21"/>
                    </w:rPr>
                    <w:t>污染物/污染因子</w:t>
                  </w:r>
                </w:p>
              </w:tc>
              <w:tc>
                <w:tcPr>
                  <w:tcW w:w="2472" w:type="pct"/>
                  <w:tcMar>
                    <w:top w:w="15" w:type="dxa"/>
                    <w:left w:w="15" w:type="dxa"/>
                    <w:right w:w="15" w:type="dxa"/>
                  </w:tcMar>
                  <w:vAlign w:val="center"/>
                </w:tcPr>
                <w:p w14:paraId="53105D03">
                  <w:pPr>
                    <w:adjustRightInd w:val="0"/>
                    <w:snapToGrid w:val="0"/>
                    <w:jc w:val="center"/>
                    <w:textAlignment w:val="baseline"/>
                    <w:rPr>
                      <w:b/>
                      <w:bCs/>
                      <w:szCs w:val="21"/>
                    </w:rPr>
                  </w:pPr>
                  <w:r>
                    <w:rPr>
                      <w:rFonts w:hint="eastAsia"/>
                      <w:b/>
                      <w:bCs/>
                      <w:szCs w:val="21"/>
                    </w:rPr>
                    <w:t>处理措施</w:t>
                  </w:r>
                </w:p>
              </w:tc>
            </w:tr>
            <w:tr w14:paraId="6D56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83" w:type="pct"/>
                  <w:vMerge w:val="restart"/>
                  <w:tcMar>
                    <w:top w:w="15" w:type="dxa"/>
                    <w:left w:w="15" w:type="dxa"/>
                    <w:right w:w="15" w:type="dxa"/>
                  </w:tcMar>
                  <w:vAlign w:val="center"/>
                </w:tcPr>
                <w:p w14:paraId="16E367BE">
                  <w:pPr>
                    <w:adjustRightInd w:val="0"/>
                    <w:snapToGrid w:val="0"/>
                    <w:jc w:val="center"/>
                    <w:textAlignment w:val="baseline"/>
                    <w:rPr>
                      <w:szCs w:val="21"/>
                    </w:rPr>
                  </w:pPr>
                  <w:r>
                    <w:rPr>
                      <w:szCs w:val="21"/>
                    </w:rPr>
                    <w:t>废气</w:t>
                  </w:r>
                </w:p>
              </w:tc>
              <w:tc>
                <w:tcPr>
                  <w:tcW w:w="1007" w:type="pct"/>
                  <w:tcMar>
                    <w:top w:w="15" w:type="dxa"/>
                    <w:left w:w="15" w:type="dxa"/>
                    <w:right w:w="15" w:type="dxa"/>
                  </w:tcMar>
                  <w:vAlign w:val="center"/>
                </w:tcPr>
                <w:p w14:paraId="2D0F8FB5">
                  <w:pPr>
                    <w:adjustRightInd w:val="0"/>
                    <w:snapToGrid w:val="0"/>
                    <w:jc w:val="center"/>
                    <w:rPr>
                      <w:szCs w:val="21"/>
                    </w:rPr>
                  </w:pPr>
                  <w:r>
                    <w:rPr>
                      <w:rFonts w:hint="eastAsia"/>
                      <w:szCs w:val="21"/>
                    </w:rPr>
                    <w:t>高频焊接烟尘</w:t>
                  </w:r>
                </w:p>
              </w:tc>
              <w:tc>
                <w:tcPr>
                  <w:tcW w:w="938" w:type="pct"/>
                  <w:tcMar>
                    <w:top w:w="15" w:type="dxa"/>
                    <w:left w:w="15" w:type="dxa"/>
                    <w:right w:w="15" w:type="dxa"/>
                  </w:tcMar>
                  <w:vAlign w:val="center"/>
                </w:tcPr>
                <w:p w14:paraId="4908E89F">
                  <w:pPr>
                    <w:adjustRightInd w:val="0"/>
                    <w:snapToGrid w:val="0"/>
                    <w:jc w:val="center"/>
                    <w:textAlignment w:val="baseline"/>
                    <w:rPr>
                      <w:szCs w:val="21"/>
                    </w:rPr>
                  </w:pPr>
                  <w:r>
                    <w:rPr>
                      <w:rFonts w:hint="eastAsia"/>
                      <w:szCs w:val="21"/>
                    </w:rPr>
                    <w:t>颗粒物</w:t>
                  </w:r>
                </w:p>
              </w:tc>
              <w:tc>
                <w:tcPr>
                  <w:tcW w:w="2472" w:type="pct"/>
                  <w:tcMar>
                    <w:top w:w="15" w:type="dxa"/>
                    <w:left w:w="15" w:type="dxa"/>
                    <w:right w:w="15" w:type="dxa"/>
                  </w:tcMar>
                  <w:vAlign w:val="center"/>
                </w:tcPr>
                <w:p w14:paraId="07166C70">
                  <w:pPr>
                    <w:adjustRightInd w:val="0"/>
                    <w:snapToGrid w:val="0"/>
                    <w:jc w:val="center"/>
                    <w:rPr>
                      <w:szCs w:val="21"/>
                    </w:rPr>
                  </w:pPr>
                  <w:r>
                    <w:rPr>
                      <w:rFonts w:hint="eastAsia"/>
                      <w:szCs w:val="21"/>
                    </w:rPr>
                    <w:t>项目三车间、四车间高频焊接产生焊接烟尘，经生产线焊接工段配套的1套集气罩(四周设置软帘)+布袋除尘器（TA001）收集处理后，通过1根15m高排气筒排放（DA001）。</w:t>
                  </w:r>
                </w:p>
                <w:p w14:paraId="024ABF96">
                  <w:pPr>
                    <w:adjustRightInd w:val="0"/>
                    <w:snapToGrid w:val="0"/>
                    <w:jc w:val="center"/>
                    <w:rPr>
                      <w:szCs w:val="21"/>
                    </w:rPr>
                  </w:pPr>
                  <w:r>
                    <w:rPr>
                      <w:rFonts w:hint="eastAsia"/>
                      <w:szCs w:val="21"/>
                    </w:rPr>
                    <w:t>项目七车间高频焊接产生焊接烟尘，经3条生产线焊接工段配套的3套集气罩(四周设置软帘)+布袋除尘器（TA002、TA003、TA004）收集处理后，经管道引入1根15m高排气筒排放（DA002）。</w:t>
                  </w:r>
                </w:p>
                <w:p w14:paraId="75D0FBBE">
                  <w:pPr>
                    <w:adjustRightInd w:val="0"/>
                    <w:snapToGrid w:val="0"/>
                    <w:jc w:val="center"/>
                    <w:rPr>
                      <w:szCs w:val="21"/>
                    </w:rPr>
                  </w:pPr>
                  <w:r>
                    <w:rPr>
                      <w:rFonts w:hint="eastAsia"/>
                      <w:szCs w:val="21"/>
                    </w:rPr>
                    <w:t>项目八车间高频焊接产生焊接烟尘，经2条生产线焊接工段配套的2套集气罩(四周设置软帘)+布袋除尘器（TA005、TA006）收集处理后，经管道引入1根15m高排气筒排放（DA003）。</w:t>
                  </w:r>
                </w:p>
              </w:tc>
            </w:tr>
            <w:tr w14:paraId="35BC0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83" w:type="pct"/>
                  <w:vMerge w:val="continue"/>
                  <w:tcMar>
                    <w:top w:w="15" w:type="dxa"/>
                    <w:left w:w="15" w:type="dxa"/>
                    <w:right w:w="15" w:type="dxa"/>
                  </w:tcMar>
                  <w:vAlign w:val="center"/>
                </w:tcPr>
                <w:p w14:paraId="2EABFFD3">
                  <w:pPr>
                    <w:adjustRightInd w:val="0"/>
                    <w:snapToGrid w:val="0"/>
                    <w:jc w:val="center"/>
                    <w:textAlignment w:val="baseline"/>
                    <w:rPr>
                      <w:szCs w:val="21"/>
                    </w:rPr>
                  </w:pPr>
                </w:p>
              </w:tc>
              <w:tc>
                <w:tcPr>
                  <w:tcW w:w="1007" w:type="pct"/>
                  <w:tcMar>
                    <w:top w:w="15" w:type="dxa"/>
                    <w:left w:w="15" w:type="dxa"/>
                    <w:right w:w="15" w:type="dxa"/>
                  </w:tcMar>
                  <w:vAlign w:val="center"/>
                </w:tcPr>
                <w:p w14:paraId="17820850">
                  <w:pPr>
                    <w:adjustRightInd w:val="0"/>
                    <w:snapToGrid w:val="0"/>
                    <w:jc w:val="center"/>
                    <w:rPr>
                      <w:szCs w:val="21"/>
                    </w:rPr>
                  </w:pPr>
                  <w:r>
                    <w:rPr>
                      <w:rFonts w:hint="eastAsia"/>
                      <w:szCs w:val="21"/>
                    </w:rPr>
                    <w:t>车间无组织烟尘</w:t>
                  </w:r>
                </w:p>
              </w:tc>
              <w:tc>
                <w:tcPr>
                  <w:tcW w:w="938" w:type="pct"/>
                  <w:tcMar>
                    <w:top w:w="15" w:type="dxa"/>
                    <w:left w:w="15" w:type="dxa"/>
                    <w:right w:w="15" w:type="dxa"/>
                  </w:tcMar>
                  <w:vAlign w:val="center"/>
                </w:tcPr>
                <w:p w14:paraId="7285A38D">
                  <w:pPr>
                    <w:adjustRightInd w:val="0"/>
                    <w:snapToGrid w:val="0"/>
                    <w:jc w:val="center"/>
                    <w:textAlignment w:val="baseline"/>
                    <w:rPr>
                      <w:szCs w:val="21"/>
                    </w:rPr>
                  </w:pPr>
                  <w:r>
                    <w:rPr>
                      <w:rFonts w:hint="eastAsia"/>
                      <w:szCs w:val="21"/>
                    </w:rPr>
                    <w:t>颗粒物</w:t>
                  </w:r>
                </w:p>
              </w:tc>
              <w:tc>
                <w:tcPr>
                  <w:tcW w:w="2472" w:type="pct"/>
                  <w:tcMar>
                    <w:top w:w="15" w:type="dxa"/>
                    <w:left w:w="15" w:type="dxa"/>
                    <w:right w:w="15" w:type="dxa"/>
                  </w:tcMar>
                  <w:vAlign w:val="center"/>
                </w:tcPr>
                <w:p w14:paraId="0BE044CC">
                  <w:pPr>
                    <w:adjustRightInd w:val="0"/>
                    <w:snapToGrid w:val="0"/>
                    <w:jc w:val="center"/>
                    <w:rPr>
                      <w:szCs w:val="21"/>
                    </w:rPr>
                  </w:pPr>
                  <w:r>
                    <w:rPr>
                      <w:rFonts w:hint="eastAsia"/>
                      <w:szCs w:val="21"/>
                    </w:rPr>
                    <w:t>项目车间改造为封闭式厂房。</w:t>
                  </w:r>
                </w:p>
              </w:tc>
            </w:tr>
            <w:tr w14:paraId="3A5ED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83" w:type="pct"/>
                  <w:vMerge w:val="restart"/>
                  <w:tcMar>
                    <w:top w:w="15" w:type="dxa"/>
                    <w:left w:w="15" w:type="dxa"/>
                    <w:right w:w="15" w:type="dxa"/>
                  </w:tcMar>
                  <w:vAlign w:val="center"/>
                </w:tcPr>
                <w:p w14:paraId="0887F3FA">
                  <w:pPr>
                    <w:adjustRightInd w:val="0"/>
                    <w:snapToGrid w:val="0"/>
                    <w:jc w:val="center"/>
                    <w:textAlignment w:val="baseline"/>
                    <w:rPr>
                      <w:szCs w:val="21"/>
                    </w:rPr>
                  </w:pPr>
                  <w:r>
                    <w:rPr>
                      <w:szCs w:val="21"/>
                    </w:rPr>
                    <w:t>废水</w:t>
                  </w:r>
                </w:p>
              </w:tc>
              <w:tc>
                <w:tcPr>
                  <w:tcW w:w="1007" w:type="pct"/>
                  <w:tcMar>
                    <w:top w:w="15" w:type="dxa"/>
                    <w:left w:w="15" w:type="dxa"/>
                    <w:right w:w="15" w:type="dxa"/>
                  </w:tcMar>
                  <w:vAlign w:val="center"/>
                </w:tcPr>
                <w:p w14:paraId="62A7727E">
                  <w:pPr>
                    <w:adjustRightInd w:val="0"/>
                    <w:snapToGrid w:val="0"/>
                    <w:jc w:val="center"/>
                    <w:textAlignment w:val="baseline"/>
                    <w:rPr>
                      <w:szCs w:val="21"/>
                    </w:rPr>
                  </w:pPr>
                  <w:r>
                    <w:rPr>
                      <w:rFonts w:hint="eastAsia"/>
                      <w:szCs w:val="21"/>
                    </w:rPr>
                    <w:t>生活污水</w:t>
                  </w:r>
                </w:p>
              </w:tc>
              <w:tc>
                <w:tcPr>
                  <w:tcW w:w="938" w:type="pct"/>
                  <w:tcMar>
                    <w:top w:w="15" w:type="dxa"/>
                    <w:left w:w="15" w:type="dxa"/>
                    <w:right w:w="15" w:type="dxa"/>
                  </w:tcMar>
                  <w:vAlign w:val="center"/>
                </w:tcPr>
                <w:p w14:paraId="4CE04036">
                  <w:pPr>
                    <w:adjustRightInd w:val="0"/>
                    <w:snapToGrid w:val="0"/>
                    <w:jc w:val="center"/>
                    <w:textAlignment w:val="baseline"/>
                    <w:rPr>
                      <w:szCs w:val="21"/>
                    </w:rPr>
                  </w:pPr>
                  <w:r>
                    <w:rPr>
                      <w:rFonts w:hint="eastAsia"/>
                      <w:szCs w:val="21"/>
                    </w:rPr>
                    <w:t>COD、BOD</w:t>
                  </w:r>
                  <w:r>
                    <w:rPr>
                      <w:szCs w:val="21"/>
                      <w:vertAlign w:val="subscript"/>
                    </w:rPr>
                    <w:t>5</w:t>
                  </w:r>
                  <w:r>
                    <w:rPr>
                      <w:rFonts w:hint="eastAsia"/>
                      <w:szCs w:val="21"/>
                    </w:rPr>
                    <w:t>、N</w:t>
                  </w:r>
                  <w:r>
                    <w:rPr>
                      <w:szCs w:val="21"/>
                    </w:rPr>
                    <w:t>H</w:t>
                  </w:r>
                  <w:r>
                    <w:rPr>
                      <w:szCs w:val="21"/>
                      <w:vertAlign w:val="subscript"/>
                    </w:rPr>
                    <w:t>3</w:t>
                  </w:r>
                  <w:r>
                    <w:rPr>
                      <w:szCs w:val="21"/>
                    </w:rPr>
                    <w:t>-N</w:t>
                  </w:r>
                  <w:r>
                    <w:rPr>
                      <w:rFonts w:hint="eastAsia"/>
                      <w:szCs w:val="21"/>
                    </w:rPr>
                    <w:t>、T</w:t>
                  </w:r>
                  <w:r>
                    <w:rPr>
                      <w:szCs w:val="21"/>
                    </w:rPr>
                    <w:t>P</w:t>
                  </w:r>
                </w:p>
              </w:tc>
              <w:tc>
                <w:tcPr>
                  <w:tcW w:w="2472" w:type="pct"/>
                  <w:tcMar>
                    <w:top w:w="15" w:type="dxa"/>
                    <w:left w:w="15" w:type="dxa"/>
                    <w:right w:w="15" w:type="dxa"/>
                  </w:tcMar>
                  <w:vAlign w:val="center"/>
                </w:tcPr>
                <w:p w14:paraId="520C3BCC">
                  <w:pPr>
                    <w:adjustRightInd w:val="0"/>
                    <w:snapToGrid w:val="0"/>
                    <w:jc w:val="center"/>
                    <w:textAlignment w:val="baseline"/>
                    <w:rPr>
                      <w:szCs w:val="21"/>
                    </w:rPr>
                  </w:pPr>
                  <w:r>
                    <w:rPr>
                      <w:szCs w:val="21"/>
                    </w:rPr>
                    <w:t>依托现有</w:t>
                  </w:r>
                  <w:r>
                    <w:rPr>
                      <w:rFonts w:hint="eastAsia"/>
                      <w:szCs w:val="21"/>
                    </w:rPr>
                    <w:t>污水处理设施，处理达标后用于直接冷却水的补充水，不外排。</w:t>
                  </w:r>
                </w:p>
              </w:tc>
            </w:tr>
            <w:tr w14:paraId="5E2E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83" w:type="pct"/>
                  <w:vMerge w:val="continue"/>
                  <w:tcMar>
                    <w:top w:w="15" w:type="dxa"/>
                    <w:left w:w="15" w:type="dxa"/>
                    <w:right w:w="15" w:type="dxa"/>
                  </w:tcMar>
                  <w:vAlign w:val="center"/>
                </w:tcPr>
                <w:p w14:paraId="632AD7A6">
                  <w:pPr>
                    <w:adjustRightInd w:val="0"/>
                    <w:snapToGrid w:val="0"/>
                    <w:jc w:val="center"/>
                    <w:textAlignment w:val="baseline"/>
                    <w:rPr>
                      <w:szCs w:val="21"/>
                    </w:rPr>
                  </w:pPr>
                </w:p>
              </w:tc>
              <w:tc>
                <w:tcPr>
                  <w:tcW w:w="1007" w:type="pct"/>
                  <w:tcMar>
                    <w:top w:w="15" w:type="dxa"/>
                    <w:left w:w="15" w:type="dxa"/>
                    <w:right w:w="15" w:type="dxa"/>
                  </w:tcMar>
                  <w:vAlign w:val="center"/>
                </w:tcPr>
                <w:p w14:paraId="7D9FD6DD">
                  <w:pPr>
                    <w:adjustRightInd w:val="0"/>
                    <w:snapToGrid w:val="0"/>
                    <w:jc w:val="center"/>
                    <w:textAlignment w:val="baseline"/>
                    <w:rPr>
                      <w:szCs w:val="21"/>
                    </w:rPr>
                  </w:pPr>
                  <w:r>
                    <w:rPr>
                      <w:rFonts w:hint="eastAsia"/>
                      <w:szCs w:val="21"/>
                    </w:rPr>
                    <w:t>直接冷却水</w:t>
                  </w:r>
                </w:p>
              </w:tc>
              <w:tc>
                <w:tcPr>
                  <w:tcW w:w="938" w:type="pct"/>
                  <w:tcMar>
                    <w:top w:w="15" w:type="dxa"/>
                    <w:left w:w="15" w:type="dxa"/>
                    <w:right w:w="15" w:type="dxa"/>
                  </w:tcMar>
                  <w:vAlign w:val="center"/>
                </w:tcPr>
                <w:p w14:paraId="7802DB23">
                  <w:pPr>
                    <w:adjustRightInd w:val="0"/>
                    <w:snapToGrid w:val="0"/>
                    <w:jc w:val="center"/>
                    <w:textAlignment w:val="baseline"/>
                    <w:rPr>
                      <w:szCs w:val="21"/>
                    </w:rPr>
                  </w:pPr>
                  <w:r>
                    <w:rPr>
                      <w:szCs w:val="21"/>
                    </w:rPr>
                    <w:t>COD</w:t>
                  </w:r>
                  <w:r>
                    <w:rPr>
                      <w:rFonts w:hint="eastAsia"/>
                      <w:szCs w:val="21"/>
                    </w:rPr>
                    <w:t>、S</w:t>
                  </w:r>
                  <w:r>
                    <w:rPr>
                      <w:szCs w:val="21"/>
                    </w:rPr>
                    <w:t>S</w:t>
                  </w:r>
                </w:p>
              </w:tc>
              <w:tc>
                <w:tcPr>
                  <w:tcW w:w="2472" w:type="pct"/>
                  <w:tcMar>
                    <w:top w:w="15" w:type="dxa"/>
                    <w:left w:w="15" w:type="dxa"/>
                    <w:right w:w="15" w:type="dxa"/>
                  </w:tcMar>
                  <w:vAlign w:val="center"/>
                </w:tcPr>
                <w:p w14:paraId="209DBB7D">
                  <w:pPr>
                    <w:adjustRightInd w:val="0"/>
                    <w:snapToGrid w:val="0"/>
                    <w:jc w:val="center"/>
                    <w:textAlignment w:val="baseline"/>
                    <w:rPr>
                      <w:szCs w:val="21"/>
                    </w:rPr>
                  </w:pPr>
                  <w:r>
                    <w:rPr>
                      <w:rFonts w:hint="eastAsia"/>
                      <w:szCs w:val="21"/>
                    </w:rPr>
                    <w:t>经焊管车间浊循环水池冷却后循环使用，不外排，定期补水。</w:t>
                  </w:r>
                </w:p>
              </w:tc>
            </w:tr>
            <w:tr w14:paraId="5417B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83" w:type="pct"/>
                  <w:vMerge w:val="continue"/>
                  <w:tcMar>
                    <w:top w:w="15" w:type="dxa"/>
                    <w:left w:w="15" w:type="dxa"/>
                    <w:right w:w="15" w:type="dxa"/>
                  </w:tcMar>
                  <w:vAlign w:val="center"/>
                </w:tcPr>
                <w:p w14:paraId="346FD827">
                  <w:pPr>
                    <w:adjustRightInd w:val="0"/>
                    <w:snapToGrid w:val="0"/>
                    <w:jc w:val="center"/>
                    <w:textAlignment w:val="baseline"/>
                    <w:rPr>
                      <w:szCs w:val="21"/>
                    </w:rPr>
                  </w:pPr>
                </w:p>
              </w:tc>
              <w:tc>
                <w:tcPr>
                  <w:tcW w:w="1007" w:type="pct"/>
                  <w:tcMar>
                    <w:top w:w="15" w:type="dxa"/>
                    <w:left w:w="15" w:type="dxa"/>
                    <w:right w:w="15" w:type="dxa"/>
                  </w:tcMar>
                  <w:vAlign w:val="center"/>
                </w:tcPr>
                <w:p w14:paraId="41C43133">
                  <w:pPr>
                    <w:adjustRightInd w:val="0"/>
                    <w:snapToGrid w:val="0"/>
                    <w:jc w:val="center"/>
                    <w:textAlignment w:val="baseline"/>
                    <w:rPr>
                      <w:szCs w:val="21"/>
                    </w:rPr>
                  </w:pPr>
                  <w:r>
                    <w:rPr>
                      <w:rFonts w:hint="eastAsia"/>
                      <w:szCs w:val="21"/>
                    </w:rPr>
                    <w:t>间接冷却水</w:t>
                  </w:r>
                </w:p>
              </w:tc>
              <w:tc>
                <w:tcPr>
                  <w:tcW w:w="938" w:type="pct"/>
                  <w:tcMar>
                    <w:top w:w="15" w:type="dxa"/>
                    <w:left w:w="15" w:type="dxa"/>
                    <w:right w:w="15" w:type="dxa"/>
                  </w:tcMar>
                  <w:vAlign w:val="center"/>
                </w:tcPr>
                <w:p w14:paraId="1EA053FC">
                  <w:pPr>
                    <w:adjustRightInd w:val="0"/>
                    <w:snapToGrid w:val="0"/>
                    <w:jc w:val="center"/>
                    <w:textAlignment w:val="baseline"/>
                    <w:rPr>
                      <w:szCs w:val="21"/>
                    </w:rPr>
                  </w:pPr>
                  <w:r>
                    <w:rPr>
                      <w:rFonts w:hint="eastAsia"/>
                      <w:szCs w:val="21"/>
                    </w:rPr>
                    <w:t>S</w:t>
                  </w:r>
                  <w:r>
                    <w:rPr>
                      <w:szCs w:val="21"/>
                    </w:rPr>
                    <w:t>S</w:t>
                  </w:r>
                </w:p>
              </w:tc>
              <w:tc>
                <w:tcPr>
                  <w:tcW w:w="2472" w:type="pct"/>
                  <w:tcMar>
                    <w:top w:w="15" w:type="dxa"/>
                    <w:left w:w="15" w:type="dxa"/>
                    <w:right w:w="15" w:type="dxa"/>
                  </w:tcMar>
                  <w:vAlign w:val="center"/>
                </w:tcPr>
                <w:p w14:paraId="07C2B7F4">
                  <w:pPr>
                    <w:adjustRightInd w:val="0"/>
                    <w:snapToGrid w:val="0"/>
                    <w:jc w:val="center"/>
                    <w:textAlignment w:val="baseline"/>
                    <w:rPr>
                      <w:szCs w:val="21"/>
                    </w:rPr>
                  </w:pPr>
                  <w:r>
                    <w:rPr>
                      <w:rFonts w:hint="eastAsia"/>
                      <w:szCs w:val="21"/>
                    </w:rPr>
                    <w:t>经焊管设备净循环水池冷却后循环使用，不外排，定期补水。</w:t>
                  </w:r>
                </w:p>
              </w:tc>
            </w:tr>
            <w:tr w14:paraId="49630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83" w:type="pct"/>
                  <w:tcMar>
                    <w:top w:w="15" w:type="dxa"/>
                    <w:left w:w="15" w:type="dxa"/>
                    <w:right w:w="15" w:type="dxa"/>
                  </w:tcMar>
                  <w:vAlign w:val="center"/>
                </w:tcPr>
                <w:p w14:paraId="2BF22BC1">
                  <w:pPr>
                    <w:adjustRightInd w:val="0"/>
                    <w:snapToGrid w:val="0"/>
                    <w:jc w:val="center"/>
                    <w:textAlignment w:val="baseline"/>
                    <w:rPr>
                      <w:szCs w:val="21"/>
                    </w:rPr>
                  </w:pPr>
                  <w:r>
                    <w:rPr>
                      <w:szCs w:val="21"/>
                    </w:rPr>
                    <w:t>噪声</w:t>
                  </w:r>
                </w:p>
              </w:tc>
              <w:tc>
                <w:tcPr>
                  <w:tcW w:w="1007" w:type="pct"/>
                  <w:tcMar>
                    <w:top w:w="15" w:type="dxa"/>
                    <w:left w:w="15" w:type="dxa"/>
                    <w:right w:w="15" w:type="dxa"/>
                  </w:tcMar>
                  <w:vAlign w:val="center"/>
                </w:tcPr>
                <w:p w14:paraId="048567E1">
                  <w:pPr>
                    <w:adjustRightInd w:val="0"/>
                    <w:snapToGrid w:val="0"/>
                    <w:jc w:val="center"/>
                    <w:textAlignment w:val="baseline"/>
                    <w:rPr>
                      <w:szCs w:val="21"/>
                    </w:rPr>
                  </w:pPr>
                  <w:r>
                    <w:rPr>
                      <w:rFonts w:hint="eastAsia"/>
                      <w:szCs w:val="21"/>
                    </w:rPr>
                    <w:t>生产设备</w:t>
                  </w:r>
                </w:p>
              </w:tc>
              <w:tc>
                <w:tcPr>
                  <w:tcW w:w="938" w:type="pct"/>
                  <w:tcMar>
                    <w:top w:w="15" w:type="dxa"/>
                    <w:left w:w="15" w:type="dxa"/>
                    <w:right w:w="15" w:type="dxa"/>
                  </w:tcMar>
                  <w:vAlign w:val="center"/>
                </w:tcPr>
                <w:p w14:paraId="0CEED146">
                  <w:pPr>
                    <w:adjustRightInd w:val="0"/>
                    <w:snapToGrid w:val="0"/>
                    <w:jc w:val="center"/>
                    <w:textAlignment w:val="baseline"/>
                    <w:rPr>
                      <w:szCs w:val="21"/>
                    </w:rPr>
                  </w:pPr>
                  <w:r>
                    <w:rPr>
                      <w:szCs w:val="21"/>
                    </w:rPr>
                    <w:t>L</w:t>
                  </w:r>
                  <w:r>
                    <w:rPr>
                      <w:szCs w:val="21"/>
                      <w:vertAlign w:val="subscript"/>
                    </w:rPr>
                    <w:t>Aeq</w:t>
                  </w:r>
                </w:p>
              </w:tc>
              <w:tc>
                <w:tcPr>
                  <w:tcW w:w="2472" w:type="pct"/>
                  <w:tcMar>
                    <w:top w:w="15" w:type="dxa"/>
                    <w:left w:w="15" w:type="dxa"/>
                    <w:right w:w="15" w:type="dxa"/>
                  </w:tcMar>
                  <w:vAlign w:val="center"/>
                </w:tcPr>
                <w:p w14:paraId="40DF1630">
                  <w:pPr>
                    <w:adjustRightInd w:val="0"/>
                    <w:snapToGrid w:val="0"/>
                    <w:jc w:val="center"/>
                    <w:textAlignment w:val="baseline"/>
                    <w:rPr>
                      <w:szCs w:val="21"/>
                    </w:rPr>
                  </w:pPr>
                  <w:r>
                    <w:rPr>
                      <w:rFonts w:hint="eastAsia"/>
                      <w:szCs w:val="21"/>
                    </w:rPr>
                    <w:t>厂房隔声，基础减振、加装消声器</w:t>
                  </w:r>
                  <w:r>
                    <w:rPr>
                      <w:szCs w:val="21"/>
                    </w:rPr>
                    <w:t>等措施</w:t>
                  </w:r>
                </w:p>
              </w:tc>
            </w:tr>
            <w:tr w14:paraId="1C5E8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83" w:type="pct"/>
                  <w:vMerge w:val="restart"/>
                  <w:tcMar>
                    <w:top w:w="15" w:type="dxa"/>
                    <w:left w:w="15" w:type="dxa"/>
                    <w:right w:w="15" w:type="dxa"/>
                  </w:tcMar>
                  <w:vAlign w:val="center"/>
                </w:tcPr>
                <w:p w14:paraId="77DAB54A">
                  <w:pPr>
                    <w:adjustRightInd w:val="0"/>
                    <w:snapToGrid w:val="0"/>
                    <w:jc w:val="center"/>
                    <w:textAlignment w:val="baseline"/>
                    <w:rPr>
                      <w:szCs w:val="21"/>
                    </w:rPr>
                  </w:pPr>
                  <w:r>
                    <w:rPr>
                      <w:szCs w:val="21"/>
                    </w:rPr>
                    <w:t>固体废物</w:t>
                  </w:r>
                </w:p>
              </w:tc>
              <w:tc>
                <w:tcPr>
                  <w:tcW w:w="1007" w:type="pct"/>
                  <w:vMerge w:val="restart"/>
                  <w:tcMar>
                    <w:top w:w="15" w:type="dxa"/>
                    <w:left w:w="15" w:type="dxa"/>
                    <w:right w:w="15" w:type="dxa"/>
                  </w:tcMar>
                  <w:vAlign w:val="center"/>
                </w:tcPr>
                <w:p w14:paraId="1C69CC40">
                  <w:pPr>
                    <w:adjustRightInd w:val="0"/>
                    <w:snapToGrid w:val="0"/>
                    <w:jc w:val="center"/>
                    <w:textAlignment w:val="baseline"/>
                    <w:rPr>
                      <w:szCs w:val="21"/>
                    </w:rPr>
                  </w:pPr>
                  <w:r>
                    <w:rPr>
                      <w:rFonts w:hint="eastAsia"/>
                      <w:szCs w:val="21"/>
                    </w:rPr>
                    <w:t>生产过程</w:t>
                  </w:r>
                </w:p>
              </w:tc>
              <w:tc>
                <w:tcPr>
                  <w:tcW w:w="938" w:type="pct"/>
                  <w:tcMar>
                    <w:top w:w="15" w:type="dxa"/>
                    <w:left w:w="15" w:type="dxa"/>
                    <w:right w:w="15" w:type="dxa"/>
                  </w:tcMar>
                  <w:vAlign w:val="center"/>
                </w:tcPr>
                <w:p w14:paraId="21CD6A2D">
                  <w:pPr>
                    <w:adjustRightInd w:val="0"/>
                    <w:snapToGrid w:val="0"/>
                    <w:jc w:val="center"/>
                    <w:textAlignment w:val="baseline"/>
                    <w:rPr>
                      <w:szCs w:val="21"/>
                    </w:rPr>
                  </w:pPr>
                  <w:r>
                    <w:t>废边角料</w:t>
                  </w:r>
                  <w:r>
                    <w:rPr>
                      <w:rFonts w:hint="eastAsia"/>
                    </w:rPr>
                    <w:t>、不合格产品、金属沉渣</w:t>
                  </w:r>
                </w:p>
              </w:tc>
              <w:tc>
                <w:tcPr>
                  <w:tcW w:w="2472" w:type="pct"/>
                  <w:tcMar>
                    <w:top w:w="15" w:type="dxa"/>
                    <w:left w:w="15" w:type="dxa"/>
                    <w:right w:w="15" w:type="dxa"/>
                  </w:tcMar>
                  <w:vAlign w:val="center"/>
                </w:tcPr>
                <w:p w14:paraId="606EF94B">
                  <w:pPr>
                    <w:adjustRightInd w:val="0"/>
                    <w:snapToGrid w:val="0"/>
                    <w:jc w:val="center"/>
                    <w:textAlignment w:val="baseline"/>
                    <w:rPr>
                      <w:szCs w:val="21"/>
                    </w:rPr>
                  </w:pPr>
                  <w:r>
                    <w:rPr>
                      <w:rFonts w:hint="eastAsia"/>
                      <w:szCs w:val="21"/>
                    </w:rPr>
                    <w:t>收集后暂存于一般固废收集箱，外售处置。</w:t>
                  </w:r>
                </w:p>
              </w:tc>
            </w:tr>
            <w:tr w14:paraId="14947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83" w:type="pct"/>
                  <w:vMerge w:val="continue"/>
                  <w:tcMar>
                    <w:top w:w="15" w:type="dxa"/>
                    <w:left w:w="15" w:type="dxa"/>
                    <w:right w:w="15" w:type="dxa"/>
                  </w:tcMar>
                  <w:vAlign w:val="center"/>
                </w:tcPr>
                <w:p w14:paraId="7275F68F">
                  <w:pPr>
                    <w:adjustRightInd w:val="0"/>
                    <w:snapToGrid w:val="0"/>
                    <w:jc w:val="center"/>
                    <w:textAlignment w:val="baseline"/>
                    <w:rPr>
                      <w:szCs w:val="21"/>
                    </w:rPr>
                  </w:pPr>
                </w:p>
              </w:tc>
              <w:tc>
                <w:tcPr>
                  <w:tcW w:w="1007" w:type="pct"/>
                  <w:vMerge w:val="continue"/>
                  <w:tcMar>
                    <w:top w:w="15" w:type="dxa"/>
                    <w:left w:w="15" w:type="dxa"/>
                    <w:right w:w="15" w:type="dxa"/>
                  </w:tcMar>
                  <w:vAlign w:val="center"/>
                </w:tcPr>
                <w:p w14:paraId="3280B586">
                  <w:pPr>
                    <w:adjustRightInd w:val="0"/>
                    <w:snapToGrid w:val="0"/>
                    <w:jc w:val="center"/>
                    <w:textAlignment w:val="baseline"/>
                    <w:rPr>
                      <w:szCs w:val="21"/>
                    </w:rPr>
                  </w:pPr>
                </w:p>
              </w:tc>
              <w:tc>
                <w:tcPr>
                  <w:tcW w:w="938" w:type="pct"/>
                  <w:tcMar>
                    <w:top w:w="15" w:type="dxa"/>
                    <w:left w:w="15" w:type="dxa"/>
                    <w:right w:w="15" w:type="dxa"/>
                  </w:tcMar>
                  <w:vAlign w:val="center"/>
                </w:tcPr>
                <w:p w14:paraId="0EC0ACF9">
                  <w:pPr>
                    <w:adjustRightInd w:val="0"/>
                    <w:snapToGrid w:val="0"/>
                    <w:jc w:val="center"/>
                    <w:textAlignment w:val="baseline"/>
                  </w:pPr>
                  <w:r>
                    <w:rPr>
                      <w:rFonts w:hint="eastAsia"/>
                      <w:szCs w:val="21"/>
                    </w:rPr>
                    <w:t>布袋除尘器收集除尘灰</w:t>
                  </w:r>
                </w:p>
              </w:tc>
              <w:tc>
                <w:tcPr>
                  <w:tcW w:w="2472" w:type="pct"/>
                  <w:tcMar>
                    <w:top w:w="15" w:type="dxa"/>
                    <w:left w:w="15" w:type="dxa"/>
                    <w:right w:w="15" w:type="dxa"/>
                  </w:tcMar>
                  <w:vAlign w:val="center"/>
                </w:tcPr>
                <w:p w14:paraId="10B89763">
                  <w:pPr>
                    <w:adjustRightInd w:val="0"/>
                    <w:snapToGrid w:val="0"/>
                    <w:jc w:val="center"/>
                    <w:textAlignment w:val="baseline"/>
                    <w:rPr>
                      <w:szCs w:val="21"/>
                    </w:rPr>
                  </w:pPr>
                  <w:r>
                    <w:rPr>
                      <w:rFonts w:hint="eastAsia"/>
                      <w:szCs w:val="21"/>
                    </w:rPr>
                    <w:t>收集后暂存于一般固废收集箱，外售处置。</w:t>
                  </w:r>
                </w:p>
              </w:tc>
            </w:tr>
            <w:tr w14:paraId="1D53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83" w:type="pct"/>
                  <w:vMerge w:val="continue"/>
                  <w:tcMar>
                    <w:top w:w="15" w:type="dxa"/>
                    <w:left w:w="15" w:type="dxa"/>
                    <w:right w:w="15" w:type="dxa"/>
                  </w:tcMar>
                  <w:vAlign w:val="center"/>
                </w:tcPr>
                <w:p w14:paraId="1F8CEA4E">
                  <w:pPr>
                    <w:adjustRightInd w:val="0"/>
                    <w:snapToGrid w:val="0"/>
                    <w:jc w:val="center"/>
                    <w:textAlignment w:val="baseline"/>
                    <w:rPr>
                      <w:szCs w:val="21"/>
                    </w:rPr>
                  </w:pPr>
                </w:p>
              </w:tc>
              <w:tc>
                <w:tcPr>
                  <w:tcW w:w="1007" w:type="pct"/>
                  <w:vMerge w:val="continue"/>
                  <w:tcMar>
                    <w:top w:w="15" w:type="dxa"/>
                    <w:left w:w="15" w:type="dxa"/>
                    <w:right w:w="15" w:type="dxa"/>
                  </w:tcMar>
                  <w:vAlign w:val="center"/>
                </w:tcPr>
                <w:p w14:paraId="7C0582BB">
                  <w:pPr>
                    <w:adjustRightInd w:val="0"/>
                    <w:snapToGrid w:val="0"/>
                    <w:jc w:val="center"/>
                    <w:textAlignment w:val="baseline"/>
                    <w:rPr>
                      <w:szCs w:val="21"/>
                    </w:rPr>
                  </w:pPr>
                </w:p>
              </w:tc>
              <w:tc>
                <w:tcPr>
                  <w:tcW w:w="938" w:type="pct"/>
                  <w:tcMar>
                    <w:top w:w="15" w:type="dxa"/>
                    <w:left w:w="15" w:type="dxa"/>
                    <w:right w:w="15" w:type="dxa"/>
                  </w:tcMar>
                  <w:vAlign w:val="center"/>
                </w:tcPr>
                <w:p w14:paraId="7A753C50">
                  <w:pPr>
                    <w:adjustRightInd w:val="0"/>
                    <w:snapToGrid w:val="0"/>
                    <w:jc w:val="center"/>
                    <w:textAlignment w:val="baseline"/>
                  </w:pPr>
                  <w:r>
                    <w:rPr>
                      <w:rFonts w:hint="eastAsia"/>
                      <w:kern w:val="0"/>
                      <w:szCs w:val="21"/>
                      <w:lang w:bidi="ar"/>
                    </w:rPr>
                    <w:t>废机油和废油桶</w:t>
                  </w:r>
                </w:p>
              </w:tc>
              <w:tc>
                <w:tcPr>
                  <w:tcW w:w="2472" w:type="pct"/>
                  <w:tcMar>
                    <w:top w:w="15" w:type="dxa"/>
                    <w:left w:w="15" w:type="dxa"/>
                    <w:right w:w="15" w:type="dxa"/>
                  </w:tcMar>
                  <w:vAlign w:val="center"/>
                </w:tcPr>
                <w:p w14:paraId="7E97B6FB">
                  <w:pPr>
                    <w:adjustRightInd w:val="0"/>
                    <w:snapToGrid w:val="0"/>
                    <w:jc w:val="center"/>
                    <w:textAlignment w:val="baseline"/>
                    <w:rPr>
                      <w:szCs w:val="21"/>
                    </w:rPr>
                  </w:pPr>
                  <w:r>
                    <w:rPr>
                      <w:rFonts w:hint="eastAsia"/>
                      <w:szCs w:val="21"/>
                    </w:rPr>
                    <w:t>统一收集后暂存于现有项目危废暂存间，定期交由有资质的单位进行处置</w:t>
                  </w:r>
                </w:p>
              </w:tc>
            </w:tr>
            <w:tr w14:paraId="1BC0E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83" w:type="pct"/>
                  <w:vMerge w:val="continue"/>
                  <w:tcMar>
                    <w:top w:w="15" w:type="dxa"/>
                    <w:left w:w="15" w:type="dxa"/>
                    <w:right w:w="15" w:type="dxa"/>
                  </w:tcMar>
                  <w:vAlign w:val="center"/>
                </w:tcPr>
                <w:p w14:paraId="2D3AB9E4">
                  <w:pPr>
                    <w:adjustRightInd w:val="0"/>
                    <w:snapToGrid w:val="0"/>
                    <w:jc w:val="center"/>
                    <w:textAlignment w:val="baseline"/>
                    <w:rPr>
                      <w:szCs w:val="21"/>
                    </w:rPr>
                  </w:pPr>
                </w:p>
              </w:tc>
              <w:tc>
                <w:tcPr>
                  <w:tcW w:w="1007" w:type="pct"/>
                  <w:tcMar>
                    <w:top w:w="15" w:type="dxa"/>
                    <w:left w:w="15" w:type="dxa"/>
                    <w:right w:w="15" w:type="dxa"/>
                  </w:tcMar>
                  <w:vAlign w:val="center"/>
                </w:tcPr>
                <w:p w14:paraId="40FA2237">
                  <w:pPr>
                    <w:adjustRightInd w:val="0"/>
                    <w:snapToGrid w:val="0"/>
                    <w:jc w:val="center"/>
                    <w:textAlignment w:val="baseline"/>
                    <w:rPr>
                      <w:szCs w:val="21"/>
                    </w:rPr>
                  </w:pPr>
                  <w:r>
                    <w:rPr>
                      <w:rFonts w:hint="eastAsia"/>
                      <w:szCs w:val="21"/>
                    </w:rPr>
                    <w:t>员工生活</w:t>
                  </w:r>
                </w:p>
              </w:tc>
              <w:tc>
                <w:tcPr>
                  <w:tcW w:w="938" w:type="pct"/>
                  <w:tcMar>
                    <w:top w:w="15" w:type="dxa"/>
                    <w:left w:w="15" w:type="dxa"/>
                    <w:right w:w="15" w:type="dxa"/>
                  </w:tcMar>
                  <w:vAlign w:val="center"/>
                </w:tcPr>
                <w:p w14:paraId="56FF6F45">
                  <w:pPr>
                    <w:adjustRightInd w:val="0"/>
                    <w:snapToGrid w:val="0"/>
                    <w:jc w:val="center"/>
                    <w:textAlignment w:val="baseline"/>
                    <w:rPr>
                      <w:szCs w:val="21"/>
                    </w:rPr>
                  </w:pPr>
                  <w:r>
                    <w:rPr>
                      <w:rFonts w:hint="eastAsia"/>
                      <w:szCs w:val="21"/>
                    </w:rPr>
                    <w:t>生活垃圾</w:t>
                  </w:r>
                </w:p>
              </w:tc>
              <w:tc>
                <w:tcPr>
                  <w:tcW w:w="2472" w:type="pct"/>
                  <w:tcMar>
                    <w:top w:w="15" w:type="dxa"/>
                    <w:left w:w="15" w:type="dxa"/>
                    <w:right w:w="15" w:type="dxa"/>
                  </w:tcMar>
                  <w:vAlign w:val="center"/>
                </w:tcPr>
                <w:p w14:paraId="205C9B5C">
                  <w:pPr>
                    <w:adjustRightInd w:val="0"/>
                    <w:snapToGrid w:val="0"/>
                    <w:jc w:val="center"/>
                    <w:textAlignment w:val="baseline"/>
                    <w:rPr>
                      <w:szCs w:val="21"/>
                    </w:rPr>
                  </w:pPr>
                  <w:r>
                    <w:rPr>
                      <w:szCs w:val="21"/>
                    </w:rPr>
                    <w:t>生活垃圾</w:t>
                  </w:r>
                  <w:r>
                    <w:rPr>
                      <w:rFonts w:hint="eastAsia" w:asciiTheme="minorEastAsia" w:hAnsiTheme="minorEastAsia" w:eastAsiaTheme="minorEastAsia"/>
                      <w:szCs w:val="21"/>
                    </w:rPr>
                    <w:t>委托环卫部门清运处置</w:t>
                  </w:r>
                </w:p>
              </w:tc>
            </w:tr>
            <w:tr w14:paraId="70660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83" w:type="pct"/>
                  <w:vMerge w:val="continue"/>
                  <w:tcMar>
                    <w:top w:w="15" w:type="dxa"/>
                    <w:left w:w="15" w:type="dxa"/>
                    <w:right w:w="15" w:type="dxa"/>
                  </w:tcMar>
                  <w:vAlign w:val="center"/>
                </w:tcPr>
                <w:p w14:paraId="5209DDCF">
                  <w:pPr>
                    <w:adjustRightInd w:val="0"/>
                    <w:snapToGrid w:val="0"/>
                    <w:jc w:val="center"/>
                    <w:textAlignment w:val="baseline"/>
                    <w:rPr>
                      <w:szCs w:val="21"/>
                    </w:rPr>
                  </w:pPr>
                  <w:bookmarkStart w:id="14" w:name="_Hlk157611568"/>
                </w:p>
              </w:tc>
              <w:tc>
                <w:tcPr>
                  <w:tcW w:w="1007" w:type="pct"/>
                  <w:tcMar>
                    <w:top w:w="15" w:type="dxa"/>
                    <w:left w:w="15" w:type="dxa"/>
                    <w:right w:w="15" w:type="dxa"/>
                  </w:tcMar>
                  <w:vAlign w:val="center"/>
                </w:tcPr>
                <w:p w14:paraId="5F8F1E98">
                  <w:pPr>
                    <w:adjustRightInd w:val="0"/>
                    <w:snapToGrid w:val="0"/>
                    <w:jc w:val="center"/>
                    <w:textAlignment w:val="baseline"/>
                    <w:rPr>
                      <w:szCs w:val="21"/>
                    </w:rPr>
                  </w:pPr>
                  <w:r>
                    <w:rPr>
                      <w:rFonts w:hint="eastAsia"/>
                      <w:szCs w:val="21"/>
                    </w:rPr>
                    <w:t>污泥</w:t>
                  </w:r>
                </w:p>
              </w:tc>
              <w:tc>
                <w:tcPr>
                  <w:tcW w:w="938" w:type="pct"/>
                  <w:tcMar>
                    <w:top w:w="15" w:type="dxa"/>
                    <w:left w:w="15" w:type="dxa"/>
                    <w:right w:w="15" w:type="dxa"/>
                  </w:tcMar>
                  <w:vAlign w:val="center"/>
                </w:tcPr>
                <w:p w14:paraId="1095A99A">
                  <w:pPr>
                    <w:adjustRightInd w:val="0"/>
                    <w:snapToGrid w:val="0"/>
                    <w:jc w:val="center"/>
                    <w:textAlignment w:val="baseline"/>
                    <w:rPr>
                      <w:szCs w:val="21"/>
                    </w:rPr>
                  </w:pPr>
                  <w:r>
                    <w:rPr>
                      <w:rFonts w:hint="eastAsia"/>
                      <w:szCs w:val="21"/>
                    </w:rPr>
                    <w:t>化粪池污泥</w:t>
                  </w:r>
                </w:p>
                <w:p w14:paraId="58984080">
                  <w:pPr>
                    <w:adjustRightInd w:val="0"/>
                    <w:snapToGrid w:val="0"/>
                    <w:jc w:val="center"/>
                    <w:textAlignment w:val="baseline"/>
                    <w:rPr>
                      <w:szCs w:val="21"/>
                    </w:rPr>
                  </w:pPr>
                  <w:r>
                    <w:rPr>
                      <w:rFonts w:hint="eastAsia"/>
                      <w:szCs w:val="21"/>
                    </w:rPr>
                    <w:t>污水处理站污泥</w:t>
                  </w:r>
                </w:p>
              </w:tc>
              <w:tc>
                <w:tcPr>
                  <w:tcW w:w="2472" w:type="pct"/>
                  <w:tcMar>
                    <w:top w:w="15" w:type="dxa"/>
                    <w:left w:w="15" w:type="dxa"/>
                    <w:right w:w="15" w:type="dxa"/>
                  </w:tcMar>
                  <w:vAlign w:val="center"/>
                </w:tcPr>
                <w:p w14:paraId="63EF5A3F">
                  <w:pPr>
                    <w:adjustRightInd w:val="0"/>
                    <w:snapToGrid w:val="0"/>
                    <w:jc w:val="center"/>
                    <w:textAlignment w:val="baseline"/>
                    <w:rPr>
                      <w:szCs w:val="21"/>
                    </w:rPr>
                  </w:pPr>
                  <w:r>
                    <w:rPr>
                      <w:rFonts w:hint="eastAsia"/>
                    </w:rPr>
                    <w:t>化粪池污泥委托环卫部门</w:t>
                  </w:r>
                  <w:r>
                    <w:rPr>
                      <w:rFonts w:hint="eastAsia"/>
                      <w:kern w:val="24"/>
                    </w:rPr>
                    <w:t>清掏处置；</w:t>
                  </w:r>
                  <w:r>
                    <w:rPr>
                      <w:lang w:bidi="ar"/>
                    </w:rPr>
                    <w:t>污水处理站污泥</w:t>
                  </w:r>
                  <w:r>
                    <w:rPr>
                      <w:kern w:val="24"/>
                    </w:rPr>
                    <w:t>定期清掏，</w:t>
                  </w:r>
                  <w:r>
                    <w:rPr>
                      <w:rFonts w:hint="eastAsia"/>
                      <w:kern w:val="24"/>
                      <w:szCs w:val="21"/>
                    </w:rPr>
                    <w:t>回用于</w:t>
                  </w:r>
                  <w:r>
                    <w:rPr>
                      <w:kern w:val="24"/>
                    </w:rPr>
                    <w:t>厂内绿化带施肥</w:t>
                  </w:r>
                  <w:r>
                    <w:rPr>
                      <w:rFonts w:hint="eastAsia"/>
                      <w:kern w:val="24"/>
                    </w:rPr>
                    <w:t>。（依托现有项目）</w:t>
                  </w:r>
                </w:p>
              </w:tc>
            </w:tr>
            <w:bookmarkEnd w:id="14"/>
          </w:tbl>
          <w:p w14:paraId="59DCFA02">
            <w:pPr>
              <w:adjustRightInd w:val="0"/>
              <w:snapToGrid w:val="0"/>
              <w:spacing w:line="360" w:lineRule="auto"/>
              <w:rPr>
                <w:bCs/>
                <w:sz w:val="24"/>
              </w:rPr>
            </w:pPr>
          </w:p>
          <w:p w14:paraId="31A0C10B">
            <w:pPr>
              <w:adjustRightInd w:val="0"/>
              <w:snapToGrid w:val="0"/>
              <w:spacing w:line="360" w:lineRule="auto"/>
              <w:rPr>
                <w:bCs/>
                <w:sz w:val="24"/>
              </w:rPr>
            </w:pPr>
          </w:p>
          <w:p w14:paraId="368D42A1">
            <w:pPr>
              <w:adjustRightInd w:val="0"/>
              <w:snapToGrid w:val="0"/>
              <w:spacing w:line="360" w:lineRule="auto"/>
              <w:rPr>
                <w:bCs/>
                <w:sz w:val="24"/>
              </w:rPr>
            </w:pPr>
          </w:p>
          <w:p w14:paraId="4E952B3A">
            <w:pPr>
              <w:adjustRightInd w:val="0"/>
              <w:snapToGrid w:val="0"/>
              <w:spacing w:line="360" w:lineRule="auto"/>
              <w:rPr>
                <w:bCs/>
                <w:sz w:val="24"/>
              </w:rPr>
            </w:pPr>
          </w:p>
          <w:p w14:paraId="0C097095">
            <w:pPr>
              <w:adjustRightInd w:val="0"/>
              <w:snapToGrid w:val="0"/>
              <w:spacing w:line="360" w:lineRule="auto"/>
              <w:rPr>
                <w:bCs/>
                <w:sz w:val="24"/>
              </w:rPr>
            </w:pPr>
          </w:p>
          <w:p w14:paraId="23121D3A">
            <w:pPr>
              <w:adjustRightInd w:val="0"/>
              <w:snapToGrid w:val="0"/>
              <w:spacing w:line="360" w:lineRule="auto"/>
              <w:rPr>
                <w:bCs/>
                <w:sz w:val="24"/>
              </w:rPr>
            </w:pPr>
          </w:p>
          <w:p w14:paraId="2D0D06C1">
            <w:pPr>
              <w:adjustRightInd w:val="0"/>
              <w:snapToGrid w:val="0"/>
              <w:spacing w:line="360" w:lineRule="auto"/>
              <w:rPr>
                <w:bCs/>
                <w:sz w:val="24"/>
              </w:rPr>
            </w:pPr>
          </w:p>
          <w:p w14:paraId="1FF0CF98">
            <w:pPr>
              <w:adjustRightInd w:val="0"/>
              <w:snapToGrid w:val="0"/>
              <w:spacing w:line="360" w:lineRule="auto"/>
              <w:rPr>
                <w:bCs/>
                <w:sz w:val="24"/>
              </w:rPr>
            </w:pPr>
          </w:p>
          <w:p w14:paraId="0D8FE35A">
            <w:pPr>
              <w:adjustRightInd w:val="0"/>
              <w:snapToGrid w:val="0"/>
              <w:spacing w:line="360" w:lineRule="auto"/>
              <w:rPr>
                <w:bCs/>
                <w:sz w:val="24"/>
              </w:rPr>
            </w:pPr>
          </w:p>
          <w:p w14:paraId="1327A198">
            <w:pPr>
              <w:adjustRightInd w:val="0"/>
              <w:snapToGrid w:val="0"/>
              <w:spacing w:line="360" w:lineRule="auto"/>
              <w:rPr>
                <w:bCs/>
                <w:sz w:val="24"/>
              </w:rPr>
            </w:pPr>
          </w:p>
          <w:p w14:paraId="24948B2F">
            <w:pPr>
              <w:adjustRightInd w:val="0"/>
              <w:snapToGrid w:val="0"/>
              <w:spacing w:line="360" w:lineRule="auto"/>
              <w:rPr>
                <w:bCs/>
                <w:sz w:val="24"/>
              </w:rPr>
            </w:pPr>
          </w:p>
          <w:p w14:paraId="7C6DE617">
            <w:pPr>
              <w:adjustRightInd w:val="0"/>
              <w:snapToGrid w:val="0"/>
              <w:spacing w:line="360" w:lineRule="auto"/>
              <w:rPr>
                <w:bCs/>
                <w:sz w:val="24"/>
              </w:rPr>
            </w:pPr>
          </w:p>
          <w:p w14:paraId="51DFAB85">
            <w:pPr>
              <w:adjustRightInd w:val="0"/>
              <w:snapToGrid w:val="0"/>
              <w:spacing w:line="360" w:lineRule="auto"/>
              <w:rPr>
                <w:bCs/>
                <w:sz w:val="24"/>
              </w:rPr>
            </w:pPr>
          </w:p>
          <w:p w14:paraId="54E63FEA">
            <w:pPr>
              <w:adjustRightInd w:val="0"/>
              <w:snapToGrid w:val="0"/>
              <w:spacing w:line="360" w:lineRule="auto"/>
              <w:rPr>
                <w:bCs/>
                <w:sz w:val="24"/>
              </w:rPr>
            </w:pPr>
          </w:p>
          <w:p w14:paraId="6FBC06EB">
            <w:pPr>
              <w:adjustRightInd w:val="0"/>
              <w:snapToGrid w:val="0"/>
              <w:spacing w:line="360" w:lineRule="auto"/>
              <w:rPr>
                <w:bCs/>
                <w:sz w:val="24"/>
              </w:rPr>
            </w:pPr>
          </w:p>
        </w:tc>
      </w:tr>
      <w:tr w14:paraId="379D3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436" w:type="dxa"/>
            <w:vAlign w:val="center"/>
          </w:tcPr>
          <w:p w14:paraId="25A96F23">
            <w:pPr>
              <w:pStyle w:val="28"/>
              <w:adjustRightInd w:val="0"/>
              <w:snapToGrid w:val="0"/>
              <w:spacing w:before="0" w:beforeAutospacing="0" w:after="0" w:afterAutospacing="0"/>
              <w:jc w:val="center"/>
              <w:rPr>
                <w:rFonts w:ascii="Times New Roman" w:hAnsi="Times New Roman"/>
                <w:szCs w:val="24"/>
              </w:rPr>
            </w:pPr>
            <w:r>
              <w:rPr>
                <w:rFonts w:ascii="Times New Roman"/>
                <w:bCs/>
                <w:kern w:val="2"/>
                <w:szCs w:val="24"/>
              </w:rPr>
              <w:t>与项目有关的原有环境污染问题</w:t>
            </w:r>
          </w:p>
        </w:tc>
        <w:tc>
          <w:tcPr>
            <w:tcW w:w="9203" w:type="dxa"/>
          </w:tcPr>
          <w:p w14:paraId="7019676E">
            <w:pPr>
              <w:adjustRightInd w:val="0"/>
              <w:snapToGrid w:val="0"/>
              <w:spacing w:line="360" w:lineRule="auto"/>
              <w:jc w:val="left"/>
              <w:rPr>
                <w:b/>
                <w:bCs/>
                <w:sz w:val="24"/>
              </w:rPr>
            </w:pPr>
            <w:r>
              <w:rPr>
                <w:rFonts w:hint="eastAsia"/>
                <w:b/>
                <w:bCs/>
                <w:sz w:val="24"/>
              </w:rPr>
              <w:t>1、现有项目履行环保手续情况</w:t>
            </w:r>
          </w:p>
          <w:p w14:paraId="6EB3A226">
            <w:pPr>
              <w:pStyle w:val="83"/>
              <w:ind w:firstLine="480"/>
            </w:pPr>
            <w:r>
              <w:rPr>
                <w:rFonts w:hint="eastAsia"/>
              </w:rPr>
              <w:t>原通海华宇工贸有限责任公司成立于2004年12月01日，注册地位于云南省玉溪市通海县纳古镇珠山顶，该公司于2022年11月13日整体整合重组给通海齐拓金属制品有限公司，由通海齐拓金属制品有限公司接收经营原通海华宇工贸有限责任公司现有厂房及现有生产线。</w:t>
            </w:r>
          </w:p>
          <w:p w14:paraId="1B41C495">
            <w:pPr>
              <w:pStyle w:val="83"/>
              <w:ind w:firstLine="480"/>
            </w:pPr>
            <w:r>
              <w:rPr>
                <w:rFonts w:hint="eastAsia"/>
              </w:rPr>
              <w:t>2008年原通海华宇工贸有限责任公司委托云南靖尚达环境咨询有限公司编制了《年产6万吨钢模板技改扩建工程建设项目环境影响报告表》，2008年6月13日，玉溪市环境保护局对该项目环评报告进行了审批（玉环许准〔</w:t>
            </w:r>
            <w:r>
              <w:rPr>
                <w:rFonts w:hint="eastAsia"/>
                <w:kern w:val="0"/>
              </w:rPr>
              <w:t>20</w:t>
            </w:r>
            <w:r>
              <w:rPr>
                <w:kern w:val="0"/>
              </w:rPr>
              <w:t>08</w:t>
            </w:r>
            <w:r>
              <w:rPr>
                <w:rFonts w:hint="eastAsia"/>
              </w:rPr>
              <w:t>〕72号）。由于项目建设时间较早，之后未继续办理后续环保手续。</w:t>
            </w:r>
          </w:p>
          <w:p w14:paraId="0FB974B1">
            <w:pPr>
              <w:pStyle w:val="83"/>
              <w:ind w:firstLine="480"/>
            </w:pPr>
            <w:r>
              <w:rPr>
                <w:rFonts w:hint="eastAsia"/>
                <w:kern w:val="0"/>
              </w:rPr>
              <w:t>2020年10月，原通海华宇工贸有限责任公司委托云南善水环境科技有限公司编制完成了《年产30万吨型钢压延加工技术改造项目环境影响报告表》。2020年11月23日，玉溪市生态环境局通海分局</w:t>
            </w:r>
            <w:r>
              <w:t>出具了</w:t>
            </w:r>
            <w:r>
              <w:rPr>
                <w:rFonts w:hint="eastAsia"/>
              </w:rPr>
              <w:t>《关于</w:t>
            </w:r>
            <w:r>
              <w:rPr>
                <w:rFonts w:hint="eastAsia"/>
                <w:kern w:val="0"/>
              </w:rPr>
              <w:t>通海华宇工贸有限责任公司年产30万吨型钢压延加工技术改造项目环境影响报告表的批复</w:t>
            </w:r>
            <w:r>
              <w:rPr>
                <w:rFonts w:hint="eastAsia"/>
              </w:rPr>
              <w:t>》（</w:t>
            </w:r>
            <w:r>
              <w:rPr>
                <w:rFonts w:hint="eastAsia"/>
                <w:kern w:val="0"/>
              </w:rPr>
              <w:t>通环审</w:t>
            </w:r>
            <w:r>
              <w:rPr>
                <w:rFonts w:hint="eastAsia"/>
              </w:rPr>
              <w:t>〔</w:t>
            </w:r>
            <w:r>
              <w:rPr>
                <w:rFonts w:hint="eastAsia"/>
                <w:kern w:val="0"/>
              </w:rPr>
              <w:t>2020</w:t>
            </w:r>
            <w:r>
              <w:rPr>
                <w:rFonts w:hint="eastAsia"/>
              </w:rPr>
              <w:t>〕</w:t>
            </w:r>
            <w:r>
              <w:rPr>
                <w:rFonts w:hint="eastAsia"/>
                <w:kern w:val="0"/>
              </w:rPr>
              <w:t>29号</w:t>
            </w:r>
            <w:r>
              <w:rPr>
                <w:rFonts w:hint="eastAsia"/>
              </w:rPr>
              <w:t>）。</w:t>
            </w:r>
          </w:p>
          <w:p w14:paraId="61A896C9">
            <w:pPr>
              <w:pStyle w:val="83"/>
              <w:ind w:firstLine="480"/>
              <w:rPr>
                <w:kern w:val="0"/>
              </w:rPr>
            </w:pPr>
            <w:r>
              <w:rPr>
                <w:rFonts w:hint="eastAsia"/>
                <w:kern w:val="0"/>
              </w:rPr>
              <w:t>《年产30万吨型钢压延加工技术改造项目》项目于2</w:t>
            </w:r>
            <w:r>
              <w:rPr>
                <w:kern w:val="0"/>
              </w:rPr>
              <w:t>022</w:t>
            </w:r>
            <w:r>
              <w:rPr>
                <w:rFonts w:hint="eastAsia"/>
                <w:kern w:val="0"/>
              </w:rPr>
              <w:t>年4月1日取得固定污染源排污登记回执，登记编号：91530423767094698E002P。</w:t>
            </w:r>
          </w:p>
          <w:p w14:paraId="48991A47">
            <w:pPr>
              <w:pStyle w:val="83"/>
              <w:ind w:firstLine="480"/>
            </w:pPr>
            <w:r>
              <w:t>2022年6月</w:t>
            </w:r>
            <w:r>
              <w:rPr>
                <w:rFonts w:hint="eastAsia"/>
              </w:rPr>
              <w:t>，</w:t>
            </w:r>
            <w:r>
              <w:rPr>
                <w:rFonts w:hint="eastAsia"/>
                <w:kern w:val="0"/>
              </w:rPr>
              <w:t>原通海华宇工贸有限责任公司</w:t>
            </w:r>
            <w:r>
              <w:rPr>
                <w:rFonts w:hint="eastAsia"/>
              </w:rPr>
              <w:t>开展了</w:t>
            </w:r>
            <w:r>
              <w:t>《</w:t>
            </w:r>
            <w:r>
              <w:rPr>
                <w:rFonts w:hint="eastAsia"/>
                <w:kern w:val="0"/>
              </w:rPr>
              <w:t>通海华宇工贸有限责任公司年产30万吨型钢压延加工技术改造项目</w:t>
            </w:r>
            <w:r>
              <w:t>》竣工环境保护自主验收，</w:t>
            </w:r>
            <w:r>
              <w:rPr>
                <w:rFonts w:hint="eastAsia"/>
                <w:kern w:val="0"/>
              </w:rPr>
              <w:t>该项目只建成2条10万t/a高频直缝焊管生产线及相关配套设施设备，只进行高频直缝焊管生产，本次只针对高频直缝焊管生产进行验收。</w:t>
            </w:r>
          </w:p>
          <w:p w14:paraId="31A98284">
            <w:pPr>
              <w:pStyle w:val="83"/>
              <w:ind w:firstLine="480"/>
            </w:pPr>
            <w:r>
              <w:rPr>
                <w:rFonts w:hint="eastAsia"/>
              </w:rPr>
              <w:t>2</w:t>
            </w:r>
            <w:r>
              <w:t>022</w:t>
            </w:r>
            <w:r>
              <w:rPr>
                <w:rFonts w:hint="eastAsia"/>
              </w:rPr>
              <w:t>年</w:t>
            </w:r>
            <w:r>
              <w:t>7</w:t>
            </w:r>
            <w:r>
              <w:rPr>
                <w:rFonts w:hint="eastAsia"/>
              </w:rPr>
              <w:t>月编制了《</w:t>
            </w:r>
            <w:r>
              <w:rPr>
                <w:rFonts w:hint="eastAsia"/>
                <w:kern w:val="0"/>
              </w:rPr>
              <w:t>通海华宇工贸有限责任公司年产30万吨型钢压延加工技术改造项目</w:t>
            </w:r>
            <w:r>
              <w:rPr>
                <w:rFonts w:hint="eastAsia"/>
              </w:rPr>
              <w:t>竣工环境保护验收监测报告表》，</w:t>
            </w:r>
            <w:r>
              <w:t>2022年7月22</w:t>
            </w:r>
            <w:r>
              <w:rPr>
                <w:rFonts w:hint="eastAsia"/>
              </w:rPr>
              <w:t>日通过了《通海华宇工贸有限责任公司年产30万吨型钢压延加工技术改造项目竣工环境保护验收意见》</w:t>
            </w:r>
            <w:r>
              <w:t>。</w:t>
            </w:r>
          </w:p>
          <w:p w14:paraId="5F9E68E6">
            <w:pPr>
              <w:pStyle w:val="83"/>
              <w:ind w:firstLine="480"/>
            </w:pPr>
            <w:r>
              <w:rPr>
                <w:rFonts w:hint="eastAsia"/>
              </w:rPr>
              <w:t>原通海华宇工贸有限责任公司未编制过突发环境事件应急预案。</w:t>
            </w:r>
          </w:p>
          <w:p w14:paraId="47F55C29">
            <w:pPr>
              <w:pStyle w:val="58"/>
              <w:spacing w:line="360" w:lineRule="auto"/>
              <w:jc w:val="left"/>
              <w:rPr>
                <w:rFonts w:ascii="Times New Roman" w:hAnsi="Times New Roman" w:cs="Times New Roman"/>
                <w:sz w:val="24"/>
                <w:lang w:val="en-US"/>
              </w:rPr>
            </w:pPr>
            <w:r>
              <w:rPr>
                <w:rFonts w:ascii="Times New Roman" w:hAnsi="Times New Roman" w:cs="Times New Roman"/>
                <w:b/>
                <w:bCs/>
                <w:sz w:val="24"/>
              </w:rPr>
              <w:t>2、</w:t>
            </w:r>
            <w:r>
              <w:rPr>
                <w:rFonts w:hint="eastAsia"/>
                <w:b/>
                <w:bCs/>
                <w:sz w:val="24"/>
              </w:rPr>
              <w:t>现有项目污染物排放情况</w:t>
            </w:r>
          </w:p>
          <w:p w14:paraId="2ADD65A4">
            <w:pPr>
              <w:pStyle w:val="58"/>
              <w:spacing w:line="360" w:lineRule="auto"/>
              <w:ind w:firstLine="480" w:firstLineChars="200"/>
              <w:jc w:val="left"/>
              <w:rPr>
                <w:rFonts w:ascii="Times New Roman" w:hAnsi="Times New Roman" w:cs="Times New Roman"/>
                <w:sz w:val="24"/>
                <w:lang w:val="en-US"/>
              </w:rPr>
            </w:pPr>
            <w:r>
              <w:rPr>
                <w:rFonts w:hint="eastAsia" w:ascii="Times New Roman" w:hAnsi="Times New Roman" w:cs="Times New Roman"/>
                <w:sz w:val="24"/>
                <w:lang w:val="en-US"/>
              </w:rPr>
              <w:t>根据现有项目环评报告、竣工环境验收监测表及厂区实际建设情况，厂区现有项目污染物排放情况如下：</w:t>
            </w:r>
          </w:p>
          <w:p w14:paraId="0A9108C4">
            <w:pPr>
              <w:adjustRightInd w:val="0"/>
              <w:snapToGrid w:val="0"/>
              <w:spacing w:line="360" w:lineRule="auto"/>
              <w:jc w:val="left"/>
              <w:rPr>
                <w:b/>
                <w:bCs/>
                <w:sz w:val="24"/>
              </w:rPr>
            </w:pPr>
            <w:r>
              <w:rPr>
                <w:rFonts w:hint="eastAsia"/>
                <w:b/>
                <w:bCs/>
                <w:sz w:val="24"/>
              </w:rPr>
              <w:t>2.1</w:t>
            </w:r>
            <w:r>
              <w:rPr>
                <w:rFonts w:hint="eastAsia"/>
                <w:b/>
                <w:bCs/>
                <w:snapToGrid w:val="0"/>
                <w:kern w:val="0"/>
                <w:sz w:val="24"/>
              </w:rPr>
              <w:t>废水</w:t>
            </w:r>
          </w:p>
          <w:p w14:paraId="4B4EDFB3">
            <w:pPr>
              <w:spacing w:line="360" w:lineRule="auto"/>
              <w:ind w:firstLine="480" w:firstLineChars="200"/>
              <w:rPr>
                <w:rFonts w:eastAsiaTheme="minorEastAsia"/>
                <w:sz w:val="24"/>
              </w:rPr>
            </w:pPr>
            <w:r>
              <w:rPr>
                <w:rFonts w:hint="eastAsia" w:eastAsiaTheme="minorEastAsia"/>
                <w:sz w:val="24"/>
              </w:rPr>
              <w:t>根据现有项目验收资料，运营期产生的废水主要为焊管生产车间设备冷却水和产品冷却水、生活污水。</w:t>
            </w:r>
          </w:p>
          <w:p w14:paraId="3B34768F">
            <w:pPr>
              <w:spacing w:line="360" w:lineRule="auto"/>
              <w:ind w:firstLine="480" w:firstLineChars="200"/>
              <w:rPr>
                <w:rFonts w:eastAsiaTheme="minorEastAsia"/>
                <w:sz w:val="24"/>
              </w:rPr>
            </w:pPr>
            <w:r>
              <w:rPr>
                <w:rFonts w:hint="eastAsia" w:eastAsiaTheme="minorEastAsia"/>
                <w:sz w:val="24"/>
              </w:rPr>
              <w:t>现有</w:t>
            </w:r>
            <w:r>
              <w:rPr>
                <w:rFonts w:eastAsiaTheme="minorEastAsia"/>
                <w:sz w:val="24"/>
              </w:rPr>
              <w:t>项目焊管生产车间产品冷却水经焊管车间浊循环水冷却后循环使用</w:t>
            </w:r>
            <w:r>
              <w:rPr>
                <w:rFonts w:hint="eastAsia" w:eastAsiaTheme="minorEastAsia"/>
                <w:sz w:val="24"/>
              </w:rPr>
              <w:t>，不外排。</w:t>
            </w:r>
            <w:r>
              <w:rPr>
                <w:rFonts w:eastAsiaTheme="minorEastAsia"/>
                <w:sz w:val="24"/>
              </w:rPr>
              <w:t>产品冷却水</w:t>
            </w:r>
            <w:r>
              <w:rPr>
                <w:rFonts w:hint="eastAsia" w:eastAsiaTheme="minorEastAsia"/>
                <w:sz w:val="24"/>
              </w:rPr>
              <w:t>定期补水，补水量为3</w:t>
            </w:r>
            <w:r>
              <w:rPr>
                <w:rFonts w:eastAsiaTheme="minorEastAsia"/>
                <w:sz w:val="24"/>
              </w:rPr>
              <w:t>m</w:t>
            </w:r>
            <w:r>
              <w:rPr>
                <w:rFonts w:eastAsiaTheme="minorEastAsia"/>
                <w:sz w:val="24"/>
                <w:vertAlign w:val="superscript"/>
              </w:rPr>
              <w:t>3</w:t>
            </w:r>
            <w:r>
              <w:rPr>
                <w:rFonts w:eastAsiaTheme="minorEastAsia"/>
                <w:sz w:val="24"/>
              </w:rPr>
              <w:t>/d</w:t>
            </w:r>
            <w:r>
              <w:rPr>
                <w:rFonts w:hint="eastAsia" w:eastAsiaTheme="minorEastAsia"/>
                <w:sz w:val="24"/>
              </w:rPr>
              <w:t>。</w:t>
            </w:r>
          </w:p>
          <w:p w14:paraId="39980BEF">
            <w:pPr>
              <w:spacing w:line="360" w:lineRule="auto"/>
              <w:ind w:firstLine="480" w:firstLineChars="200"/>
              <w:rPr>
                <w:rFonts w:eastAsiaTheme="minorEastAsia"/>
                <w:sz w:val="24"/>
              </w:rPr>
            </w:pPr>
            <w:r>
              <w:rPr>
                <w:rFonts w:hint="eastAsia" w:eastAsiaTheme="minorEastAsia"/>
                <w:sz w:val="24"/>
              </w:rPr>
              <w:t>现有</w:t>
            </w:r>
            <w:r>
              <w:rPr>
                <w:rFonts w:eastAsiaTheme="minorEastAsia"/>
                <w:sz w:val="24"/>
              </w:rPr>
              <w:t>项目</w:t>
            </w:r>
            <w:r>
              <w:rPr>
                <w:rFonts w:hint="eastAsia"/>
                <w:sz w:val="24"/>
              </w:rPr>
              <w:t>焊管生产车间设备冷却水经焊管设备净循环水池冷却后循环使用，不外排。设备冷却水定期补水，</w:t>
            </w:r>
            <w:r>
              <w:rPr>
                <w:rFonts w:hint="eastAsia" w:eastAsiaTheme="minorEastAsia"/>
                <w:sz w:val="24"/>
              </w:rPr>
              <w:t>补水量为</w:t>
            </w:r>
            <w:r>
              <w:rPr>
                <w:rFonts w:eastAsiaTheme="minorEastAsia"/>
                <w:sz w:val="24"/>
              </w:rPr>
              <w:t>4 m</w:t>
            </w:r>
            <w:r>
              <w:rPr>
                <w:rFonts w:eastAsiaTheme="minorEastAsia"/>
                <w:sz w:val="24"/>
                <w:vertAlign w:val="superscript"/>
              </w:rPr>
              <w:t>3</w:t>
            </w:r>
            <w:r>
              <w:rPr>
                <w:rFonts w:eastAsiaTheme="minorEastAsia"/>
                <w:sz w:val="24"/>
              </w:rPr>
              <w:t>/d</w:t>
            </w:r>
            <w:r>
              <w:rPr>
                <w:rFonts w:hint="eastAsia" w:eastAsiaTheme="minorEastAsia"/>
                <w:sz w:val="24"/>
              </w:rPr>
              <w:t>。</w:t>
            </w:r>
          </w:p>
          <w:p w14:paraId="75CBB561">
            <w:pPr>
              <w:adjustRightInd w:val="0"/>
              <w:snapToGrid w:val="0"/>
              <w:spacing w:line="360" w:lineRule="auto"/>
              <w:ind w:firstLine="480" w:firstLineChars="200"/>
              <w:rPr>
                <w:rFonts w:eastAsiaTheme="minorEastAsia"/>
                <w:sz w:val="24"/>
              </w:rPr>
            </w:pPr>
            <w:r>
              <w:rPr>
                <w:rFonts w:hint="eastAsia" w:eastAsiaTheme="minorEastAsia"/>
                <w:sz w:val="24"/>
              </w:rPr>
              <w:t>根据现有项目验收资料，</w:t>
            </w:r>
            <w:r>
              <w:rPr>
                <w:rFonts w:hint="eastAsia" w:hAnsi="宋体"/>
                <w:sz w:val="24"/>
              </w:rPr>
              <w:t>项目生活污水实际产生量为</w:t>
            </w:r>
            <w:r>
              <w:rPr>
                <w:rFonts w:hAnsi="宋体"/>
                <w:sz w:val="24"/>
              </w:rPr>
              <w:t xml:space="preserve">3.54 </w:t>
            </w:r>
            <w:r>
              <w:rPr>
                <w:rFonts w:hint="eastAsia" w:hAnsi="宋体"/>
                <w:sz w:val="24"/>
              </w:rPr>
              <w:t>m³/d。</w:t>
            </w:r>
            <w:r>
              <w:rPr>
                <w:rFonts w:hint="eastAsia" w:eastAsiaTheme="minorEastAsia"/>
                <w:sz w:val="24"/>
              </w:rPr>
              <w:t>现有</w:t>
            </w:r>
            <w:r>
              <w:rPr>
                <w:rFonts w:eastAsiaTheme="minorEastAsia"/>
                <w:sz w:val="24"/>
              </w:rPr>
              <w:t>项目食堂废水经隔油池处理后同生活污水经化粪池预处理后排入自建污水处理站处理达《城市污水再生利用 工业用水水质》（GB/T 19923-</w:t>
            </w:r>
            <w:r>
              <w:rPr>
                <w:rFonts w:hint="eastAsia" w:eastAsiaTheme="minorEastAsia"/>
                <w:sz w:val="24"/>
              </w:rPr>
              <w:t>2005</w:t>
            </w:r>
            <w:r>
              <w:rPr>
                <w:rFonts w:eastAsiaTheme="minorEastAsia"/>
                <w:sz w:val="24"/>
              </w:rPr>
              <w:t>）表1间冷开式循环冷却水补充水限值要求后回用于焊管车间产品冷却用水。</w:t>
            </w:r>
          </w:p>
          <w:p w14:paraId="032F98E6">
            <w:pPr>
              <w:adjustRightInd w:val="0"/>
              <w:snapToGrid w:val="0"/>
              <w:spacing w:line="360" w:lineRule="auto"/>
              <w:ind w:firstLine="480" w:firstLineChars="200"/>
              <w:rPr>
                <w:bCs/>
                <w:caps/>
                <w:snapToGrid w:val="0"/>
                <w:kern w:val="0"/>
                <w:sz w:val="24"/>
              </w:rPr>
            </w:pPr>
            <w:r>
              <w:rPr>
                <w:rFonts w:hint="eastAsia"/>
                <w:bCs/>
                <w:snapToGrid w:val="0"/>
                <w:kern w:val="0"/>
                <w:sz w:val="24"/>
              </w:rPr>
              <w:t>现有项目无废水排放总量控制指标。</w:t>
            </w:r>
          </w:p>
          <w:p w14:paraId="46AD3E10">
            <w:pPr>
              <w:adjustRightInd w:val="0"/>
              <w:snapToGrid w:val="0"/>
              <w:spacing w:line="360" w:lineRule="auto"/>
              <w:ind w:firstLine="480" w:firstLineChars="200"/>
              <w:rPr>
                <w:sz w:val="24"/>
              </w:rPr>
            </w:pPr>
            <w:r>
              <w:rPr>
                <w:rFonts w:hint="eastAsia" w:eastAsiaTheme="minorEastAsia"/>
                <w:sz w:val="24"/>
              </w:rPr>
              <w:t>现有项目</w:t>
            </w:r>
            <w:r>
              <w:rPr>
                <w:rFonts w:hint="eastAsia"/>
                <w:sz w:val="24"/>
              </w:rPr>
              <w:t>污水处理站（1座，处理规模：10m³/d，位于项目区北面）采用“厌氧生物处理+生物接触氧化处理”工艺。</w:t>
            </w:r>
            <w:r>
              <w:rPr>
                <w:rFonts w:hint="eastAsia"/>
                <w:bCs/>
                <w:sz w:val="24"/>
              </w:rPr>
              <w:t>根据原通海华宇工贸有限责任公司2022年7月22日</w:t>
            </w:r>
            <w:r>
              <w:rPr>
                <w:rFonts w:hint="eastAsia"/>
                <w:bCs/>
                <w:snapToGrid w:val="0"/>
                <w:kern w:val="0"/>
                <w:sz w:val="24"/>
              </w:rPr>
              <w:t>《</w:t>
            </w:r>
            <w:r>
              <w:rPr>
                <w:rFonts w:hint="eastAsia"/>
                <w:bCs/>
                <w:sz w:val="24"/>
              </w:rPr>
              <w:t>年产30万吨型钢压延加工技术改造项目竣工环境保护验收监测报告表</w:t>
            </w:r>
            <w:r>
              <w:rPr>
                <w:rFonts w:hint="eastAsia"/>
                <w:bCs/>
                <w:snapToGrid w:val="0"/>
                <w:kern w:val="0"/>
                <w:sz w:val="24"/>
              </w:rPr>
              <w:t>》中对现有项目污水处理站出水口的废水检测结果，出水口水质指标能达到《城市污水再生利用 工业用水水质》（GB/T 19923-2005）表1间冷开式循环冷却水补充水要求</w:t>
            </w:r>
            <w:r>
              <w:rPr>
                <w:rFonts w:hint="eastAsia"/>
                <w:sz w:val="24"/>
              </w:rPr>
              <w:t>。根据比对2024年10月1日实施的</w:t>
            </w:r>
            <w:r>
              <w:rPr>
                <w:rFonts w:hint="eastAsia"/>
                <w:bCs/>
                <w:snapToGrid w:val="0"/>
                <w:kern w:val="0"/>
                <w:sz w:val="24"/>
              </w:rPr>
              <w:t>《城市污水再生利用 工业用水水质》（GB/T 19923-2024），现有项目</w:t>
            </w:r>
            <w:r>
              <w:rPr>
                <w:rFonts w:hint="eastAsia"/>
                <w:bCs/>
                <w:sz w:val="24"/>
              </w:rPr>
              <w:t>竣工环境保护验收监测报告中</w:t>
            </w:r>
            <w:r>
              <w:rPr>
                <w:rFonts w:hint="eastAsia"/>
                <w:bCs/>
                <w:snapToGrid w:val="0"/>
                <w:kern w:val="0"/>
                <w:sz w:val="24"/>
              </w:rPr>
              <w:t>污水处理站出水口的废水检测结果能达到《城市污水再生利用 工业用水水质》（GB/T 19923-2024）表1间冷</w:t>
            </w:r>
            <w:r>
              <w:rPr>
                <w:rFonts w:eastAsiaTheme="minorEastAsia"/>
                <w:sz w:val="24"/>
              </w:rPr>
              <w:t>开式循环冷却水补充水</w:t>
            </w:r>
            <w:r>
              <w:rPr>
                <w:rFonts w:hint="eastAsia" w:eastAsiaTheme="minorEastAsia"/>
                <w:sz w:val="24"/>
              </w:rPr>
              <w:t>。</w:t>
            </w:r>
          </w:p>
          <w:p w14:paraId="77C0E186">
            <w:pPr>
              <w:adjustRightInd w:val="0"/>
              <w:snapToGrid w:val="0"/>
              <w:spacing w:line="360" w:lineRule="auto"/>
              <w:jc w:val="left"/>
              <w:rPr>
                <w:b/>
                <w:bCs/>
                <w:sz w:val="24"/>
              </w:rPr>
            </w:pPr>
            <w:r>
              <w:rPr>
                <w:rFonts w:hint="eastAsia"/>
                <w:b/>
                <w:bCs/>
                <w:sz w:val="24"/>
              </w:rPr>
              <w:t>2.</w:t>
            </w:r>
            <w:r>
              <w:rPr>
                <w:b/>
                <w:bCs/>
                <w:sz w:val="24"/>
              </w:rPr>
              <w:t>2</w:t>
            </w:r>
            <w:r>
              <w:rPr>
                <w:rFonts w:hint="eastAsia"/>
                <w:b/>
                <w:bCs/>
                <w:snapToGrid w:val="0"/>
                <w:kern w:val="0"/>
                <w:sz w:val="24"/>
              </w:rPr>
              <w:t>废气</w:t>
            </w:r>
          </w:p>
          <w:p w14:paraId="5F37C864">
            <w:pPr>
              <w:pStyle w:val="83"/>
              <w:ind w:firstLine="480"/>
            </w:pPr>
            <w:r>
              <w:rPr>
                <w:rFonts w:hint="eastAsia" w:asciiTheme="minorEastAsia" w:hAnsiTheme="minorEastAsia" w:eastAsiaTheme="minorEastAsia"/>
              </w:rPr>
              <w:t>现有项目废气主要为</w:t>
            </w:r>
            <w:r>
              <w:rPr>
                <w:rFonts w:asciiTheme="minorEastAsia" w:hAnsiTheme="minorEastAsia" w:eastAsiaTheme="minorEastAsia"/>
              </w:rPr>
              <w:t>高频直缝焊管焊接工段</w:t>
            </w:r>
            <w:r>
              <w:rPr>
                <w:rFonts w:hint="eastAsia" w:asciiTheme="minorEastAsia" w:hAnsiTheme="minorEastAsia" w:eastAsiaTheme="minorEastAsia"/>
              </w:rPr>
              <w:t>产生的焊接烟尘，污水处理设施异味，食堂油烟。</w:t>
            </w:r>
          </w:p>
          <w:p w14:paraId="40E0985A">
            <w:pPr>
              <w:pStyle w:val="83"/>
              <w:ind w:firstLine="480"/>
            </w:pPr>
            <w:r>
              <w:t>项目高频直缝焊管焊接工段位于生产厂房内，产生的焊接</w:t>
            </w:r>
            <w:r>
              <w:rPr>
                <w:rFonts w:eastAsiaTheme="minorEastAsia"/>
              </w:rPr>
              <w:t>烟尘经生产线焊接工段配套的2套集气罩+布袋除尘器</w:t>
            </w:r>
            <w:r>
              <w:t>收集处理后，呈无组织排放。</w:t>
            </w:r>
            <w:r>
              <w:rPr>
                <w:rFonts w:hint="eastAsia"/>
              </w:rPr>
              <w:t>现有项目</w:t>
            </w:r>
            <w:r>
              <w:rPr>
                <w:rFonts w:hint="eastAsia"/>
                <w:kern w:val="24"/>
              </w:rPr>
              <w:t>原料带钢年用量为</w:t>
            </w:r>
            <w:r>
              <w:rPr>
                <w:rFonts w:hint="eastAsia"/>
              </w:rPr>
              <w:t>2</w:t>
            </w:r>
            <w:r>
              <w:t>0</w:t>
            </w:r>
            <w:r>
              <w:rPr>
                <w:kern w:val="24"/>
              </w:rPr>
              <w:t>.</w:t>
            </w:r>
            <w:r>
              <w:rPr>
                <w:rFonts w:hint="eastAsia"/>
                <w:kern w:val="24"/>
              </w:rPr>
              <w:t>8</w:t>
            </w:r>
            <w:r>
              <w:t>万吨</w:t>
            </w:r>
            <w:r>
              <w:rPr>
                <w:rFonts w:hint="eastAsia"/>
              </w:rPr>
              <w:t>，则</w:t>
            </w:r>
            <w:r>
              <w:rPr>
                <w:rFonts w:hint="eastAsia"/>
                <w:szCs w:val="21"/>
              </w:rPr>
              <w:t>高频焊接工序的</w:t>
            </w:r>
            <w:r>
              <w:rPr>
                <w:rFonts w:hint="eastAsia"/>
              </w:rPr>
              <w:t>颗粒物产生量约为2.29</w:t>
            </w:r>
            <w:r>
              <w:t xml:space="preserve"> t/a</w:t>
            </w:r>
            <w:r>
              <w:rPr>
                <w:rFonts w:hint="eastAsia"/>
              </w:rPr>
              <w:t>，</w:t>
            </w:r>
            <w:r>
              <w:t>焊接</w:t>
            </w:r>
            <w:r>
              <w:rPr>
                <w:rFonts w:eastAsiaTheme="minorEastAsia"/>
              </w:rPr>
              <w:t>烟尘无组织排放量约为0.</w:t>
            </w:r>
            <w:r>
              <w:rPr>
                <w:rFonts w:hint="eastAsia" w:eastAsiaTheme="minorEastAsia"/>
              </w:rPr>
              <w:t>113</w:t>
            </w:r>
            <w:r>
              <w:rPr>
                <w:rFonts w:eastAsiaTheme="minorEastAsia"/>
              </w:rPr>
              <w:t xml:space="preserve"> t/a。</w:t>
            </w:r>
          </w:p>
          <w:p w14:paraId="048D34E1">
            <w:pPr>
              <w:pStyle w:val="83"/>
              <w:ind w:firstLine="480"/>
            </w:pPr>
            <w:r>
              <w:rPr>
                <w:rFonts w:hint="eastAsia"/>
              </w:rPr>
              <w:t>项目隔油池、化粪池均为地埋式，且均设有井盖，污水处理站为一体式密闭设置，产生的异味经空气扩散稀释后呈无组织排放。</w:t>
            </w:r>
          </w:p>
          <w:p w14:paraId="326D0D01">
            <w:pPr>
              <w:pStyle w:val="83"/>
              <w:ind w:firstLine="480"/>
            </w:pPr>
            <w:r>
              <w:rPr>
                <w:rFonts w:hint="eastAsia"/>
              </w:rPr>
              <w:t>项目食堂设置了1个灶头，属小型规模，项目食堂安装有1台油烟机，油烟废气经油烟机收集处理后通过管道排出，</w:t>
            </w:r>
            <w:r>
              <w:rPr>
                <w:rFonts w:hint="eastAsia"/>
                <w:kern w:val="24"/>
              </w:rPr>
              <w:t>排放浓度小于2.0mg/m</w:t>
            </w:r>
            <w:r>
              <w:rPr>
                <w:rFonts w:hint="eastAsia"/>
                <w:kern w:val="24"/>
                <w:vertAlign w:val="superscript"/>
              </w:rPr>
              <w:t>3</w:t>
            </w:r>
            <w:r>
              <w:rPr>
                <w:rFonts w:hint="eastAsia"/>
                <w:kern w:val="24"/>
              </w:rPr>
              <w:t>，符合《饮食业油烟排放标准》（GB18483-2001）小型规模标准要求</w:t>
            </w:r>
            <w:r>
              <w:rPr>
                <w:rFonts w:hint="eastAsia"/>
              </w:rPr>
              <w:t>。</w:t>
            </w:r>
          </w:p>
          <w:p w14:paraId="06140428">
            <w:pPr>
              <w:adjustRightInd w:val="0"/>
              <w:snapToGrid w:val="0"/>
              <w:spacing w:line="360" w:lineRule="auto"/>
              <w:ind w:firstLine="480" w:firstLineChars="200"/>
              <w:rPr>
                <w:bCs/>
                <w:caps/>
                <w:snapToGrid w:val="0"/>
                <w:kern w:val="0"/>
                <w:sz w:val="24"/>
              </w:rPr>
            </w:pPr>
            <w:r>
              <w:rPr>
                <w:rFonts w:hint="eastAsia"/>
                <w:bCs/>
                <w:snapToGrid w:val="0"/>
                <w:kern w:val="0"/>
                <w:sz w:val="24"/>
              </w:rPr>
              <w:t>现有项目废气无总量控制指标。</w:t>
            </w:r>
          </w:p>
          <w:p w14:paraId="13DA7AA5">
            <w:pPr>
              <w:pStyle w:val="83"/>
              <w:ind w:firstLine="480"/>
            </w:pPr>
            <w:r>
              <w:rPr>
                <w:rFonts w:hint="eastAsia"/>
                <w:bCs/>
              </w:rPr>
              <w:t>根据原通海华宇工贸有限责任公司</w:t>
            </w:r>
            <w:r>
              <w:rPr>
                <w:rFonts w:hint="eastAsia"/>
                <w:bCs/>
                <w:snapToGrid w:val="0"/>
                <w:kern w:val="0"/>
              </w:rPr>
              <w:t>《</w:t>
            </w:r>
            <w:r>
              <w:rPr>
                <w:rFonts w:hint="eastAsia"/>
                <w:bCs/>
              </w:rPr>
              <w:t>年产30万吨型钢压延加工技术改造项目竣工环境保护验收监测报告表</w:t>
            </w:r>
            <w:r>
              <w:rPr>
                <w:rFonts w:hint="eastAsia"/>
                <w:bCs/>
                <w:snapToGrid w:val="0"/>
                <w:kern w:val="0"/>
              </w:rPr>
              <w:t>》中</w:t>
            </w:r>
            <w:r>
              <w:t>无组织废气监测结果，</w:t>
            </w:r>
            <w:r>
              <w:rPr>
                <w:rFonts w:hint="eastAsia"/>
              </w:rPr>
              <w:t>项目无组织排放废气（颗粒物）上风向1个测点、下风向3个测点所测指标均满足《大气污染物综合排放标准》（GB16297-1996）表2无组织排放监控浓度限值。</w:t>
            </w:r>
          </w:p>
          <w:p w14:paraId="10E75E47">
            <w:pPr>
              <w:adjustRightInd w:val="0"/>
              <w:snapToGrid w:val="0"/>
              <w:spacing w:line="360" w:lineRule="auto"/>
              <w:jc w:val="left"/>
              <w:rPr>
                <w:b/>
                <w:bCs/>
                <w:sz w:val="24"/>
              </w:rPr>
            </w:pPr>
            <w:r>
              <w:rPr>
                <w:rFonts w:hint="eastAsia"/>
                <w:b/>
                <w:bCs/>
                <w:sz w:val="24"/>
              </w:rPr>
              <w:t>2.</w:t>
            </w:r>
            <w:r>
              <w:rPr>
                <w:b/>
                <w:bCs/>
                <w:sz w:val="24"/>
              </w:rPr>
              <w:t>3</w:t>
            </w:r>
            <w:r>
              <w:rPr>
                <w:rFonts w:hint="eastAsia"/>
                <w:b/>
                <w:bCs/>
                <w:snapToGrid w:val="0"/>
                <w:kern w:val="0"/>
                <w:sz w:val="24"/>
              </w:rPr>
              <w:t>噪声</w:t>
            </w:r>
          </w:p>
          <w:p w14:paraId="2BA355D7">
            <w:pPr>
              <w:pStyle w:val="83"/>
              <w:ind w:firstLine="480"/>
            </w:pPr>
            <w:r>
              <w:t>现有项目</w:t>
            </w:r>
            <w:r>
              <w:rPr>
                <w:rFonts w:hint="eastAsia"/>
              </w:rPr>
              <w:t>运营期噪声源强主要为焊管生产车间生产设备、水泵、风机等。项目生产设备布置于厂房内，经墙体隔声；水泵安装有减震垫，进行基础减震；</w:t>
            </w:r>
            <w:r>
              <w:rPr>
                <w:rFonts w:hint="eastAsia"/>
                <w:szCs w:val="21"/>
              </w:rPr>
              <w:t>对产生气流噪声的风机等噪声源加装消声器</w:t>
            </w:r>
            <w:r>
              <w:rPr>
                <w:rFonts w:hint="eastAsia"/>
              </w:rPr>
              <w:t>。</w:t>
            </w:r>
          </w:p>
          <w:p w14:paraId="432A2A17">
            <w:pPr>
              <w:pStyle w:val="83"/>
              <w:ind w:firstLine="480"/>
            </w:pPr>
            <w:r>
              <w:rPr>
                <w:rFonts w:hint="eastAsia"/>
                <w:bCs/>
              </w:rPr>
              <w:t>根据原通海华宇工贸有限责任公司</w:t>
            </w:r>
            <w:r>
              <w:rPr>
                <w:rFonts w:hint="eastAsia"/>
                <w:bCs/>
                <w:snapToGrid w:val="0"/>
                <w:kern w:val="0"/>
              </w:rPr>
              <w:t>《</w:t>
            </w:r>
            <w:r>
              <w:rPr>
                <w:rFonts w:hint="eastAsia"/>
                <w:bCs/>
              </w:rPr>
              <w:t>年产30万吨型钢压延加工技术改造项目竣工环境保护验收监测报告表</w:t>
            </w:r>
            <w:r>
              <w:rPr>
                <w:rFonts w:hint="eastAsia"/>
                <w:bCs/>
                <w:snapToGrid w:val="0"/>
                <w:kern w:val="0"/>
              </w:rPr>
              <w:t>》</w:t>
            </w:r>
            <w:r>
              <w:t>中项目厂界噪声</w:t>
            </w:r>
            <w:r>
              <w:rPr>
                <w:rFonts w:hint="eastAsia"/>
              </w:rPr>
              <w:t>监测结果，项目厂界临江通路一侧噪声昼夜间测值均满足《工业企业厂界环境噪声排放标准》（GB12348-2008）中4类标准要求，其余侧厂界噪声昼夜间测值均满足《工业企业厂界环境噪声排放标准》（GB12348-2008）中2类标准要求。</w:t>
            </w:r>
          </w:p>
          <w:p w14:paraId="34487047">
            <w:pPr>
              <w:adjustRightInd w:val="0"/>
              <w:snapToGrid w:val="0"/>
              <w:spacing w:line="360" w:lineRule="auto"/>
              <w:jc w:val="left"/>
              <w:rPr>
                <w:b/>
                <w:bCs/>
                <w:sz w:val="24"/>
              </w:rPr>
            </w:pPr>
            <w:r>
              <w:rPr>
                <w:rFonts w:hint="eastAsia"/>
                <w:b/>
                <w:bCs/>
                <w:sz w:val="24"/>
              </w:rPr>
              <w:t>2.</w:t>
            </w:r>
            <w:r>
              <w:rPr>
                <w:b/>
                <w:bCs/>
                <w:sz w:val="24"/>
              </w:rPr>
              <w:t>4</w:t>
            </w:r>
            <w:r>
              <w:rPr>
                <w:rFonts w:hint="eastAsia"/>
                <w:b/>
                <w:bCs/>
                <w:snapToGrid w:val="0"/>
                <w:kern w:val="0"/>
                <w:sz w:val="24"/>
              </w:rPr>
              <w:t>固体废物</w:t>
            </w:r>
          </w:p>
          <w:p w14:paraId="6CCB61CD">
            <w:pPr>
              <w:spacing w:line="360" w:lineRule="auto"/>
              <w:ind w:firstLine="480" w:firstLineChars="200"/>
              <w:rPr>
                <w:sz w:val="24"/>
              </w:rPr>
            </w:pPr>
            <w:r>
              <w:rPr>
                <w:sz w:val="24"/>
              </w:rPr>
              <w:t>现有项目</w:t>
            </w:r>
            <w:r>
              <w:rPr>
                <w:rFonts w:hint="eastAsia"/>
                <w:sz w:val="24"/>
              </w:rPr>
              <w:t>运营期产生的固体废物主要为生活垃圾，废边角料，不合格产品，浊循环水池金属沉渣，除尘灰，废机油和废油桶。</w:t>
            </w:r>
          </w:p>
          <w:p w14:paraId="181B5CFF">
            <w:pPr>
              <w:pStyle w:val="83"/>
              <w:ind w:firstLine="480"/>
            </w:pPr>
            <w:r>
              <w:t>根据现有项目实际统计情况，</w:t>
            </w:r>
            <w:r>
              <w:rPr>
                <w:rFonts w:hint="eastAsia"/>
              </w:rPr>
              <w:t>项目生产过程中产生的废边角料约为</w:t>
            </w:r>
            <w:r>
              <w:t xml:space="preserve">60 </w:t>
            </w:r>
            <w:r>
              <w:rPr>
                <w:rFonts w:hint="eastAsia"/>
              </w:rPr>
              <w:t>t/</w:t>
            </w:r>
            <w:r>
              <w:t>a</w:t>
            </w:r>
            <w:r>
              <w:rPr>
                <w:rFonts w:hint="eastAsia"/>
              </w:rPr>
              <w:t>，不合格产品约为</w:t>
            </w:r>
            <w:r>
              <w:t>1900</w:t>
            </w:r>
            <w:r>
              <w:rPr>
                <w:rFonts w:hint="eastAsia"/>
              </w:rPr>
              <w:t>t/a，浊循环水池金属沉渣约为</w:t>
            </w:r>
            <w:r>
              <w:t>40t/a</w:t>
            </w:r>
            <w:r>
              <w:rPr>
                <w:rFonts w:hint="eastAsia"/>
              </w:rPr>
              <w:t>，除尘灰约为2.037</w:t>
            </w:r>
            <w:r>
              <w:t xml:space="preserve"> </w:t>
            </w:r>
            <w:r>
              <w:rPr>
                <w:rFonts w:hint="eastAsia"/>
              </w:rPr>
              <w:t>t/a，经一般固废收集箱收集后外售给废品收购站或</w:t>
            </w:r>
            <w:r>
              <w:rPr>
                <w:kern w:val="24"/>
              </w:rPr>
              <w:t>钢铁厂</w:t>
            </w:r>
            <w:r>
              <w:rPr>
                <w:rFonts w:hint="eastAsia"/>
              </w:rPr>
              <w:t>。</w:t>
            </w:r>
          </w:p>
          <w:p w14:paraId="6B725ADC">
            <w:pPr>
              <w:pStyle w:val="83"/>
              <w:ind w:firstLine="480"/>
            </w:pPr>
            <w:r>
              <w:t>现有项目</w:t>
            </w:r>
            <w:r>
              <w:rPr>
                <w:rFonts w:hint="eastAsia"/>
              </w:rPr>
              <w:t>生活垃圾产生量约为4.06t/a，经垃圾桶收集后，委托环卫部门清运处置。</w:t>
            </w:r>
            <w:r>
              <w:t>现有项目</w:t>
            </w:r>
            <w:r>
              <w:rPr>
                <w:rFonts w:hint="eastAsia"/>
              </w:rPr>
              <w:t>生活垃圾产生量约为4.06t/a，经垃圾桶收集后，委托环卫部门清运处置。现有项目化粪池污泥产生量约为0</w:t>
            </w:r>
            <w:r>
              <w:t>.48t/a</w:t>
            </w:r>
            <w:r>
              <w:rPr>
                <w:rFonts w:hint="eastAsia"/>
              </w:rPr>
              <w:t>，</w:t>
            </w:r>
            <w:r>
              <w:rPr>
                <w:rStyle w:val="147"/>
                <w:rFonts w:hint="default" w:eastAsiaTheme="minorEastAsia"/>
                <w:color w:val="auto"/>
              </w:rPr>
              <w:t>现有生活污水处理站</w:t>
            </w:r>
            <w:r>
              <w:rPr>
                <w:lang w:bidi="ar"/>
              </w:rPr>
              <w:t>污泥</w:t>
            </w:r>
            <w:r>
              <w:rPr>
                <w:rFonts w:hint="eastAsia"/>
                <w:lang w:bidi="ar"/>
              </w:rPr>
              <w:t>产生量约为3</w:t>
            </w:r>
            <w:r>
              <w:rPr>
                <w:lang w:bidi="ar"/>
              </w:rPr>
              <w:t>.2t/a</w:t>
            </w:r>
            <w:r>
              <w:rPr>
                <w:rFonts w:hint="eastAsia"/>
                <w:lang w:bidi="ar"/>
              </w:rPr>
              <w:t>。</w:t>
            </w:r>
            <w:r>
              <w:rPr>
                <w:rFonts w:hint="eastAsia"/>
              </w:rPr>
              <w:t>化粪池污泥委托环卫部门</w:t>
            </w:r>
            <w:r>
              <w:rPr>
                <w:rFonts w:hint="eastAsia"/>
                <w:kern w:val="24"/>
              </w:rPr>
              <w:t>清掏处置；</w:t>
            </w:r>
            <w:r>
              <w:rPr>
                <w:lang w:bidi="ar"/>
              </w:rPr>
              <w:t>污水处理站污泥</w:t>
            </w:r>
            <w:r>
              <w:rPr>
                <w:kern w:val="24"/>
              </w:rPr>
              <w:t>定期清掏，</w:t>
            </w:r>
            <w:r>
              <w:rPr>
                <w:rFonts w:hint="eastAsia"/>
                <w:kern w:val="24"/>
                <w:szCs w:val="21"/>
              </w:rPr>
              <w:t>回用于</w:t>
            </w:r>
            <w:r>
              <w:rPr>
                <w:kern w:val="24"/>
              </w:rPr>
              <w:t>厂内绿化带施肥</w:t>
            </w:r>
            <w:r>
              <w:rPr>
                <w:rFonts w:hint="eastAsia"/>
                <w:kern w:val="24"/>
              </w:rPr>
              <w:t>。</w:t>
            </w:r>
          </w:p>
          <w:p w14:paraId="38E60C11">
            <w:pPr>
              <w:pStyle w:val="83"/>
              <w:ind w:firstLine="480"/>
            </w:pPr>
            <w:r>
              <w:t>现有项目</w:t>
            </w:r>
            <w:r>
              <w:rPr>
                <w:rFonts w:hint="eastAsia"/>
              </w:rPr>
              <w:t>废机油和废油桶产生量为0.6t/a，分类收集后暂存于危废暂存间，定期交由云南绿力环保科技有限公司清运处置。</w:t>
            </w:r>
          </w:p>
          <w:p w14:paraId="4FA3541C">
            <w:pPr>
              <w:pStyle w:val="58"/>
              <w:spacing w:line="360" w:lineRule="auto"/>
              <w:jc w:val="left"/>
              <w:rPr>
                <w:rFonts w:ascii="Times New Roman" w:hAnsi="Times New Roman" w:cs="Times New Roman"/>
                <w:sz w:val="24"/>
                <w:lang w:val="en-US"/>
              </w:rPr>
            </w:pPr>
            <w:r>
              <w:rPr>
                <w:rFonts w:ascii="Times New Roman" w:hAnsi="Times New Roman" w:cs="Times New Roman"/>
                <w:b/>
                <w:bCs/>
                <w:sz w:val="24"/>
              </w:rPr>
              <w:t>3、</w:t>
            </w:r>
            <w:r>
              <w:rPr>
                <w:rFonts w:hint="eastAsia"/>
                <w:b/>
                <w:bCs/>
                <w:sz w:val="24"/>
              </w:rPr>
              <w:t>与项目有关的主要环境问题及整改措施</w:t>
            </w:r>
          </w:p>
          <w:p w14:paraId="47DE98ED">
            <w:pPr>
              <w:adjustRightInd w:val="0"/>
              <w:snapToGrid w:val="0"/>
              <w:spacing w:line="360" w:lineRule="auto"/>
              <w:jc w:val="left"/>
              <w:rPr>
                <w:b/>
                <w:bCs/>
                <w:sz w:val="24"/>
              </w:rPr>
            </w:pPr>
            <w:r>
              <w:rPr>
                <w:b/>
                <w:bCs/>
                <w:sz w:val="24"/>
              </w:rPr>
              <w:t>3</w:t>
            </w:r>
            <w:r>
              <w:rPr>
                <w:rFonts w:hint="eastAsia"/>
                <w:b/>
                <w:bCs/>
                <w:sz w:val="24"/>
              </w:rPr>
              <w:t>.1 存在的主要环境问题</w:t>
            </w:r>
          </w:p>
          <w:p w14:paraId="4C68DF2B">
            <w:pPr>
              <w:adjustRightInd w:val="0"/>
              <w:snapToGrid w:val="0"/>
              <w:spacing w:line="360" w:lineRule="auto"/>
              <w:ind w:firstLine="480" w:firstLineChars="200"/>
              <w:rPr>
                <w:rFonts w:hint="eastAsia" w:hAnsi="宋体"/>
                <w:sz w:val="24"/>
              </w:rPr>
            </w:pPr>
            <w:r>
              <w:rPr>
                <w:rFonts w:hint="eastAsia" w:hAnsi="宋体"/>
                <w:sz w:val="24"/>
              </w:rPr>
              <w:t>（</w:t>
            </w:r>
            <w:r>
              <w:rPr>
                <w:rFonts w:hAnsi="宋体"/>
                <w:sz w:val="24"/>
              </w:rPr>
              <w:t>1</w:t>
            </w:r>
            <w:r>
              <w:rPr>
                <w:rFonts w:hint="eastAsia" w:hAnsi="宋体"/>
                <w:sz w:val="24"/>
              </w:rPr>
              <w:t>）《危险废物识别标志设置技术规范》 （HJ 1276-2022）已于2022年12月30日发布，2023年7月1日起实施。根据新标准要求，危险废物识别标志，危废废物贮存分区标志，危险废物贮存设施标志已更新，现有项目危险废物相关标志牌尚未进行更新。</w:t>
            </w:r>
          </w:p>
          <w:p w14:paraId="4AF4480A">
            <w:pPr>
              <w:adjustRightInd w:val="0"/>
              <w:snapToGrid w:val="0"/>
              <w:spacing w:line="360" w:lineRule="auto"/>
              <w:ind w:firstLine="480" w:firstLineChars="200"/>
              <w:rPr>
                <w:rFonts w:hint="eastAsia" w:hAnsi="宋体"/>
                <w:sz w:val="24"/>
              </w:rPr>
            </w:pPr>
            <w:r>
              <w:rPr>
                <w:rFonts w:hint="eastAsia" w:hAnsi="宋体"/>
                <w:sz w:val="24"/>
              </w:rPr>
              <w:t>（</w:t>
            </w:r>
            <w:r>
              <w:rPr>
                <w:rFonts w:hAnsi="宋体"/>
                <w:sz w:val="24"/>
              </w:rPr>
              <w:t>2</w:t>
            </w:r>
            <w:r>
              <w:rPr>
                <w:rFonts w:hint="eastAsia" w:hAnsi="宋体"/>
                <w:sz w:val="24"/>
              </w:rPr>
              <w:t>）现有厂房为屋顶加三面围墙的不完全封闭式。</w:t>
            </w:r>
          </w:p>
          <w:p w14:paraId="420FD119">
            <w:pPr>
              <w:adjustRightInd w:val="0"/>
              <w:snapToGrid w:val="0"/>
              <w:spacing w:line="360" w:lineRule="auto"/>
              <w:ind w:firstLine="480" w:firstLineChars="200"/>
              <w:rPr>
                <w:rFonts w:hint="eastAsia" w:hAnsi="宋体"/>
                <w:sz w:val="24"/>
              </w:rPr>
            </w:pPr>
            <w:r>
              <w:rPr>
                <w:rFonts w:hint="eastAsia" w:hAnsi="宋体"/>
                <w:sz w:val="24"/>
              </w:rPr>
              <w:t>（3）本项目已建浊循环水池及浊循环</w:t>
            </w:r>
            <w:r>
              <w:rPr>
                <w:sz w:val="24"/>
              </w:rPr>
              <w:t>水槽/水箱</w:t>
            </w:r>
            <w:r>
              <w:rPr>
                <w:rFonts w:hint="eastAsia"/>
                <w:sz w:val="24"/>
              </w:rPr>
              <w:t>地面，未采取抗渗混凝土硬化</w:t>
            </w:r>
            <w:r>
              <w:rPr>
                <w:rFonts w:hint="eastAsia" w:hAnsi="宋体"/>
                <w:sz w:val="24"/>
              </w:rPr>
              <w:t>。</w:t>
            </w:r>
          </w:p>
          <w:p w14:paraId="6EE55131">
            <w:pPr>
              <w:adjustRightInd w:val="0"/>
              <w:snapToGrid w:val="0"/>
              <w:spacing w:line="360" w:lineRule="auto"/>
              <w:ind w:firstLine="480" w:firstLineChars="200"/>
              <w:rPr>
                <w:rFonts w:hint="eastAsia" w:hAnsi="宋体"/>
                <w:sz w:val="24"/>
              </w:rPr>
            </w:pPr>
            <w:r>
              <w:rPr>
                <w:rFonts w:hint="eastAsia" w:hAnsi="宋体"/>
                <w:sz w:val="24"/>
              </w:rPr>
              <w:t>（4）现有两条高频焊接生产线产生的焊接烟尘经布袋除尘器处理后在车间内无组织排放。</w:t>
            </w:r>
          </w:p>
          <w:p w14:paraId="57DE0F38">
            <w:pPr>
              <w:adjustRightInd w:val="0"/>
              <w:snapToGrid w:val="0"/>
              <w:spacing w:line="360" w:lineRule="auto"/>
              <w:jc w:val="left"/>
              <w:rPr>
                <w:b/>
                <w:bCs/>
                <w:sz w:val="24"/>
              </w:rPr>
            </w:pPr>
            <w:r>
              <w:rPr>
                <w:b/>
                <w:bCs/>
                <w:sz w:val="24"/>
              </w:rPr>
              <w:t>3</w:t>
            </w:r>
            <w:r>
              <w:rPr>
                <w:rFonts w:hint="eastAsia"/>
                <w:b/>
                <w:bCs/>
                <w:sz w:val="24"/>
              </w:rPr>
              <w:t>.2 整改措施</w:t>
            </w:r>
          </w:p>
          <w:p w14:paraId="017AA040">
            <w:pPr>
              <w:adjustRightInd w:val="0"/>
              <w:snapToGrid w:val="0"/>
              <w:spacing w:line="360" w:lineRule="auto"/>
              <w:ind w:firstLine="480" w:firstLineChars="200"/>
              <w:rPr>
                <w:rFonts w:hint="eastAsia" w:hAnsi="宋体"/>
                <w:sz w:val="24"/>
              </w:rPr>
            </w:pPr>
            <w:r>
              <w:rPr>
                <w:rFonts w:hint="eastAsia" w:hAnsi="宋体"/>
                <w:sz w:val="24"/>
              </w:rPr>
              <w:t>（1）按照《危险废物识别标志设置技术规范》 （HJ 1276-2022）要求，更新现有项目危废暂存间的危险废物识别标志，危废废物贮存分区标志，危险废物贮存设施标志。</w:t>
            </w:r>
          </w:p>
          <w:p w14:paraId="778A3F70">
            <w:pPr>
              <w:adjustRightInd w:val="0"/>
              <w:snapToGrid w:val="0"/>
              <w:spacing w:line="360" w:lineRule="auto"/>
              <w:ind w:firstLine="480" w:firstLineChars="200"/>
              <w:rPr>
                <w:rFonts w:hint="eastAsia" w:hAnsi="宋体"/>
                <w:sz w:val="24"/>
              </w:rPr>
            </w:pPr>
            <w:r>
              <w:rPr>
                <w:rFonts w:hint="eastAsia" w:hAnsi="宋体"/>
                <w:sz w:val="24"/>
              </w:rPr>
              <w:t>（2）本项目涉及的三车间、四车间、七车间、八车间改造为封闭式厂房，减少无组织烟尘外溢。</w:t>
            </w:r>
          </w:p>
          <w:p w14:paraId="16E6CC7A">
            <w:pPr>
              <w:adjustRightInd w:val="0"/>
              <w:snapToGrid w:val="0"/>
              <w:spacing w:line="360" w:lineRule="auto"/>
              <w:ind w:firstLine="480" w:firstLineChars="200"/>
              <w:rPr>
                <w:rFonts w:hint="eastAsia" w:hAnsi="宋体"/>
                <w:sz w:val="24"/>
              </w:rPr>
            </w:pPr>
            <w:r>
              <w:rPr>
                <w:rFonts w:hint="eastAsia" w:hAnsi="宋体"/>
                <w:sz w:val="24"/>
              </w:rPr>
              <w:t>（</w:t>
            </w:r>
            <w:r>
              <w:rPr>
                <w:rFonts w:hAnsi="宋体"/>
                <w:sz w:val="24"/>
              </w:rPr>
              <w:t>3</w:t>
            </w:r>
            <w:r>
              <w:rPr>
                <w:rFonts w:hint="eastAsia" w:hAnsi="宋体"/>
                <w:sz w:val="24"/>
              </w:rPr>
              <w:t>）本项目已建浊循环水池及浊循环</w:t>
            </w:r>
            <w:r>
              <w:rPr>
                <w:sz w:val="24"/>
              </w:rPr>
              <w:t>水槽/水箱</w:t>
            </w:r>
            <w:r>
              <w:rPr>
                <w:rFonts w:hint="eastAsia"/>
                <w:sz w:val="24"/>
              </w:rPr>
              <w:t>地面采取抗渗混凝土硬化</w:t>
            </w:r>
            <w:r>
              <w:rPr>
                <w:rFonts w:hint="eastAsia" w:hAnsi="宋体"/>
                <w:sz w:val="24"/>
              </w:rPr>
              <w:t>。</w:t>
            </w:r>
          </w:p>
          <w:p w14:paraId="3B274272">
            <w:pPr>
              <w:adjustRightInd w:val="0"/>
              <w:snapToGrid w:val="0"/>
              <w:spacing w:line="360" w:lineRule="auto"/>
              <w:ind w:firstLine="480" w:firstLineChars="200"/>
              <w:rPr>
                <w:rFonts w:hint="eastAsia" w:hAnsi="宋体"/>
                <w:sz w:val="24"/>
              </w:rPr>
            </w:pPr>
            <w:r>
              <w:rPr>
                <w:rFonts w:hint="eastAsia" w:hAnsi="宋体"/>
                <w:sz w:val="24"/>
              </w:rPr>
              <w:t>（4）现有两条高频焊接生产线废气处理进行改造，从无组织排放变更为有组织排放。焊接烟尘经生产线焊接工段配套的1套集气罩(四周设置软帘)+布袋除尘器收集处理后，通过1根15m高排气筒排放。</w:t>
            </w:r>
          </w:p>
          <w:p w14:paraId="6AACE4FD">
            <w:pPr>
              <w:adjustRightInd w:val="0"/>
              <w:snapToGrid w:val="0"/>
              <w:spacing w:line="360" w:lineRule="auto"/>
              <w:rPr>
                <w:rFonts w:hint="eastAsia" w:hAnsi="宋体"/>
                <w:sz w:val="24"/>
              </w:rPr>
            </w:pPr>
          </w:p>
          <w:p w14:paraId="0B31894D">
            <w:pPr>
              <w:adjustRightInd w:val="0"/>
              <w:snapToGrid w:val="0"/>
              <w:spacing w:line="360" w:lineRule="auto"/>
              <w:rPr>
                <w:rFonts w:hint="eastAsia" w:hAnsi="宋体"/>
                <w:sz w:val="24"/>
              </w:rPr>
            </w:pPr>
          </w:p>
          <w:p w14:paraId="1E06D2D5">
            <w:pPr>
              <w:adjustRightInd w:val="0"/>
              <w:snapToGrid w:val="0"/>
              <w:spacing w:line="360" w:lineRule="auto"/>
              <w:rPr>
                <w:rFonts w:hint="eastAsia" w:hAnsi="宋体"/>
                <w:sz w:val="24"/>
              </w:rPr>
            </w:pPr>
          </w:p>
          <w:p w14:paraId="66C58E00">
            <w:pPr>
              <w:adjustRightInd w:val="0"/>
              <w:snapToGrid w:val="0"/>
              <w:spacing w:line="360" w:lineRule="auto"/>
              <w:rPr>
                <w:rFonts w:hint="eastAsia" w:hAnsi="宋体"/>
                <w:sz w:val="24"/>
              </w:rPr>
            </w:pPr>
          </w:p>
          <w:p w14:paraId="5816ADB4">
            <w:pPr>
              <w:adjustRightInd w:val="0"/>
              <w:snapToGrid w:val="0"/>
              <w:spacing w:line="360" w:lineRule="auto"/>
              <w:rPr>
                <w:rFonts w:hint="eastAsia" w:hAnsi="宋体"/>
                <w:sz w:val="24"/>
              </w:rPr>
            </w:pPr>
          </w:p>
          <w:p w14:paraId="5BBF6C9B">
            <w:pPr>
              <w:adjustRightInd w:val="0"/>
              <w:snapToGrid w:val="0"/>
              <w:spacing w:line="360" w:lineRule="auto"/>
              <w:rPr>
                <w:rFonts w:hint="eastAsia" w:hAnsi="宋体"/>
                <w:sz w:val="24"/>
              </w:rPr>
            </w:pPr>
          </w:p>
          <w:p w14:paraId="7CFAABC9">
            <w:pPr>
              <w:adjustRightInd w:val="0"/>
              <w:snapToGrid w:val="0"/>
              <w:spacing w:line="360" w:lineRule="auto"/>
              <w:rPr>
                <w:rFonts w:hint="eastAsia" w:hAnsi="宋体"/>
                <w:sz w:val="24"/>
              </w:rPr>
            </w:pPr>
          </w:p>
        </w:tc>
      </w:tr>
    </w:tbl>
    <w:p w14:paraId="5F0F687C">
      <w:pPr>
        <w:pStyle w:val="28"/>
        <w:jc w:val="center"/>
        <w:rPr>
          <w:rFonts w:ascii="Times New Roman" w:hAnsi="Times New Roman" w:eastAsia="黑体"/>
          <w:snapToGrid w:val="0"/>
          <w:sz w:val="36"/>
          <w:szCs w:val="36"/>
        </w:rPr>
        <w:sectPr>
          <w:pgSz w:w="11906" w:h="16838"/>
          <w:pgMar w:top="1701" w:right="1531" w:bottom="1701" w:left="1531" w:header="851" w:footer="851" w:gutter="0"/>
          <w:cols w:space="720" w:num="1"/>
          <w:docGrid w:linePitch="312" w:charSpace="0"/>
        </w:sectPr>
      </w:pPr>
    </w:p>
    <w:p w14:paraId="2E12A9D5">
      <w:pPr>
        <w:pStyle w:val="28"/>
        <w:adjustRightInd w:val="0"/>
        <w:snapToGrid w:val="0"/>
        <w:spacing w:before="0" w:beforeAutospacing="0" w:after="0" w:afterAutospacing="0" w:line="14" w:lineRule="auto"/>
        <w:jc w:val="center"/>
        <w:rPr>
          <w:rFonts w:ascii="Times New Roman" w:hAnsi="Times New Roman" w:eastAsia="黑体"/>
          <w:snapToGrid w:val="0"/>
          <w:sz w:val="30"/>
          <w:szCs w:val="30"/>
        </w:rPr>
      </w:pPr>
    </w:p>
    <w:p w14:paraId="1D0A1910">
      <w:pPr>
        <w:pStyle w:val="28"/>
        <w:jc w:val="center"/>
        <w:outlineLvl w:val="0"/>
        <w:rPr>
          <w:rFonts w:ascii="Times New Roman" w:hAnsi="Times New Roman" w:eastAsia="黑体"/>
          <w:snapToGrid w:val="0"/>
          <w:sz w:val="30"/>
          <w:szCs w:val="30"/>
        </w:rPr>
      </w:pPr>
      <w:bookmarkStart w:id="15" w:name="_Toc127436952"/>
      <w:r>
        <w:rPr>
          <w:rFonts w:ascii="Times New Roman" w:hAnsi="黑体" w:eastAsia="黑体"/>
          <w:snapToGrid w:val="0"/>
          <w:sz w:val="30"/>
          <w:szCs w:val="30"/>
        </w:rPr>
        <w:t>三、区域环境质量现状、环境保护目标及评价标准</w:t>
      </w:r>
      <w:bookmarkEnd w:id="15"/>
    </w:p>
    <w:tbl>
      <w:tblPr>
        <w:tblStyle w:val="32"/>
        <w:tblW w:w="9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809"/>
      </w:tblGrid>
      <w:tr w14:paraId="09A14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95" w:hRule="atLeast"/>
          <w:jc w:val="center"/>
        </w:trPr>
        <w:tc>
          <w:tcPr>
            <w:tcW w:w="830" w:type="dxa"/>
            <w:vAlign w:val="center"/>
          </w:tcPr>
          <w:p w14:paraId="277035A2">
            <w:pPr>
              <w:adjustRightInd w:val="0"/>
              <w:snapToGrid w:val="0"/>
              <w:jc w:val="center"/>
              <w:rPr>
                <w:kern w:val="0"/>
                <w:sz w:val="24"/>
              </w:rPr>
            </w:pPr>
            <w:r>
              <w:rPr>
                <w:rFonts w:hAnsi="宋体"/>
                <w:kern w:val="0"/>
                <w:sz w:val="24"/>
              </w:rPr>
              <w:t>区域</w:t>
            </w:r>
          </w:p>
          <w:p w14:paraId="16C651E2">
            <w:pPr>
              <w:adjustRightInd w:val="0"/>
              <w:snapToGrid w:val="0"/>
              <w:jc w:val="center"/>
              <w:rPr>
                <w:kern w:val="0"/>
                <w:sz w:val="24"/>
              </w:rPr>
            </w:pPr>
            <w:r>
              <w:rPr>
                <w:rFonts w:hAnsi="宋体"/>
                <w:kern w:val="0"/>
                <w:sz w:val="24"/>
              </w:rPr>
              <w:t>环境</w:t>
            </w:r>
          </w:p>
          <w:p w14:paraId="51401042">
            <w:pPr>
              <w:adjustRightInd w:val="0"/>
              <w:snapToGrid w:val="0"/>
              <w:jc w:val="center"/>
              <w:rPr>
                <w:kern w:val="0"/>
                <w:sz w:val="24"/>
              </w:rPr>
            </w:pPr>
            <w:r>
              <w:rPr>
                <w:rFonts w:hAnsi="宋体"/>
                <w:kern w:val="0"/>
                <w:sz w:val="24"/>
              </w:rPr>
              <w:t>质量</w:t>
            </w:r>
          </w:p>
          <w:p w14:paraId="21BCA6EB">
            <w:pPr>
              <w:adjustRightInd w:val="0"/>
              <w:snapToGrid w:val="0"/>
              <w:jc w:val="center"/>
              <w:rPr>
                <w:kern w:val="0"/>
                <w:sz w:val="24"/>
              </w:rPr>
            </w:pPr>
            <w:r>
              <w:rPr>
                <w:rFonts w:hAnsi="宋体"/>
                <w:kern w:val="0"/>
                <w:sz w:val="24"/>
              </w:rPr>
              <w:t>现状</w:t>
            </w:r>
          </w:p>
        </w:tc>
        <w:tc>
          <w:tcPr>
            <w:tcW w:w="8809" w:type="dxa"/>
          </w:tcPr>
          <w:p w14:paraId="5D5C5146">
            <w:pPr>
              <w:pStyle w:val="58"/>
              <w:spacing w:line="360" w:lineRule="auto"/>
              <w:rPr>
                <w:rFonts w:ascii="Times New Roman" w:hAnsi="Times New Roman" w:cs="Times New Roman"/>
                <w:b/>
                <w:kern w:val="0"/>
                <w:sz w:val="24"/>
              </w:rPr>
            </w:pPr>
            <w:r>
              <w:rPr>
                <w:rFonts w:hint="eastAsia" w:ascii="Times New Roman" w:hAnsi="Times New Roman" w:cs="Times New Roman"/>
                <w:b/>
                <w:kern w:val="0"/>
                <w:sz w:val="24"/>
              </w:rPr>
              <w:t>一、区域环境质量现状</w:t>
            </w:r>
          </w:p>
          <w:p w14:paraId="39A6C458">
            <w:pPr>
              <w:pStyle w:val="58"/>
              <w:spacing w:line="360" w:lineRule="auto"/>
              <w:rPr>
                <w:rFonts w:ascii="Times New Roman" w:hAnsi="Times New Roman" w:cs="Times New Roman"/>
                <w:b/>
                <w:kern w:val="0"/>
                <w:sz w:val="24"/>
              </w:rPr>
            </w:pPr>
            <w:r>
              <w:rPr>
                <w:rFonts w:hint="eastAsia" w:ascii="Times New Roman" w:hAnsi="Times New Roman" w:cs="Times New Roman"/>
                <w:b/>
                <w:kern w:val="0"/>
                <w:sz w:val="24"/>
              </w:rPr>
              <w:t>1、大气环境</w:t>
            </w:r>
          </w:p>
          <w:p w14:paraId="4DC73C9C">
            <w:pPr>
              <w:adjustRightInd w:val="0"/>
              <w:snapToGrid w:val="0"/>
              <w:spacing w:line="360" w:lineRule="auto"/>
              <w:rPr>
                <w:b/>
                <w:bCs/>
                <w:sz w:val="24"/>
              </w:rPr>
            </w:pPr>
            <w:r>
              <w:rPr>
                <w:rFonts w:hint="eastAsia"/>
                <w:b/>
                <w:bCs/>
                <w:sz w:val="24"/>
              </w:rPr>
              <w:t>1.1环境</w:t>
            </w:r>
            <w:r>
              <w:rPr>
                <w:b/>
                <w:bCs/>
                <w:sz w:val="24"/>
              </w:rPr>
              <w:t>质量标准</w:t>
            </w:r>
          </w:p>
          <w:p w14:paraId="6F6D01F0">
            <w:pPr>
              <w:adjustRightInd w:val="0"/>
              <w:snapToGrid w:val="0"/>
              <w:spacing w:line="360" w:lineRule="auto"/>
              <w:ind w:firstLine="480" w:firstLineChars="200"/>
              <w:rPr>
                <w:sz w:val="24"/>
              </w:rPr>
            </w:pPr>
            <w:r>
              <w:rPr>
                <w:rFonts w:hint="eastAsia"/>
                <w:sz w:val="24"/>
              </w:rPr>
              <w:t>项目所在区域为环境空气功能区划中的二类区，</w:t>
            </w:r>
            <w:r>
              <w:rPr>
                <w:sz w:val="24"/>
              </w:rPr>
              <w:t>执行《环境空气质量标准》（GB3095-2012）</w:t>
            </w:r>
            <w:r>
              <w:rPr>
                <w:rFonts w:hint="eastAsia"/>
                <w:sz w:val="24"/>
              </w:rPr>
              <w:t>及2018年修改单</w:t>
            </w:r>
            <w:r>
              <w:rPr>
                <w:sz w:val="24"/>
              </w:rPr>
              <w:t>的二级标准。标准值见表</w:t>
            </w:r>
            <w:r>
              <w:rPr>
                <w:rFonts w:hint="eastAsia"/>
                <w:sz w:val="24"/>
              </w:rPr>
              <w:t>3</w:t>
            </w:r>
            <w:r>
              <w:rPr>
                <w:sz w:val="24"/>
              </w:rPr>
              <w:t>-</w:t>
            </w:r>
            <w:r>
              <w:rPr>
                <w:rFonts w:hint="eastAsia"/>
                <w:sz w:val="24"/>
              </w:rPr>
              <w:t>1</w:t>
            </w:r>
            <w:r>
              <w:rPr>
                <w:sz w:val="24"/>
              </w:rPr>
              <w:t>。</w:t>
            </w:r>
          </w:p>
          <w:p w14:paraId="43F04927">
            <w:pPr>
              <w:pStyle w:val="60"/>
              <w:snapToGrid w:val="0"/>
              <w:spacing w:line="360" w:lineRule="auto"/>
              <w:ind w:firstLine="0"/>
              <w:jc w:val="center"/>
              <w:textAlignment w:val="auto"/>
              <w:rPr>
                <w:kern w:val="24"/>
              </w:rPr>
            </w:pPr>
            <w:r>
              <w:rPr>
                <w:b/>
                <w:bCs/>
                <w:szCs w:val="24"/>
              </w:rPr>
              <w:t>表</w:t>
            </w:r>
            <w:r>
              <w:rPr>
                <w:rFonts w:hint="eastAsia"/>
                <w:b/>
                <w:bCs/>
                <w:szCs w:val="24"/>
              </w:rPr>
              <w:t>3</w:t>
            </w:r>
            <w:r>
              <w:rPr>
                <w:b/>
                <w:bCs/>
                <w:szCs w:val="24"/>
              </w:rPr>
              <w:t>-</w:t>
            </w:r>
            <w:r>
              <w:rPr>
                <w:rFonts w:hint="eastAsia"/>
                <w:b/>
                <w:bCs/>
                <w:szCs w:val="24"/>
              </w:rPr>
              <w:t>1</w:t>
            </w:r>
            <w:r>
              <w:rPr>
                <w:b/>
                <w:bCs/>
                <w:szCs w:val="24"/>
              </w:rPr>
              <w:t xml:space="preserve">   环境空气质量标准</w:t>
            </w:r>
          </w:p>
          <w:tbl>
            <w:tblPr>
              <w:tblStyle w:val="33"/>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898"/>
              <w:gridCol w:w="1850"/>
              <w:gridCol w:w="2562"/>
              <w:gridCol w:w="1273"/>
            </w:tblGrid>
            <w:tr w14:paraId="1B81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Align w:val="center"/>
                </w:tcPr>
                <w:p w14:paraId="74332579">
                  <w:pPr>
                    <w:adjustRightInd w:val="0"/>
                    <w:snapToGrid w:val="0"/>
                    <w:jc w:val="center"/>
                    <w:rPr>
                      <w:bCs/>
                      <w:szCs w:val="21"/>
                    </w:rPr>
                  </w:pPr>
                  <w:r>
                    <w:rPr>
                      <w:rFonts w:hint="eastAsia"/>
                      <w:bCs/>
                      <w:szCs w:val="21"/>
                    </w:rPr>
                    <w:t>污染物项目</w:t>
                  </w:r>
                </w:p>
              </w:tc>
              <w:tc>
                <w:tcPr>
                  <w:tcW w:w="1850" w:type="dxa"/>
                  <w:vAlign w:val="center"/>
                </w:tcPr>
                <w:p w14:paraId="693177A9">
                  <w:pPr>
                    <w:adjustRightInd w:val="0"/>
                    <w:snapToGrid w:val="0"/>
                    <w:jc w:val="center"/>
                    <w:rPr>
                      <w:bCs/>
                      <w:szCs w:val="21"/>
                    </w:rPr>
                  </w:pPr>
                  <w:r>
                    <w:rPr>
                      <w:rFonts w:hint="eastAsia"/>
                      <w:bCs/>
                      <w:szCs w:val="21"/>
                    </w:rPr>
                    <w:t>平均时间</w:t>
                  </w:r>
                </w:p>
              </w:tc>
              <w:tc>
                <w:tcPr>
                  <w:tcW w:w="2562" w:type="dxa"/>
                  <w:vAlign w:val="center"/>
                </w:tcPr>
                <w:p w14:paraId="29C86D08">
                  <w:pPr>
                    <w:adjustRightInd w:val="0"/>
                    <w:snapToGrid w:val="0"/>
                    <w:jc w:val="center"/>
                    <w:rPr>
                      <w:bCs/>
                      <w:szCs w:val="21"/>
                    </w:rPr>
                  </w:pPr>
                  <w:r>
                    <w:rPr>
                      <w:rFonts w:hint="eastAsia"/>
                    </w:rPr>
                    <w:t>二级标准浓度限值</w:t>
                  </w:r>
                </w:p>
              </w:tc>
              <w:tc>
                <w:tcPr>
                  <w:tcW w:w="1273" w:type="dxa"/>
                  <w:vAlign w:val="center"/>
                </w:tcPr>
                <w:p w14:paraId="090B8F32">
                  <w:pPr>
                    <w:adjustRightInd w:val="0"/>
                    <w:snapToGrid w:val="0"/>
                    <w:jc w:val="center"/>
                    <w:rPr>
                      <w:bCs/>
                      <w:szCs w:val="21"/>
                    </w:rPr>
                  </w:pPr>
                  <w:r>
                    <w:rPr>
                      <w:rFonts w:hint="eastAsia"/>
                      <w:bCs/>
                      <w:szCs w:val="21"/>
                    </w:rPr>
                    <w:t>单位</w:t>
                  </w:r>
                </w:p>
              </w:tc>
            </w:tr>
            <w:tr w14:paraId="1D76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restart"/>
                  <w:vAlign w:val="center"/>
                </w:tcPr>
                <w:p w14:paraId="450E31C0">
                  <w:pPr>
                    <w:adjustRightInd w:val="0"/>
                    <w:snapToGrid w:val="0"/>
                    <w:jc w:val="center"/>
                    <w:rPr>
                      <w:bCs/>
                      <w:szCs w:val="21"/>
                    </w:rPr>
                  </w:pPr>
                  <w:r>
                    <w:rPr>
                      <w:rFonts w:hint="eastAsia"/>
                    </w:rPr>
                    <w:t>二氧化硫（SO</w:t>
                  </w:r>
                  <w:r>
                    <w:rPr>
                      <w:rFonts w:hint="eastAsia"/>
                      <w:vertAlign w:val="subscript"/>
                    </w:rPr>
                    <w:t>2</w:t>
                  </w:r>
                  <w:r>
                    <w:rPr>
                      <w:rFonts w:hint="eastAsia"/>
                    </w:rPr>
                    <w:t>）</w:t>
                  </w:r>
                </w:p>
              </w:tc>
              <w:tc>
                <w:tcPr>
                  <w:tcW w:w="1850" w:type="dxa"/>
                  <w:vAlign w:val="center"/>
                </w:tcPr>
                <w:p w14:paraId="4C97634C">
                  <w:pPr>
                    <w:adjustRightInd w:val="0"/>
                    <w:snapToGrid w:val="0"/>
                    <w:jc w:val="center"/>
                    <w:rPr>
                      <w:bCs/>
                      <w:szCs w:val="21"/>
                    </w:rPr>
                  </w:pPr>
                  <w:r>
                    <w:rPr>
                      <w:rFonts w:hint="eastAsia"/>
                      <w:bCs/>
                      <w:szCs w:val="21"/>
                    </w:rPr>
                    <w:t>年平均</w:t>
                  </w:r>
                </w:p>
              </w:tc>
              <w:tc>
                <w:tcPr>
                  <w:tcW w:w="2562" w:type="dxa"/>
                  <w:vAlign w:val="center"/>
                </w:tcPr>
                <w:p w14:paraId="66C93E90">
                  <w:pPr>
                    <w:adjustRightInd w:val="0"/>
                    <w:snapToGrid w:val="0"/>
                    <w:jc w:val="center"/>
                    <w:rPr>
                      <w:bCs/>
                      <w:szCs w:val="21"/>
                    </w:rPr>
                  </w:pPr>
                  <w:r>
                    <w:rPr>
                      <w:rFonts w:hint="eastAsia"/>
                      <w:bCs/>
                      <w:szCs w:val="21"/>
                    </w:rPr>
                    <w:t>60</w:t>
                  </w:r>
                </w:p>
              </w:tc>
              <w:tc>
                <w:tcPr>
                  <w:tcW w:w="1273" w:type="dxa"/>
                  <w:vMerge w:val="restart"/>
                  <w:vAlign w:val="center"/>
                </w:tcPr>
                <w:p w14:paraId="5171FFFD">
                  <w:pPr>
                    <w:adjustRightInd w:val="0"/>
                    <w:snapToGrid w:val="0"/>
                    <w:jc w:val="center"/>
                    <w:rPr>
                      <w:bCs/>
                      <w:szCs w:val="21"/>
                    </w:rPr>
                  </w:pPr>
                  <w:r>
                    <w:rPr>
                      <w:bCs/>
                      <w:szCs w:val="21"/>
                    </w:rPr>
                    <w:t>μg</w:t>
                  </w:r>
                  <w:r>
                    <w:rPr>
                      <w:rFonts w:hint="eastAsia"/>
                      <w:bCs/>
                      <w:szCs w:val="21"/>
                    </w:rPr>
                    <w:t>/m</w:t>
                  </w:r>
                  <w:r>
                    <w:rPr>
                      <w:rFonts w:hint="eastAsia"/>
                      <w:bCs/>
                      <w:szCs w:val="21"/>
                      <w:vertAlign w:val="superscript"/>
                    </w:rPr>
                    <w:t>3</w:t>
                  </w:r>
                </w:p>
              </w:tc>
            </w:tr>
            <w:tr w14:paraId="1965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continue"/>
                  <w:vAlign w:val="center"/>
                </w:tcPr>
                <w:p w14:paraId="651C6538">
                  <w:pPr>
                    <w:adjustRightInd w:val="0"/>
                    <w:snapToGrid w:val="0"/>
                    <w:jc w:val="center"/>
                    <w:rPr>
                      <w:bCs/>
                      <w:szCs w:val="21"/>
                    </w:rPr>
                  </w:pPr>
                </w:p>
              </w:tc>
              <w:tc>
                <w:tcPr>
                  <w:tcW w:w="1850" w:type="dxa"/>
                  <w:vAlign w:val="center"/>
                </w:tcPr>
                <w:p w14:paraId="0D63F867">
                  <w:pPr>
                    <w:adjustRightInd w:val="0"/>
                    <w:snapToGrid w:val="0"/>
                    <w:jc w:val="center"/>
                    <w:rPr>
                      <w:bCs/>
                      <w:szCs w:val="21"/>
                    </w:rPr>
                  </w:pPr>
                  <w:r>
                    <w:rPr>
                      <w:rFonts w:hint="eastAsia"/>
                      <w:bCs/>
                      <w:szCs w:val="21"/>
                    </w:rPr>
                    <w:t>24小时平均</w:t>
                  </w:r>
                </w:p>
              </w:tc>
              <w:tc>
                <w:tcPr>
                  <w:tcW w:w="2562" w:type="dxa"/>
                  <w:vAlign w:val="center"/>
                </w:tcPr>
                <w:p w14:paraId="4F3D3FD7">
                  <w:pPr>
                    <w:adjustRightInd w:val="0"/>
                    <w:snapToGrid w:val="0"/>
                    <w:jc w:val="center"/>
                    <w:rPr>
                      <w:bCs/>
                      <w:szCs w:val="21"/>
                    </w:rPr>
                  </w:pPr>
                  <w:r>
                    <w:rPr>
                      <w:rFonts w:hint="eastAsia"/>
                      <w:bCs/>
                      <w:szCs w:val="21"/>
                    </w:rPr>
                    <w:t>150</w:t>
                  </w:r>
                </w:p>
              </w:tc>
              <w:tc>
                <w:tcPr>
                  <w:tcW w:w="1273" w:type="dxa"/>
                  <w:vMerge w:val="continue"/>
                  <w:vAlign w:val="center"/>
                </w:tcPr>
                <w:p w14:paraId="7BC6EC53">
                  <w:pPr>
                    <w:adjustRightInd w:val="0"/>
                    <w:snapToGrid w:val="0"/>
                    <w:jc w:val="center"/>
                    <w:rPr>
                      <w:bCs/>
                      <w:szCs w:val="21"/>
                    </w:rPr>
                  </w:pPr>
                </w:p>
              </w:tc>
            </w:tr>
            <w:tr w14:paraId="3F50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continue"/>
                  <w:vAlign w:val="center"/>
                </w:tcPr>
                <w:p w14:paraId="58CDF787">
                  <w:pPr>
                    <w:adjustRightInd w:val="0"/>
                    <w:snapToGrid w:val="0"/>
                    <w:jc w:val="center"/>
                    <w:rPr>
                      <w:bCs/>
                      <w:szCs w:val="21"/>
                    </w:rPr>
                  </w:pPr>
                </w:p>
              </w:tc>
              <w:tc>
                <w:tcPr>
                  <w:tcW w:w="1850" w:type="dxa"/>
                  <w:vAlign w:val="center"/>
                </w:tcPr>
                <w:p w14:paraId="709DECE0">
                  <w:pPr>
                    <w:adjustRightInd w:val="0"/>
                    <w:snapToGrid w:val="0"/>
                    <w:jc w:val="center"/>
                    <w:rPr>
                      <w:bCs/>
                      <w:szCs w:val="21"/>
                    </w:rPr>
                  </w:pPr>
                  <w:r>
                    <w:rPr>
                      <w:rFonts w:hint="eastAsia"/>
                      <w:bCs/>
                      <w:szCs w:val="21"/>
                    </w:rPr>
                    <w:t>1小时平均</w:t>
                  </w:r>
                </w:p>
              </w:tc>
              <w:tc>
                <w:tcPr>
                  <w:tcW w:w="2562" w:type="dxa"/>
                  <w:vAlign w:val="center"/>
                </w:tcPr>
                <w:p w14:paraId="759550B9">
                  <w:pPr>
                    <w:adjustRightInd w:val="0"/>
                    <w:snapToGrid w:val="0"/>
                    <w:jc w:val="center"/>
                    <w:rPr>
                      <w:bCs/>
                      <w:szCs w:val="21"/>
                    </w:rPr>
                  </w:pPr>
                  <w:r>
                    <w:rPr>
                      <w:rFonts w:hint="eastAsia"/>
                      <w:bCs/>
                      <w:szCs w:val="21"/>
                    </w:rPr>
                    <w:t>500</w:t>
                  </w:r>
                </w:p>
              </w:tc>
              <w:tc>
                <w:tcPr>
                  <w:tcW w:w="1273" w:type="dxa"/>
                  <w:vMerge w:val="continue"/>
                  <w:vAlign w:val="center"/>
                </w:tcPr>
                <w:p w14:paraId="7C46B314">
                  <w:pPr>
                    <w:adjustRightInd w:val="0"/>
                    <w:snapToGrid w:val="0"/>
                    <w:jc w:val="center"/>
                    <w:rPr>
                      <w:bCs/>
                      <w:szCs w:val="21"/>
                    </w:rPr>
                  </w:pPr>
                </w:p>
              </w:tc>
            </w:tr>
            <w:tr w14:paraId="2ACE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restart"/>
                  <w:vAlign w:val="center"/>
                </w:tcPr>
                <w:p w14:paraId="207DD1D8">
                  <w:pPr>
                    <w:adjustRightInd w:val="0"/>
                    <w:snapToGrid w:val="0"/>
                    <w:jc w:val="center"/>
                    <w:rPr>
                      <w:bCs/>
                      <w:szCs w:val="21"/>
                    </w:rPr>
                  </w:pPr>
                  <w:r>
                    <w:rPr>
                      <w:rFonts w:hint="eastAsia"/>
                      <w:bCs/>
                      <w:szCs w:val="21"/>
                    </w:rPr>
                    <w:t>二氧化氮（NO</w:t>
                  </w:r>
                  <w:r>
                    <w:rPr>
                      <w:rFonts w:hint="eastAsia"/>
                      <w:bCs/>
                      <w:szCs w:val="21"/>
                      <w:vertAlign w:val="subscript"/>
                    </w:rPr>
                    <w:t>2</w:t>
                  </w:r>
                  <w:r>
                    <w:rPr>
                      <w:rFonts w:hint="eastAsia"/>
                      <w:bCs/>
                      <w:szCs w:val="21"/>
                    </w:rPr>
                    <w:t>）</w:t>
                  </w:r>
                </w:p>
              </w:tc>
              <w:tc>
                <w:tcPr>
                  <w:tcW w:w="1850" w:type="dxa"/>
                  <w:vAlign w:val="center"/>
                </w:tcPr>
                <w:p w14:paraId="15E81FFE">
                  <w:pPr>
                    <w:adjustRightInd w:val="0"/>
                    <w:snapToGrid w:val="0"/>
                    <w:jc w:val="center"/>
                    <w:rPr>
                      <w:bCs/>
                      <w:szCs w:val="21"/>
                    </w:rPr>
                  </w:pPr>
                  <w:r>
                    <w:rPr>
                      <w:rFonts w:hint="eastAsia"/>
                      <w:bCs/>
                      <w:szCs w:val="21"/>
                    </w:rPr>
                    <w:t>年平均</w:t>
                  </w:r>
                </w:p>
              </w:tc>
              <w:tc>
                <w:tcPr>
                  <w:tcW w:w="2562" w:type="dxa"/>
                  <w:vAlign w:val="center"/>
                </w:tcPr>
                <w:p w14:paraId="0520028F">
                  <w:pPr>
                    <w:adjustRightInd w:val="0"/>
                    <w:snapToGrid w:val="0"/>
                    <w:jc w:val="center"/>
                    <w:rPr>
                      <w:bCs/>
                      <w:szCs w:val="21"/>
                    </w:rPr>
                  </w:pPr>
                  <w:r>
                    <w:rPr>
                      <w:rFonts w:hint="eastAsia"/>
                      <w:bCs/>
                      <w:szCs w:val="21"/>
                    </w:rPr>
                    <w:t>40</w:t>
                  </w:r>
                </w:p>
              </w:tc>
              <w:tc>
                <w:tcPr>
                  <w:tcW w:w="1273" w:type="dxa"/>
                  <w:vMerge w:val="continue"/>
                  <w:vAlign w:val="center"/>
                </w:tcPr>
                <w:p w14:paraId="380ECCAA">
                  <w:pPr>
                    <w:adjustRightInd w:val="0"/>
                    <w:snapToGrid w:val="0"/>
                    <w:jc w:val="center"/>
                    <w:rPr>
                      <w:bCs/>
                      <w:szCs w:val="21"/>
                    </w:rPr>
                  </w:pPr>
                </w:p>
              </w:tc>
            </w:tr>
            <w:tr w14:paraId="5C3D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continue"/>
                  <w:vAlign w:val="center"/>
                </w:tcPr>
                <w:p w14:paraId="4CA1D1FF">
                  <w:pPr>
                    <w:adjustRightInd w:val="0"/>
                    <w:snapToGrid w:val="0"/>
                    <w:jc w:val="center"/>
                    <w:rPr>
                      <w:bCs/>
                      <w:szCs w:val="21"/>
                    </w:rPr>
                  </w:pPr>
                </w:p>
              </w:tc>
              <w:tc>
                <w:tcPr>
                  <w:tcW w:w="1850" w:type="dxa"/>
                  <w:vAlign w:val="center"/>
                </w:tcPr>
                <w:p w14:paraId="7701F4C8">
                  <w:pPr>
                    <w:adjustRightInd w:val="0"/>
                    <w:snapToGrid w:val="0"/>
                    <w:jc w:val="center"/>
                    <w:rPr>
                      <w:bCs/>
                      <w:szCs w:val="21"/>
                    </w:rPr>
                  </w:pPr>
                  <w:r>
                    <w:rPr>
                      <w:rFonts w:hint="eastAsia"/>
                      <w:bCs/>
                      <w:szCs w:val="21"/>
                    </w:rPr>
                    <w:t>24小时平均</w:t>
                  </w:r>
                </w:p>
              </w:tc>
              <w:tc>
                <w:tcPr>
                  <w:tcW w:w="2562" w:type="dxa"/>
                  <w:vAlign w:val="center"/>
                </w:tcPr>
                <w:p w14:paraId="211891FF">
                  <w:pPr>
                    <w:adjustRightInd w:val="0"/>
                    <w:snapToGrid w:val="0"/>
                    <w:jc w:val="center"/>
                    <w:rPr>
                      <w:bCs/>
                      <w:szCs w:val="21"/>
                    </w:rPr>
                  </w:pPr>
                  <w:r>
                    <w:rPr>
                      <w:rFonts w:hint="eastAsia"/>
                      <w:bCs/>
                      <w:szCs w:val="21"/>
                    </w:rPr>
                    <w:t>80</w:t>
                  </w:r>
                </w:p>
              </w:tc>
              <w:tc>
                <w:tcPr>
                  <w:tcW w:w="1273" w:type="dxa"/>
                  <w:vMerge w:val="continue"/>
                  <w:vAlign w:val="center"/>
                </w:tcPr>
                <w:p w14:paraId="46A5A87F">
                  <w:pPr>
                    <w:adjustRightInd w:val="0"/>
                    <w:snapToGrid w:val="0"/>
                    <w:jc w:val="center"/>
                    <w:rPr>
                      <w:bCs/>
                      <w:szCs w:val="21"/>
                    </w:rPr>
                  </w:pPr>
                </w:p>
              </w:tc>
            </w:tr>
            <w:tr w14:paraId="45A8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continue"/>
                  <w:vAlign w:val="center"/>
                </w:tcPr>
                <w:p w14:paraId="4DDB9247">
                  <w:pPr>
                    <w:adjustRightInd w:val="0"/>
                    <w:snapToGrid w:val="0"/>
                    <w:jc w:val="center"/>
                    <w:rPr>
                      <w:bCs/>
                      <w:szCs w:val="21"/>
                    </w:rPr>
                  </w:pPr>
                </w:p>
              </w:tc>
              <w:tc>
                <w:tcPr>
                  <w:tcW w:w="1850" w:type="dxa"/>
                  <w:vAlign w:val="center"/>
                </w:tcPr>
                <w:p w14:paraId="7B878634">
                  <w:pPr>
                    <w:adjustRightInd w:val="0"/>
                    <w:snapToGrid w:val="0"/>
                    <w:jc w:val="center"/>
                    <w:rPr>
                      <w:bCs/>
                      <w:szCs w:val="21"/>
                    </w:rPr>
                  </w:pPr>
                  <w:r>
                    <w:rPr>
                      <w:rFonts w:hint="eastAsia"/>
                      <w:bCs/>
                      <w:szCs w:val="21"/>
                    </w:rPr>
                    <w:t>1小时平均</w:t>
                  </w:r>
                </w:p>
              </w:tc>
              <w:tc>
                <w:tcPr>
                  <w:tcW w:w="2562" w:type="dxa"/>
                  <w:vAlign w:val="center"/>
                </w:tcPr>
                <w:p w14:paraId="193485FC">
                  <w:pPr>
                    <w:adjustRightInd w:val="0"/>
                    <w:snapToGrid w:val="0"/>
                    <w:jc w:val="center"/>
                    <w:rPr>
                      <w:bCs/>
                      <w:szCs w:val="21"/>
                    </w:rPr>
                  </w:pPr>
                  <w:r>
                    <w:rPr>
                      <w:rFonts w:hint="eastAsia"/>
                      <w:bCs/>
                      <w:szCs w:val="21"/>
                    </w:rPr>
                    <w:t>200</w:t>
                  </w:r>
                </w:p>
              </w:tc>
              <w:tc>
                <w:tcPr>
                  <w:tcW w:w="1273" w:type="dxa"/>
                  <w:vMerge w:val="continue"/>
                  <w:vAlign w:val="center"/>
                </w:tcPr>
                <w:p w14:paraId="0F04C93A">
                  <w:pPr>
                    <w:adjustRightInd w:val="0"/>
                    <w:snapToGrid w:val="0"/>
                    <w:jc w:val="center"/>
                    <w:rPr>
                      <w:bCs/>
                      <w:szCs w:val="21"/>
                    </w:rPr>
                  </w:pPr>
                </w:p>
              </w:tc>
            </w:tr>
            <w:tr w14:paraId="6A39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restart"/>
                  <w:vAlign w:val="center"/>
                </w:tcPr>
                <w:p w14:paraId="6722A5D5">
                  <w:pPr>
                    <w:adjustRightInd w:val="0"/>
                    <w:snapToGrid w:val="0"/>
                    <w:jc w:val="center"/>
                    <w:rPr>
                      <w:bCs/>
                      <w:szCs w:val="21"/>
                    </w:rPr>
                  </w:pPr>
                  <w:r>
                    <w:rPr>
                      <w:rFonts w:hint="eastAsia"/>
                      <w:bCs/>
                      <w:szCs w:val="21"/>
                    </w:rPr>
                    <w:t>一氧化碳（CO）</w:t>
                  </w:r>
                </w:p>
              </w:tc>
              <w:tc>
                <w:tcPr>
                  <w:tcW w:w="1850" w:type="dxa"/>
                  <w:vAlign w:val="center"/>
                </w:tcPr>
                <w:p w14:paraId="3740D6F6">
                  <w:pPr>
                    <w:adjustRightInd w:val="0"/>
                    <w:snapToGrid w:val="0"/>
                    <w:jc w:val="center"/>
                    <w:rPr>
                      <w:bCs/>
                      <w:szCs w:val="21"/>
                    </w:rPr>
                  </w:pPr>
                  <w:r>
                    <w:rPr>
                      <w:rFonts w:hint="eastAsia"/>
                      <w:bCs/>
                      <w:szCs w:val="21"/>
                    </w:rPr>
                    <w:t>24小时平均</w:t>
                  </w:r>
                </w:p>
              </w:tc>
              <w:tc>
                <w:tcPr>
                  <w:tcW w:w="2562" w:type="dxa"/>
                  <w:vAlign w:val="center"/>
                </w:tcPr>
                <w:p w14:paraId="4D837B80">
                  <w:pPr>
                    <w:adjustRightInd w:val="0"/>
                    <w:snapToGrid w:val="0"/>
                    <w:jc w:val="center"/>
                    <w:rPr>
                      <w:bCs/>
                      <w:szCs w:val="21"/>
                    </w:rPr>
                  </w:pPr>
                  <w:r>
                    <w:rPr>
                      <w:rFonts w:hint="eastAsia"/>
                      <w:bCs/>
                      <w:szCs w:val="21"/>
                    </w:rPr>
                    <w:t>4</w:t>
                  </w:r>
                </w:p>
              </w:tc>
              <w:tc>
                <w:tcPr>
                  <w:tcW w:w="1273" w:type="dxa"/>
                  <w:vMerge w:val="restart"/>
                  <w:vAlign w:val="center"/>
                </w:tcPr>
                <w:p w14:paraId="4825B910">
                  <w:pPr>
                    <w:adjustRightInd w:val="0"/>
                    <w:snapToGrid w:val="0"/>
                    <w:jc w:val="center"/>
                    <w:rPr>
                      <w:bCs/>
                      <w:szCs w:val="21"/>
                    </w:rPr>
                  </w:pPr>
                  <w:r>
                    <w:rPr>
                      <w:rFonts w:hint="eastAsia"/>
                      <w:bCs/>
                      <w:szCs w:val="21"/>
                    </w:rPr>
                    <w:t>m</w:t>
                  </w:r>
                  <w:r>
                    <w:rPr>
                      <w:bCs/>
                      <w:szCs w:val="21"/>
                    </w:rPr>
                    <w:t>g</w:t>
                  </w:r>
                  <w:r>
                    <w:rPr>
                      <w:rFonts w:hint="eastAsia"/>
                      <w:bCs/>
                      <w:szCs w:val="21"/>
                    </w:rPr>
                    <w:t>/m</w:t>
                  </w:r>
                  <w:r>
                    <w:rPr>
                      <w:rFonts w:hint="eastAsia"/>
                      <w:bCs/>
                      <w:szCs w:val="21"/>
                      <w:vertAlign w:val="superscript"/>
                    </w:rPr>
                    <w:t>3</w:t>
                  </w:r>
                </w:p>
              </w:tc>
            </w:tr>
            <w:tr w14:paraId="7F88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continue"/>
                  <w:vAlign w:val="center"/>
                </w:tcPr>
                <w:p w14:paraId="39093EAB">
                  <w:pPr>
                    <w:adjustRightInd w:val="0"/>
                    <w:snapToGrid w:val="0"/>
                    <w:jc w:val="center"/>
                    <w:rPr>
                      <w:bCs/>
                      <w:szCs w:val="21"/>
                    </w:rPr>
                  </w:pPr>
                </w:p>
              </w:tc>
              <w:tc>
                <w:tcPr>
                  <w:tcW w:w="1850" w:type="dxa"/>
                  <w:vAlign w:val="center"/>
                </w:tcPr>
                <w:p w14:paraId="32B5FCF7">
                  <w:pPr>
                    <w:adjustRightInd w:val="0"/>
                    <w:snapToGrid w:val="0"/>
                    <w:jc w:val="center"/>
                    <w:rPr>
                      <w:bCs/>
                      <w:szCs w:val="21"/>
                    </w:rPr>
                  </w:pPr>
                  <w:r>
                    <w:rPr>
                      <w:rFonts w:hint="eastAsia"/>
                      <w:bCs/>
                      <w:szCs w:val="21"/>
                    </w:rPr>
                    <w:t>1小时平均</w:t>
                  </w:r>
                </w:p>
              </w:tc>
              <w:tc>
                <w:tcPr>
                  <w:tcW w:w="2562" w:type="dxa"/>
                  <w:vAlign w:val="center"/>
                </w:tcPr>
                <w:p w14:paraId="0AB65737">
                  <w:pPr>
                    <w:adjustRightInd w:val="0"/>
                    <w:snapToGrid w:val="0"/>
                    <w:jc w:val="center"/>
                    <w:rPr>
                      <w:bCs/>
                      <w:szCs w:val="21"/>
                    </w:rPr>
                  </w:pPr>
                  <w:r>
                    <w:rPr>
                      <w:rFonts w:hint="eastAsia"/>
                      <w:bCs/>
                      <w:szCs w:val="21"/>
                    </w:rPr>
                    <w:t>10</w:t>
                  </w:r>
                </w:p>
              </w:tc>
              <w:tc>
                <w:tcPr>
                  <w:tcW w:w="1273" w:type="dxa"/>
                  <w:vMerge w:val="continue"/>
                  <w:vAlign w:val="center"/>
                </w:tcPr>
                <w:p w14:paraId="103C9766">
                  <w:pPr>
                    <w:adjustRightInd w:val="0"/>
                    <w:snapToGrid w:val="0"/>
                    <w:jc w:val="center"/>
                    <w:rPr>
                      <w:bCs/>
                      <w:szCs w:val="21"/>
                    </w:rPr>
                  </w:pPr>
                </w:p>
              </w:tc>
            </w:tr>
            <w:tr w14:paraId="5DC6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restart"/>
                  <w:vAlign w:val="center"/>
                </w:tcPr>
                <w:p w14:paraId="418499C6">
                  <w:pPr>
                    <w:adjustRightInd w:val="0"/>
                    <w:snapToGrid w:val="0"/>
                    <w:jc w:val="center"/>
                    <w:rPr>
                      <w:bCs/>
                      <w:szCs w:val="21"/>
                    </w:rPr>
                  </w:pPr>
                  <w:r>
                    <w:rPr>
                      <w:rFonts w:hint="eastAsia"/>
                      <w:bCs/>
                      <w:szCs w:val="21"/>
                    </w:rPr>
                    <w:t>臭氧（O</w:t>
                  </w:r>
                  <w:r>
                    <w:rPr>
                      <w:rFonts w:hint="eastAsia"/>
                      <w:bCs/>
                      <w:szCs w:val="21"/>
                      <w:vertAlign w:val="subscript"/>
                    </w:rPr>
                    <w:t>3</w:t>
                  </w:r>
                  <w:r>
                    <w:rPr>
                      <w:rFonts w:hint="eastAsia"/>
                      <w:bCs/>
                      <w:szCs w:val="21"/>
                    </w:rPr>
                    <w:t>）</w:t>
                  </w:r>
                </w:p>
              </w:tc>
              <w:tc>
                <w:tcPr>
                  <w:tcW w:w="1850" w:type="dxa"/>
                  <w:vAlign w:val="center"/>
                </w:tcPr>
                <w:p w14:paraId="170C1F91">
                  <w:pPr>
                    <w:adjustRightInd w:val="0"/>
                    <w:snapToGrid w:val="0"/>
                    <w:jc w:val="center"/>
                    <w:rPr>
                      <w:bCs/>
                      <w:szCs w:val="21"/>
                    </w:rPr>
                  </w:pPr>
                  <w:r>
                    <w:rPr>
                      <w:rFonts w:hint="eastAsia"/>
                      <w:bCs/>
                      <w:szCs w:val="21"/>
                    </w:rPr>
                    <w:t>日最大8小时平均</w:t>
                  </w:r>
                </w:p>
              </w:tc>
              <w:tc>
                <w:tcPr>
                  <w:tcW w:w="2562" w:type="dxa"/>
                  <w:vAlign w:val="center"/>
                </w:tcPr>
                <w:p w14:paraId="4723C0F6">
                  <w:pPr>
                    <w:adjustRightInd w:val="0"/>
                    <w:snapToGrid w:val="0"/>
                    <w:jc w:val="center"/>
                    <w:rPr>
                      <w:bCs/>
                      <w:szCs w:val="21"/>
                    </w:rPr>
                  </w:pPr>
                  <w:r>
                    <w:rPr>
                      <w:rFonts w:hint="eastAsia"/>
                      <w:bCs/>
                      <w:szCs w:val="21"/>
                    </w:rPr>
                    <w:t>160</w:t>
                  </w:r>
                </w:p>
              </w:tc>
              <w:tc>
                <w:tcPr>
                  <w:tcW w:w="1273" w:type="dxa"/>
                  <w:vMerge w:val="restart"/>
                  <w:vAlign w:val="center"/>
                </w:tcPr>
                <w:p w14:paraId="41AE7B8D">
                  <w:pPr>
                    <w:adjustRightInd w:val="0"/>
                    <w:snapToGrid w:val="0"/>
                    <w:jc w:val="center"/>
                    <w:rPr>
                      <w:bCs/>
                      <w:szCs w:val="21"/>
                    </w:rPr>
                  </w:pPr>
                  <w:r>
                    <w:rPr>
                      <w:bCs/>
                      <w:szCs w:val="21"/>
                    </w:rPr>
                    <w:t>μg</w:t>
                  </w:r>
                  <w:r>
                    <w:rPr>
                      <w:rFonts w:hint="eastAsia"/>
                      <w:bCs/>
                      <w:szCs w:val="21"/>
                    </w:rPr>
                    <w:t>/m</w:t>
                  </w:r>
                  <w:r>
                    <w:rPr>
                      <w:rFonts w:hint="eastAsia"/>
                      <w:bCs/>
                      <w:szCs w:val="21"/>
                      <w:vertAlign w:val="superscript"/>
                    </w:rPr>
                    <w:t>3</w:t>
                  </w:r>
                </w:p>
              </w:tc>
            </w:tr>
            <w:tr w14:paraId="63F4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continue"/>
                  <w:vAlign w:val="center"/>
                </w:tcPr>
                <w:p w14:paraId="2B514426">
                  <w:pPr>
                    <w:adjustRightInd w:val="0"/>
                    <w:snapToGrid w:val="0"/>
                    <w:jc w:val="center"/>
                    <w:rPr>
                      <w:bCs/>
                      <w:szCs w:val="21"/>
                    </w:rPr>
                  </w:pPr>
                </w:p>
              </w:tc>
              <w:tc>
                <w:tcPr>
                  <w:tcW w:w="1850" w:type="dxa"/>
                  <w:vAlign w:val="center"/>
                </w:tcPr>
                <w:p w14:paraId="67B02365">
                  <w:pPr>
                    <w:adjustRightInd w:val="0"/>
                    <w:snapToGrid w:val="0"/>
                    <w:jc w:val="center"/>
                    <w:rPr>
                      <w:bCs/>
                      <w:szCs w:val="21"/>
                    </w:rPr>
                  </w:pPr>
                  <w:r>
                    <w:rPr>
                      <w:rFonts w:hint="eastAsia"/>
                      <w:bCs/>
                      <w:szCs w:val="21"/>
                    </w:rPr>
                    <w:t>1小时平均</w:t>
                  </w:r>
                </w:p>
              </w:tc>
              <w:tc>
                <w:tcPr>
                  <w:tcW w:w="2562" w:type="dxa"/>
                  <w:vAlign w:val="center"/>
                </w:tcPr>
                <w:p w14:paraId="6B4ABF5E">
                  <w:pPr>
                    <w:adjustRightInd w:val="0"/>
                    <w:snapToGrid w:val="0"/>
                    <w:jc w:val="center"/>
                    <w:rPr>
                      <w:bCs/>
                      <w:szCs w:val="21"/>
                    </w:rPr>
                  </w:pPr>
                  <w:r>
                    <w:rPr>
                      <w:rFonts w:hint="eastAsia"/>
                      <w:bCs/>
                      <w:szCs w:val="21"/>
                    </w:rPr>
                    <w:t>200</w:t>
                  </w:r>
                </w:p>
              </w:tc>
              <w:tc>
                <w:tcPr>
                  <w:tcW w:w="1273" w:type="dxa"/>
                  <w:vMerge w:val="continue"/>
                  <w:vAlign w:val="center"/>
                </w:tcPr>
                <w:p w14:paraId="2D9C65A5">
                  <w:pPr>
                    <w:adjustRightInd w:val="0"/>
                    <w:snapToGrid w:val="0"/>
                    <w:jc w:val="center"/>
                    <w:rPr>
                      <w:bCs/>
                      <w:szCs w:val="21"/>
                    </w:rPr>
                  </w:pPr>
                </w:p>
              </w:tc>
            </w:tr>
            <w:tr w14:paraId="1424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restart"/>
                  <w:vAlign w:val="center"/>
                </w:tcPr>
                <w:p w14:paraId="2D167D4C">
                  <w:pPr>
                    <w:adjustRightInd w:val="0"/>
                    <w:snapToGrid w:val="0"/>
                    <w:jc w:val="center"/>
                    <w:rPr>
                      <w:bCs/>
                      <w:szCs w:val="21"/>
                    </w:rPr>
                  </w:pPr>
                  <w:r>
                    <w:rPr>
                      <w:rFonts w:hint="eastAsia"/>
                      <w:bCs/>
                      <w:szCs w:val="21"/>
                    </w:rPr>
                    <w:t xml:space="preserve">颗粒物（粒径小于等于10 </w:t>
                  </w:r>
                  <w:r>
                    <w:rPr>
                      <w:bCs/>
                      <w:szCs w:val="21"/>
                    </w:rPr>
                    <w:t>μm</w:t>
                  </w:r>
                  <w:r>
                    <w:rPr>
                      <w:rFonts w:hint="eastAsia"/>
                      <w:bCs/>
                      <w:szCs w:val="21"/>
                    </w:rPr>
                    <w:t>）</w:t>
                  </w:r>
                </w:p>
              </w:tc>
              <w:tc>
                <w:tcPr>
                  <w:tcW w:w="1850" w:type="dxa"/>
                  <w:vAlign w:val="center"/>
                </w:tcPr>
                <w:p w14:paraId="52D18508">
                  <w:pPr>
                    <w:adjustRightInd w:val="0"/>
                    <w:snapToGrid w:val="0"/>
                    <w:jc w:val="center"/>
                    <w:rPr>
                      <w:bCs/>
                      <w:szCs w:val="21"/>
                    </w:rPr>
                  </w:pPr>
                  <w:r>
                    <w:rPr>
                      <w:rFonts w:hint="eastAsia"/>
                      <w:bCs/>
                      <w:szCs w:val="21"/>
                    </w:rPr>
                    <w:t>年平均</w:t>
                  </w:r>
                </w:p>
              </w:tc>
              <w:tc>
                <w:tcPr>
                  <w:tcW w:w="2562" w:type="dxa"/>
                  <w:vAlign w:val="center"/>
                </w:tcPr>
                <w:p w14:paraId="4AE95521">
                  <w:pPr>
                    <w:adjustRightInd w:val="0"/>
                    <w:snapToGrid w:val="0"/>
                    <w:jc w:val="center"/>
                    <w:rPr>
                      <w:bCs/>
                      <w:szCs w:val="21"/>
                    </w:rPr>
                  </w:pPr>
                  <w:r>
                    <w:rPr>
                      <w:rFonts w:hint="eastAsia"/>
                      <w:bCs/>
                      <w:szCs w:val="21"/>
                    </w:rPr>
                    <w:t>70</w:t>
                  </w:r>
                </w:p>
              </w:tc>
              <w:tc>
                <w:tcPr>
                  <w:tcW w:w="1273" w:type="dxa"/>
                  <w:vMerge w:val="continue"/>
                  <w:vAlign w:val="center"/>
                </w:tcPr>
                <w:p w14:paraId="7473A8EE">
                  <w:pPr>
                    <w:adjustRightInd w:val="0"/>
                    <w:snapToGrid w:val="0"/>
                    <w:jc w:val="center"/>
                    <w:rPr>
                      <w:bCs/>
                      <w:szCs w:val="21"/>
                    </w:rPr>
                  </w:pPr>
                </w:p>
              </w:tc>
            </w:tr>
            <w:tr w14:paraId="4EB9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continue"/>
                  <w:vAlign w:val="center"/>
                </w:tcPr>
                <w:p w14:paraId="5B1E4129">
                  <w:pPr>
                    <w:adjustRightInd w:val="0"/>
                    <w:snapToGrid w:val="0"/>
                    <w:jc w:val="center"/>
                    <w:rPr>
                      <w:bCs/>
                      <w:szCs w:val="21"/>
                    </w:rPr>
                  </w:pPr>
                </w:p>
              </w:tc>
              <w:tc>
                <w:tcPr>
                  <w:tcW w:w="1850" w:type="dxa"/>
                  <w:vAlign w:val="center"/>
                </w:tcPr>
                <w:p w14:paraId="32B6B0F0">
                  <w:pPr>
                    <w:adjustRightInd w:val="0"/>
                    <w:snapToGrid w:val="0"/>
                    <w:jc w:val="center"/>
                    <w:rPr>
                      <w:bCs/>
                      <w:szCs w:val="21"/>
                    </w:rPr>
                  </w:pPr>
                  <w:r>
                    <w:rPr>
                      <w:rFonts w:hint="eastAsia"/>
                      <w:bCs/>
                      <w:szCs w:val="21"/>
                    </w:rPr>
                    <w:t>24小时平均</w:t>
                  </w:r>
                </w:p>
              </w:tc>
              <w:tc>
                <w:tcPr>
                  <w:tcW w:w="2562" w:type="dxa"/>
                  <w:vAlign w:val="center"/>
                </w:tcPr>
                <w:p w14:paraId="25AEC85F">
                  <w:pPr>
                    <w:adjustRightInd w:val="0"/>
                    <w:snapToGrid w:val="0"/>
                    <w:jc w:val="center"/>
                    <w:rPr>
                      <w:bCs/>
                      <w:szCs w:val="21"/>
                    </w:rPr>
                  </w:pPr>
                  <w:r>
                    <w:rPr>
                      <w:rFonts w:hint="eastAsia"/>
                      <w:bCs/>
                      <w:szCs w:val="21"/>
                    </w:rPr>
                    <w:t>150</w:t>
                  </w:r>
                </w:p>
              </w:tc>
              <w:tc>
                <w:tcPr>
                  <w:tcW w:w="1273" w:type="dxa"/>
                  <w:vMerge w:val="continue"/>
                  <w:vAlign w:val="center"/>
                </w:tcPr>
                <w:p w14:paraId="3D49AE8B">
                  <w:pPr>
                    <w:adjustRightInd w:val="0"/>
                    <w:snapToGrid w:val="0"/>
                    <w:jc w:val="center"/>
                    <w:rPr>
                      <w:bCs/>
                      <w:szCs w:val="21"/>
                    </w:rPr>
                  </w:pPr>
                </w:p>
              </w:tc>
            </w:tr>
            <w:tr w14:paraId="3D57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restart"/>
                  <w:vAlign w:val="center"/>
                </w:tcPr>
                <w:p w14:paraId="49602C9C">
                  <w:pPr>
                    <w:adjustRightInd w:val="0"/>
                    <w:snapToGrid w:val="0"/>
                    <w:jc w:val="center"/>
                    <w:rPr>
                      <w:bCs/>
                      <w:szCs w:val="21"/>
                    </w:rPr>
                  </w:pPr>
                  <w:r>
                    <w:rPr>
                      <w:rFonts w:hint="eastAsia"/>
                      <w:bCs/>
                      <w:szCs w:val="21"/>
                    </w:rPr>
                    <w:t xml:space="preserve">颗粒物（粒径小于等于2.5 </w:t>
                  </w:r>
                  <w:r>
                    <w:rPr>
                      <w:bCs/>
                      <w:szCs w:val="21"/>
                    </w:rPr>
                    <w:t>μm</w:t>
                  </w:r>
                  <w:r>
                    <w:rPr>
                      <w:rFonts w:hint="eastAsia"/>
                      <w:bCs/>
                      <w:szCs w:val="21"/>
                    </w:rPr>
                    <w:t>）</w:t>
                  </w:r>
                </w:p>
              </w:tc>
              <w:tc>
                <w:tcPr>
                  <w:tcW w:w="1850" w:type="dxa"/>
                  <w:vAlign w:val="center"/>
                </w:tcPr>
                <w:p w14:paraId="099C2894">
                  <w:pPr>
                    <w:adjustRightInd w:val="0"/>
                    <w:snapToGrid w:val="0"/>
                    <w:jc w:val="center"/>
                    <w:rPr>
                      <w:bCs/>
                      <w:szCs w:val="21"/>
                    </w:rPr>
                  </w:pPr>
                  <w:r>
                    <w:rPr>
                      <w:rFonts w:hint="eastAsia"/>
                      <w:bCs/>
                      <w:szCs w:val="21"/>
                    </w:rPr>
                    <w:t>年平均</w:t>
                  </w:r>
                </w:p>
              </w:tc>
              <w:tc>
                <w:tcPr>
                  <w:tcW w:w="2562" w:type="dxa"/>
                  <w:vAlign w:val="center"/>
                </w:tcPr>
                <w:p w14:paraId="46CD6951">
                  <w:pPr>
                    <w:adjustRightInd w:val="0"/>
                    <w:snapToGrid w:val="0"/>
                    <w:jc w:val="center"/>
                    <w:rPr>
                      <w:bCs/>
                      <w:szCs w:val="21"/>
                    </w:rPr>
                  </w:pPr>
                  <w:r>
                    <w:rPr>
                      <w:rFonts w:hint="eastAsia"/>
                      <w:bCs/>
                      <w:szCs w:val="21"/>
                    </w:rPr>
                    <w:t>35</w:t>
                  </w:r>
                </w:p>
              </w:tc>
              <w:tc>
                <w:tcPr>
                  <w:tcW w:w="1273" w:type="dxa"/>
                  <w:vMerge w:val="continue"/>
                  <w:vAlign w:val="center"/>
                </w:tcPr>
                <w:p w14:paraId="514E2111">
                  <w:pPr>
                    <w:adjustRightInd w:val="0"/>
                    <w:snapToGrid w:val="0"/>
                    <w:jc w:val="center"/>
                    <w:rPr>
                      <w:bCs/>
                      <w:szCs w:val="21"/>
                    </w:rPr>
                  </w:pPr>
                </w:p>
              </w:tc>
            </w:tr>
            <w:tr w14:paraId="6453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continue"/>
                  <w:vAlign w:val="center"/>
                </w:tcPr>
                <w:p w14:paraId="5BCF0A03">
                  <w:pPr>
                    <w:adjustRightInd w:val="0"/>
                    <w:snapToGrid w:val="0"/>
                    <w:jc w:val="center"/>
                    <w:rPr>
                      <w:bCs/>
                      <w:szCs w:val="21"/>
                    </w:rPr>
                  </w:pPr>
                </w:p>
              </w:tc>
              <w:tc>
                <w:tcPr>
                  <w:tcW w:w="1850" w:type="dxa"/>
                  <w:vAlign w:val="center"/>
                </w:tcPr>
                <w:p w14:paraId="30C003AF">
                  <w:pPr>
                    <w:adjustRightInd w:val="0"/>
                    <w:snapToGrid w:val="0"/>
                    <w:jc w:val="center"/>
                    <w:rPr>
                      <w:bCs/>
                      <w:szCs w:val="21"/>
                    </w:rPr>
                  </w:pPr>
                  <w:r>
                    <w:rPr>
                      <w:rFonts w:hint="eastAsia"/>
                      <w:bCs/>
                      <w:szCs w:val="21"/>
                    </w:rPr>
                    <w:t>24小时平均</w:t>
                  </w:r>
                </w:p>
              </w:tc>
              <w:tc>
                <w:tcPr>
                  <w:tcW w:w="2562" w:type="dxa"/>
                  <w:vAlign w:val="center"/>
                </w:tcPr>
                <w:p w14:paraId="515A2E4F">
                  <w:pPr>
                    <w:adjustRightInd w:val="0"/>
                    <w:snapToGrid w:val="0"/>
                    <w:jc w:val="center"/>
                    <w:rPr>
                      <w:bCs/>
                      <w:szCs w:val="21"/>
                    </w:rPr>
                  </w:pPr>
                  <w:r>
                    <w:rPr>
                      <w:rFonts w:hint="eastAsia"/>
                      <w:bCs/>
                      <w:szCs w:val="21"/>
                    </w:rPr>
                    <w:t>75</w:t>
                  </w:r>
                </w:p>
              </w:tc>
              <w:tc>
                <w:tcPr>
                  <w:tcW w:w="1273" w:type="dxa"/>
                  <w:vMerge w:val="continue"/>
                  <w:vAlign w:val="center"/>
                </w:tcPr>
                <w:p w14:paraId="0BAF6F75">
                  <w:pPr>
                    <w:adjustRightInd w:val="0"/>
                    <w:snapToGrid w:val="0"/>
                    <w:jc w:val="center"/>
                    <w:rPr>
                      <w:bCs/>
                      <w:szCs w:val="21"/>
                    </w:rPr>
                  </w:pPr>
                </w:p>
              </w:tc>
            </w:tr>
            <w:tr w14:paraId="35E1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restart"/>
                  <w:vAlign w:val="center"/>
                </w:tcPr>
                <w:p w14:paraId="76F12A36">
                  <w:pPr>
                    <w:adjustRightInd w:val="0"/>
                    <w:snapToGrid w:val="0"/>
                    <w:jc w:val="center"/>
                    <w:rPr>
                      <w:bCs/>
                      <w:szCs w:val="21"/>
                    </w:rPr>
                  </w:pPr>
                  <w:r>
                    <w:t>总悬浮颗粒物（TSP）</w:t>
                  </w:r>
                </w:p>
              </w:tc>
              <w:tc>
                <w:tcPr>
                  <w:tcW w:w="1850" w:type="dxa"/>
                  <w:vAlign w:val="center"/>
                </w:tcPr>
                <w:p w14:paraId="1CED546D">
                  <w:pPr>
                    <w:adjustRightInd w:val="0"/>
                    <w:snapToGrid w:val="0"/>
                    <w:jc w:val="center"/>
                    <w:rPr>
                      <w:bCs/>
                      <w:szCs w:val="21"/>
                    </w:rPr>
                  </w:pPr>
                  <w:r>
                    <w:rPr>
                      <w:rFonts w:hint="eastAsia"/>
                      <w:bCs/>
                      <w:szCs w:val="21"/>
                    </w:rPr>
                    <w:t>年平均</w:t>
                  </w:r>
                </w:p>
              </w:tc>
              <w:tc>
                <w:tcPr>
                  <w:tcW w:w="2562" w:type="dxa"/>
                  <w:vAlign w:val="center"/>
                </w:tcPr>
                <w:p w14:paraId="57CCA859">
                  <w:pPr>
                    <w:pStyle w:val="61"/>
                    <w:spacing w:line="240" w:lineRule="auto"/>
                    <w:rPr>
                      <w:rFonts w:ascii="Times New Roman" w:hAnsi="Times New Roman"/>
                      <w:szCs w:val="21"/>
                    </w:rPr>
                  </w:pPr>
                  <w:r>
                    <w:rPr>
                      <w:rFonts w:ascii="Times New Roman" w:hAnsi="Times New Roman"/>
                      <w:szCs w:val="21"/>
                    </w:rPr>
                    <w:t>200</w:t>
                  </w:r>
                </w:p>
              </w:tc>
              <w:tc>
                <w:tcPr>
                  <w:tcW w:w="1273" w:type="dxa"/>
                  <w:vMerge w:val="restart"/>
                  <w:vAlign w:val="center"/>
                </w:tcPr>
                <w:p w14:paraId="6163347F">
                  <w:pPr>
                    <w:adjustRightInd w:val="0"/>
                    <w:snapToGrid w:val="0"/>
                    <w:jc w:val="center"/>
                    <w:rPr>
                      <w:bCs/>
                      <w:szCs w:val="21"/>
                    </w:rPr>
                  </w:pPr>
                  <w:r>
                    <w:rPr>
                      <w:bCs/>
                      <w:szCs w:val="21"/>
                    </w:rPr>
                    <w:t>μg</w:t>
                  </w:r>
                  <w:r>
                    <w:rPr>
                      <w:rFonts w:hint="eastAsia"/>
                      <w:bCs/>
                      <w:szCs w:val="21"/>
                    </w:rPr>
                    <w:t>/m</w:t>
                  </w:r>
                  <w:r>
                    <w:rPr>
                      <w:rFonts w:hint="eastAsia"/>
                      <w:bCs/>
                      <w:szCs w:val="21"/>
                      <w:vertAlign w:val="superscript"/>
                    </w:rPr>
                    <w:t>3</w:t>
                  </w:r>
                </w:p>
              </w:tc>
            </w:tr>
            <w:tr w14:paraId="7C10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2898" w:type="dxa"/>
                  <w:vMerge w:val="continue"/>
                  <w:vAlign w:val="center"/>
                </w:tcPr>
                <w:p w14:paraId="368DDEC7">
                  <w:pPr>
                    <w:adjustRightInd w:val="0"/>
                    <w:snapToGrid w:val="0"/>
                    <w:jc w:val="center"/>
                    <w:rPr>
                      <w:bCs/>
                      <w:szCs w:val="21"/>
                    </w:rPr>
                  </w:pPr>
                </w:p>
              </w:tc>
              <w:tc>
                <w:tcPr>
                  <w:tcW w:w="1850" w:type="dxa"/>
                  <w:vAlign w:val="center"/>
                </w:tcPr>
                <w:p w14:paraId="7BA85A85">
                  <w:pPr>
                    <w:adjustRightInd w:val="0"/>
                    <w:snapToGrid w:val="0"/>
                    <w:jc w:val="center"/>
                    <w:rPr>
                      <w:bCs/>
                      <w:szCs w:val="21"/>
                    </w:rPr>
                  </w:pPr>
                  <w:r>
                    <w:rPr>
                      <w:rFonts w:hint="eastAsia"/>
                      <w:bCs/>
                      <w:szCs w:val="21"/>
                    </w:rPr>
                    <w:t>24小时平均</w:t>
                  </w:r>
                </w:p>
              </w:tc>
              <w:tc>
                <w:tcPr>
                  <w:tcW w:w="2562" w:type="dxa"/>
                  <w:vAlign w:val="center"/>
                </w:tcPr>
                <w:p w14:paraId="04A5A58B">
                  <w:pPr>
                    <w:pStyle w:val="61"/>
                    <w:spacing w:line="240" w:lineRule="auto"/>
                    <w:rPr>
                      <w:rFonts w:ascii="Times New Roman" w:hAnsi="Times New Roman"/>
                      <w:szCs w:val="21"/>
                    </w:rPr>
                  </w:pPr>
                  <w:r>
                    <w:rPr>
                      <w:rFonts w:ascii="Times New Roman" w:hAnsi="Times New Roman"/>
                      <w:szCs w:val="21"/>
                    </w:rPr>
                    <w:t>300</w:t>
                  </w:r>
                </w:p>
              </w:tc>
              <w:tc>
                <w:tcPr>
                  <w:tcW w:w="1273" w:type="dxa"/>
                  <w:vMerge w:val="continue"/>
                  <w:vAlign w:val="center"/>
                </w:tcPr>
                <w:p w14:paraId="61CC7779">
                  <w:pPr>
                    <w:adjustRightInd w:val="0"/>
                    <w:snapToGrid w:val="0"/>
                    <w:jc w:val="center"/>
                    <w:rPr>
                      <w:bCs/>
                      <w:szCs w:val="21"/>
                    </w:rPr>
                  </w:pPr>
                </w:p>
              </w:tc>
            </w:tr>
          </w:tbl>
          <w:p w14:paraId="4C8AC760">
            <w:pPr>
              <w:adjustRightInd w:val="0"/>
              <w:snapToGrid w:val="0"/>
              <w:spacing w:line="360" w:lineRule="auto"/>
              <w:jc w:val="left"/>
              <w:rPr>
                <w:b/>
                <w:bCs/>
                <w:sz w:val="24"/>
              </w:rPr>
            </w:pPr>
          </w:p>
          <w:p w14:paraId="030F846C">
            <w:pPr>
              <w:adjustRightInd w:val="0"/>
              <w:snapToGrid w:val="0"/>
              <w:spacing w:line="360" w:lineRule="auto"/>
              <w:jc w:val="left"/>
              <w:rPr>
                <w:kern w:val="24"/>
                <w:sz w:val="24"/>
              </w:rPr>
            </w:pPr>
            <w:r>
              <w:rPr>
                <w:rFonts w:hint="eastAsia"/>
                <w:b/>
                <w:bCs/>
                <w:sz w:val="24"/>
              </w:rPr>
              <w:t>1.2 环境质量现状</w:t>
            </w:r>
          </w:p>
          <w:p w14:paraId="3BE27488">
            <w:pPr>
              <w:adjustRightInd w:val="0"/>
              <w:snapToGrid w:val="0"/>
              <w:spacing w:line="360" w:lineRule="auto"/>
              <w:ind w:firstLine="480" w:firstLineChars="200"/>
              <w:jc w:val="left"/>
              <w:rPr>
                <w:sz w:val="24"/>
              </w:rPr>
            </w:pPr>
            <w:r>
              <w:rPr>
                <w:sz w:val="24"/>
              </w:rPr>
              <w:t>本项目位于玉溪市</w:t>
            </w:r>
            <w:r>
              <w:rPr>
                <w:rFonts w:hint="eastAsia"/>
                <w:sz w:val="24"/>
              </w:rPr>
              <w:t>通海县</w:t>
            </w:r>
            <w:r>
              <w:rPr>
                <w:sz w:val="24"/>
              </w:rPr>
              <w:t>，项目所在区域大气环境执行《环境空气质量标准》（GB3095-2012）</w:t>
            </w:r>
            <w:r>
              <w:rPr>
                <w:rFonts w:hint="eastAsia"/>
                <w:sz w:val="24"/>
              </w:rPr>
              <w:t>及2018年修改单</w:t>
            </w:r>
            <w:r>
              <w:rPr>
                <w:sz w:val="24"/>
              </w:rPr>
              <w:t>的二级标准。</w:t>
            </w:r>
          </w:p>
          <w:p w14:paraId="5596227F">
            <w:pPr>
              <w:pStyle w:val="83"/>
              <w:ind w:firstLine="480"/>
            </w:pPr>
            <w:r>
              <w:t>本次评价采用</w:t>
            </w:r>
            <w:r>
              <w:rPr>
                <w:rFonts w:hint="eastAsia"/>
              </w:rPr>
              <w:t>通海县环境空气质量自动监测点的</w:t>
            </w:r>
            <w:r>
              <w:t>2023</w:t>
            </w:r>
            <w:r>
              <w:rPr>
                <w:rFonts w:hint="eastAsia"/>
              </w:rPr>
              <w:t>年全年环境空气监测数据进行达标区判定及基本污染物环境空气质量现状评价。</w:t>
            </w:r>
            <w:r>
              <w:rPr>
                <w:rFonts w:hint="eastAsia"/>
                <w:kern w:val="24"/>
              </w:rPr>
              <w:t>通海县环境空气质量自动监测系统位于通海县环境监测站</w:t>
            </w:r>
            <w:r>
              <w:rPr>
                <w:rFonts w:hint="eastAsia"/>
              </w:rPr>
              <w:t>，距离本项目约</w:t>
            </w:r>
            <w:r>
              <w:t xml:space="preserve">9.3 </w:t>
            </w:r>
            <w:r>
              <w:rPr>
                <w:rFonts w:hint="eastAsia"/>
              </w:rPr>
              <w:t>km。</w:t>
            </w:r>
          </w:p>
          <w:p w14:paraId="7BB64650">
            <w:pPr>
              <w:pStyle w:val="83"/>
              <w:ind w:firstLine="480"/>
            </w:pPr>
            <w:r>
              <w:t>环境空气质量达标情况评价指标为SO</w:t>
            </w:r>
            <w:r>
              <w:rPr>
                <w:vertAlign w:val="subscript"/>
              </w:rPr>
              <w:t>2</w:t>
            </w:r>
            <w:r>
              <w:t>、NO</w:t>
            </w:r>
            <w:r>
              <w:rPr>
                <w:vertAlign w:val="subscript"/>
              </w:rPr>
              <w:t>2</w:t>
            </w:r>
            <w:r>
              <w:t>、PM</w:t>
            </w:r>
            <w:r>
              <w:rPr>
                <w:vertAlign w:val="subscript"/>
              </w:rPr>
              <w:t>10</w:t>
            </w:r>
            <w:r>
              <w:t>、PM</w:t>
            </w:r>
            <w:r>
              <w:rPr>
                <w:vertAlign w:val="subscript"/>
              </w:rPr>
              <w:t>2.5</w:t>
            </w:r>
            <w:r>
              <w:t>、CO、O</w:t>
            </w:r>
            <w:r>
              <w:rPr>
                <w:vertAlign w:val="subscript"/>
              </w:rPr>
              <w:t>3</w:t>
            </w:r>
            <w:r>
              <w:t>，六项基本污染物</w:t>
            </w:r>
            <w:r>
              <w:rPr>
                <w:rFonts w:hint="eastAsia"/>
              </w:rPr>
              <w:t>按照HJ 663中各评价项目的年评价指标进行评价，年评价指标中的年均浓度和相应百分位数24h平均或8h平均质量浓度满足GB 3095中浓度限值要求的即为达标区。</w:t>
            </w:r>
          </w:p>
          <w:p w14:paraId="1AB465A6">
            <w:pPr>
              <w:pStyle w:val="60"/>
              <w:snapToGrid w:val="0"/>
              <w:spacing w:line="360" w:lineRule="auto"/>
              <w:ind w:firstLine="0"/>
              <w:jc w:val="center"/>
              <w:textAlignment w:val="auto"/>
              <w:rPr>
                <w:b/>
                <w:bCs/>
                <w:szCs w:val="24"/>
              </w:rPr>
            </w:pPr>
            <w:r>
              <w:rPr>
                <w:b/>
                <w:bCs/>
                <w:szCs w:val="24"/>
              </w:rPr>
              <w:t>表3-2  2023</w:t>
            </w:r>
            <w:r>
              <w:rPr>
                <w:rFonts w:hint="eastAsia"/>
                <w:b/>
                <w:bCs/>
                <w:szCs w:val="24"/>
              </w:rPr>
              <w:t>年区域基本污染物质量现状评价表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409"/>
              <w:gridCol w:w="1220"/>
              <w:gridCol w:w="1205"/>
              <w:gridCol w:w="1515"/>
              <w:gridCol w:w="1332"/>
            </w:tblGrid>
            <w:tr w14:paraId="65E2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2" w:type="dxa"/>
                  <w:vAlign w:val="center"/>
                </w:tcPr>
                <w:p w14:paraId="5B89600E">
                  <w:pPr>
                    <w:widowControl/>
                    <w:jc w:val="center"/>
                    <w:textAlignment w:val="center"/>
                    <w:rPr>
                      <w:kern w:val="0"/>
                    </w:rPr>
                  </w:pPr>
                  <w:r>
                    <w:rPr>
                      <w:kern w:val="0"/>
                    </w:rPr>
                    <w:t>污染物</w:t>
                  </w:r>
                </w:p>
              </w:tc>
              <w:tc>
                <w:tcPr>
                  <w:tcW w:w="2409" w:type="dxa"/>
                  <w:vAlign w:val="center"/>
                </w:tcPr>
                <w:p w14:paraId="4036E655">
                  <w:pPr>
                    <w:widowControl/>
                    <w:jc w:val="center"/>
                    <w:textAlignment w:val="center"/>
                    <w:rPr>
                      <w:kern w:val="0"/>
                    </w:rPr>
                  </w:pPr>
                  <w:r>
                    <w:rPr>
                      <w:kern w:val="0"/>
                    </w:rPr>
                    <w:t>年评价指标</w:t>
                  </w:r>
                </w:p>
              </w:tc>
              <w:tc>
                <w:tcPr>
                  <w:tcW w:w="1220" w:type="dxa"/>
                  <w:vAlign w:val="center"/>
                </w:tcPr>
                <w:p w14:paraId="152F1E47">
                  <w:pPr>
                    <w:widowControl/>
                    <w:jc w:val="center"/>
                    <w:textAlignment w:val="center"/>
                    <w:rPr>
                      <w:kern w:val="0"/>
                    </w:rPr>
                  </w:pPr>
                  <w:r>
                    <w:rPr>
                      <w:kern w:val="0"/>
                    </w:rPr>
                    <w:t>现状浓度</w:t>
                  </w:r>
                </w:p>
                <w:p w14:paraId="4BA943A3">
                  <w:pPr>
                    <w:widowControl/>
                    <w:jc w:val="center"/>
                    <w:textAlignment w:val="center"/>
                    <w:rPr>
                      <w:kern w:val="0"/>
                    </w:rPr>
                  </w:pPr>
                  <w:r>
                    <w:rPr>
                      <w:kern w:val="0"/>
                    </w:rPr>
                    <w:t>（µg/m</w:t>
                  </w:r>
                  <w:r>
                    <w:rPr>
                      <w:kern w:val="0"/>
                      <w:vertAlign w:val="superscript"/>
                    </w:rPr>
                    <w:t>3</w:t>
                  </w:r>
                  <w:r>
                    <w:rPr>
                      <w:kern w:val="0"/>
                    </w:rPr>
                    <w:t>）</w:t>
                  </w:r>
                </w:p>
              </w:tc>
              <w:tc>
                <w:tcPr>
                  <w:tcW w:w="1205" w:type="dxa"/>
                  <w:vAlign w:val="center"/>
                </w:tcPr>
                <w:p w14:paraId="3794A6BF">
                  <w:pPr>
                    <w:widowControl/>
                    <w:jc w:val="center"/>
                    <w:textAlignment w:val="center"/>
                    <w:rPr>
                      <w:kern w:val="0"/>
                    </w:rPr>
                  </w:pPr>
                  <w:r>
                    <w:rPr>
                      <w:kern w:val="0"/>
                    </w:rPr>
                    <w:t>标准值</w:t>
                  </w:r>
                </w:p>
                <w:p w14:paraId="5CCDC1C1">
                  <w:pPr>
                    <w:widowControl/>
                    <w:jc w:val="center"/>
                    <w:textAlignment w:val="center"/>
                    <w:rPr>
                      <w:kern w:val="0"/>
                    </w:rPr>
                  </w:pPr>
                  <w:r>
                    <w:rPr>
                      <w:kern w:val="0"/>
                    </w:rPr>
                    <w:t>（µg/m</w:t>
                  </w:r>
                  <w:r>
                    <w:rPr>
                      <w:kern w:val="0"/>
                      <w:vertAlign w:val="superscript"/>
                    </w:rPr>
                    <w:t>3</w:t>
                  </w:r>
                  <w:r>
                    <w:rPr>
                      <w:kern w:val="0"/>
                    </w:rPr>
                    <w:t>）</w:t>
                  </w:r>
                </w:p>
              </w:tc>
              <w:tc>
                <w:tcPr>
                  <w:tcW w:w="1515" w:type="dxa"/>
                  <w:vAlign w:val="center"/>
                </w:tcPr>
                <w:p w14:paraId="5C8EF72E">
                  <w:pPr>
                    <w:widowControl/>
                    <w:jc w:val="center"/>
                    <w:textAlignment w:val="center"/>
                    <w:rPr>
                      <w:kern w:val="0"/>
                    </w:rPr>
                  </w:pPr>
                  <w:r>
                    <w:rPr>
                      <w:kern w:val="0"/>
                    </w:rPr>
                    <w:t>占标率/%</w:t>
                  </w:r>
                </w:p>
              </w:tc>
              <w:tc>
                <w:tcPr>
                  <w:tcW w:w="1332" w:type="dxa"/>
                  <w:vAlign w:val="center"/>
                </w:tcPr>
                <w:p w14:paraId="73AD9964">
                  <w:pPr>
                    <w:widowControl/>
                    <w:jc w:val="center"/>
                    <w:textAlignment w:val="center"/>
                    <w:rPr>
                      <w:kern w:val="0"/>
                    </w:rPr>
                  </w:pPr>
                  <w:r>
                    <w:rPr>
                      <w:kern w:val="0"/>
                    </w:rPr>
                    <w:t>达标情况</w:t>
                  </w:r>
                </w:p>
              </w:tc>
            </w:tr>
            <w:tr w14:paraId="4F09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02" w:type="dxa"/>
                  <w:vMerge w:val="restart"/>
                  <w:vAlign w:val="center"/>
                </w:tcPr>
                <w:p w14:paraId="3FDEE130">
                  <w:pPr>
                    <w:widowControl/>
                    <w:jc w:val="center"/>
                    <w:textAlignment w:val="center"/>
                    <w:rPr>
                      <w:kern w:val="0"/>
                    </w:rPr>
                  </w:pPr>
                  <w:r>
                    <w:rPr>
                      <w:kern w:val="0"/>
                    </w:rPr>
                    <w:t>SO</w:t>
                  </w:r>
                  <w:r>
                    <w:rPr>
                      <w:kern w:val="0"/>
                      <w:vertAlign w:val="subscript"/>
                    </w:rPr>
                    <w:t>2</w:t>
                  </w:r>
                </w:p>
              </w:tc>
              <w:tc>
                <w:tcPr>
                  <w:tcW w:w="2409" w:type="dxa"/>
                  <w:vAlign w:val="center"/>
                </w:tcPr>
                <w:p w14:paraId="6471C966">
                  <w:pPr>
                    <w:widowControl/>
                    <w:jc w:val="center"/>
                    <w:textAlignment w:val="center"/>
                    <w:rPr>
                      <w:kern w:val="0"/>
                    </w:rPr>
                  </w:pPr>
                  <w:r>
                    <w:rPr>
                      <w:kern w:val="0"/>
                    </w:rPr>
                    <w:t>年平均质量浓度</w:t>
                  </w:r>
                </w:p>
              </w:tc>
              <w:tc>
                <w:tcPr>
                  <w:tcW w:w="1220" w:type="dxa"/>
                  <w:vAlign w:val="center"/>
                </w:tcPr>
                <w:p w14:paraId="7C483B86">
                  <w:pPr>
                    <w:pStyle w:val="47"/>
                    <w:spacing w:before="24" w:after="24"/>
                    <w:rPr>
                      <w:rFonts w:ascii="Times New Roman"/>
                    </w:rPr>
                  </w:pPr>
                  <w:r>
                    <w:rPr>
                      <w:rFonts w:ascii="Times New Roman"/>
                      <w:szCs w:val="21"/>
                    </w:rPr>
                    <w:t xml:space="preserve">6.8 </w:t>
                  </w:r>
                </w:p>
              </w:tc>
              <w:tc>
                <w:tcPr>
                  <w:tcW w:w="1205" w:type="dxa"/>
                  <w:vAlign w:val="center"/>
                </w:tcPr>
                <w:p w14:paraId="7A206BFA">
                  <w:pPr>
                    <w:widowControl/>
                    <w:jc w:val="center"/>
                    <w:textAlignment w:val="center"/>
                    <w:rPr>
                      <w:kern w:val="0"/>
                    </w:rPr>
                  </w:pPr>
                  <w:r>
                    <w:rPr>
                      <w:szCs w:val="21"/>
                    </w:rPr>
                    <w:t>60</w:t>
                  </w:r>
                </w:p>
              </w:tc>
              <w:tc>
                <w:tcPr>
                  <w:tcW w:w="1515" w:type="dxa"/>
                  <w:vAlign w:val="center"/>
                </w:tcPr>
                <w:p w14:paraId="48DB5007">
                  <w:pPr>
                    <w:pStyle w:val="47"/>
                    <w:spacing w:before="24" w:after="24"/>
                    <w:rPr>
                      <w:rFonts w:ascii="Times New Roman"/>
                    </w:rPr>
                  </w:pPr>
                  <w:r>
                    <w:rPr>
                      <w:rFonts w:ascii="Times New Roman"/>
                      <w:szCs w:val="21"/>
                    </w:rPr>
                    <w:t xml:space="preserve">11.3 </w:t>
                  </w:r>
                </w:p>
              </w:tc>
              <w:tc>
                <w:tcPr>
                  <w:tcW w:w="1332" w:type="dxa"/>
                  <w:vAlign w:val="center"/>
                </w:tcPr>
                <w:p w14:paraId="209A0046">
                  <w:pPr>
                    <w:widowControl/>
                    <w:jc w:val="center"/>
                    <w:textAlignment w:val="center"/>
                    <w:rPr>
                      <w:kern w:val="0"/>
                    </w:rPr>
                  </w:pPr>
                  <w:r>
                    <w:rPr>
                      <w:kern w:val="0"/>
                    </w:rPr>
                    <w:t>达标</w:t>
                  </w:r>
                </w:p>
              </w:tc>
            </w:tr>
            <w:tr w14:paraId="6CB9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2" w:type="dxa"/>
                  <w:vMerge w:val="continue"/>
                  <w:vAlign w:val="center"/>
                </w:tcPr>
                <w:p w14:paraId="3309F363">
                  <w:pPr>
                    <w:widowControl/>
                    <w:jc w:val="center"/>
                    <w:textAlignment w:val="center"/>
                    <w:rPr>
                      <w:kern w:val="0"/>
                    </w:rPr>
                  </w:pPr>
                </w:p>
              </w:tc>
              <w:tc>
                <w:tcPr>
                  <w:tcW w:w="2409" w:type="dxa"/>
                  <w:vAlign w:val="center"/>
                </w:tcPr>
                <w:p w14:paraId="1FCAF648">
                  <w:pPr>
                    <w:widowControl/>
                    <w:jc w:val="center"/>
                    <w:textAlignment w:val="center"/>
                    <w:rPr>
                      <w:kern w:val="0"/>
                    </w:rPr>
                  </w:pPr>
                  <w:r>
                    <w:rPr>
                      <w:kern w:val="0"/>
                    </w:rPr>
                    <w:t>98%日平均质量浓度</w:t>
                  </w:r>
                </w:p>
              </w:tc>
              <w:tc>
                <w:tcPr>
                  <w:tcW w:w="1220" w:type="dxa"/>
                  <w:vAlign w:val="center"/>
                </w:tcPr>
                <w:p w14:paraId="4856EF6A">
                  <w:pPr>
                    <w:pStyle w:val="47"/>
                    <w:spacing w:before="24" w:after="24"/>
                    <w:rPr>
                      <w:rFonts w:ascii="Times New Roman"/>
                    </w:rPr>
                  </w:pPr>
                  <w:r>
                    <w:rPr>
                      <w:rFonts w:ascii="Times New Roman"/>
                      <w:szCs w:val="21"/>
                    </w:rPr>
                    <w:t xml:space="preserve">12.0 </w:t>
                  </w:r>
                </w:p>
              </w:tc>
              <w:tc>
                <w:tcPr>
                  <w:tcW w:w="1205" w:type="dxa"/>
                  <w:vAlign w:val="center"/>
                </w:tcPr>
                <w:p w14:paraId="4A2B8562">
                  <w:pPr>
                    <w:widowControl/>
                    <w:jc w:val="center"/>
                    <w:textAlignment w:val="center"/>
                    <w:rPr>
                      <w:kern w:val="0"/>
                    </w:rPr>
                  </w:pPr>
                  <w:r>
                    <w:rPr>
                      <w:szCs w:val="21"/>
                    </w:rPr>
                    <w:t>150</w:t>
                  </w:r>
                </w:p>
              </w:tc>
              <w:tc>
                <w:tcPr>
                  <w:tcW w:w="1515" w:type="dxa"/>
                  <w:vAlign w:val="center"/>
                </w:tcPr>
                <w:p w14:paraId="02A8CC35">
                  <w:pPr>
                    <w:pStyle w:val="47"/>
                    <w:spacing w:before="24" w:after="24"/>
                    <w:rPr>
                      <w:rFonts w:ascii="Times New Roman"/>
                    </w:rPr>
                  </w:pPr>
                  <w:r>
                    <w:rPr>
                      <w:rFonts w:ascii="Times New Roman"/>
                      <w:szCs w:val="21"/>
                    </w:rPr>
                    <w:t xml:space="preserve">8.0 </w:t>
                  </w:r>
                </w:p>
              </w:tc>
              <w:tc>
                <w:tcPr>
                  <w:tcW w:w="1332" w:type="dxa"/>
                  <w:vAlign w:val="center"/>
                </w:tcPr>
                <w:p w14:paraId="20AECB4C">
                  <w:pPr>
                    <w:widowControl/>
                    <w:jc w:val="center"/>
                    <w:textAlignment w:val="center"/>
                    <w:rPr>
                      <w:kern w:val="0"/>
                    </w:rPr>
                  </w:pPr>
                  <w:r>
                    <w:rPr>
                      <w:kern w:val="0"/>
                    </w:rPr>
                    <w:t>达标</w:t>
                  </w:r>
                </w:p>
              </w:tc>
            </w:tr>
            <w:tr w14:paraId="63BF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02" w:type="dxa"/>
                  <w:vMerge w:val="restart"/>
                  <w:vAlign w:val="center"/>
                </w:tcPr>
                <w:p w14:paraId="32A15849">
                  <w:pPr>
                    <w:widowControl/>
                    <w:jc w:val="center"/>
                    <w:textAlignment w:val="center"/>
                    <w:rPr>
                      <w:kern w:val="0"/>
                    </w:rPr>
                  </w:pPr>
                  <w:r>
                    <w:rPr>
                      <w:kern w:val="0"/>
                    </w:rPr>
                    <w:t>NO</w:t>
                  </w:r>
                  <w:r>
                    <w:rPr>
                      <w:kern w:val="0"/>
                      <w:vertAlign w:val="subscript"/>
                    </w:rPr>
                    <w:t>2</w:t>
                  </w:r>
                </w:p>
              </w:tc>
              <w:tc>
                <w:tcPr>
                  <w:tcW w:w="2409" w:type="dxa"/>
                  <w:vAlign w:val="center"/>
                </w:tcPr>
                <w:p w14:paraId="72C4BC36">
                  <w:pPr>
                    <w:jc w:val="center"/>
                    <w:textAlignment w:val="center"/>
                  </w:pPr>
                  <w:r>
                    <w:t>年平均质量浓度</w:t>
                  </w:r>
                </w:p>
              </w:tc>
              <w:tc>
                <w:tcPr>
                  <w:tcW w:w="1220" w:type="dxa"/>
                  <w:vAlign w:val="center"/>
                </w:tcPr>
                <w:p w14:paraId="00755FB4">
                  <w:pPr>
                    <w:pStyle w:val="47"/>
                    <w:spacing w:before="24" w:after="24"/>
                    <w:rPr>
                      <w:rFonts w:ascii="Times New Roman"/>
                    </w:rPr>
                  </w:pPr>
                  <w:r>
                    <w:rPr>
                      <w:rFonts w:ascii="Times New Roman"/>
                      <w:szCs w:val="21"/>
                    </w:rPr>
                    <w:t xml:space="preserve">11.6 </w:t>
                  </w:r>
                </w:p>
              </w:tc>
              <w:tc>
                <w:tcPr>
                  <w:tcW w:w="1205" w:type="dxa"/>
                  <w:vAlign w:val="center"/>
                </w:tcPr>
                <w:p w14:paraId="31E52813">
                  <w:pPr>
                    <w:widowControl/>
                    <w:jc w:val="center"/>
                    <w:textAlignment w:val="center"/>
                    <w:rPr>
                      <w:kern w:val="0"/>
                    </w:rPr>
                  </w:pPr>
                  <w:r>
                    <w:rPr>
                      <w:szCs w:val="21"/>
                    </w:rPr>
                    <w:t>40</w:t>
                  </w:r>
                </w:p>
              </w:tc>
              <w:tc>
                <w:tcPr>
                  <w:tcW w:w="1515" w:type="dxa"/>
                  <w:vAlign w:val="center"/>
                </w:tcPr>
                <w:p w14:paraId="3F3F36C6">
                  <w:pPr>
                    <w:pStyle w:val="47"/>
                    <w:spacing w:before="24" w:after="24"/>
                    <w:rPr>
                      <w:rFonts w:ascii="Times New Roman"/>
                    </w:rPr>
                  </w:pPr>
                  <w:r>
                    <w:rPr>
                      <w:rFonts w:ascii="Times New Roman"/>
                      <w:szCs w:val="21"/>
                    </w:rPr>
                    <w:t xml:space="preserve">28.9 </w:t>
                  </w:r>
                </w:p>
              </w:tc>
              <w:tc>
                <w:tcPr>
                  <w:tcW w:w="1332" w:type="dxa"/>
                  <w:vAlign w:val="center"/>
                </w:tcPr>
                <w:p w14:paraId="77250F0C">
                  <w:pPr>
                    <w:widowControl/>
                    <w:jc w:val="center"/>
                    <w:textAlignment w:val="center"/>
                    <w:rPr>
                      <w:kern w:val="0"/>
                    </w:rPr>
                  </w:pPr>
                  <w:r>
                    <w:rPr>
                      <w:kern w:val="0"/>
                    </w:rPr>
                    <w:t>达标</w:t>
                  </w:r>
                </w:p>
              </w:tc>
            </w:tr>
            <w:tr w14:paraId="1243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2" w:type="dxa"/>
                  <w:vMerge w:val="continue"/>
                  <w:vAlign w:val="center"/>
                </w:tcPr>
                <w:p w14:paraId="3B5524B8">
                  <w:pPr>
                    <w:widowControl/>
                    <w:jc w:val="center"/>
                    <w:textAlignment w:val="center"/>
                    <w:rPr>
                      <w:kern w:val="0"/>
                    </w:rPr>
                  </w:pPr>
                </w:p>
              </w:tc>
              <w:tc>
                <w:tcPr>
                  <w:tcW w:w="2409" w:type="dxa"/>
                  <w:vAlign w:val="center"/>
                </w:tcPr>
                <w:p w14:paraId="4C6E6B54">
                  <w:pPr>
                    <w:jc w:val="center"/>
                    <w:textAlignment w:val="center"/>
                  </w:pPr>
                  <w:r>
                    <w:t>98%日平均质</w:t>
                  </w:r>
                  <w:r>
                    <w:rPr>
                      <w:rFonts w:hint="eastAsia"/>
                    </w:rPr>
                    <w:t>量</w:t>
                  </w:r>
                  <w:r>
                    <w:t>浓度</w:t>
                  </w:r>
                </w:p>
              </w:tc>
              <w:tc>
                <w:tcPr>
                  <w:tcW w:w="1220" w:type="dxa"/>
                  <w:vAlign w:val="center"/>
                </w:tcPr>
                <w:p w14:paraId="4318501B">
                  <w:pPr>
                    <w:pStyle w:val="47"/>
                    <w:spacing w:before="24" w:after="24"/>
                    <w:rPr>
                      <w:rFonts w:ascii="Times New Roman"/>
                    </w:rPr>
                  </w:pPr>
                  <w:r>
                    <w:rPr>
                      <w:rFonts w:ascii="Times New Roman"/>
                      <w:szCs w:val="21"/>
                    </w:rPr>
                    <w:t xml:space="preserve">25.0 </w:t>
                  </w:r>
                </w:p>
              </w:tc>
              <w:tc>
                <w:tcPr>
                  <w:tcW w:w="1205" w:type="dxa"/>
                  <w:vAlign w:val="center"/>
                </w:tcPr>
                <w:p w14:paraId="16C5E671">
                  <w:pPr>
                    <w:widowControl/>
                    <w:jc w:val="center"/>
                    <w:textAlignment w:val="center"/>
                    <w:rPr>
                      <w:kern w:val="0"/>
                    </w:rPr>
                  </w:pPr>
                  <w:r>
                    <w:rPr>
                      <w:szCs w:val="21"/>
                    </w:rPr>
                    <w:t>80</w:t>
                  </w:r>
                </w:p>
              </w:tc>
              <w:tc>
                <w:tcPr>
                  <w:tcW w:w="1515" w:type="dxa"/>
                  <w:vAlign w:val="center"/>
                </w:tcPr>
                <w:p w14:paraId="41262D3B">
                  <w:pPr>
                    <w:pStyle w:val="47"/>
                    <w:spacing w:before="24" w:after="24"/>
                    <w:rPr>
                      <w:rFonts w:ascii="Times New Roman"/>
                    </w:rPr>
                  </w:pPr>
                  <w:r>
                    <w:rPr>
                      <w:rFonts w:ascii="Times New Roman"/>
                      <w:szCs w:val="21"/>
                    </w:rPr>
                    <w:t xml:space="preserve">31.3 </w:t>
                  </w:r>
                </w:p>
              </w:tc>
              <w:tc>
                <w:tcPr>
                  <w:tcW w:w="1332" w:type="dxa"/>
                  <w:vAlign w:val="center"/>
                </w:tcPr>
                <w:p w14:paraId="70A20267">
                  <w:pPr>
                    <w:widowControl/>
                    <w:jc w:val="center"/>
                    <w:textAlignment w:val="center"/>
                    <w:rPr>
                      <w:kern w:val="0"/>
                    </w:rPr>
                  </w:pPr>
                  <w:r>
                    <w:rPr>
                      <w:kern w:val="0"/>
                    </w:rPr>
                    <w:t>达标</w:t>
                  </w:r>
                </w:p>
              </w:tc>
            </w:tr>
            <w:tr w14:paraId="627B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02" w:type="dxa"/>
                  <w:vMerge w:val="restart"/>
                  <w:vAlign w:val="center"/>
                </w:tcPr>
                <w:p w14:paraId="33FCDD64">
                  <w:pPr>
                    <w:widowControl/>
                    <w:jc w:val="center"/>
                    <w:textAlignment w:val="center"/>
                    <w:rPr>
                      <w:kern w:val="0"/>
                    </w:rPr>
                  </w:pPr>
                  <w:r>
                    <w:rPr>
                      <w:kern w:val="0"/>
                    </w:rPr>
                    <w:t>PM</w:t>
                  </w:r>
                  <w:r>
                    <w:rPr>
                      <w:kern w:val="0"/>
                      <w:vertAlign w:val="subscript"/>
                    </w:rPr>
                    <w:t>10</w:t>
                  </w:r>
                </w:p>
              </w:tc>
              <w:tc>
                <w:tcPr>
                  <w:tcW w:w="2409" w:type="dxa"/>
                  <w:vAlign w:val="center"/>
                </w:tcPr>
                <w:p w14:paraId="06C6198D">
                  <w:pPr>
                    <w:jc w:val="center"/>
                    <w:textAlignment w:val="center"/>
                  </w:pPr>
                  <w:r>
                    <w:t>年平均质量浓度</w:t>
                  </w:r>
                </w:p>
              </w:tc>
              <w:tc>
                <w:tcPr>
                  <w:tcW w:w="1220" w:type="dxa"/>
                  <w:vAlign w:val="center"/>
                </w:tcPr>
                <w:p w14:paraId="78CEEFFD">
                  <w:pPr>
                    <w:pStyle w:val="47"/>
                    <w:spacing w:before="24" w:after="24"/>
                    <w:rPr>
                      <w:rFonts w:ascii="Times New Roman"/>
                    </w:rPr>
                  </w:pPr>
                  <w:r>
                    <w:rPr>
                      <w:rFonts w:ascii="Times New Roman"/>
                      <w:szCs w:val="21"/>
                    </w:rPr>
                    <w:t xml:space="preserve">29.3 </w:t>
                  </w:r>
                </w:p>
              </w:tc>
              <w:tc>
                <w:tcPr>
                  <w:tcW w:w="1205" w:type="dxa"/>
                  <w:vAlign w:val="center"/>
                </w:tcPr>
                <w:p w14:paraId="35D9BED6">
                  <w:pPr>
                    <w:widowControl/>
                    <w:jc w:val="center"/>
                    <w:textAlignment w:val="center"/>
                    <w:rPr>
                      <w:kern w:val="0"/>
                    </w:rPr>
                  </w:pPr>
                  <w:r>
                    <w:rPr>
                      <w:szCs w:val="21"/>
                    </w:rPr>
                    <w:t>70</w:t>
                  </w:r>
                </w:p>
              </w:tc>
              <w:tc>
                <w:tcPr>
                  <w:tcW w:w="1515" w:type="dxa"/>
                  <w:vAlign w:val="center"/>
                </w:tcPr>
                <w:p w14:paraId="7D7AF061">
                  <w:pPr>
                    <w:pStyle w:val="47"/>
                    <w:spacing w:before="24" w:after="24"/>
                    <w:rPr>
                      <w:rFonts w:ascii="Times New Roman"/>
                    </w:rPr>
                  </w:pPr>
                  <w:r>
                    <w:rPr>
                      <w:rFonts w:ascii="Times New Roman"/>
                      <w:szCs w:val="21"/>
                    </w:rPr>
                    <w:t xml:space="preserve">41.8 </w:t>
                  </w:r>
                </w:p>
              </w:tc>
              <w:tc>
                <w:tcPr>
                  <w:tcW w:w="1332" w:type="dxa"/>
                  <w:vAlign w:val="center"/>
                </w:tcPr>
                <w:p w14:paraId="7064B4DE">
                  <w:pPr>
                    <w:widowControl/>
                    <w:jc w:val="center"/>
                    <w:textAlignment w:val="center"/>
                    <w:rPr>
                      <w:kern w:val="0"/>
                    </w:rPr>
                  </w:pPr>
                  <w:r>
                    <w:rPr>
                      <w:kern w:val="0"/>
                    </w:rPr>
                    <w:t>达标</w:t>
                  </w:r>
                </w:p>
              </w:tc>
            </w:tr>
            <w:tr w14:paraId="0781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2" w:type="dxa"/>
                  <w:vMerge w:val="continue"/>
                  <w:vAlign w:val="center"/>
                </w:tcPr>
                <w:p w14:paraId="3B601815">
                  <w:pPr>
                    <w:widowControl/>
                    <w:jc w:val="center"/>
                    <w:textAlignment w:val="center"/>
                    <w:rPr>
                      <w:kern w:val="0"/>
                    </w:rPr>
                  </w:pPr>
                </w:p>
              </w:tc>
              <w:tc>
                <w:tcPr>
                  <w:tcW w:w="2409" w:type="dxa"/>
                  <w:vAlign w:val="center"/>
                </w:tcPr>
                <w:p w14:paraId="7088BA16">
                  <w:pPr>
                    <w:jc w:val="center"/>
                    <w:textAlignment w:val="center"/>
                  </w:pPr>
                  <w:r>
                    <w:t>95%日平均质量浓度</w:t>
                  </w:r>
                </w:p>
              </w:tc>
              <w:tc>
                <w:tcPr>
                  <w:tcW w:w="1220" w:type="dxa"/>
                  <w:vAlign w:val="center"/>
                </w:tcPr>
                <w:p w14:paraId="4857E3BD">
                  <w:pPr>
                    <w:pStyle w:val="47"/>
                    <w:spacing w:before="24" w:after="24"/>
                    <w:rPr>
                      <w:rFonts w:ascii="Times New Roman"/>
                    </w:rPr>
                  </w:pPr>
                  <w:r>
                    <w:rPr>
                      <w:rFonts w:ascii="Times New Roman"/>
                      <w:szCs w:val="21"/>
                    </w:rPr>
                    <w:t xml:space="preserve">63.8 </w:t>
                  </w:r>
                </w:p>
              </w:tc>
              <w:tc>
                <w:tcPr>
                  <w:tcW w:w="1205" w:type="dxa"/>
                  <w:vAlign w:val="center"/>
                </w:tcPr>
                <w:p w14:paraId="6EC8AC57">
                  <w:pPr>
                    <w:widowControl/>
                    <w:jc w:val="center"/>
                    <w:textAlignment w:val="center"/>
                    <w:rPr>
                      <w:kern w:val="0"/>
                    </w:rPr>
                  </w:pPr>
                  <w:r>
                    <w:rPr>
                      <w:szCs w:val="21"/>
                    </w:rPr>
                    <w:t>150</w:t>
                  </w:r>
                </w:p>
              </w:tc>
              <w:tc>
                <w:tcPr>
                  <w:tcW w:w="1515" w:type="dxa"/>
                  <w:vAlign w:val="center"/>
                </w:tcPr>
                <w:p w14:paraId="238867EA">
                  <w:pPr>
                    <w:pStyle w:val="47"/>
                    <w:spacing w:before="24" w:after="24"/>
                    <w:rPr>
                      <w:rFonts w:ascii="Times New Roman"/>
                    </w:rPr>
                  </w:pPr>
                  <w:r>
                    <w:rPr>
                      <w:rFonts w:ascii="Times New Roman"/>
                      <w:szCs w:val="21"/>
                    </w:rPr>
                    <w:t xml:space="preserve">42.5 </w:t>
                  </w:r>
                </w:p>
              </w:tc>
              <w:tc>
                <w:tcPr>
                  <w:tcW w:w="1332" w:type="dxa"/>
                  <w:vAlign w:val="center"/>
                </w:tcPr>
                <w:p w14:paraId="43073B79">
                  <w:pPr>
                    <w:widowControl/>
                    <w:jc w:val="center"/>
                    <w:textAlignment w:val="center"/>
                    <w:rPr>
                      <w:kern w:val="0"/>
                    </w:rPr>
                  </w:pPr>
                  <w:r>
                    <w:rPr>
                      <w:kern w:val="0"/>
                    </w:rPr>
                    <w:t>达标</w:t>
                  </w:r>
                </w:p>
              </w:tc>
            </w:tr>
            <w:tr w14:paraId="65CB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02" w:type="dxa"/>
                  <w:vMerge w:val="restart"/>
                  <w:vAlign w:val="center"/>
                </w:tcPr>
                <w:p w14:paraId="0A0D8FBE">
                  <w:pPr>
                    <w:jc w:val="center"/>
                    <w:textAlignment w:val="center"/>
                    <w:rPr>
                      <w:kern w:val="0"/>
                    </w:rPr>
                  </w:pPr>
                  <w:r>
                    <w:rPr>
                      <w:kern w:val="0"/>
                    </w:rPr>
                    <w:t>PM</w:t>
                  </w:r>
                  <w:r>
                    <w:rPr>
                      <w:kern w:val="0"/>
                      <w:vertAlign w:val="subscript"/>
                    </w:rPr>
                    <w:t>2.5</w:t>
                  </w:r>
                </w:p>
              </w:tc>
              <w:tc>
                <w:tcPr>
                  <w:tcW w:w="2409" w:type="dxa"/>
                  <w:vAlign w:val="center"/>
                </w:tcPr>
                <w:p w14:paraId="45502977">
                  <w:pPr>
                    <w:jc w:val="center"/>
                    <w:textAlignment w:val="center"/>
                  </w:pPr>
                  <w:r>
                    <w:t>年平均质量浓度</w:t>
                  </w:r>
                </w:p>
              </w:tc>
              <w:tc>
                <w:tcPr>
                  <w:tcW w:w="1220" w:type="dxa"/>
                  <w:vAlign w:val="center"/>
                </w:tcPr>
                <w:p w14:paraId="2F5391F9">
                  <w:pPr>
                    <w:pStyle w:val="47"/>
                    <w:spacing w:before="24" w:after="24"/>
                    <w:rPr>
                      <w:rFonts w:ascii="Times New Roman"/>
                    </w:rPr>
                  </w:pPr>
                  <w:r>
                    <w:rPr>
                      <w:rFonts w:ascii="Times New Roman"/>
                      <w:szCs w:val="21"/>
                    </w:rPr>
                    <w:t xml:space="preserve">20.0 </w:t>
                  </w:r>
                </w:p>
              </w:tc>
              <w:tc>
                <w:tcPr>
                  <w:tcW w:w="1205" w:type="dxa"/>
                  <w:vAlign w:val="center"/>
                </w:tcPr>
                <w:p w14:paraId="3413CBD5">
                  <w:pPr>
                    <w:jc w:val="center"/>
                    <w:textAlignment w:val="center"/>
                    <w:rPr>
                      <w:kern w:val="0"/>
                    </w:rPr>
                  </w:pPr>
                  <w:r>
                    <w:rPr>
                      <w:szCs w:val="21"/>
                    </w:rPr>
                    <w:t>35</w:t>
                  </w:r>
                </w:p>
              </w:tc>
              <w:tc>
                <w:tcPr>
                  <w:tcW w:w="1515" w:type="dxa"/>
                  <w:vAlign w:val="center"/>
                </w:tcPr>
                <w:p w14:paraId="767F8411">
                  <w:pPr>
                    <w:pStyle w:val="47"/>
                    <w:spacing w:before="24" w:after="24"/>
                    <w:rPr>
                      <w:rFonts w:ascii="Times New Roman"/>
                    </w:rPr>
                  </w:pPr>
                  <w:r>
                    <w:rPr>
                      <w:rFonts w:ascii="Times New Roman"/>
                      <w:szCs w:val="21"/>
                    </w:rPr>
                    <w:t xml:space="preserve">57.2 </w:t>
                  </w:r>
                </w:p>
              </w:tc>
              <w:tc>
                <w:tcPr>
                  <w:tcW w:w="1332" w:type="dxa"/>
                  <w:vAlign w:val="center"/>
                </w:tcPr>
                <w:p w14:paraId="14FA6A47">
                  <w:pPr>
                    <w:jc w:val="center"/>
                    <w:textAlignment w:val="center"/>
                    <w:rPr>
                      <w:kern w:val="0"/>
                    </w:rPr>
                  </w:pPr>
                  <w:r>
                    <w:rPr>
                      <w:kern w:val="0"/>
                    </w:rPr>
                    <w:t>达标</w:t>
                  </w:r>
                </w:p>
              </w:tc>
            </w:tr>
            <w:tr w14:paraId="0804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02" w:type="dxa"/>
                  <w:vMerge w:val="continue"/>
                  <w:vAlign w:val="center"/>
                </w:tcPr>
                <w:p w14:paraId="5985F04A">
                  <w:pPr>
                    <w:jc w:val="center"/>
                    <w:textAlignment w:val="center"/>
                    <w:rPr>
                      <w:kern w:val="0"/>
                    </w:rPr>
                  </w:pPr>
                </w:p>
              </w:tc>
              <w:tc>
                <w:tcPr>
                  <w:tcW w:w="2409" w:type="dxa"/>
                  <w:vAlign w:val="center"/>
                </w:tcPr>
                <w:p w14:paraId="026019AF">
                  <w:pPr>
                    <w:jc w:val="center"/>
                    <w:textAlignment w:val="center"/>
                  </w:pPr>
                  <w:r>
                    <w:t>95%日平均质量浓度</w:t>
                  </w:r>
                </w:p>
              </w:tc>
              <w:tc>
                <w:tcPr>
                  <w:tcW w:w="1220" w:type="dxa"/>
                  <w:vAlign w:val="center"/>
                </w:tcPr>
                <w:p w14:paraId="3BC5F709">
                  <w:pPr>
                    <w:pStyle w:val="47"/>
                    <w:spacing w:before="24" w:after="24"/>
                    <w:rPr>
                      <w:rFonts w:ascii="Times New Roman"/>
                    </w:rPr>
                  </w:pPr>
                  <w:r>
                    <w:rPr>
                      <w:rFonts w:ascii="Times New Roman"/>
                      <w:szCs w:val="21"/>
                    </w:rPr>
                    <w:t xml:space="preserve">48.0 </w:t>
                  </w:r>
                </w:p>
              </w:tc>
              <w:tc>
                <w:tcPr>
                  <w:tcW w:w="1205" w:type="dxa"/>
                  <w:vAlign w:val="center"/>
                </w:tcPr>
                <w:p w14:paraId="34A2F169">
                  <w:pPr>
                    <w:jc w:val="center"/>
                    <w:textAlignment w:val="center"/>
                    <w:rPr>
                      <w:kern w:val="0"/>
                    </w:rPr>
                  </w:pPr>
                  <w:r>
                    <w:rPr>
                      <w:szCs w:val="21"/>
                    </w:rPr>
                    <w:t>75</w:t>
                  </w:r>
                </w:p>
              </w:tc>
              <w:tc>
                <w:tcPr>
                  <w:tcW w:w="1515" w:type="dxa"/>
                  <w:vAlign w:val="center"/>
                </w:tcPr>
                <w:p w14:paraId="6A140B27">
                  <w:pPr>
                    <w:pStyle w:val="47"/>
                    <w:spacing w:before="24" w:after="24"/>
                    <w:rPr>
                      <w:rFonts w:ascii="Times New Roman"/>
                    </w:rPr>
                  </w:pPr>
                  <w:r>
                    <w:rPr>
                      <w:rFonts w:ascii="Times New Roman"/>
                      <w:szCs w:val="21"/>
                    </w:rPr>
                    <w:t xml:space="preserve">64.0 </w:t>
                  </w:r>
                </w:p>
              </w:tc>
              <w:tc>
                <w:tcPr>
                  <w:tcW w:w="1332" w:type="dxa"/>
                  <w:vAlign w:val="center"/>
                </w:tcPr>
                <w:p w14:paraId="1DFCD859">
                  <w:pPr>
                    <w:jc w:val="center"/>
                    <w:textAlignment w:val="center"/>
                    <w:rPr>
                      <w:kern w:val="0"/>
                    </w:rPr>
                  </w:pPr>
                  <w:r>
                    <w:rPr>
                      <w:kern w:val="0"/>
                    </w:rPr>
                    <w:t>达标</w:t>
                  </w:r>
                </w:p>
              </w:tc>
            </w:tr>
            <w:tr w14:paraId="3D8A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02" w:type="dxa"/>
                  <w:vAlign w:val="center"/>
                </w:tcPr>
                <w:p w14:paraId="30CF2A0B">
                  <w:pPr>
                    <w:widowControl/>
                    <w:jc w:val="center"/>
                    <w:textAlignment w:val="center"/>
                    <w:rPr>
                      <w:kern w:val="0"/>
                    </w:rPr>
                  </w:pPr>
                  <w:r>
                    <w:rPr>
                      <w:kern w:val="0"/>
                    </w:rPr>
                    <w:t>CO</w:t>
                  </w:r>
                </w:p>
              </w:tc>
              <w:tc>
                <w:tcPr>
                  <w:tcW w:w="2409" w:type="dxa"/>
                  <w:vAlign w:val="center"/>
                </w:tcPr>
                <w:p w14:paraId="168CBB18">
                  <w:pPr>
                    <w:widowControl/>
                    <w:jc w:val="center"/>
                    <w:textAlignment w:val="center"/>
                  </w:pPr>
                  <w:r>
                    <w:t>95%日平均质量浓度</w:t>
                  </w:r>
                </w:p>
              </w:tc>
              <w:tc>
                <w:tcPr>
                  <w:tcW w:w="1220" w:type="dxa"/>
                  <w:vAlign w:val="center"/>
                </w:tcPr>
                <w:p w14:paraId="2FF24C0E">
                  <w:pPr>
                    <w:pStyle w:val="47"/>
                    <w:spacing w:before="24" w:after="24"/>
                    <w:rPr>
                      <w:rFonts w:ascii="Times New Roman"/>
                    </w:rPr>
                  </w:pPr>
                  <w:r>
                    <w:rPr>
                      <w:rFonts w:ascii="Times New Roman"/>
                      <w:szCs w:val="21"/>
                    </w:rPr>
                    <w:t xml:space="preserve">1200.0 </w:t>
                  </w:r>
                </w:p>
              </w:tc>
              <w:tc>
                <w:tcPr>
                  <w:tcW w:w="1205" w:type="dxa"/>
                  <w:vAlign w:val="center"/>
                </w:tcPr>
                <w:p w14:paraId="7D5C81BC">
                  <w:pPr>
                    <w:jc w:val="center"/>
                    <w:textAlignment w:val="center"/>
                    <w:rPr>
                      <w:kern w:val="0"/>
                    </w:rPr>
                  </w:pPr>
                  <w:r>
                    <w:rPr>
                      <w:szCs w:val="21"/>
                    </w:rPr>
                    <w:t>4000</w:t>
                  </w:r>
                </w:p>
              </w:tc>
              <w:tc>
                <w:tcPr>
                  <w:tcW w:w="1515" w:type="dxa"/>
                  <w:vAlign w:val="center"/>
                </w:tcPr>
                <w:p w14:paraId="60EA0287">
                  <w:pPr>
                    <w:pStyle w:val="47"/>
                    <w:spacing w:before="24" w:after="24"/>
                    <w:rPr>
                      <w:rFonts w:ascii="Times New Roman"/>
                    </w:rPr>
                  </w:pPr>
                  <w:r>
                    <w:rPr>
                      <w:rFonts w:ascii="Times New Roman"/>
                      <w:szCs w:val="21"/>
                    </w:rPr>
                    <w:t xml:space="preserve">30.0 </w:t>
                  </w:r>
                </w:p>
              </w:tc>
              <w:tc>
                <w:tcPr>
                  <w:tcW w:w="1332" w:type="dxa"/>
                  <w:vAlign w:val="center"/>
                </w:tcPr>
                <w:p w14:paraId="0C6FF15A">
                  <w:pPr>
                    <w:jc w:val="center"/>
                    <w:textAlignment w:val="center"/>
                    <w:rPr>
                      <w:kern w:val="0"/>
                    </w:rPr>
                  </w:pPr>
                  <w:r>
                    <w:rPr>
                      <w:kern w:val="0"/>
                    </w:rPr>
                    <w:t>达标</w:t>
                  </w:r>
                </w:p>
              </w:tc>
            </w:tr>
            <w:tr w14:paraId="2BB5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vAlign w:val="center"/>
                </w:tcPr>
                <w:p w14:paraId="107F1C07">
                  <w:pPr>
                    <w:widowControl/>
                    <w:jc w:val="center"/>
                    <w:textAlignment w:val="center"/>
                    <w:rPr>
                      <w:kern w:val="0"/>
                    </w:rPr>
                  </w:pPr>
                  <w:r>
                    <w:t>O</w:t>
                  </w:r>
                  <w:r>
                    <w:rPr>
                      <w:vertAlign w:val="subscript"/>
                    </w:rPr>
                    <w:t>3</w:t>
                  </w:r>
                </w:p>
              </w:tc>
              <w:tc>
                <w:tcPr>
                  <w:tcW w:w="2409" w:type="dxa"/>
                  <w:vAlign w:val="center"/>
                </w:tcPr>
                <w:p w14:paraId="7762F349">
                  <w:pPr>
                    <w:widowControl/>
                    <w:jc w:val="center"/>
                    <w:textAlignment w:val="center"/>
                    <w:rPr>
                      <w:kern w:val="0"/>
                    </w:rPr>
                  </w:pPr>
                  <w:r>
                    <w:rPr>
                      <w:kern w:val="0"/>
                    </w:rPr>
                    <w:t>90%日最大8小时</w:t>
                  </w:r>
                  <w:r>
                    <w:rPr>
                      <w:rFonts w:hint="eastAsia"/>
                      <w:kern w:val="0"/>
                    </w:rPr>
                    <w:t>滑动</w:t>
                  </w:r>
                  <w:r>
                    <w:rPr>
                      <w:kern w:val="0"/>
                    </w:rPr>
                    <w:t>平均质量浓度</w:t>
                  </w:r>
                </w:p>
              </w:tc>
              <w:tc>
                <w:tcPr>
                  <w:tcW w:w="1220" w:type="dxa"/>
                  <w:vAlign w:val="center"/>
                </w:tcPr>
                <w:p w14:paraId="2A1C20F2">
                  <w:pPr>
                    <w:pStyle w:val="47"/>
                    <w:spacing w:before="24" w:after="24"/>
                    <w:rPr>
                      <w:rFonts w:ascii="Times New Roman"/>
                    </w:rPr>
                  </w:pPr>
                  <w:r>
                    <w:rPr>
                      <w:rFonts w:ascii="Times New Roman"/>
                      <w:szCs w:val="21"/>
                    </w:rPr>
                    <w:t xml:space="preserve">116.0 </w:t>
                  </w:r>
                </w:p>
              </w:tc>
              <w:tc>
                <w:tcPr>
                  <w:tcW w:w="1205" w:type="dxa"/>
                  <w:vAlign w:val="center"/>
                </w:tcPr>
                <w:p w14:paraId="1428AD46">
                  <w:pPr>
                    <w:jc w:val="center"/>
                    <w:textAlignment w:val="center"/>
                    <w:rPr>
                      <w:kern w:val="0"/>
                    </w:rPr>
                  </w:pPr>
                  <w:r>
                    <w:rPr>
                      <w:szCs w:val="21"/>
                    </w:rPr>
                    <w:t>160</w:t>
                  </w:r>
                </w:p>
              </w:tc>
              <w:tc>
                <w:tcPr>
                  <w:tcW w:w="1515" w:type="dxa"/>
                  <w:vAlign w:val="center"/>
                </w:tcPr>
                <w:p w14:paraId="778C033C">
                  <w:pPr>
                    <w:pStyle w:val="47"/>
                    <w:spacing w:before="24" w:after="24"/>
                    <w:rPr>
                      <w:rFonts w:ascii="Times New Roman"/>
                    </w:rPr>
                  </w:pPr>
                  <w:r>
                    <w:rPr>
                      <w:rFonts w:ascii="Times New Roman"/>
                      <w:szCs w:val="21"/>
                    </w:rPr>
                    <w:t xml:space="preserve">72.5 </w:t>
                  </w:r>
                </w:p>
              </w:tc>
              <w:tc>
                <w:tcPr>
                  <w:tcW w:w="1332" w:type="dxa"/>
                  <w:vAlign w:val="center"/>
                </w:tcPr>
                <w:p w14:paraId="51650676">
                  <w:pPr>
                    <w:jc w:val="center"/>
                    <w:textAlignment w:val="center"/>
                    <w:rPr>
                      <w:kern w:val="0"/>
                    </w:rPr>
                  </w:pPr>
                  <w:r>
                    <w:rPr>
                      <w:kern w:val="0"/>
                    </w:rPr>
                    <w:t>达标</w:t>
                  </w:r>
                </w:p>
              </w:tc>
            </w:tr>
          </w:tbl>
          <w:p w14:paraId="7390302F">
            <w:pPr>
              <w:pStyle w:val="83"/>
              <w:ind w:firstLine="480"/>
              <w:rPr>
                <w:bCs/>
              </w:rPr>
            </w:pPr>
            <w:r>
              <w:t>根据2023年监测数据可知，</w:t>
            </w:r>
            <w:r>
              <w:rPr>
                <w:kern w:val="24"/>
                <w:lang w:val="zh-CN" w:bidi="zh-CN"/>
              </w:rPr>
              <w:t>2023年</w:t>
            </w:r>
            <w:r>
              <w:rPr>
                <w:rFonts w:hint="eastAsia"/>
                <w:kern w:val="24"/>
                <w:lang w:val="zh-CN" w:bidi="zh-CN"/>
              </w:rPr>
              <w:t>通海县</w:t>
            </w:r>
            <w:r>
              <w:rPr>
                <w:kern w:val="24"/>
                <w:lang w:val="zh-CN" w:bidi="zh-CN"/>
              </w:rPr>
              <w:t>环境空气</w:t>
            </w:r>
            <w:r>
              <w:t>SO</w:t>
            </w:r>
            <w:r>
              <w:rPr>
                <w:vertAlign w:val="subscript"/>
              </w:rPr>
              <w:t>2</w:t>
            </w:r>
            <w:r>
              <w:t>、NO</w:t>
            </w:r>
            <w:r>
              <w:rPr>
                <w:vertAlign w:val="subscript"/>
              </w:rPr>
              <w:t>2</w:t>
            </w:r>
            <w:r>
              <w:t>、PM</w:t>
            </w:r>
            <w:r>
              <w:rPr>
                <w:vertAlign w:val="subscript"/>
              </w:rPr>
              <w:t>10</w:t>
            </w:r>
            <w:r>
              <w:t>、PM</w:t>
            </w:r>
            <w:r>
              <w:rPr>
                <w:vertAlign w:val="subscript"/>
              </w:rPr>
              <w:t>2.5</w:t>
            </w:r>
            <w:r>
              <w:t>、CO、O</w:t>
            </w:r>
            <w:r>
              <w:rPr>
                <w:vertAlign w:val="subscript"/>
              </w:rPr>
              <w:t>3</w:t>
            </w:r>
            <w:r>
              <w:t>六项</w:t>
            </w:r>
            <w:r>
              <w:rPr>
                <w:rFonts w:hint="eastAsia"/>
              </w:rPr>
              <w:t>基本</w:t>
            </w:r>
            <w:r>
              <w:t>污染物</w:t>
            </w:r>
            <w:r>
              <w:rPr>
                <w:rFonts w:hint="eastAsia"/>
              </w:rPr>
              <w:t>均满足《环境空气质量标准》（GB</w:t>
            </w:r>
            <w:r>
              <w:t xml:space="preserve"> </w:t>
            </w:r>
            <w:r>
              <w:rPr>
                <w:rFonts w:hint="eastAsia"/>
              </w:rPr>
              <w:t>3095-2012）及2018年修改单的二级标准浓度限值要求，</w:t>
            </w:r>
            <w:r>
              <w:rPr>
                <w:kern w:val="24"/>
                <w:lang w:val="zh-CN" w:bidi="zh-CN"/>
              </w:rPr>
              <w:t>因此</w:t>
            </w:r>
            <w:r>
              <w:rPr>
                <w:rFonts w:hint="eastAsia"/>
                <w:kern w:val="24"/>
                <w:lang w:val="zh-CN" w:bidi="zh-CN"/>
              </w:rPr>
              <w:t>，</w:t>
            </w:r>
            <w:r>
              <w:rPr>
                <w:rFonts w:hint="eastAsia"/>
              </w:rPr>
              <w:t>项目所在区域属于环境空气质量达标区</w:t>
            </w:r>
            <w:r>
              <w:t>。</w:t>
            </w:r>
          </w:p>
          <w:p w14:paraId="3ABC86D5">
            <w:pPr>
              <w:adjustRightInd w:val="0"/>
              <w:snapToGrid w:val="0"/>
              <w:spacing w:line="360" w:lineRule="auto"/>
              <w:ind w:firstLine="480" w:firstLineChars="200"/>
              <w:jc w:val="left"/>
              <w:rPr>
                <w:bCs/>
                <w:sz w:val="24"/>
              </w:rPr>
            </w:pPr>
            <w:r>
              <w:rPr>
                <w:sz w:val="24"/>
              </w:rPr>
              <w:t>为进一步了解特征污染物环境空气质量现状，本项目</w:t>
            </w:r>
            <w:r>
              <w:rPr>
                <w:rFonts w:hint="eastAsia"/>
                <w:bCs/>
                <w:sz w:val="24"/>
              </w:rPr>
              <w:t>T</w:t>
            </w:r>
            <w:r>
              <w:rPr>
                <w:bCs/>
                <w:sz w:val="24"/>
              </w:rPr>
              <w:t>SP</w:t>
            </w:r>
            <w:r>
              <w:rPr>
                <w:rFonts w:hint="eastAsia"/>
                <w:sz w:val="24"/>
                <w:lang w:bidi="ar"/>
              </w:rPr>
              <w:t>监测数据采用</w:t>
            </w:r>
            <w:r>
              <w:rPr>
                <w:rFonts w:hint="eastAsia"/>
                <w:bCs/>
                <w:sz w:val="24"/>
              </w:rPr>
              <w:t>补充监测数据，选择项目所在地主导风向下风向1个点位进行3天的补充监测。</w:t>
            </w:r>
          </w:p>
          <w:p w14:paraId="06FDBFEC">
            <w:pPr>
              <w:pStyle w:val="79"/>
              <w:jc w:val="both"/>
              <w:rPr>
                <w:sz w:val="24"/>
                <w:lang w:bidi="ar"/>
              </w:rPr>
            </w:pPr>
            <w:r>
              <w:rPr>
                <w:rFonts w:hint="eastAsia"/>
                <w:sz w:val="24"/>
                <w:lang w:bidi="ar"/>
              </w:rPr>
              <w:t>建设单位委托贵州鼎拔检测有限公司于2</w:t>
            </w:r>
            <w:r>
              <w:rPr>
                <w:sz w:val="24"/>
                <w:lang w:bidi="ar"/>
              </w:rPr>
              <w:t>023</w:t>
            </w:r>
            <w:r>
              <w:rPr>
                <w:rFonts w:hint="eastAsia"/>
                <w:sz w:val="24"/>
                <w:lang w:bidi="ar"/>
              </w:rPr>
              <w:t>年1</w:t>
            </w:r>
            <w:r>
              <w:rPr>
                <w:sz w:val="24"/>
                <w:lang w:bidi="ar"/>
              </w:rPr>
              <w:t>2</w:t>
            </w:r>
            <w:r>
              <w:rPr>
                <w:rFonts w:hint="eastAsia"/>
                <w:sz w:val="24"/>
                <w:lang w:bidi="ar"/>
              </w:rPr>
              <w:t>月2</w:t>
            </w:r>
            <w:r>
              <w:rPr>
                <w:sz w:val="24"/>
                <w:lang w:bidi="ar"/>
              </w:rPr>
              <w:t>1</w:t>
            </w:r>
            <w:r>
              <w:rPr>
                <w:rFonts w:hint="eastAsia"/>
                <w:sz w:val="24"/>
                <w:lang w:bidi="ar"/>
              </w:rPr>
              <w:t>日~1</w:t>
            </w:r>
            <w:r>
              <w:rPr>
                <w:sz w:val="24"/>
                <w:lang w:bidi="ar"/>
              </w:rPr>
              <w:t>2</w:t>
            </w:r>
            <w:r>
              <w:rPr>
                <w:rFonts w:hint="eastAsia"/>
                <w:sz w:val="24"/>
                <w:lang w:bidi="ar"/>
              </w:rPr>
              <w:t>月2</w:t>
            </w:r>
            <w:r>
              <w:rPr>
                <w:sz w:val="24"/>
                <w:lang w:bidi="ar"/>
              </w:rPr>
              <w:t>3</w:t>
            </w:r>
            <w:r>
              <w:rPr>
                <w:rFonts w:hint="eastAsia"/>
                <w:sz w:val="24"/>
                <w:lang w:bidi="ar"/>
              </w:rPr>
              <w:t>日进行了T</w:t>
            </w:r>
            <w:r>
              <w:rPr>
                <w:sz w:val="24"/>
                <w:lang w:bidi="ar"/>
              </w:rPr>
              <w:t>SP</w:t>
            </w:r>
            <w:r>
              <w:rPr>
                <w:sz w:val="24"/>
              </w:rPr>
              <w:t>环境空气质量现状</w:t>
            </w:r>
            <w:r>
              <w:rPr>
                <w:rFonts w:hint="eastAsia"/>
                <w:sz w:val="24"/>
              </w:rPr>
              <w:t>补充监测。</w:t>
            </w:r>
          </w:p>
          <w:p w14:paraId="490DFA3B">
            <w:pPr>
              <w:pStyle w:val="79"/>
              <w:jc w:val="both"/>
              <w:rPr>
                <w:sz w:val="24"/>
                <w:lang w:bidi="ar"/>
              </w:rPr>
            </w:pPr>
            <w:r>
              <w:rPr>
                <w:rFonts w:hint="eastAsia"/>
                <w:sz w:val="24"/>
                <w:lang w:bidi="ar"/>
              </w:rPr>
              <w:t>补充监测结果如下表所示：</w:t>
            </w:r>
          </w:p>
          <w:p w14:paraId="64B7ECB3">
            <w:pPr>
              <w:pStyle w:val="79"/>
              <w:jc w:val="both"/>
              <w:rPr>
                <w:sz w:val="24"/>
                <w:lang w:bidi="ar"/>
              </w:rPr>
            </w:pPr>
          </w:p>
          <w:p w14:paraId="4DD51D8B">
            <w:pPr>
              <w:pStyle w:val="79"/>
              <w:jc w:val="both"/>
              <w:rPr>
                <w:sz w:val="24"/>
                <w:lang w:bidi="ar"/>
              </w:rPr>
            </w:pPr>
          </w:p>
          <w:p w14:paraId="0DE09928">
            <w:pPr>
              <w:pStyle w:val="79"/>
              <w:jc w:val="both"/>
              <w:rPr>
                <w:sz w:val="24"/>
                <w:lang w:bidi="ar"/>
              </w:rPr>
            </w:pPr>
          </w:p>
          <w:p w14:paraId="38458BF7">
            <w:pPr>
              <w:pStyle w:val="60"/>
              <w:snapToGrid w:val="0"/>
              <w:spacing w:line="360" w:lineRule="auto"/>
              <w:ind w:firstLine="0"/>
              <w:jc w:val="center"/>
              <w:textAlignment w:val="auto"/>
              <w:rPr>
                <w:b/>
                <w:bCs/>
                <w:szCs w:val="24"/>
              </w:rPr>
            </w:pPr>
            <w:r>
              <w:rPr>
                <w:rFonts w:hint="eastAsia"/>
                <w:b/>
                <w:bCs/>
                <w:szCs w:val="24"/>
              </w:rPr>
              <w:t>表</w:t>
            </w:r>
            <w:r>
              <w:rPr>
                <w:b/>
                <w:bCs/>
                <w:szCs w:val="24"/>
              </w:rPr>
              <w:t xml:space="preserve">3-3   </w:t>
            </w:r>
            <w:r>
              <w:rPr>
                <w:rFonts w:hint="eastAsia"/>
                <w:b/>
                <w:bCs/>
                <w:szCs w:val="24"/>
              </w:rPr>
              <w:t>特征污染物监测结果表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06"/>
              <w:gridCol w:w="806"/>
              <w:gridCol w:w="888"/>
              <w:gridCol w:w="619"/>
              <w:gridCol w:w="1002"/>
              <w:gridCol w:w="1152"/>
              <w:gridCol w:w="999"/>
              <w:gridCol w:w="666"/>
              <w:gridCol w:w="666"/>
            </w:tblGrid>
            <w:tr w14:paraId="79C3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vAlign w:val="center"/>
                </w:tcPr>
                <w:p w14:paraId="4201A9C1">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监测点位</w:t>
                  </w:r>
                </w:p>
              </w:tc>
              <w:tc>
                <w:tcPr>
                  <w:tcW w:w="1612" w:type="dxa"/>
                  <w:gridSpan w:val="2"/>
                  <w:vAlign w:val="center"/>
                </w:tcPr>
                <w:p w14:paraId="54DA2B67">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监测点坐标</w:t>
                  </w:r>
                </w:p>
              </w:tc>
              <w:tc>
                <w:tcPr>
                  <w:tcW w:w="888" w:type="dxa"/>
                  <w:vMerge w:val="restart"/>
                  <w:vAlign w:val="center"/>
                </w:tcPr>
                <w:p w14:paraId="50BFE389">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污染物</w:t>
                  </w:r>
                </w:p>
              </w:tc>
              <w:tc>
                <w:tcPr>
                  <w:tcW w:w="619" w:type="dxa"/>
                  <w:vMerge w:val="restart"/>
                  <w:vAlign w:val="center"/>
                </w:tcPr>
                <w:p w14:paraId="6C88E5CB">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平均时间</w:t>
                  </w:r>
                </w:p>
              </w:tc>
              <w:tc>
                <w:tcPr>
                  <w:tcW w:w="1002" w:type="dxa"/>
                  <w:vMerge w:val="restart"/>
                  <w:vAlign w:val="center"/>
                </w:tcPr>
                <w:p w14:paraId="5AE49395">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评价标准/(μg/m</w:t>
                  </w:r>
                  <w:r>
                    <w:rPr>
                      <w:rFonts w:ascii="Times New Roman" w:hAnsi="Times New Roman"/>
                      <w:sz w:val="21"/>
                      <w:szCs w:val="21"/>
                      <w:vertAlign w:val="superscript"/>
                    </w:rPr>
                    <w:t>3</w:t>
                  </w:r>
                  <w:r>
                    <w:rPr>
                      <w:rFonts w:ascii="Times New Roman" w:hAnsi="Times New Roman"/>
                      <w:sz w:val="21"/>
                      <w:szCs w:val="21"/>
                    </w:rPr>
                    <w:t>)</w:t>
                  </w:r>
                </w:p>
              </w:tc>
              <w:tc>
                <w:tcPr>
                  <w:tcW w:w="1152" w:type="dxa"/>
                  <w:vMerge w:val="restart"/>
                  <w:vAlign w:val="center"/>
                </w:tcPr>
                <w:p w14:paraId="0DFE9845">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监测浓度范围/(μg/m</w:t>
                  </w:r>
                  <w:r>
                    <w:rPr>
                      <w:rFonts w:ascii="Times New Roman" w:hAnsi="Times New Roman"/>
                      <w:sz w:val="21"/>
                      <w:szCs w:val="21"/>
                      <w:vertAlign w:val="superscript"/>
                    </w:rPr>
                    <w:t>3</w:t>
                  </w:r>
                  <w:r>
                    <w:rPr>
                      <w:rFonts w:ascii="Times New Roman" w:hAnsi="Times New Roman"/>
                      <w:sz w:val="21"/>
                      <w:szCs w:val="21"/>
                    </w:rPr>
                    <w:t>)</w:t>
                  </w:r>
                </w:p>
              </w:tc>
              <w:tc>
                <w:tcPr>
                  <w:tcW w:w="999" w:type="dxa"/>
                  <w:vMerge w:val="restart"/>
                  <w:vAlign w:val="center"/>
                </w:tcPr>
                <w:p w14:paraId="7B243A12">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最大浓度占标率/%</w:t>
                  </w:r>
                </w:p>
              </w:tc>
              <w:tc>
                <w:tcPr>
                  <w:tcW w:w="666" w:type="dxa"/>
                  <w:vMerge w:val="restart"/>
                  <w:vAlign w:val="center"/>
                </w:tcPr>
                <w:p w14:paraId="37D4CEC8">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超标率/%</w:t>
                  </w:r>
                </w:p>
              </w:tc>
              <w:tc>
                <w:tcPr>
                  <w:tcW w:w="666" w:type="dxa"/>
                  <w:vMerge w:val="restart"/>
                  <w:vAlign w:val="center"/>
                </w:tcPr>
                <w:p w14:paraId="7A0DAD70">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达标情况</w:t>
                  </w:r>
                </w:p>
              </w:tc>
            </w:tr>
            <w:tr w14:paraId="3882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vAlign w:val="center"/>
                </w:tcPr>
                <w:p w14:paraId="5FDBE85F">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p>
              </w:tc>
              <w:tc>
                <w:tcPr>
                  <w:tcW w:w="806" w:type="dxa"/>
                  <w:vAlign w:val="center"/>
                </w:tcPr>
                <w:p w14:paraId="126E6B8B">
                  <w:pPr>
                    <w:pStyle w:val="65"/>
                    <w:rPr>
                      <w:b/>
                      <w:bCs/>
                      <w:iCs/>
                      <w:kern w:val="2"/>
                      <w:szCs w:val="21"/>
                    </w:rPr>
                  </w:pPr>
                  <w:r>
                    <w:rPr>
                      <w:bCs/>
                      <w:iCs/>
                      <w:kern w:val="2"/>
                      <w:szCs w:val="21"/>
                    </w:rPr>
                    <w:t>经度</w:t>
                  </w:r>
                </w:p>
              </w:tc>
              <w:tc>
                <w:tcPr>
                  <w:tcW w:w="806" w:type="dxa"/>
                  <w:vAlign w:val="center"/>
                </w:tcPr>
                <w:p w14:paraId="31205D9B">
                  <w:pPr>
                    <w:pStyle w:val="65"/>
                    <w:rPr>
                      <w:b/>
                      <w:bCs/>
                      <w:iCs/>
                      <w:kern w:val="2"/>
                      <w:szCs w:val="21"/>
                    </w:rPr>
                  </w:pPr>
                  <w:r>
                    <w:rPr>
                      <w:bCs/>
                      <w:iCs/>
                      <w:kern w:val="2"/>
                      <w:szCs w:val="21"/>
                    </w:rPr>
                    <w:t>纬度</w:t>
                  </w:r>
                </w:p>
              </w:tc>
              <w:tc>
                <w:tcPr>
                  <w:tcW w:w="888" w:type="dxa"/>
                  <w:vMerge w:val="continue"/>
                  <w:vAlign w:val="center"/>
                </w:tcPr>
                <w:p w14:paraId="41B3E04B">
                  <w:pPr>
                    <w:pStyle w:val="65"/>
                    <w:rPr>
                      <w:b/>
                      <w:bCs/>
                      <w:iCs/>
                      <w:kern w:val="2"/>
                      <w:szCs w:val="21"/>
                    </w:rPr>
                  </w:pPr>
                </w:p>
              </w:tc>
              <w:tc>
                <w:tcPr>
                  <w:tcW w:w="619" w:type="dxa"/>
                  <w:vMerge w:val="continue"/>
                  <w:vAlign w:val="center"/>
                </w:tcPr>
                <w:p w14:paraId="2CB0870C">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p>
              </w:tc>
              <w:tc>
                <w:tcPr>
                  <w:tcW w:w="1002" w:type="dxa"/>
                  <w:vMerge w:val="continue"/>
                  <w:vAlign w:val="center"/>
                </w:tcPr>
                <w:p w14:paraId="0B399D1F">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p>
              </w:tc>
              <w:tc>
                <w:tcPr>
                  <w:tcW w:w="1152" w:type="dxa"/>
                  <w:vMerge w:val="continue"/>
                  <w:vAlign w:val="center"/>
                </w:tcPr>
                <w:p w14:paraId="3C4D65DC">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p>
              </w:tc>
              <w:tc>
                <w:tcPr>
                  <w:tcW w:w="999" w:type="dxa"/>
                  <w:vMerge w:val="continue"/>
                  <w:vAlign w:val="center"/>
                </w:tcPr>
                <w:p w14:paraId="00497A39">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p>
              </w:tc>
              <w:tc>
                <w:tcPr>
                  <w:tcW w:w="666" w:type="dxa"/>
                  <w:vMerge w:val="continue"/>
                  <w:vAlign w:val="center"/>
                </w:tcPr>
                <w:p w14:paraId="1DE29342">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p>
              </w:tc>
              <w:tc>
                <w:tcPr>
                  <w:tcW w:w="666" w:type="dxa"/>
                  <w:vMerge w:val="continue"/>
                  <w:vAlign w:val="center"/>
                </w:tcPr>
                <w:p w14:paraId="18380773">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p>
              </w:tc>
            </w:tr>
            <w:tr w14:paraId="24F6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79EB558C">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项目所在地主导风下风向G</w:t>
                  </w:r>
                  <w:r>
                    <w:rPr>
                      <w:rFonts w:ascii="Times New Roman" w:hAnsi="Times New Roman"/>
                      <w:sz w:val="21"/>
                      <w:szCs w:val="21"/>
                    </w:rPr>
                    <w:t>1</w:t>
                  </w:r>
                </w:p>
              </w:tc>
              <w:tc>
                <w:tcPr>
                  <w:tcW w:w="806" w:type="dxa"/>
                  <w:vAlign w:val="center"/>
                </w:tcPr>
                <w:p w14:paraId="543DD53E">
                  <w:pPr>
                    <w:pStyle w:val="65"/>
                    <w:rPr>
                      <w:b/>
                      <w:bCs/>
                      <w:iCs/>
                      <w:kern w:val="2"/>
                      <w:szCs w:val="21"/>
                    </w:rPr>
                  </w:pPr>
                  <w:r>
                    <w:rPr>
                      <w:bCs/>
                      <w:iCs/>
                      <w:kern w:val="2"/>
                      <w:szCs w:val="21"/>
                    </w:rPr>
                    <w:t>102.74238212</w:t>
                  </w:r>
                </w:p>
              </w:tc>
              <w:tc>
                <w:tcPr>
                  <w:tcW w:w="806" w:type="dxa"/>
                  <w:vAlign w:val="center"/>
                </w:tcPr>
                <w:p w14:paraId="632A8F40">
                  <w:pPr>
                    <w:pStyle w:val="65"/>
                    <w:rPr>
                      <w:b/>
                      <w:bCs/>
                      <w:iCs/>
                      <w:kern w:val="2"/>
                      <w:szCs w:val="21"/>
                    </w:rPr>
                  </w:pPr>
                  <w:r>
                    <w:rPr>
                      <w:bCs/>
                      <w:iCs/>
                      <w:kern w:val="2"/>
                      <w:szCs w:val="21"/>
                    </w:rPr>
                    <w:t>24.19735325</w:t>
                  </w:r>
                </w:p>
              </w:tc>
              <w:tc>
                <w:tcPr>
                  <w:tcW w:w="888" w:type="dxa"/>
                  <w:vAlign w:val="center"/>
                </w:tcPr>
                <w:p w14:paraId="72C68162">
                  <w:pPr>
                    <w:pStyle w:val="65"/>
                    <w:rPr>
                      <w:b/>
                      <w:bCs/>
                      <w:iCs/>
                      <w:kern w:val="2"/>
                      <w:szCs w:val="21"/>
                    </w:rPr>
                  </w:pPr>
                  <w:r>
                    <w:rPr>
                      <w:bCs/>
                      <w:iCs/>
                      <w:kern w:val="2"/>
                      <w:szCs w:val="21"/>
                    </w:rPr>
                    <w:t>TSP</w:t>
                  </w:r>
                </w:p>
              </w:tc>
              <w:tc>
                <w:tcPr>
                  <w:tcW w:w="619" w:type="dxa"/>
                  <w:vAlign w:val="center"/>
                </w:tcPr>
                <w:p w14:paraId="445E8576">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24h</w:t>
                  </w:r>
                </w:p>
              </w:tc>
              <w:tc>
                <w:tcPr>
                  <w:tcW w:w="1002" w:type="dxa"/>
                  <w:vAlign w:val="center"/>
                </w:tcPr>
                <w:p w14:paraId="7932D941">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300</w:t>
                  </w:r>
                </w:p>
              </w:tc>
              <w:tc>
                <w:tcPr>
                  <w:tcW w:w="1152" w:type="dxa"/>
                  <w:vAlign w:val="center"/>
                </w:tcPr>
                <w:p w14:paraId="2EC58734">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136</w:t>
                  </w:r>
                  <w:r>
                    <w:rPr>
                      <w:rFonts w:hint="eastAsia" w:ascii="Times New Roman" w:hAnsi="Times New Roman"/>
                      <w:sz w:val="21"/>
                      <w:szCs w:val="21"/>
                    </w:rPr>
                    <w:t>~</w:t>
                  </w:r>
                  <w:r>
                    <w:rPr>
                      <w:rFonts w:ascii="Times New Roman" w:hAnsi="Times New Roman"/>
                      <w:sz w:val="21"/>
                      <w:szCs w:val="21"/>
                    </w:rPr>
                    <w:t>149</w:t>
                  </w:r>
                </w:p>
              </w:tc>
              <w:tc>
                <w:tcPr>
                  <w:tcW w:w="999" w:type="dxa"/>
                  <w:vAlign w:val="center"/>
                </w:tcPr>
                <w:p w14:paraId="6AE0A1A4">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49.7</w:t>
                  </w:r>
                </w:p>
              </w:tc>
              <w:tc>
                <w:tcPr>
                  <w:tcW w:w="666" w:type="dxa"/>
                  <w:vAlign w:val="center"/>
                </w:tcPr>
                <w:p w14:paraId="46A602EB">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0</w:t>
                  </w:r>
                </w:p>
              </w:tc>
              <w:tc>
                <w:tcPr>
                  <w:tcW w:w="666" w:type="dxa"/>
                  <w:vAlign w:val="center"/>
                </w:tcPr>
                <w:p w14:paraId="69CAD267">
                  <w:pPr>
                    <w:pStyle w:val="16"/>
                    <w:adjustRightInd w:val="0"/>
                    <w:snapToGrid/>
                    <w:spacing w:before="0" w:beforeAutospacing="0" w:after="0" w:afterAutospacing="0" w:line="240" w:lineRule="auto"/>
                    <w:ind w:firstLine="0" w:firstLineChars="0"/>
                    <w:jc w:val="center"/>
                    <w:rPr>
                      <w:rFonts w:ascii="Times New Roman" w:hAnsi="Times New Roman"/>
                      <w:sz w:val="21"/>
                      <w:szCs w:val="21"/>
                    </w:rPr>
                  </w:pPr>
                  <w:r>
                    <w:rPr>
                      <w:sz w:val="21"/>
                    </w:rPr>
                    <w:t>达标</w:t>
                  </w:r>
                </w:p>
              </w:tc>
            </w:tr>
          </w:tbl>
          <w:p w14:paraId="284DEBFF">
            <w:pPr>
              <w:spacing w:line="360" w:lineRule="auto"/>
              <w:ind w:firstLine="480"/>
              <w:rPr>
                <w:rFonts w:hint="eastAsia" w:hAnsi="宋体"/>
                <w:kern w:val="24"/>
                <w:sz w:val="24"/>
                <w:lang w:val="zh-CN" w:bidi="zh-CN"/>
              </w:rPr>
            </w:pPr>
          </w:p>
          <w:p w14:paraId="5E11D804">
            <w:pPr>
              <w:pStyle w:val="58"/>
              <w:spacing w:line="360" w:lineRule="auto"/>
              <w:ind w:firstLine="480" w:firstLineChars="200"/>
              <w:rPr>
                <w:rFonts w:hint="eastAsia" w:ascii="Times New Roman" w:cs="Times New Roman"/>
                <w:kern w:val="24"/>
                <w:sz w:val="24"/>
              </w:rPr>
            </w:pPr>
            <w:r>
              <w:rPr>
                <w:rFonts w:hint="eastAsia" w:ascii="Times New Roman" w:cs="Times New Roman"/>
                <w:kern w:val="24"/>
                <w:sz w:val="24"/>
              </w:rPr>
              <w:t>根据监测结果， 项目区TSP满足《环境空气质量标准》（GB3095-2012）及2018年修改单的二级标准。</w:t>
            </w:r>
          </w:p>
          <w:p w14:paraId="11F9EED6">
            <w:pPr>
              <w:pStyle w:val="58"/>
              <w:spacing w:line="360" w:lineRule="auto"/>
              <w:rPr>
                <w:rFonts w:ascii="Times New Roman" w:hAnsi="Times New Roman" w:cs="Times New Roman"/>
                <w:b/>
                <w:kern w:val="0"/>
                <w:sz w:val="24"/>
              </w:rPr>
            </w:pPr>
            <w:r>
              <w:rPr>
                <w:rFonts w:hint="eastAsia" w:ascii="Times New Roman" w:hAnsi="Times New Roman" w:cs="Times New Roman"/>
                <w:b/>
                <w:kern w:val="0"/>
                <w:sz w:val="24"/>
              </w:rPr>
              <w:t>2、地表水环境</w:t>
            </w:r>
          </w:p>
          <w:p w14:paraId="3C4C5166">
            <w:pPr>
              <w:adjustRightInd w:val="0"/>
              <w:snapToGrid w:val="0"/>
              <w:spacing w:line="360" w:lineRule="auto"/>
              <w:rPr>
                <w:b/>
                <w:bCs/>
                <w:sz w:val="24"/>
              </w:rPr>
            </w:pPr>
            <w:r>
              <w:rPr>
                <w:rFonts w:hint="eastAsia"/>
                <w:b/>
                <w:bCs/>
                <w:sz w:val="24"/>
              </w:rPr>
              <w:t>2.1环境</w:t>
            </w:r>
            <w:r>
              <w:rPr>
                <w:b/>
                <w:bCs/>
                <w:sz w:val="24"/>
              </w:rPr>
              <w:t>质量标准</w:t>
            </w:r>
          </w:p>
          <w:p w14:paraId="3CD9E421">
            <w:pPr>
              <w:pStyle w:val="83"/>
              <w:ind w:firstLine="480"/>
            </w:pPr>
            <w:r>
              <w:t>项目区最近地表水体为</w:t>
            </w:r>
            <w:r>
              <w:rPr>
                <w:rFonts w:hint="eastAsia"/>
              </w:rPr>
              <w:t>杞麓湖</w:t>
            </w:r>
            <w:r>
              <w:t>。根据云南省水利厅制定的《云南省水功能区划（2014 年修订）》（云政复〔2014〕27 号），杞麓湖</w:t>
            </w:r>
            <w:r>
              <w:rPr>
                <w:rFonts w:hint="eastAsia"/>
              </w:rPr>
              <w:t>主要为</w:t>
            </w:r>
            <w:r>
              <w:t>通海农业、景观、渔业用水区，2020年水质目标为Ⅳ类，2030年水质目标为Ⅲ类</w:t>
            </w:r>
            <w:r>
              <w:rPr>
                <w:rFonts w:hint="eastAsia"/>
              </w:rPr>
              <w:t>。杞麓湖</w:t>
            </w:r>
            <w:r>
              <w:t>执行《地表水环境质量标准》（GB3838-2002）中的Ⅲ类水质标准。其标准值见表3-4。</w:t>
            </w:r>
          </w:p>
          <w:p w14:paraId="0E11A53A">
            <w:pPr>
              <w:pStyle w:val="60"/>
              <w:snapToGrid w:val="0"/>
              <w:spacing w:line="360" w:lineRule="auto"/>
              <w:ind w:firstLine="0"/>
              <w:jc w:val="center"/>
              <w:textAlignment w:val="auto"/>
              <w:rPr>
                <w:b/>
                <w:bCs/>
                <w:szCs w:val="24"/>
              </w:rPr>
            </w:pPr>
            <w:r>
              <w:rPr>
                <w:b/>
                <w:bCs/>
                <w:szCs w:val="24"/>
              </w:rPr>
              <w:t>表3-4  地表水环境质量标准    单位：mg/L</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1711"/>
              <w:gridCol w:w="2712"/>
              <w:gridCol w:w="1336"/>
            </w:tblGrid>
            <w:tr w14:paraId="27E7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645" w:type="pct"/>
                  <w:vAlign w:val="center"/>
                </w:tcPr>
                <w:p w14:paraId="55FC5060">
                  <w:pPr>
                    <w:pStyle w:val="47"/>
                    <w:adjustRightInd/>
                    <w:snapToGrid/>
                    <w:spacing w:before="24" w:after="24"/>
                    <w:rPr>
                      <w:rFonts w:ascii="Times New Roman"/>
                    </w:rPr>
                  </w:pPr>
                  <w:r>
                    <w:rPr>
                      <w:rFonts w:ascii="Times New Roman"/>
                    </w:rPr>
                    <w:t>项   目</w:t>
                  </w:r>
                </w:p>
              </w:tc>
              <w:tc>
                <w:tcPr>
                  <w:tcW w:w="997" w:type="pct"/>
                  <w:vAlign w:val="center"/>
                </w:tcPr>
                <w:p w14:paraId="4BA45674">
                  <w:pPr>
                    <w:pStyle w:val="47"/>
                    <w:adjustRightInd/>
                    <w:snapToGrid/>
                    <w:spacing w:before="24" w:after="24"/>
                    <w:rPr>
                      <w:rFonts w:ascii="Times New Roman"/>
                    </w:rPr>
                  </w:pPr>
                  <w:r>
                    <w:rPr>
                      <w:rFonts w:ascii="Times New Roman"/>
                    </w:rPr>
                    <w:fldChar w:fldCharType="begin"/>
                  </w:r>
                  <w:r>
                    <w:rPr>
                      <w:rFonts w:ascii="Times New Roman"/>
                    </w:rPr>
                    <w:instrText xml:space="preserve"> = 3 \* ROMAN </w:instrText>
                  </w:r>
                  <w:r>
                    <w:rPr>
                      <w:rFonts w:ascii="Times New Roman"/>
                    </w:rPr>
                    <w:fldChar w:fldCharType="separate"/>
                  </w:r>
                  <w:r>
                    <w:rPr>
                      <w:rFonts w:ascii="Times New Roman"/>
                    </w:rPr>
                    <w:t>III</w:t>
                  </w:r>
                  <w:r>
                    <w:rPr>
                      <w:rFonts w:ascii="Times New Roman"/>
                    </w:rPr>
                    <w:fldChar w:fldCharType="end"/>
                  </w:r>
                  <w:r>
                    <w:rPr>
                      <w:rFonts w:ascii="Times New Roman"/>
                    </w:rPr>
                    <w:t>类标准值</w:t>
                  </w:r>
                </w:p>
              </w:tc>
              <w:tc>
                <w:tcPr>
                  <w:tcW w:w="1580" w:type="pct"/>
                  <w:vAlign w:val="center"/>
                </w:tcPr>
                <w:p w14:paraId="7A958956">
                  <w:pPr>
                    <w:pStyle w:val="47"/>
                    <w:adjustRightInd/>
                    <w:snapToGrid/>
                    <w:spacing w:before="24" w:after="24"/>
                    <w:rPr>
                      <w:rFonts w:ascii="Times New Roman"/>
                    </w:rPr>
                  </w:pPr>
                  <w:r>
                    <w:rPr>
                      <w:rFonts w:ascii="Times New Roman"/>
                    </w:rPr>
                    <w:t>项   目</w:t>
                  </w:r>
                </w:p>
              </w:tc>
              <w:tc>
                <w:tcPr>
                  <w:tcW w:w="778" w:type="pct"/>
                  <w:vAlign w:val="center"/>
                </w:tcPr>
                <w:p w14:paraId="55C2A958">
                  <w:pPr>
                    <w:pStyle w:val="47"/>
                    <w:adjustRightInd/>
                    <w:snapToGrid/>
                    <w:spacing w:before="24" w:after="24"/>
                    <w:rPr>
                      <w:rFonts w:ascii="Times New Roman"/>
                    </w:rPr>
                  </w:pPr>
                  <w:r>
                    <w:rPr>
                      <w:rFonts w:ascii="Times New Roman"/>
                    </w:rPr>
                    <w:fldChar w:fldCharType="begin"/>
                  </w:r>
                  <w:r>
                    <w:rPr>
                      <w:rFonts w:ascii="Times New Roman"/>
                    </w:rPr>
                    <w:instrText xml:space="preserve"> = 3 \* ROMAN </w:instrText>
                  </w:r>
                  <w:r>
                    <w:rPr>
                      <w:rFonts w:ascii="Times New Roman"/>
                    </w:rPr>
                    <w:fldChar w:fldCharType="separate"/>
                  </w:r>
                  <w:r>
                    <w:rPr>
                      <w:rFonts w:ascii="Times New Roman"/>
                    </w:rPr>
                    <w:t>III</w:t>
                  </w:r>
                  <w:r>
                    <w:rPr>
                      <w:rFonts w:ascii="Times New Roman"/>
                    </w:rPr>
                    <w:fldChar w:fldCharType="end"/>
                  </w:r>
                  <w:r>
                    <w:rPr>
                      <w:rFonts w:ascii="Times New Roman"/>
                    </w:rPr>
                    <w:t>类标准值</w:t>
                  </w:r>
                </w:p>
              </w:tc>
            </w:tr>
            <w:tr w14:paraId="0B91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7464CEF0">
                  <w:pPr>
                    <w:pStyle w:val="47"/>
                    <w:adjustRightInd/>
                    <w:snapToGrid/>
                    <w:spacing w:before="24" w:after="24"/>
                    <w:rPr>
                      <w:rFonts w:ascii="Times New Roman"/>
                    </w:rPr>
                  </w:pPr>
                  <w:r>
                    <w:rPr>
                      <w:rFonts w:ascii="Times New Roman"/>
                    </w:rPr>
                    <w:t>pH值(无量纲)</w:t>
                  </w:r>
                </w:p>
              </w:tc>
              <w:tc>
                <w:tcPr>
                  <w:tcW w:w="997" w:type="pct"/>
                  <w:vAlign w:val="center"/>
                </w:tcPr>
                <w:p w14:paraId="5A63C226">
                  <w:pPr>
                    <w:pStyle w:val="47"/>
                    <w:adjustRightInd/>
                    <w:snapToGrid/>
                    <w:spacing w:before="24" w:after="24"/>
                    <w:rPr>
                      <w:rFonts w:ascii="Times New Roman"/>
                    </w:rPr>
                  </w:pPr>
                  <w:r>
                    <w:rPr>
                      <w:rFonts w:ascii="Times New Roman"/>
                    </w:rPr>
                    <w:t>6-9</w:t>
                  </w:r>
                </w:p>
              </w:tc>
              <w:tc>
                <w:tcPr>
                  <w:tcW w:w="1580" w:type="pct"/>
                  <w:vAlign w:val="center"/>
                </w:tcPr>
                <w:p w14:paraId="401C1A79">
                  <w:pPr>
                    <w:pStyle w:val="47"/>
                    <w:adjustRightInd/>
                    <w:snapToGrid/>
                    <w:spacing w:before="24" w:after="24"/>
                    <w:rPr>
                      <w:rFonts w:ascii="Times New Roman"/>
                    </w:rPr>
                  </w:pPr>
                  <w:r>
                    <w:rPr>
                      <w:rFonts w:ascii="Times New Roman"/>
                    </w:rPr>
                    <w:t>氰化物  ≤</w:t>
                  </w:r>
                </w:p>
              </w:tc>
              <w:tc>
                <w:tcPr>
                  <w:tcW w:w="778" w:type="pct"/>
                  <w:vAlign w:val="center"/>
                </w:tcPr>
                <w:p w14:paraId="113078AA">
                  <w:pPr>
                    <w:pStyle w:val="47"/>
                    <w:adjustRightInd/>
                    <w:snapToGrid/>
                    <w:spacing w:before="24" w:after="24"/>
                    <w:rPr>
                      <w:rFonts w:ascii="Times New Roman"/>
                    </w:rPr>
                  </w:pPr>
                  <w:r>
                    <w:rPr>
                      <w:rFonts w:ascii="Times New Roman"/>
                    </w:rPr>
                    <w:t>0.2</w:t>
                  </w:r>
                </w:p>
              </w:tc>
            </w:tr>
            <w:tr w14:paraId="72C9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73005830">
                  <w:pPr>
                    <w:pStyle w:val="47"/>
                    <w:adjustRightInd/>
                    <w:snapToGrid/>
                    <w:spacing w:before="24" w:after="24"/>
                    <w:rPr>
                      <w:rFonts w:ascii="Times New Roman"/>
                    </w:rPr>
                  </w:pPr>
                  <w:r>
                    <w:rPr>
                      <w:rFonts w:ascii="Times New Roman"/>
                    </w:rPr>
                    <w:t>溶解氧  ≥</w:t>
                  </w:r>
                </w:p>
              </w:tc>
              <w:tc>
                <w:tcPr>
                  <w:tcW w:w="997" w:type="pct"/>
                  <w:vAlign w:val="center"/>
                </w:tcPr>
                <w:p w14:paraId="6F442DFC">
                  <w:pPr>
                    <w:pStyle w:val="47"/>
                    <w:adjustRightInd/>
                    <w:snapToGrid/>
                    <w:spacing w:before="24" w:after="24"/>
                    <w:rPr>
                      <w:rFonts w:ascii="Times New Roman"/>
                    </w:rPr>
                  </w:pPr>
                  <w:r>
                    <w:rPr>
                      <w:rFonts w:ascii="Times New Roman"/>
                    </w:rPr>
                    <w:t>5</w:t>
                  </w:r>
                </w:p>
              </w:tc>
              <w:tc>
                <w:tcPr>
                  <w:tcW w:w="1580" w:type="pct"/>
                  <w:vAlign w:val="center"/>
                </w:tcPr>
                <w:p w14:paraId="25A502D3">
                  <w:pPr>
                    <w:pStyle w:val="47"/>
                    <w:adjustRightInd/>
                    <w:snapToGrid/>
                    <w:spacing w:before="24" w:after="24"/>
                    <w:rPr>
                      <w:rFonts w:ascii="Times New Roman"/>
                    </w:rPr>
                  </w:pPr>
                  <w:r>
                    <w:rPr>
                      <w:rFonts w:ascii="Times New Roman"/>
                    </w:rPr>
                    <w:t>挥发酚  ≤</w:t>
                  </w:r>
                </w:p>
              </w:tc>
              <w:tc>
                <w:tcPr>
                  <w:tcW w:w="778" w:type="pct"/>
                  <w:vAlign w:val="center"/>
                </w:tcPr>
                <w:p w14:paraId="466A303E">
                  <w:pPr>
                    <w:pStyle w:val="47"/>
                    <w:adjustRightInd/>
                    <w:snapToGrid/>
                    <w:spacing w:before="24" w:after="24"/>
                    <w:rPr>
                      <w:rFonts w:ascii="Times New Roman"/>
                    </w:rPr>
                  </w:pPr>
                  <w:r>
                    <w:rPr>
                      <w:rFonts w:ascii="Times New Roman"/>
                    </w:rPr>
                    <w:t>0.005</w:t>
                  </w:r>
                </w:p>
              </w:tc>
            </w:tr>
            <w:tr w14:paraId="0F8C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3C3ECF16">
                  <w:pPr>
                    <w:pStyle w:val="47"/>
                    <w:adjustRightInd/>
                    <w:snapToGrid/>
                    <w:spacing w:before="24" w:after="24"/>
                    <w:rPr>
                      <w:rFonts w:ascii="Times New Roman"/>
                    </w:rPr>
                  </w:pPr>
                  <w:r>
                    <w:rPr>
                      <w:rFonts w:ascii="Times New Roman"/>
                    </w:rPr>
                    <w:t>高锰酸盐指数  ≤</w:t>
                  </w:r>
                </w:p>
              </w:tc>
              <w:tc>
                <w:tcPr>
                  <w:tcW w:w="997" w:type="pct"/>
                  <w:vAlign w:val="center"/>
                </w:tcPr>
                <w:p w14:paraId="509B420D">
                  <w:pPr>
                    <w:pStyle w:val="47"/>
                    <w:adjustRightInd/>
                    <w:snapToGrid/>
                    <w:spacing w:before="24" w:after="24"/>
                    <w:rPr>
                      <w:rFonts w:ascii="Times New Roman"/>
                    </w:rPr>
                  </w:pPr>
                  <w:r>
                    <w:rPr>
                      <w:rFonts w:ascii="Times New Roman"/>
                    </w:rPr>
                    <w:t>6</w:t>
                  </w:r>
                </w:p>
              </w:tc>
              <w:tc>
                <w:tcPr>
                  <w:tcW w:w="1580" w:type="pct"/>
                  <w:vAlign w:val="center"/>
                </w:tcPr>
                <w:p w14:paraId="6F41DC5D">
                  <w:pPr>
                    <w:pStyle w:val="47"/>
                    <w:adjustRightInd/>
                    <w:snapToGrid/>
                    <w:spacing w:before="24" w:after="24"/>
                    <w:rPr>
                      <w:rFonts w:ascii="Times New Roman"/>
                    </w:rPr>
                  </w:pPr>
                  <w:r>
                    <w:rPr>
                      <w:rFonts w:ascii="Times New Roman"/>
                    </w:rPr>
                    <w:t>石油类   ≤</w:t>
                  </w:r>
                </w:p>
              </w:tc>
              <w:tc>
                <w:tcPr>
                  <w:tcW w:w="778" w:type="pct"/>
                  <w:vAlign w:val="center"/>
                </w:tcPr>
                <w:p w14:paraId="4CAFCE5A">
                  <w:pPr>
                    <w:pStyle w:val="47"/>
                    <w:adjustRightInd/>
                    <w:snapToGrid/>
                    <w:spacing w:before="24" w:after="24"/>
                    <w:rPr>
                      <w:rFonts w:ascii="Times New Roman"/>
                    </w:rPr>
                  </w:pPr>
                  <w:r>
                    <w:rPr>
                      <w:rFonts w:ascii="Times New Roman"/>
                    </w:rPr>
                    <w:t>0.05</w:t>
                  </w:r>
                </w:p>
              </w:tc>
            </w:tr>
            <w:tr w14:paraId="39D9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0E08A74B">
                  <w:pPr>
                    <w:pStyle w:val="47"/>
                    <w:adjustRightInd/>
                    <w:snapToGrid/>
                    <w:spacing w:before="24" w:after="24"/>
                    <w:rPr>
                      <w:rFonts w:ascii="Times New Roman"/>
                    </w:rPr>
                  </w:pPr>
                  <w:r>
                    <w:rPr>
                      <w:rFonts w:ascii="Times New Roman"/>
                    </w:rPr>
                    <w:t xml:space="preserve"> 化学需氧量（COD） ≤</w:t>
                  </w:r>
                </w:p>
              </w:tc>
              <w:tc>
                <w:tcPr>
                  <w:tcW w:w="997" w:type="pct"/>
                  <w:vAlign w:val="center"/>
                </w:tcPr>
                <w:p w14:paraId="7D069486">
                  <w:pPr>
                    <w:pStyle w:val="47"/>
                    <w:adjustRightInd/>
                    <w:snapToGrid/>
                    <w:spacing w:before="24" w:after="24"/>
                    <w:rPr>
                      <w:rFonts w:ascii="Times New Roman"/>
                    </w:rPr>
                  </w:pPr>
                  <w:r>
                    <w:rPr>
                      <w:rFonts w:ascii="Times New Roman"/>
                    </w:rPr>
                    <w:t>20</w:t>
                  </w:r>
                </w:p>
              </w:tc>
              <w:tc>
                <w:tcPr>
                  <w:tcW w:w="1580" w:type="pct"/>
                  <w:vAlign w:val="center"/>
                </w:tcPr>
                <w:p w14:paraId="007CE64C">
                  <w:pPr>
                    <w:pStyle w:val="47"/>
                    <w:adjustRightInd/>
                    <w:snapToGrid/>
                    <w:spacing w:before="24" w:after="24"/>
                    <w:rPr>
                      <w:rFonts w:ascii="Times New Roman"/>
                    </w:rPr>
                  </w:pPr>
                  <w:r>
                    <w:rPr>
                      <w:rFonts w:ascii="Times New Roman"/>
                    </w:rPr>
                    <w:t>阴离子表面活性剂   ≤</w:t>
                  </w:r>
                </w:p>
              </w:tc>
              <w:tc>
                <w:tcPr>
                  <w:tcW w:w="778" w:type="pct"/>
                  <w:vAlign w:val="center"/>
                </w:tcPr>
                <w:p w14:paraId="529BB0C6">
                  <w:pPr>
                    <w:pStyle w:val="47"/>
                    <w:adjustRightInd/>
                    <w:snapToGrid/>
                    <w:spacing w:before="24" w:after="24"/>
                    <w:rPr>
                      <w:rFonts w:ascii="Times New Roman"/>
                    </w:rPr>
                  </w:pPr>
                  <w:r>
                    <w:rPr>
                      <w:rFonts w:ascii="Times New Roman"/>
                    </w:rPr>
                    <w:t>0.2</w:t>
                  </w:r>
                </w:p>
              </w:tc>
            </w:tr>
            <w:tr w14:paraId="765B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673CFB8D">
                  <w:pPr>
                    <w:pStyle w:val="47"/>
                    <w:adjustRightInd/>
                    <w:snapToGrid/>
                    <w:spacing w:before="24" w:after="24"/>
                    <w:rPr>
                      <w:rFonts w:ascii="Times New Roman"/>
                    </w:rPr>
                  </w:pPr>
                  <w:r>
                    <w:rPr>
                      <w:rFonts w:ascii="Times New Roman"/>
                    </w:rPr>
                    <w:t>五日生化需氧量（BOD</w:t>
                  </w:r>
                  <w:r>
                    <w:rPr>
                      <w:rFonts w:ascii="Times New Roman"/>
                      <w:vertAlign w:val="subscript"/>
                    </w:rPr>
                    <w:t>5</w:t>
                  </w:r>
                  <w:r>
                    <w:rPr>
                      <w:rFonts w:ascii="Times New Roman"/>
                    </w:rPr>
                    <w:t>）≤</w:t>
                  </w:r>
                </w:p>
              </w:tc>
              <w:tc>
                <w:tcPr>
                  <w:tcW w:w="997" w:type="pct"/>
                  <w:vAlign w:val="center"/>
                </w:tcPr>
                <w:p w14:paraId="298B50E0">
                  <w:pPr>
                    <w:pStyle w:val="47"/>
                    <w:adjustRightInd/>
                    <w:snapToGrid/>
                    <w:spacing w:before="24" w:after="24"/>
                    <w:rPr>
                      <w:rFonts w:ascii="Times New Roman"/>
                    </w:rPr>
                  </w:pPr>
                  <w:r>
                    <w:rPr>
                      <w:rFonts w:ascii="Times New Roman"/>
                    </w:rPr>
                    <w:t>4</w:t>
                  </w:r>
                </w:p>
              </w:tc>
              <w:tc>
                <w:tcPr>
                  <w:tcW w:w="1580" w:type="pct"/>
                  <w:vAlign w:val="center"/>
                </w:tcPr>
                <w:p w14:paraId="60AA767E">
                  <w:pPr>
                    <w:pStyle w:val="47"/>
                    <w:adjustRightInd/>
                    <w:snapToGrid/>
                    <w:spacing w:before="24" w:after="24"/>
                    <w:rPr>
                      <w:rFonts w:ascii="Times New Roman"/>
                    </w:rPr>
                  </w:pPr>
                  <w:r>
                    <w:rPr>
                      <w:rFonts w:ascii="Times New Roman"/>
                    </w:rPr>
                    <w:t>硫化物  ≤</w:t>
                  </w:r>
                </w:p>
              </w:tc>
              <w:tc>
                <w:tcPr>
                  <w:tcW w:w="778" w:type="pct"/>
                  <w:vAlign w:val="center"/>
                </w:tcPr>
                <w:p w14:paraId="0690A6CE">
                  <w:pPr>
                    <w:pStyle w:val="47"/>
                    <w:adjustRightInd/>
                    <w:snapToGrid/>
                    <w:spacing w:before="24" w:after="24"/>
                    <w:rPr>
                      <w:rFonts w:ascii="Times New Roman"/>
                    </w:rPr>
                  </w:pPr>
                  <w:r>
                    <w:rPr>
                      <w:rFonts w:ascii="Times New Roman"/>
                    </w:rPr>
                    <w:t>0.2</w:t>
                  </w:r>
                </w:p>
              </w:tc>
            </w:tr>
            <w:tr w14:paraId="58E3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3C51DEE7">
                  <w:pPr>
                    <w:pStyle w:val="47"/>
                    <w:adjustRightInd/>
                    <w:snapToGrid/>
                    <w:spacing w:before="24" w:after="24"/>
                    <w:rPr>
                      <w:rFonts w:ascii="Times New Roman"/>
                    </w:rPr>
                  </w:pPr>
                  <w:r>
                    <w:rPr>
                      <w:rFonts w:ascii="Times New Roman"/>
                    </w:rPr>
                    <w:t xml:space="preserve"> 氨氮(NH</w:t>
                  </w:r>
                  <w:r>
                    <w:rPr>
                      <w:rFonts w:ascii="Times New Roman"/>
                      <w:vertAlign w:val="subscript"/>
                    </w:rPr>
                    <w:t>3</w:t>
                  </w:r>
                  <w:r>
                    <w:rPr>
                      <w:rFonts w:ascii="Times New Roman"/>
                    </w:rPr>
                    <w:t>-N)  ≤</w:t>
                  </w:r>
                </w:p>
              </w:tc>
              <w:tc>
                <w:tcPr>
                  <w:tcW w:w="997" w:type="pct"/>
                  <w:vAlign w:val="center"/>
                </w:tcPr>
                <w:p w14:paraId="2BE1076E">
                  <w:pPr>
                    <w:pStyle w:val="47"/>
                    <w:adjustRightInd/>
                    <w:snapToGrid/>
                    <w:spacing w:before="24" w:after="24"/>
                    <w:rPr>
                      <w:rFonts w:ascii="Times New Roman"/>
                    </w:rPr>
                  </w:pPr>
                  <w:r>
                    <w:rPr>
                      <w:rFonts w:ascii="Times New Roman"/>
                    </w:rPr>
                    <w:t>1.0</w:t>
                  </w:r>
                </w:p>
              </w:tc>
              <w:tc>
                <w:tcPr>
                  <w:tcW w:w="1580" w:type="pct"/>
                  <w:vAlign w:val="center"/>
                </w:tcPr>
                <w:p w14:paraId="72E6D3AF">
                  <w:pPr>
                    <w:pStyle w:val="47"/>
                    <w:adjustRightInd/>
                    <w:snapToGrid/>
                    <w:spacing w:before="24" w:after="24"/>
                    <w:rPr>
                      <w:rFonts w:ascii="Times New Roman"/>
                    </w:rPr>
                  </w:pPr>
                  <w:r>
                    <w:rPr>
                      <w:rFonts w:ascii="Times New Roman"/>
                    </w:rPr>
                    <w:t xml:space="preserve">  粪大肠菌群（个／L）  ≤</w:t>
                  </w:r>
                </w:p>
              </w:tc>
              <w:tc>
                <w:tcPr>
                  <w:tcW w:w="778" w:type="pct"/>
                  <w:vAlign w:val="center"/>
                </w:tcPr>
                <w:p w14:paraId="1C53E0C7">
                  <w:pPr>
                    <w:pStyle w:val="47"/>
                    <w:adjustRightInd/>
                    <w:snapToGrid/>
                    <w:spacing w:before="24" w:after="24"/>
                    <w:rPr>
                      <w:rFonts w:ascii="Times New Roman"/>
                    </w:rPr>
                  </w:pPr>
                  <w:r>
                    <w:rPr>
                      <w:rFonts w:ascii="Times New Roman"/>
                    </w:rPr>
                    <w:t>10000</w:t>
                  </w:r>
                </w:p>
              </w:tc>
            </w:tr>
            <w:tr w14:paraId="3A6E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181ED3FE">
                  <w:pPr>
                    <w:pStyle w:val="47"/>
                    <w:adjustRightInd/>
                    <w:snapToGrid/>
                    <w:spacing w:before="24" w:after="24"/>
                    <w:rPr>
                      <w:rFonts w:ascii="Times New Roman"/>
                    </w:rPr>
                  </w:pPr>
                  <w:r>
                    <w:rPr>
                      <w:rFonts w:ascii="Times New Roman"/>
                    </w:rPr>
                    <w:t>总磷（以 P 计）≤</w:t>
                  </w:r>
                </w:p>
              </w:tc>
              <w:tc>
                <w:tcPr>
                  <w:tcW w:w="997" w:type="pct"/>
                  <w:vAlign w:val="center"/>
                </w:tcPr>
                <w:p w14:paraId="71B78160">
                  <w:pPr>
                    <w:pStyle w:val="47"/>
                    <w:adjustRightInd/>
                    <w:snapToGrid/>
                    <w:spacing w:before="24" w:after="24"/>
                    <w:rPr>
                      <w:rFonts w:ascii="Times New Roman"/>
                    </w:rPr>
                  </w:pPr>
                  <w:r>
                    <w:rPr>
                      <w:rFonts w:ascii="Times New Roman"/>
                    </w:rPr>
                    <w:t>0.2</w:t>
                  </w:r>
                </w:p>
              </w:tc>
              <w:tc>
                <w:tcPr>
                  <w:tcW w:w="1580" w:type="pct"/>
                  <w:vAlign w:val="center"/>
                </w:tcPr>
                <w:p w14:paraId="27EB325E">
                  <w:pPr>
                    <w:pStyle w:val="47"/>
                    <w:adjustRightInd/>
                    <w:snapToGrid/>
                    <w:spacing w:before="24" w:after="24"/>
                    <w:rPr>
                      <w:rFonts w:ascii="Times New Roman"/>
                    </w:rPr>
                  </w:pPr>
                  <w:r>
                    <w:rPr>
                      <w:rFonts w:ascii="Times New Roman"/>
                    </w:rPr>
                    <w:t>砷   ≤</w:t>
                  </w:r>
                </w:p>
              </w:tc>
              <w:tc>
                <w:tcPr>
                  <w:tcW w:w="778" w:type="pct"/>
                  <w:vAlign w:val="center"/>
                </w:tcPr>
                <w:p w14:paraId="04F8089C">
                  <w:pPr>
                    <w:pStyle w:val="47"/>
                    <w:adjustRightInd/>
                    <w:snapToGrid/>
                    <w:spacing w:before="24" w:after="24"/>
                    <w:rPr>
                      <w:rFonts w:ascii="Times New Roman"/>
                    </w:rPr>
                  </w:pPr>
                  <w:r>
                    <w:rPr>
                      <w:rFonts w:ascii="Times New Roman"/>
                    </w:rPr>
                    <w:t>0.05</w:t>
                  </w:r>
                </w:p>
              </w:tc>
            </w:tr>
            <w:tr w14:paraId="4ECD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4CC3C6E2">
                  <w:pPr>
                    <w:pStyle w:val="47"/>
                    <w:adjustRightInd/>
                    <w:snapToGrid/>
                    <w:spacing w:before="24" w:after="24"/>
                    <w:rPr>
                      <w:rFonts w:ascii="Times New Roman"/>
                    </w:rPr>
                  </w:pPr>
                  <w:r>
                    <w:rPr>
                      <w:rFonts w:ascii="Times New Roman"/>
                    </w:rPr>
                    <w:t xml:space="preserve">          铜   ≤</w:t>
                  </w:r>
                </w:p>
              </w:tc>
              <w:tc>
                <w:tcPr>
                  <w:tcW w:w="997" w:type="pct"/>
                  <w:vAlign w:val="center"/>
                </w:tcPr>
                <w:p w14:paraId="0DB1B681">
                  <w:pPr>
                    <w:pStyle w:val="47"/>
                    <w:adjustRightInd/>
                    <w:snapToGrid/>
                    <w:spacing w:before="24" w:after="24"/>
                    <w:rPr>
                      <w:rFonts w:ascii="Times New Roman"/>
                    </w:rPr>
                  </w:pPr>
                  <w:r>
                    <w:rPr>
                      <w:rFonts w:ascii="Times New Roman"/>
                    </w:rPr>
                    <w:t>1.0</w:t>
                  </w:r>
                </w:p>
              </w:tc>
              <w:tc>
                <w:tcPr>
                  <w:tcW w:w="1580" w:type="pct"/>
                  <w:vAlign w:val="center"/>
                </w:tcPr>
                <w:p w14:paraId="75B323A3">
                  <w:pPr>
                    <w:pStyle w:val="47"/>
                    <w:adjustRightInd/>
                    <w:snapToGrid/>
                    <w:spacing w:before="24" w:after="24"/>
                    <w:rPr>
                      <w:rFonts w:ascii="Times New Roman"/>
                    </w:rPr>
                  </w:pPr>
                  <w:r>
                    <w:rPr>
                      <w:rFonts w:ascii="Times New Roman"/>
                    </w:rPr>
                    <w:t>汞  ≤</w:t>
                  </w:r>
                </w:p>
              </w:tc>
              <w:tc>
                <w:tcPr>
                  <w:tcW w:w="778" w:type="pct"/>
                  <w:vAlign w:val="center"/>
                </w:tcPr>
                <w:p w14:paraId="746B2DEE">
                  <w:pPr>
                    <w:pStyle w:val="47"/>
                    <w:adjustRightInd/>
                    <w:snapToGrid/>
                    <w:spacing w:before="24" w:after="24"/>
                    <w:rPr>
                      <w:rFonts w:ascii="Times New Roman"/>
                    </w:rPr>
                  </w:pPr>
                  <w:r>
                    <w:rPr>
                      <w:rFonts w:ascii="Times New Roman"/>
                    </w:rPr>
                    <w:t>0.0001</w:t>
                  </w:r>
                </w:p>
              </w:tc>
            </w:tr>
            <w:tr w14:paraId="6E30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4FA06BD1">
                  <w:pPr>
                    <w:pStyle w:val="47"/>
                    <w:adjustRightInd/>
                    <w:snapToGrid/>
                    <w:spacing w:before="24" w:after="24"/>
                    <w:rPr>
                      <w:rFonts w:ascii="Times New Roman"/>
                    </w:rPr>
                  </w:pPr>
                  <w:r>
                    <w:rPr>
                      <w:rFonts w:ascii="Times New Roman"/>
                    </w:rPr>
                    <w:t xml:space="preserve">          锌  ≤</w:t>
                  </w:r>
                </w:p>
              </w:tc>
              <w:tc>
                <w:tcPr>
                  <w:tcW w:w="997" w:type="pct"/>
                  <w:vAlign w:val="center"/>
                </w:tcPr>
                <w:p w14:paraId="58550718">
                  <w:pPr>
                    <w:pStyle w:val="47"/>
                    <w:adjustRightInd/>
                    <w:snapToGrid/>
                    <w:spacing w:before="24" w:after="24"/>
                    <w:rPr>
                      <w:rFonts w:ascii="Times New Roman"/>
                    </w:rPr>
                  </w:pPr>
                  <w:r>
                    <w:rPr>
                      <w:rFonts w:ascii="Times New Roman"/>
                    </w:rPr>
                    <w:t>1.0</w:t>
                  </w:r>
                </w:p>
              </w:tc>
              <w:tc>
                <w:tcPr>
                  <w:tcW w:w="1580" w:type="pct"/>
                  <w:vAlign w:val="center"/>
                </w:tcPr>
                <w:p w14:paraId="50FDF936">
                  <w:pPr>
                    <w:pStyle w:val="47"/>
                    <w:adjustRightInd/>
                    <w:snapToGrid/>
                    <w:spacing w:before="24" w:after="24"/>
                    <w:rPr>
                      <w:rFonts w:ascii="Times New Roman"/>
                    </w:rPr>
                  </w:pPr>
                  <w:r>
                    <w:rPr>
                      <w:rFonts w:ascii="Times New Roman"/>
                    </w:rPr>
                    <w:t>镉  ≤</w:t>
                  </w:r>
                </w:p>
              </w:tc>
              <w:tc>
                <w:tcPr>
                  <w:tcW w:w="778" w:type="pct"/>
                  <w:vAlign w:val="center"/>
                </w:tcPr>
                <w:p w14:paraId="3A4E701F">
                  <w:pPr>
                    <w:pStyle w:val="47"/>
                    <w:adjustRightInd/>
                    <w:snapToGrid/>
                    <w:spacing w:before="24" w:after="24"/>
                    <w:rPr>
                      <w:rFonts w:ascii="Times New Roman"/>
                    </w:rPr>
                  </w:pPr>
                  <w:r>
                    <w:rPr>
                      <w:rFonts w:ascii="Times New Roman"/>
                    </w:rPr>
                    <w:t>0.005</w:t>
                  </w:r>
                </w:p>
              </w:tc>
            </w:tr>
            <w:tr w14:paraId="1390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4ACDBBA2">
                  <w:pPr>
                    <w:pStyle w:val="47"/>
                    <w:adjustRightInd/>
                    <w:snapToGrid/>
                    <w:spacing w:before="24" w:after="24"/>
                    <w:rPr>
                      <w:rFonts w:ascii="Times New Roman"/>
                    </w:rPr>
                  </w:pPr>
                  <w:r>
                    <w:rPr>
                      <w:rFonts w:ascii="Times New Roman"/>
                    </w:rPr>
                    <w:t xml:space="preserve">  氟化物（以 F- 计）≤</w:t>
                  </w:r>
                </w:p>
              </w:tc>
              <w:tc>
                <w:tcPr>
                  <w:tcW w:w="997" w:type="pct"/>
                  <w:vAlign w:val="center"/>
                </w:tcPr>
                <w:p w14:paraId="51A40E31">
                  <w:pPr>
                    <w:pStyle w:val="47"/>
                    <w:adjustRightInd/>
                    <w:snapToGrid/>
                    <w:spacing w:before="24" w:after="24"/>
                    <w:rPr>
                      <w:rFonts w:ascii="Times New Roman"/>
                    </w:rPr>
                  </w:pPr>
                  <w:r>
                    <w:rPr>
                      <w:rFonts w:ascii="Times New Roman"/>
                    </w:rPr>
                    <w:t>1.0</w:t>
                  </w:r>
                </w:p>
              </w:tc>
              <w:tc>
                <w:tcPr>
                  <w:tcW w:w="1580" w:type="pct"/>
                  <w:vAlign w:val="center"/>
                </w:tcPr>
                <w:p w14:paraId="1DC14D90">
                  <w:pPr>
                    <w:pStyle w:val="47"/>
                    <w:adjustRightInd/>
                    <w:snapToGrid/>
                    <w:spacing w:before="24" w:after="24"/>
                    <w:rPr>
                      <w:rFonts w:ascii="Times New Roman"/>
                    </w:rPr>
                  </w:pPr>
                  <w:r>
                    <w:rPr>
                      <w:rFonts w:ascii="Times New Roman"/>
                    </w:rPr>
                    <w:t>铬（六价）≤</w:t>
                  </w:r>
                </w:p>
              </w:tc>
              <w:tc>
                <w:tcPr>
                  <w:tcW w:w="778" w:type="pct"/>
                  <w:vAlign w:val="center"/>
                </w:tcPr>
                <w:p w14:paraId="1BC94609">
                  <w:pPr>
                    <w:pStyle w:val="47"/>
                    <w:adjustRightInd/>
                    <w:snapToGrid/>
                    <w:spacing w:before="24" w:after="24"/>
                    <w:rPr>
                      <w:rFonts w:ascii="Times New Roman"/>
                    </w:rPr>
                  </w:pPr>
                  <w:r>
                    <w:rPr>
                      <w:rFonts w:ascii="Times New Roman"/>
                    </w:rPr>
                    <w:t>0.05</w:t>
                  </w:r>
                </w:p>
              </w:tc>
            </w:tr>
            <w:tr w14:paraId="2FBD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pct"/>
                  <w:vAlign w:val="center"/>
                </w:tcPr>
                <w:p w14:paraId="2BA481D3">
                  <w:pPr>
                    <w:pStyle w:val="47"/>
                    <w:adjustRightInd/>
                    <w:snapToGrid/>
                    <w:spacing w:before="24" w:after="24"/>
                    <w:rPr>
                      <w:rFonts w:ascii="Times New Roman"/>
                    </w:rPr>
                  </w:pPr>
                  <w:r>
                    <w:rPr>
                      <w:rFonts w:ascii="Times New Roman"/>
                    </w:rPr>
                    <w:t xml:space="preserve">        硒  ≤</w:t>
                  </w:r>
                </w:p>
              </w:tc>
              <w:tc>
                <w:tcPr>
                  <w:tcW w:w="997" w:type="pct"/>
                  <w:vAlign w:val="center"/>
                </w:tcPr>
                <w:p w14:paraId="61153DBD">
                  <w:pPr>
                    <w:pStyle w:val="47"/>
                    <w:adjustRightInd/>
                    <w:snapToGrid/>
                    <w:spacing w:before="24" w:after="24"/>
                    <w:rPr>
                      <w:rFonts w:ascii="Times New Roman"/>
                    </w:rPr>
                  </w:pPr>
                  <w:r>
                    <w:rPr>
                      <w:rFonts w:ascii="Times New Roman"/>
                    </w:rPr>
                    <w:t>0.01</w:t>
                  </w:r>
                </w:p>
              </w:tc>
              <w:tc>
                <w:tcPr>
                  <w:tcW w:w="1580" w:type="pct"/>
                  <w:vAlign w:val="center"/>
                </w:tcPr>
                <w:p w14:paraId="06EE5D72">
                  <w:pPr>
                    <w:pStyle w:val="47"/>
                    <w:adjustRightInd/>
                    <w:snapToGrid/>
                    <w:spacing w:before="24" w:after="24"/>
                    <w:rPr>
                      <w:rFonts w:ascii="Times New Roman"/>
                    </w:rPr>
                  </w:pPr>
                  <w:r>
                    <w:rPr>
                      <w:rFonts w:ascii="Times New Roman"/>
                    </w:rPr>
                    <w:t>铅  ≤</w:t>
                  </w:r>
                </w:p>
              </w:tc>
              <w:tc>
                <w:tcPr>
                  <w:tcW w:w="778" w:type="pct"/>
                  <w:vAlign w:val="center"/>
                </w:tcPr>
                <w:p w14:paraId="01839378">
                  <w:pPr>
                    <w:pStyle w:val="47"/>
                    <w:adjustRightInd/>
                    <w:snapToGrid/>
                    <w:spacing w:before="24" w:after="24"/>
                    <w:rPr>
                      <w:rFonts w:ascii="Times New Roman"/>
                    </w:rPr>
                  </w:pPr>
                  <w:r>
                    <w:rPr>
                      <w:rFonts w:ascii="Times New Roman"/>
                    </w:rPr>
                    <w:t>0.05</w:t>
                  </w:r>
                </w:p>
              </w:tc>
            </w:tr>
          </w:tbl>
          <w:p w14:paraId="0C670835">
            <w:pPr>
              <w:pStyle w:val="58"/>
              <w:spacing w:line="360" w:lineRule="auto"/>
              <w:ind w:firstLine="480" w:firstLineChars="200"/>
              <w:rPr>
                <w:rFonts w:ascii="Times New Roman" w:hAnsi="Times New Roman" w:cs="Times New Roman"/>
                <w:kern w:val="24"/>
                <w:sz w:val="24"/>
              </w:rPr>
            </w:pPr>
          </w:p>
          <w:p w14:paraId="36B362DF">
            <w:pPr>
              <w:adjustRightInd w:val="0"/>
              <w:snapToGrid w:val="0"/>
              <w:spacing w:line="360" w:lineRule="auto"/>
              <w:jc w:val="left"/>
              <w:rPr>
                <w:kern w:val="24"/>
                <w:sz w:val="24"/>
              </w:rPr>
            </w:pPr>
            <w:r>
              <w:rPr>
                <w:rFonts w:hint="eastAsia"/>
                <w:b/>
                <w:bCs/>
                <w:sz w:val="24"/>
              </w:rPr>
              <w:t>2.2 环境质量现状</w:t>
            </w:r>
          </w:p>
          <w:p w14:paraId="33B55D85">
            <w:pPr>
              <w:pStyle w:val="83"/>
              <w:ind w:firstLine="480"/>
            </w:pPr>
            <w:r>
              <w:rPr>
                <w:rFonts w:hint="eastAsia"/>
              </w:rPr>
              <w:t>根据《建设项目环境影响报告表编制技术指南（污染影响类）（试行）》，地表水环境引用与建设项目距离近的有效数据，包括近3年的规划环境影响评价的监测数据，所在流域控制单元内国家、地方控制断面监测数据，生态环境主管部门发布的水环境质量数据或地表水达标情况的结论。</w:t>
            </w:r>
          </w:p>
          <w:p w14:paraId="1AA21A08">
            <w:pPr>
              <w:pStyle w:val="83"/>
              <w:ind w:firstLine="480"/>
              <w:rPr>
                <w:kern w:val="0"/>
              </w:rPr>
            </w:pPr>
            <w:r>
              <w:rPr>
                <w:rFonts w:hint="eastAsia"/>
              </w:rPr>
              <w:t>杞麓湖水环境质量现状引用《2023年玉溪市生态环境状况公报》中2</w:t>
            </w:r>
            <w:r>
              <w:t>023</w:t>
            </w:r>
            <w:r>
              <w:rPr>
                <w:rFonts w:hint="eastAsia"/>
              </w:rPr>
              <w:t>年杞麓湖水质状况结论：杞麓湖按国考点位均值评价，杞麓湖湖心水质类别为劣Ⅴ类，水质重度污染，营养状态为中度富营养。按国、省控点位均值评价，杞麓湖水质为劣Ⅴ类，水质重度污染，营养状态为中度富营养。因此，</w:t>
            </w:r>
            <w:r>
              <w:rPr>
                <w:rFonts w:hint="eastAsia"/>
                <w:kern w:val="24"/>
              </w:rPr>
              <w:t>项目所在区域地表水体杞麓湖水质不能满足《地表水环境质量标准》（</w:t>
            </w:r>
            <w:r>
              <w:rPr>
                <w:kern w:val="24"/>
              </w:rPr>
              <w:t>GB3838-2002</w:t>
            </w:r>
            <w:r>
              <w:rPr>
                <w:rFonts w:hint="eastAsia"/>
                <w:kern w:val="24"/>
              </w:rPr>
              <w:t>）</w:t>
            </w:r>
            <w:r>
              <w:rPr>
                <w:kern w:val="24"/>
              </w:rPr>
              <w:t>Ⅲ</w:t>
            </w:r>
            <w:r>
              <w:rPr>
                <w:rFonts w:hint="eastAsia"/>
                <w:kern w:val="24"/>
              </w:rPr>
              <w:t>类水质标准，不满足环境功能要求，</w:t>
            </w:r>
            <w:r>
              <w:rPr>
                <w:kern w:val="0"/>
              </w:rPr>
              <w:t>该区域没有水环境容量。</w:t>
            </w:r>
          </w:p>
          <w:p w14:paraId="57CD7262">
            <w:pPr>
              <w:pStyle w:val="58"/>
              <w:spacing w:line="360" w:lineRule="auto"/>
              <w:ind w:firstLine="480" w:firstLineChars="200"/>
              <w:rPr>
                <w:rFonts w:hint="eastAsia"/>
                <w:sz w:val="24"/>
              </w:rPr>
            </w:pPr>
            <w:r>
              <w:rPr>
                <w:rFonts w:hint="eastAsia"/>
                <w:sz w:val="24"/>
              </w:rPr>
              <w:t>水质超标原因主要是由于周围农田及生活面源污染</w:t>
            </w:r>
            <w:r>
              <w:rPr>
                <w:rFonts w:hint="eastAsia" w:ascii="Times New Roman" w:hAnsi="Times New Roman" w:cs="Times New Roman"/>
                <w:kern w:val="24"/>
                <w:sz w:val="24"/>
              </w:rPr>
              <w:t>，农村生活污水、农业灌溉用水直接排入河流水体，河道常年污染严重，失去自净能力，河道水体直接进入杞麓湖</w:t>
            </w:r>
            <w:r>
              <w:rPr>
                <w:rFonts w:hint="eastAsia"/>
                <w:sz w:val="24"/>
              </w:rPr>
              <w:t>。</w:t>
            </w:r>
          </w:p>
          <w:p w14:paraId="1DE2519F">
            <w:pPr>
              <w:pStyle w:val="58"/>
              <w:spacing w:line="360" w:lineRule="auto"/>
              <w:rPr>
                <w:rFonts w:ascii="Times New Roman" w:hAnsi="Times New Roman" w:cs="Times New Roman"/>
                <w:b/>
                <w:kern w:val="0"/>
                <w:sz w:val="24"/>
              </w:rPr>
            </w:pPr>
            <w:r>
              <w:rPr>
                <w:rFonts w:hint="eastAsia" w:ascii="Times New Roman" w:hAnsi="Times New Roman" w:cs="Times New Roman"/>
                <w:b/>
                <w:kern w:val="0"/>
                <w:sz w:val="24"/>
              </w:rPr>
              <w:t>3、声环境</w:t>
            </w:r>
          </w:p>
          <w:p w14:paraId="0E620579">
            <w:pPr>
              <w:adjustRightInd w:val="0"/>
              <w:snapToGrid w:val="0"/>
              <w:spacing w:line="360" w:lineRule="auto"/>
              <w:rPr>
                <w:b/>
                <w:bCs/>
                <w:sz w:val="24"/>
              </w:rPr>
            </w:pPr>
            <w:r>
              <w:rPr>
                <w:rFonts w:hint="eastAsia"/>
                <w:b/>
                <w:bCs/>
                <w:sz w:val="24"/>
              </w:rPr>
              <w:t>3.1环境</w:t>
            </w:r>
            <w:r>
              <w:rPr>
                <w:b/>
                <w:bCs/>
                <w:sz w:val="24"/>
              </w:rPr>
              <w:t>质量标准</w:t>
            </w:r>
          </w:p>
          <w:p w14:paraId="760D9663">
            <w:pPr>
              <w:pStyle w:val="83"/>
              <w:ind w:firstLine="480"/>
            </w:pPr>
            <w:r>
              <w:t>项目选址位于通海县纳古镇珠山顶，</w:t>
            </w:r>
            <w:r>
              <w:rPr>
                <w:rFonts w:hint="eastAsia"/>
                <w:kern w:val="24"/>
              </w:rPr>
              <w:t>环境功能属于居住、商业、工业混杂区，</w:t>
            </w:r>
            <w:r>
              <w:t>属声环境功能2类区，执行《声环境质量标准》（GB3096-2008）2类标准。</w:t>
            </w:r>
            <w:r>
              <w:rPr>
                <w:rFonts w:hint="eastAsia"/>
              </w:rPr>
              <w:t>项目西北侧江通公路为</w:t>
            </w:r>
            <w:r>
              <w:t>G245</w:t>
            </w:r>
            <w:r>
              <w:rPr>
                <w:rFonts w:hint="eastAsia"/>
              </w:rPr>
              <w:t>国道，属于二级公路，项目西北侧临江通公路边界线距离20m范围内，划分为4a类区，执行《声环境质量标准》（GB3096-2008）中4a类标准。</w:t>
            </w:r>
            <w:r>
              <w:t>其标准值见表3-5。</w:t>
            </w:r>
          </w:p>
          <w:p w14:paraId="024F3CA5">
            <w:pPr>
              <w:pStyle w:val="60"/>
              <w:snapToGrid w:val="0"/>
              <w:spacing w:line="360" w:lineRule="auto"/>
              <w:ind w:firstLine="0"/>
              <w:jc w:val="center"/>
              <w:textAlignment w:val="auto"/>
              <w:rPr>
                <w:b/>
                <w:bCs/>
                <w:szCs w:val="24"/>
              </w:rPr>
            </w:pPr>
            <w:r>
              <w:rPr>
                <w:b/>
                <w:bCs/>
                <w:szCs w:val="24"/>
              </w:rPr>
              <w:t>表3-5    声环境质量标准</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3406"/>
              <w:gridCol w:w="1703"/>
              <w:gridCol w:w="1670"/>
            </w:tblGrid>
            <w:tr w14:paraId="7234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vMerge w:val="restart"/>
                  <w:vAlign w:val="center"/>
                </w:tcPr>
                <w:p w14:paraId="34D63B84">
                  <w:pPr>
                    <w:pStyle w:val="47"/>
                    <w:adjustRightInd/>
                    <w:snapToGrid/>
                    <w:spacing w:before="24" w:after="24"/>
                    <w:rPr>
                      <w:rFonts w:ascii="Times New Roman"/>
                    </w:rPr>
                  </w:pPr>
                  <w:r>
                    <w:rPr>
                      <w:rFonts w:ascii="Times New Roman"/>
                    </w:rPr>
                    <w:t>声环境功能区类别</w:t>
                  </w:r>
                </w:p>
              </w:tc>
              <w:tc>
                <w:tcPr>
                  <w:tcW w:w="1984" w:type="pct"/>
                  <w:vMerge w:val="restart"/>
                  <w:vAlign w:val="center"/>
                </w:tcPr>
                <w:p w14:paraId="19B60BED">
                  <w:pPr>
                    <w:pStyle w:val="47"/>
                    <w:adjustRightInd/>
                    <w:snapToGrid/>
                    <w:spacing w:before="24" w:after="24"/>
                    <w:rPr>
                      <w:rFonts w:ascii="Times New Roman"/>
                    </w:rPr>
                  </w:pPr>
                  <w:r>
                    <w:rPr>
                      <w:rFonts w:ascii="Times New Roman"/>
                    </w:rPr>
                    <w:t>适用区域</w:t>
                  </w:r>
                </w:p>
              </w:tc>
              <w:tc>
                <w:tcPr>
                  <w:tcW w:w="1965" w:type="pct"/>
                  <w:gridSpan w:val="2"/>
                  <w:vAlign w:val="center"/>
                </w:tcPr>
                <w:p w14:paraId="77F44CD3">
                  <w:pPr>
                    <w:pStyle w:val="47"/>
                    <w:adjustRightInd/>
                    <w:snapToGrid/>
                    <w:spacing w:before="24" w:after="24"/>
                    <w:rPr>
                      <w:rFonts w:ascii="Times New Roman"/>
                    </w:rPr>
                  </w:pPr>
                  <w:r>
                    <w:rPr>
                      <w:rFonts w:ascii="Times New Roman"/>
                    </w:rPr>
                    <w:t>等效声级/dB(A)</w:t>
                  </w:r>
                </w:p>
              </w:tc>
            </w:tr>
            <w:tr w14:paraId="2262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vMerge w:val="continue"/>
                  <w:vAlign w:val="center"/>
                </w:tcPr>
                <w:p w14:paraId="573BC6E5">
                  <w:pPr>
                    <w:pStyle w:val="47"/>
                    <w:adjustRightInd/>
                    <w:snapToGrid/>
                    <w:spacing w:before="24" w:after="24"/>
                    <w:rPr>
                      <w:rFonts w:ascii="Times New Roman"/>
                    </w:rPr>
                  </w:pPr>
                </w:p>
              </w:tc>
              <w:tc>
                <w:tcPr>
                  <w:tcW w:w="1984" w:type="pct"/>
                  <w:vMerge w:val="continue"/>
                  <w:vAlign w:val="center"/>
                </w:tcPr>
                <w:p w14:paraId="2B4A10A4">
                  <w:pPr>
                    <w:pStyle w:val="47"/>
                    <w:adjustRightInd/>
                    <w:snapToGrid/>
                    <w:spacing w:before="24" w:after="24"/>
                    <w:rPr>
                      <w:rFonts w:ascii="Times New Roman"/>
                    </w:rPr>
                  </w:pPr>
                </w:p>
              </w:tc>
              <w:tc>
                <w:tcPr>
                  <w:tcW w:w="992" w:type="pct"/>
                  <w:vAlign w:val="center"/>
                </w:tcPr>
                <w:p w14:paraId="536D2810">
                  <w:pPr>
                    <w:pStyle w:val="47"/>
                    <w:adjustRightInd/>
                    <w:snapToGrid/>
                    <w:spacing w:before="24" w:after="24"/>
                    <w:rPr>
                      <w:rFonts w:ascii="Times New Roman"/>
                    </w:rPr>
                  </w:pPr>
                  <w:r>
                    <w:rPr>
                      <w:rFonts w:ascii="Times New Roman"/>
                    </w:rPr>
                    <w:t>昼间</w:t>
                  </w:r>
                </w:p>
              </w:tc>
              <w:tc>
                <w:tcPr>
                  <w:tcW w:w="973" w:type="pct"/>
                  <w:vAlign w:val="center"/>
                </w:tcPr>
                <w:p w14:paraId="1DA6C867">
                  <w:pPr>
                    <w:pStyle w:val="47"/>
                    <w:adjustRightInd/>
                    <w:snapToGrid/>
                    <w:spacing w:before="24" w:after="24"/>
                    <w:rPr>
                      <w:rFonts w:ascii="Times New Roman"/>
                    </w:rPr>
                  </w:pPr>
                  <w:r>
                    <w:rPr>
                      <w:rFonts w:ascii="Times New Roman"/>
                    </w:rPr>
                    <w:t>夜间</w:t>
                  </w:r>
                </w:p>
              </w:tc>
            </w:tr>
            <w:tr w14:paraId="2FE6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vAlign w:val="center"/>
                </w:tcPr>
                <w:p w14:paraId="4686BCE7">
                  <w:pPr>
                    <w:pStyle w:val="47"/>
                    <w:adjustRightInd/>
                    <w:snapToGrid/>
                    <w:spacing w:before="24" w:after="24"/>
                    <w:rPr>
                      <w:rFonts w:ascii="Times New Roman"/>
                    </w:rPr>
                  </w:pPr>
                  <w:r>
                    <w:rPr>
                      <w:rFonts w:ascii="Times New Roman"/>
                    </w:rPr>
                    <w:t>2类</w:t>
                  </w:r>
                </w:p>
              </w:tc>
              <w:tc>
                <w:tcPr>
                  <w:tcW w:w="1984" w:type="pct"/>
                  <w:vAlign w:val="center"/>
                </w:tcPr>
                <w:p w14:paraId="3A09BBE4">
                  <w:pPr>
                    <w:pStyle w:val="47"/>
                    <w:adjustRightInd/>
                    <w:snapToGrid/>
                    <w:spacing w:before="24" w:after="24"/>
                    <w:rPr>
                      <w:rFonts w:ascii="Times New Roman"/>
                    </w:rPr>
                  </w:pPr>
                  <w:r>
                    <w:rPr>
                      <w:rFonts w:ascii="Times New Roman"/>
                    </w:rPr>
                    <w:t>项目用地范围内及项目周边区域</w:t>
                  </w:r>
                </w:p>
              </w:tc>
              <w:tc>
                <w:tcPr>
                  <w:tcW w:w="992" w:type="pct"/>
                  <w:vAlign w:val="center"/>
                </w:tcPr>
                <w:p w14:paraId="2279E8BB">
                  <w:pPr>
                    <w:pStyle w:val="47"/>
                    <w:adjustRightInd/>
                    <w:snapToGrid/>
                    <w:spacing w:before="24" w:after="24"/>
                    <w:rPr>
                      <w:rFonts w:ascii="Times New Roman"/>
                    </w:rPr>
                  </w:pPr>
                  <w:r>
                    <w:rPr>
                      <w:rFonts w:ascii="Times New Roman"/>
                    </w:rPr>
                    <w:t>60</w:t>
                  </w:r>
                </w:p>
              </w:tc>
              <w:tc>
                <w:tcPr>
                  <w:tcW w:w="973" w:type="pct"/>
                  <w:vAlign w:val="center"/>
                </w:tcPr>
                <w:p w14:paraId="39E20BAD">
                  <w:pPr>
                    <w:pStyle w:val="47"/>
                    <w:adjustRightInd/>
                    <w:snapToGrid/>
                    <w:spacing w:before="24" w:after="24"/>
                    <w:rPr>
                      <w:rFonts w:ascii="Times New Roman"/>
                    </w:rPr>
                  </w:pPr>
                  <w:r>
                    <w:rPr>
                      <w:rFonts w:ascii="Times New Roman"/>
                    </w:rPr>
                    <w:t>50</w:t>
                  </w:r>
                </w:p>
              </w:tc>
            </w:tr>
            <w:tr w14:paraId="0C25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vAlign w:val="center"/>
                </w:tcPr>
                <w:p w14:paraId="1E45CC6F">
                  <w:pPr>
                    <w:pStyle w:val="47"/>
                    <w:adjustRightInd/>
                    <w:snapToGrid/>
                    <w:spacing w:before="24" w:after="24"/>
                    <w:rPr>
                      <w:rFonts w:ascii="Times New Roman"/>
                    </w:rPr>
                  </w:pPr>
                  <w:r>
                    <w:rPr>
                      <w:rFonts w:ascii="Times New Roman"/>
                      <w:szCs w:val="21"/>
                    </w:rPr>
                    <w:t>4a类</w:t>
                  </w:r>
                </w:p>
              </w:tc>
              <w:tc>
                <w:tcPr>
                  <w:tcW w:w="1984" w:type="pct"/>
                  <w:vAlign w:val="center"/>
                </w:tcPr>
                <w:p w14:paraId="76C08CC5">
                  <w:pPr>
                    <w:pStyle w:val="47"/>
                    <w:adjustRightInd/>
                    <w:snapToGrid/>
                    <w:spacing w:before="24" w:after="24"/>
                    <w:rPr>
                      <w:rFonts w:ascii="Times New Roman"/>
                    </w:rPr>
                  </w:pPr>
                  <w:r>
                    <w:rPr>
                      <w:rFonts w:ascii="Times New Roman"/>
                    </w:rPr>
                    <w:t>项目西北侧临江通公路边界线距离20m范围内</w:t>
                  </w:r>
                </w:p>
              </w:tc>
              <w:tc>
                <w:tcPr>
                  <w:tcW w:w="992" w:type="pct"/>
                  <w:vAlign w:val="center"/>
                </w:tcPr>
                <w:p w14:paraId="53E56896">
                  <w:pPr>
                    <w:pStyle w:val="47"/>
                    <w:adjustRightInd/>
                    <w:snapToGrid/>
                    <w:spacing w:before="24" w:after="24"/>
                    <w:rPr>
                      <w:rFonts w:ascii="Times New Roman"/>
                    </w:rPr>
                  </w:pPr>
                  <w:r>
                    <w:rPr>
                      <w:rFonts w:ascii="Times New Roman" w:eastAsiaTheme="minorEastAsia"/>
                    </w:rPr>
                    <w:t>70</w:t>
                  </w:r>
                </w:p>
              </w:tc>
              <w:tc>
                <w:tcPr>
                  <w:tcW w:w="973" w:type="pct"/>
                  <w:vAlign w:val="center"/>
                </w:tcPr>
                <w:p w14:paraId="22EA289F">
                  <w:pPr>
                    <w:pStyle w:val="47"/>
                    <w:adjustRightInd/>
                    <w:snapToGrid/>
                    <w:spacing w:before="24" w:after="24"/>
                    <w:rPr>
                      <w:rFonts w:ascii="Times New Roman"/>
                    </w:rPr>
                  </w:pPr>
                  <w:r>
                    <w:rPr>
                      <w:rFonts w:ascii="Times New Roman" w:eastAsiaTheme="minorEastAsia"/>
                    </w:rPr>
                    <w:t>55</w:t>
                  </w:r>
                </w:p>
              </w:tc>
            </w:tr>
          </w:tbl>
          <w:p w14:paraId="61DA2611">
            <w:pPr>
              <w:adjustRightInd w:val="0"/>
              <w:snapToGrid w:val="0"/>
              <w:spacing w:line="360" w:lineRule="auto"/>
              <w:ind w:firstLine="480" w:firstLineChars="200"/>
              <w:rPr>
                <w:bCs/>
                <w:sz w:val="24"/>
              </w:rPr>
            </w:pPr>
          </w:p>
          <w:p w14:paraId="2544ECDD">
            <w:pPr>
              <w:adjustRightInd w:val="0"/>
              <w:snapToGrid w:val="0"/>
              <w:spacing w:line="360" w:lineRule="auto"/>
              <w:jc w:val="left"/>
              <w:rPr>
                <w:kern w:val="24"/>
                <w:sz w:val="24"/>
              </w:rPr>
            </w:pPr>
            <w:r>
              <w:rPr>
                <w:rFonts w:hint="eastAsia"/>
                <w:b/>
                <w:bCs/>
                <w:sz w:val="24"/>
              </w:rPr>
              <w:t>3.2 环境质量现状</w:t>
            </w:r>
          </w:p>
          <w:p w14:paraId="10D180A0">
            <w:pPr>
              <w:adjustRightInd w:val="0"/>
              <w:snapToGrid w:val="0"/>
              <w:spacing w:line="360" w:lineRule="auto"/>
              <w:ind w:firstLine="480" w:firstLineChars="200"/>
              <w:rPr>
                <w:kern w:val="24"/>
                <w:sz w:val="24"/>
              </w:rPr>
            </w:pPr>
            <w:r>
              <w:rPr>
                <w:rFonts w:hint="eastAsia"/>
                <w:kern w:val="24"/>
                <w:sz w:val="24"/>
              </w:rPr>
              <w:t>根据《建设项目环境影响报告表编制技术指南（污染影响类）（试行）》： “厂界外周边50m范围内存在声环境保护目标的建设项目，应监测保护目标声环境质量现状并评价达标情况”。根据现场踏勘，项目所处区域周边50m范围内无声环境保护目标。本次评价不需开展声环境质量现状监测。</w:t>
            </w:r>
          </w:p>
          <w:p w14:paraId="749DC239">
            <w:pPr>
              <w:pStyle w:val="58"/>
              <w:spacing w:line="360" w:lineRule="auto"/>
              <w:rPr>
                <w:rFonts w:ascii="Times New Roman" w:hAnsi="Times New Roman" w:cs="Times New Roman"/>
                <w:b/>
                <w:kern w:val="0"/>
                <w:sz w:val="24"/>
              </w:rPr>
            </w:pPr>
            <w:r>
              <w:rPr>
                <w:rFonts w:hint="eastAsia" w:ascii="Times New Roman" w:hAnsi="Times New Roman" w:cs="Times New Roman"/>
                <w:b/>
                <w:kern w:val="0"/>
                <w:sz w:val="24"/>
              </w:rPr>
              <w:t>4、生态环境</w:t>
            </w:r>
          </w:p>
          <w:p w14:paraId="5B2CFDD9">
            <w:pPr>
              <w:adjustRightInd w:val="0"/>
              <w:snapToGrid w:val="0"/>
              <w:spacing w:line="360" w:lineRule="auto"/>
              <w:ind w:firstLine="480" w:firstLineChars="200"/>
              <w:rPr>
                <w:bCs/>
                <w:sz w:val="24"/>
              </w:rPr>
            </w:pPr>
            <w:r>
              <w:rPr>
                <w:rFonts w:hint="eastAsia"/>
                <w:kern w:val="24"/>
                <w:sz w:val="24"/>
              </w:rPr>
              <w:t>根据《建设项目环境影响报告表编制技术指南（污染影响类）（试行）》：“产业园区外建设项目新增用地且用地范围内含有生态环境保护目标时，应进行生态现状调查。”根据现场踏勘，本项目利用现有项目已建工业场地，无新增用地，用地范围内无生态环境保护目标。本次评价不需开展生态环境现状调查。</w:t>
            </w:r>
          </w:p>
          <w:p w14:paraId="2F1483C4">
            <w:pPr>
              <w:pStyle w:val="58"/>
              <w:spacing w:line="360" w:lineRule="auto"/>
              <w:rPr>
                <w:rFonts w:ascii="Times New Roman" w:hAnsi="Times New Roman" w:cs="Times New Roman"/>
                <w:b/>
                <w:kern w:val="0"/>
                <w:sz w:val="24"/>
              </w:rPr>
            </w:pPr>
            <w:r>
              <w:rPr>
                <w:rFonts w:ascii="Times New Roman" w:hAnsi="Times New Roman" w:cs="Times New Roman"/>
                <w:b/>
                <w:kern w:val="0"/>
                <w:sz w:val="24"/>
              </w:rPr>
              <w:t>5</w:t>
            </w:r>
            <w:r>
              <w:rPr>
                <w:rFonts w:hint="eastAsia" w:ascii="Times New Roman" w:hAnsi="Times New Roman" w:cs="Times New Roman"/>
                <w:b/>
                <w:kern w:val="0"/>
                <w:sz w:val="24"/>
              </w:rPr>
              <w:t>、地下水、土壤环境</w:t>
            </w:r>
          </w:p>
          <w:p w14:paraId="2C52B17A">
            <w:pPr>
              <w:adjustRightInd w:val="0"/>
              <w:snapToGrid w:val="0"/>
              <w:spacing w:line="360" w:lineRule="auto"/>
              <w:ind w:firstLine="480" w:firstLineChars="200"/>
              <w:rPr>
                <w:bCs/>
                <w:sz w:val="24"/>
              </w:rPr>
            </w:pPr>
            <w:r>
              <w:rPr>
                <w:rFonts w:hint="eastAsia"/>
                <w:bCs/>
                <w:sz w:val="24"/>
              </w:rPr>
              <w:t>根据《建设项目环境影响报告表编制技术指南》（污染影响类）（试行）“地下水、土壤环境原则上不开展环境质量现状调查。建设项目存在土壤、地下水环境污染途径的，应结合污染源、保护目标分布情况开展现状调查以留作背景值。”</w:t>
            </w:r>
          </w:p>
          <w:p w14:paraId="56FEF0D5">
            <w:pPr>
              <w:adjustRightInd w:val="0"/>
              <w:snapToGrid w:val="0"/>
              <w:spacing w:line="360" w:lineRule="auto"/>
              <w:ind w:firstLine="480" w:firstLineChars="200"/>
              <w:rPr>
                <w:bCs/>
                <w:sz w:val="24"/>
              </w:rPr>
            </w:pPr>
            <w:r>
              <w:rPr>
                <w:rFonts w:hint="eastAsia"/>
                <w:bCs/>
                <w:sz w:val="24"/>
              </w:rPr>
              <w:t>本项目已采取分区防渗措施，正常情况下无土壤、地下水环境污染途径，原则上不开展环境质量现状调查。</w:t>
            </w:r>
          </w:p>
          <w:p w14:paraId="74BB5C28">
            <w:pPr>
              <w:adjustRightInd w:val="0"/>
              <w:snapToGrid w:val="0"/>
              <w:spacing w:line="360" w:lineRule="auto"/>
              <w:ind w:firstLine="480" w:firstLineChars="200"/>
              <w:rPr>
                <w:bCs/>
                <w:sz w:val="24"/>
              </w:rPr>
            </w:pPr>
            <w:r>
              <w:rPr>
                <w:rFonts w:hint="eastAsia"/>
                <w:bCs/>
                <w:sz w:val="24"/>
              </w:rPr>
              <w:t>但项目周边有</w:t>
            </w:r>
            <w:r>
              <w:rPr>
                <w:bCs/>
                <w:sz w:val="24"/>
              </w:rPr>
              <w:t>2</w:t>
            </w:r>
            <w:r>
              <w:rPr>
                <w:rFonts w:hint="eastAsia"/>
                <w:bCs/>
                <w:sz w:val="24"/>
              </w:rPr>
              <w:t>个</w:t>
            </w:r>
            <w:r>
              <w:rPr>
                <w:rFonts w:hint="eastAsia"/>
                <w:kern w:val="24"/>
                <w:sz w:val="24"/>
              </w:rPr>
              <w:t>村级地下水集中式饮用水水源（古城村、二街村地下水井）</w:t>
            </w:r>
            <w:r>
              <w:rPr>
                <w:rFonts w:hint="eastAsia"/>
                <w:bCs/>
                <w:sz w:val="24"/>
              </w:rPr>
              <w:t>，在防渗层破损等非正常状况下循环水池冷却水、生活污水垂直入渗可能造成地下水环境污染，因此，本次评价地下水环境现状调查引用项目区周边近3年内的现有地下水环境质量现状监测数据，以留作背景值。</w:t>
            </w:r>
          </w:p>
          <w:p w14:paraId="09831BFF">
            <w:pPr>
              <w:pStyle w:val="58"/>
              <w:spacing w:line="360" w:lineRule="auto"/>
              <w:rPr>
                <w:rFonts w:ascii="Times New Roman" w:hAnsi="Times New Roman" w:cs="Times New Roman"/>
                <w:b/>
                <w:kern w:val="0"/>
                <w:sz w:val="24"/>
              </w:rPr>
            </w:pPr>
            <w:r>
              <w:rPr>
                <w:rFonts w:ascii="Times New Roman" w:hAnsi="Times New Roman" w:cs="Times New Roman"/>
                <w:b/>
                <w:kern w:val="0"/>
                <w:sz w:val="24"/>
              </w:rPr>
              <w:t>5.1</w:t>
            </w:r>
            <w:r>
              <w:rPr>
                <w:rFonts w:hint="eastAsia" w:ascii="Times New Roman" w:hAnsi="Times New Roman" w:cs="Times New Roman"/>
                <w:b/>
                <w:kern w:val="0"/>
                <w:sz w:val="24"/>
              </w:rPr>
              <w:t>地下水环境</w:t>
            </w:r>
          </w:p>
          <w:p w14:paraId="05D5C6C1">
            <w:pPr>
              <w:adjustRightInd w:val="0"/>
              <w:snapToGrid w:val="0"/>
              <w:spacing w:line="360" w:lineRule="auto"/>
              <w:rPr>
                <w:b/>
                <w:bCs/>
                <w:sz w:val="24"/>
              </w:rPr>
            </w:pPr>
            <w:r>
              <w:rPr>
                <w:b/>
                <w:bCs/>
                <w:sz w:val="24"/>
              </w:rPr>
              <w:t>5.1.1</w:t>
            </w:r>
            <w:r>
              <w:rPr>
                <w:rFonts w:hint="eastAsia"/>
                <w:b/>
                <w:bCs/>
                <w:sz w:val="24"/>
              </w:rPr>
              <w:t>环境</w:t>
            </w:r>
            <w:r>
              <w:rPr>
                <w:b/>
                <w:bCs/>
                <w:sz w:val="24"/>
              </w:rPr>
              <w:t>质量标准</w:t>
            </w:r>
          </w:p>
          <w:p w14:paraId="753687AB">
            <w:pPr>
              <w:pStyle w:val="83"/>
              <w:ind w:firstLine="480"/>
            </w:pPr>
            <w:r>
              <w:t>项目区地下水执行《地下水质量标准》（GB/T14848-2017）Ⅲ类标准，其标准值见表3-6。</w:t>
            </w:r>
          </w:p>
          <w:p w14:paraId="47FF95BE">
            <w:pPr>
              <w:pStyle w:val="60"/>
              <w:snapToGrid w:val="0"/>
              <w:spacing w:line="360" w:lineRule="auto"/>
              <w:ind w:firstLine="0"/>
              <w:jc w:val="center"/>
              <w:textAlignment w:val="auto"/>
              <w:rPr>
                <w:b/>
                <w:bCs/>
                <w:szCs w:val="24"/>
              </w:rPr>
            </w:pPr>
            <w:r>
              <w:rPr>
                <w:b/>
                <w:bCs/>
                <w:szCs w:val="24"/>
              </w:rPr>
              <w:t>表3-6   地下水质量标准   单位：mg/L</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78"/>
              <w:gridCol w:w="1128"/>
              <w:gridCol w:w="1380"/>
              <w:gridCol w:w="548"/>
              <w:gridCol w:w="1142"/>
              <w:gridCol w:w="1184"/>
              <w:gridCol w:w="1275"/>
            </w:tblGrid>
            <w:tr w14:paraId="2D78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19" w:type="pct"/>
                  <w:vAlign w:val="center"/>
                </w:tcPr>
                <w:p w14:paraId="33208625">
                  <w:pPr>
                    <w:jc w:val="center"/>
                    <w:rPr>
                      <w:rFonts w:eastAsiaTheme="minorEastAsia"/>
                      <w:szCs w:val="21"/>
                    </w:rPr>
                  </w:pPr>
                  <w:r>
                    <w:rPr>
                      <w:rFonts w:eastAsiaTheme="minorEastAsia"/>
                      <w:szCs w:val="21"/>
                    </w:rPr>
                    <w:t>序号</w:t>
                  </w:r>
                </w:p>
              </w:tc>
              <w:tc>
                <w:tcPr>
                  <w:tcW w:w="803" w:type="pct"/>
                  <w:vAlign w:val="center"/>
                </w:tcPr>
                <w:p w14:paraId="01C71768">
                  <w:pPr>
                    <w:jc w:val="center"/>
                    <w:rPr>
                      <w:rFonts w:eastAsiaTheme="minorEastAsia"/>
                      <w:szCs w:val="21"/>
                    </w:rPr>
                  </w:pPr>
                  <w:r>
                    <w:rPr>
                      <w:rFonts w:eastAsiaTheme="minorEastAsia"/>
                      <w:szCs w:val="21"/>
                    </w:rPr>
                    <w:t>项目</w:t>
                  </w:r>
                </w:p>
              </w:tc>
              <w:tc>
                <w:tcPr>
                  <w:tcW w:w="657" w:type="pct"/>
                  <w:vAlign w:val="center"/>
                </w:tcPr>
                <w:p w14:paraId="4DD99BB7">
                  <w:pPr>
                    <w:jc w:val="center"/>
                    <w:rPr>
                      <w:rFonts w:eastAsiaTheme="minorEastAsia"/>
                      <w:szCs w:val="21"/>
                    </w:rPr>
                  </w:pPr>
                  <w:r>
                    <w:rPr>
                      <w:rFonts w:eastAsiaTheme="minorEastAsia"/>
                      <w:szCs w:val="21"/>
                    </w:rPr>
                    <w:t>单位</w:t>
                  </w:r>
                </w:p>
              </w:tc>
              <w:tc>
                <w:tcPr>
                  <w:tcW w:w="804" w:type="pct"/>
                  <w:vAlign w:val="center"/>
                </w:tcPr>
                <w:p w14:paraId="30379865">
                  <w:pPr>
                    <w:jc w:val="center"/>
                    <w:rPr>
                      <w:rFonts w:eastAsiaTheme="minorEastAsia"/>
                      <w:szCs w:val="21"/>
                    </w:rPr>
                  </w:pPr>
                  <w:r>
                    <w:rPr>
                      <w:rFonts w:eastAsiaTheme="minorEastAsia"/>
                      <w:szCs w:val="21"/>
                    </w:rPr>
                    <w:t>Ⅲ类标准限值</w:t>
                  </w:r>
                </w:p>
              </w:tc>
              <w:tc>
                <w:tcPr>
                  <w:tcW w:w="319" w:type="pct"/>
                  <w:vAlign w:val="center"/>
                </w:tcPr>
                <w:p w14:paraId="5FDE2E29">
                  <w:pPr>
                    <w:jc w:val="center"/>
                    <w:rPr>
                      <w:rFonts w:eastAsiaTheme="minorEastAsia"/>
                      <w:szCs w:val="21"/>
                    </w:rPr>
                  </w:pPr>
                  <w:r>
                    <w:rPr>
                      <w:rFonts w:eastAsiaTheme="minorEastAsia"/>
                      <w:szCs w:val="21"/>
                    </w:rPr>
                    <w:t>序号</w:t>
                  </w:r>
                </w:p>
              </w:tc>
              <w:tc>
                <w:tcPr>
                  <w:tcW w:w="665" w:type="pct"/>
                  <w:vAlign w:val="center"/>
                </w:tcPr>
                <w:p w14:paraId="699DC212">
                  <w:pPr>
                    <w:jc w:val="center"/>
                    <w:rPr>
                      <w:rFonts w:eastAsiaTheme="minorEastAsia"/>
                      <w:szCs w:val="21"/>
                    </w:rPr>
                  </w:pPr>
                  <w:r>
                    <w:rPr>
                      <w:rFonts w:eastAsiaTheme="minorEastAsia"/>
                      <w:szCs w:val="21"/>
                    </w:rPr>
                    <w:t>项目</w:t>
                  </w:r>
                </w:p>
              </w:tc>
              <w:tc>
                <w:tcPr>
                  <w:tcW w:w="690" w:type="pct"/>
                  <w:vAlign w:val="center"/>
                </w:tcPr>
                <w:p w14:paraId="642B0AF2">
                  <w:pPr>
                    <w:jc w:val="center"/>
                    <w:rPr>
                      <w:rFonts w:eastAsiaTheme="minorEastAsia"/>
                      <w:szCs w:val="21"/>
                    </w:rPr>
                  </w:pPr>
                  <w:r>
                    <w:rPr>
                      <w:rFonts w:eastAsiaTheme="minorEastAsia"/>
                      <w:szCs w:val="21"/>
                    </w:rPr>
                    <w:t>单位</w:t>
                  </w:r>
                </w:p>
              </w:tc>
              <w:tc>
                <w:tcPr>
                  <w:tcW w:w="744" w:type="pct"/>
                  <w:vAlign w:val="center"/>
                </w:tcPr>
                <w:p w14:paraId="624FE105">
                  <w:pPr>
                    <w:jc w:val="center"/>
                    <w:rPr>
                      <w:rFonts w:eastAsiaTheme="minorEastAsia"/>
                      <w:szCs w:val="21"/>
                    </w:rPr>
                  </w:pPr>
                  <w:r>
                    <w:rPr>
                      <w:rFonts w:eastAsiaTheme="minorEastAsia"/>
                      <w:szCs w:val="21"/>
                    </w:rPr>
                    <w:t>Ⅲ类标准限值</w:t>
                  </w:r>
                </w:p>
              </w:tc>
            </w:tr>
            <w:tr w14:paraId="3106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9" w:type="pct"/>
                  <w:vAlign w:val="center"/>
                </w:tcPr>
                <w:p w14:paraId="7F223FDC">
                  <w:pPr>
                    <w:jc w:val="center"/>
                    <w:rPr>
                      <w:rFonts w:eastAsiaTheme="minorEastAsia"/>
                      <w:szCs w:val="21"/>
                    </w:rPr>
                  </w:pPr>
                  <w:r>
                    <w:rPr>
                      <w:rFonts w:eastAsiaTheme="minorEastAsia"/>
                      <w:szCs w:val="21"/>
                    </w:rPr>
                    <w:t>1</w:t>
                  </w:r>
                </w:p>
              </w:tc>
              <w:tc>
                <w:tcPr>
                  <w:tcW w:w="803" w:type="pct"/>
                  <w:vAlign w:val="center"/>
                </w:tcPr>
                <w:p w14:paraId="5FF8DC65">
                  <w:pPr>
                    <w:jc w:val="center"/>
                    <w:rPr>
                      <w:rFonts w:eastAsiaTheme="minorEastAsia"/>
                      <w:szCs w:val="21"/>
                    </w:rPr>
                  </w:pPr>
                  <w:r>
                    <w:rPr>
                      <w:rFonts w:eastAsiaTheme="minorEastAsia"/>
                      <w:szCs w:val="21"/>
                    </w:rPr>
                    <w:t>pH</w:t>
                  </w:r>
                </w:p>
              </w:tc>
              <w:tc>
                <w:tcPr>
                  <w:tcW w:w="657" w:type="pct"/>
                  <w:vAlign w:val="center"/>
                </w:tcPr>
                <w:p w14:paraId="692C0A19">
                  <w:pPr>
                    <w:jc w:val="center"/>
                    <w:rPr>
                      <w:rFonts w:eastAsiaTheme="minorEastAsia"/>
                      <w:szCs w:val="21"/>
                    </w:rPr>
                  </w:pPr>
                  <w:r>
                    <w:rPr>
                      <w:rFonts w:eastAsiaTheme="minorEastAsia"/>
                      <w:szCs w:val="21"/>
                    </w:rPr>
                    <w:t>/</w:t>
                  </w:r>
                </w:p>
              </w:tc>
              <w:tc>
                <w:tcPr>
                  <w:tcW w:w="804" w:type="pct"/>
                  <w:vAlign w:val="center"/>
                </w:tcPr>
                <w:p w14:paraId="598C4124">
                  <w:pPr>
                    <w:jc w:val="center"/>
                    <w:rPr>
                      <w:rFonts w:eastAsiaTheme="minorEastAsia"/>
                      <w:szCs w:val="21"/>
                    </w:rPr>
                  </w:pPr>
                  <w:r>
                    <w:rPr>
                      <w:rFonts w:eastAsiaTheme="minorEastAsia"/>
                      <w:szCs w:val="21"/>
                    </w:rPr>
                    <w:t>6.5-8.5</w:t>
                  </w:r>
                </w:p>
              </w:tc>
              <w:tc>
                <w:tcPr>
                  <w:tcW w:w="319" w:type="pct"/>
                  <w:vAlign w:val="center"/>
                </w:tcPr>
                <w:p w14:paraId="74ABD6AB">
                  <w:pPr>
                    <w:jc w:val="center"/>
                    <w:rPr>
                      <w:rFonts w:eastAsiaTheme="minorEastAsia"/>
                      <w:szCs w:val="21"/>
                    </w:rPr>
                  </w:pPr>
                  <w:r>
                    <w:rPr>
                      <w:rFonts w:eastAsiaTheme="minorEastAsia"/>
                      <w:szCs w:val="21"/>
                    </w:rPr>
                    <w:t>12</w:t>
                  </w:r>
                </w:p>
              </w:tc>
              <w:tc>
                <w:tcPr>
                  <w:tcW w:w="665" w:type="pct"/>
                  <w:vAlign w:val="center"/>
                </w:tcPr>
                <w:p w14:paraId="7F576118">
                  <w:pPr>
                    <w:jc w:val="center"/>
                    <w:rPr>
                      <w:rFonts w:eastAsiaTheme="minorEastAsia"/>
                      <w:szCs w:val="21"/>
                    </w:rPr>
                  </w:pPr>
                  <w:r>
                    <w:rPr>
                      <w:rFonts w:eastAsiaTheme="minorEastAsia"/>
                      <w:szCs w:val="21"/>
                    </w:rPr>
                    <w:t>菌落总数</w:t>
                  </w:r>
                </w:p>
              </w:tc>
              <w:tc>
                <w:tcPr>
                  <w:tcW w:w="690" w:type="pct"/>
                  <w:vAlign w:val="center"/>
                </w:tcPr>
                <w:p w14:paraId="5634C30A">
                  <w:pPr>
                    <w:jc w:val="center"/>
                    <w:rPr>
                      <w:rFonts w:eastAsiaTheme="minorEastAsia"/>
                      <w:szCs w:val="21"/>
                    </w:rPr>
                  </w:pPr>
                  <w:r>
                    <w:rPr>
                      <w:rFonts w:eastAsiaTheme="minorEastAsia"/>
                      <w:szCs w:val="21"/>
                    </w:rPr>
                    <w:t>CFU/100ml</w:t>
                  </w:r>
                </w:p>
              </w:tc>
              <w:tc>
                <w:tcPr>
                  <w:tcW w:w="744" w:type="pct"/>
                  <w:vAlign w:val="center"/>
                </w:tcPr>
                <w:p w14:paraId="412B3112">
                  <w:pPr>
                    <w:jc w:val="center"/>
                    <w:rPr>
                      <w:rFonts w:eastAsiaTheme="minorEastAsia"/>
                      <w:szCs w:val="21"/>
                    </w:rPr>
                  </w:pPr>
                  <w:r>
                    <w:rPr>
                      <w:rFonts w:eastAsiaTheme="minorEastAsia"/>
                      <w:szCs w:val="21"/>
                    </w:rPr>
                    <w:t>≤100</w:t>
                  </w:r>
                </w:p>
              </w:tc>
            </w:tr>
            <w:tr w14:paraId="16D2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9" w:type="pct"/>
                  <w:vAlign w:val="center"/>
                </w:tcPr>
                <w:p w14:paraId="5D014000">
                  <w:pPr>
                    <w:jc w:val="center"/>
                    <w:rPr>
                      <w:rFonts w:eastAsiaTheme="minorEastAsia"/>
                      <w:szCs w:val="21"/>
                    </w:rPr>
                  </w:pPr>
                  <w:r>
                    <w:rPr>
                      <w:rFonts w:eastAsiaTheme="minorEastAsia"/>
                      <w:szCs w:val="21"/>
                    </w:rPr>
                    <w:t>2</w:t>
                  </w:r>
                </w:p>
              </w:tc>
              <w:tc>
                <w:tcPr>
                  <w:tcW w:w="803" w:type="pct"/>
                  <w:vAlign w:val="center"/>
                </w:tcPr>
                <w:p w14:paraId="14013797">
                  <w:pPr>
                    <w:jc w:val="center"/>
                    <w:rPr>
                      <w:rFonts w:eastAsiaTheme="minorEastAsia"/>
                      <w:szCs w:val="21"/>
                    </w:rPr>
                  </w:pPr>
                  <w:r>
                    <w:rPr>
                      <w:rFonts w:eastAsiaTheme="minorEastAsia"/>
                      <w:szCs w:val="21"/>
                    </w:rPr>
                    <w:t>总硬度</w:t>
                  </w:r>
                </w:p>
              </w:tc>
              <w:tc>
                <w:tcPr>
                  <w:tcW w:w="657" w:type="pct"/>
                  <w:vAlign w:val="center"/>
                </w:tcPr>
                <w:p w14:paraId="0DBE4B70">
                  <w:pPr>
                    <w:jc w:val="center"/>
                    <w:rPr>
                      <w:rFonts w:eastAsiaTheme="minorEastAsia"/>
                      <w:szCs w:val="21"/>
                    </w:rPr>
                  </w:pPr>
                  <w:r>
                    <w:rPr>
                      <w:rFonts w:eastAsiaTheme="minorEastAsia"/>
                      <w:szCs w:val="21"/>
                    </w:rPr>
                    <w:t>mg/L</w:t>
                  </w:r>
                </w:p>
              </w:tc>
              <w:tc>
                <w:tcPr>
                  <w:tcW w:w="804" w:type="pct"/>
                  <w:vAlign w:val="center"/>
                </w:tcPr>
                <w:p w14:paraId="5860C846">
                  <w:pPr>
                    <w:jc w:val="center"/>
                    <w:rPr>
                      <w:rFonts w:eastAsiaTheme="minorEastAsia"/>
                      <w:szCs w:val="21"/>
                    </w:rPr>
                  </w:pPr>
                  <w:r>
                    <w:rPr>
                      <w:rFonts w:eastAsiaTheme="minorEastAsia"/>
                      <w:szCs w:val="21"/>
                    </w:rPr>
                    <w:t>≤450</w:t>
                  </w:r>
                </w:p>
              </w:tc>
              <w:tc>
                <w:tcPr>
                  <w:tcW w:w="319" w:type="pct"/>
                  <w:vAlign w:val="center"/>
                </w:tcPr>
                <w:p w14:paraId="13F0154D">
                  <w:pPr>
                    <w:jc w:val="center"/>
                    <w:rPr>
                      <w:rFonts w:eastAsiaTheme="minorEastAsia"/>
                      <w:szCs w:val="21"/>
                    </w:rPr>
                  </w:pPr>
                  <w:r>
                    <w:rPr>
                      <w:rFonts w:eastAsiaTheme="minorEastAsia"/>
                      <w:szCs w:val="21"/>
                    </w:rPr>
                    <w:t>13</w:t>
                  </w:r>
                </w:p>
              </w:tc>
              <w:tc>
                <w:tcPr>
                  <w:tcW w:w="665" w:type="pct"/>
                  <w:vAlign w:val="center"/>
                </w:tcPr>
                <w:p w14:paraId="7C6DE5B7">
                  <w:pPr>
                    <w:jc w:val="center"/>
                    <w:rPr>
                      <w:rFonts w:eastAsiaTheme="minorEastAsia"/>
                      <w:szCs w:val="21"/>
                    </w:rPr>
                  </w:pPr>
                  <w:r>
                    <w:rPr>
                      <w:rFonts w:eastAsiaTheme="minorEastAsia"/>
                      <w:szCs w:val="21"/>
                    </w:rPr>
                    <w:t>亚硝酸盐</w:t>
                  </w:r>
                </w:p>
              </w:tc>
              <w:tc>
                <w:tcPr>
                  <w:tcW w:w="690" w:type="pct"/>
                  <w:vAlign w:val="center"/>
                </w:tcPr>
                <w:p w14:paraId="1F1286E8">
                  <w:pPr>
                    <w:jc w:val="center"/>
                    <w:rPr>
                      <w:rFonts w:eastAsiaTheme="minorEastAsia"/>
                      <w:szCs w:val="21"/>
                    </w:rPr>
                  </w:pPr>
                  <w:r>
                    <w:rPr>
                      <w:rFonts w:eastAsiaTheme="minorEastAsia"/>
                      <w:szCs w:val="21"/>
                    </w:rPr>
                    <w:t>mg/L</w:t>
                  </w:r>
                </w:p>
              </w:tc>
              <w:tc>
                <w:tcPr>
                  <w:tcW w:w="744" w:type="pct"/>
                  <w:vAlign w:val="center"/>
                </w:tcPr>
                <w:p w14:paraId="24CE3BA3">
                  <w:pPr>
                    <w:jc w:val="center"/>
                    <w:rPr>
                      <w:rFonts w:eastAsiaTheme="minorEastAsia"/>
                      <w:szCs w:val="21"/>
                    </w:rPr>
                  </w:pPr>
                  <w:r>
                    <w:rPr>
                      <w:rFonts w:eastAsiaTheme="minorEastAsia"/>
                      <w:szCs w:val="21"/>
                    </w:rPr>
                    <w:t>≤1.0</w:t>
                  </w:r>
                </w:p>
              </w:tc>
            </w:tr>
            <w:tr w14:paraId="000B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19" w:type="pct"/>
                  <w:vAlign w:val="center"/>
                </w:tcPr>
                <w:p w14:paraId="2B9F3445">
                  <w:pPr>
                    <w:jc w:val="center"/>
                    <w:rPr>
                      <w:rFonts w:eastAsiaTheme="minorEastAsia"/>
                      <w:szCs w:val="21"/>
                    </w:rPr>
                  </w:pPr>
                  <w:r>
                    <w:rPr>
                      <w:rFonts w:eastAsiaTheme="minorEastAsia"/>
                      <w:szCs w:val="21"/>
                    </w:rPr>
                    <w:t>3</w:t>
                  </w:r>
                </w:p>
              </w:tc>
              <w:tc>
                <w:tcPr>
                  <w:tcW w:w="803" w:type="pct"/>
                  <w:vAlign w:val="center"/>
                </w:tcPr>
                <w:p w14:paraId="15A5039A">
                  <w:pPr>
                    <w:jc w:val="center"/>
                    <w:rPr>
                      <w:rFonts w:eastAsiaTheme="minorEastAsia"/>
                      <w:szCs w:val="21"/>
                    </w:rPr>
                  </w:pPr>
                  <w:r>
                    <w:rPr>
                      <w:rFonts w:eastAsiaTheme="minorEastAsia"/>
                      <w:szCs w:val="21"/>
                    </w:rPr>
                    <w:t>溶解性总固体</w:t>
                  </w:r>
                </w:p>
              </w:tc>
              <w:tc>
                <w:tcPr>
                  <w:tcW w:w="657" w:type="pct"/>
                  <w:vAlign w:val="center"/>
                </w:tcPr>
                <w:p w14:paraId="7687D7D3">
                  <w:pPr>
                    <w:jc w:val="center"/>
                    <w:rPr>
                      <w:rFonts w:eastAsiaTheme="minorEastAsia"/>
                      <w:szCs w:val="21"/>
                    </w:rPr>
                  </w:pPr>
                  <w:r>
                    <w:rPr>
                      <w:rFonts w:eastAsiaTheme="minorEastAsia"/>
                      <w:szCs w:val="21"/>
                    </w:rPr>
                    <w:t>mg/L</w:t>
                  </w:r>
                </w:p>
              </w:tc>
              <w:tc>
                <w:tcPr>
                  <w:tcW w:w="804" w:type="pct"/>
                  <w:vAlign w:val="center"/>
                </w:tcPr>
                <w:p w14:paraId="546FB249">
                  <w:pPr>
                    <w:jc w:val="center"/>
                    <w:rPr>
                      <w:rFonts w:eastAsiaTheme="minorEastAsia"/>
                      <w:szCs w:val="21"/>
                    </w:rPr>
                  </w:pPr>
                  <w:r>
                    <w:rPr>
                      <w:rFonts w:eastAsiaTheme="minorEastAsia"/>
                      <w:szCs w:val="21"/>
                    </w:rPr>
                    <w:t>≤1000</w:t>
                  </w:r>
                </w:p>
              </w:tc>
              <w:tc>
                <w:tcPr>
                  <w:tcW w:w="319" w:type="pct"/>
                  <w:vAlign w:val="center"/>
                </w:tcPr>
                <w:p w14:paraId="5C178571">
                  <w:pPr>
                    <w:jc w:val="center"/>
                    <w:rPr>
                      <w:rFonts w:eastAsiaTheme="minorEastAsia"/>
                      <w:szCs w:val="21"/>
                    </w:rPr>
                  </w:pPr>
                  <w:r>
                    <w:rPr>
                      <w:rFonts w:eastAsiaTheme="minorEastAsia"/>
                      <w:szCs w:val="21"/>
                    </w:rPr>
                    <w:t>14</w:t>
                  </w:r>
                </w:p>
              </w:tc>
              <w:tc>
                <w:tcPr>
                  <w:tcW w:w="665" w:type="pct"/>
                  <w:vAlign w:val="center"/>
                </w:tcPr>
                <w:p w14:paraId="0D67219C">
                  <w:pPr>
                    <w:jc w:val="center"/>
                    <w:rPr>
                      <w:rFonts w:eastAsiaTheme="minorEastAsia"/>
                      <w:szCs w:val="21"/>
                    </w:rPr>
                  </w:pPr>
                  <w:r>
                    <w:rPr>
                      <w:rFonts w:eastAsiaTheme="minorEastAsia"/>
                      <w:szCs w:val="21"/>
                    </w:rPr>
                    <w:t>硝酸盐</w:t>
                  </w:r>
                </w:p>
              </w:tc>
              <w:tc>
                <w:tcPr>
                  <w:tcW w:w="690" w:type="pct"/>
                  <w:vAlign w:val="center"/>
                </w:tcPr>
                <w:p w14:paraId="4881242E">
                  <w:pPr>
                    <w:jc w:val="center"/>
                    <w:rPr>
                      <w:rFonts w:eastAsiaTheme="minorEastAsia"/>
                      <w:szCs w:val="21"/>
                    </w:rPr>
                  </w:pPr>
                  <w:r>
                    <w:rPr>
                      <w:rFonts w:eastAsiaTheme="minorEastAsia"/>
                      <w:szCs w:val="21"/>
                    </w:rPr>
                    <w:t>mg/L</w:t>
                  </w:r>
                </w:p>
              </w:tc>
              <w:tc>
                <w:tcPr>
                  <w:tcW w:w="744" w:type="pct"/>
                  <w:vAlign w:val="center"/>
                </w:tcPr>
                <w:p w14:paraId="1D55CFA1">
                  <w:pPr>
                    <w:jc w:val="center"/>
                    <w:rPr>
                      <w:rFonts w:eastAsiaTheme="minorEastAsia"/>
                      <w:szCs w:val="21"/>
                    </w:rPr>
                  </w:pPr>
                  <w:r>
                    <w:rPr>
                      <w:rFonts w:eastAsiaTheme="minorEastAsia"/>
                      <w:szCs w:val="21"/>
                    </w:rPr>
                    <w:t>≤20</w:t>
                  </w:r>
                </w:p>
              </w:tc>
            </w:tr>
            <w:tr w14:paraId="3258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9" w:type="pct"/>
                  <w:vAlign w:val="center"/>
                </w:tcPr>
                <w:p w14:paraId="4621D4D8">
                  <w:pPr>
                    <w:jc w:val="center"/>
                    <w:rPr>
                      <w:rFonts w:eastAsiaTheme="minorEastAsia"/>
                      <w:szCs w:val="21"/>
                    </w:rPr>
                  </w:pPr>
                  <w:r>
                    <w:rPr>
                      <w:rFonts w:eastAsiaTheme="minorEastAsia"/>
                      <w:szCs w:val="21"/>
                    </w:rPr>
                    <w:t>4</w:t>
                  </w:r>
                </w:p>
              </w:tc>
              <w:tc>
                <w:tcPr>
                  <w:tcW w:w="803" w:type="pct"/>
                  <w:vAlign w:val="center"/>
                </w:tcPr>
                <w:p w14:paraId="1AEF4873">
                  <w:pPr>
                    <w:jc w:val="center"/>
                    <w:rPr>
                      <w:rFonts w:eastAsiaTheme="minorEastAsia"/>
                      <w:szCs w:val="21"/>
                    </w:rPr>
                  </w:pPr>
                  <w:r>
                    <w:rPr>
                      <w:rFonts w:eastAsiaTheme="minorEastAsia"/>
                      <w:szCs w:val="21"/>
                    </w:rPr>
                    <w:t>硫酸盐</w:t>
                  </w:r>
                </w:p>
              </w:tc>
              <w:tc>
                <w:tcPr>
                  <w:tcW w:w="657" w:type="pct"/>
                  <w:vAlign w:val="center"/>
                </w:tcPr>
                <w:p w14:paraId="68BB2D0E">
                  <w:pPr>
                    <w:jc w:val="center"/>
                    <w:rPr>
                      <w:rFonts w:eastAsiaTheme="minorEastAsia"/>
                      <w:szCs w:val="21"/>
                    </w:rPr>
                  </w:pPr>
                  <w:r>
                    <w:rPr>
                      <w:rFonts w:eastAsiaTheme="minorEastAsia"/>
                      <w:szCs w:val="21"/>
                    </w:rPr>
                    <w:t>mg/L</w:t>
                  </w:r>
                </w:p>
              </w:tc>
              <w:tc>
                <w:tcPr>
                  <w:tcW w:w="804" w:type="pct"/>
                  <w:vAlign w:val="center"/>
                </w:tcPr>
                <w:p w14:paraId="6FBC64A6">
                  <w:pPr>
                    <w:jc w:val="center"/>
                    <w:rPr>
                      <w:rFonts w:eastAsiaTheme="minorEastAsia"/>
                      <w:szCs w:val="21"/>
                    </w:rPr>
                  </w:pPr>
                  <w:r>
                    <w:rPr>
                      <w:rFonts w:eastAsiaTheme="minorEastAsia"/>
                      <w:szCs w:val="21"/>
                    </w:rPr>
                    <w:t>≤250</w:t>
                  </w:r>
                </w:p>
              </w:tc>
              <w:tc>
                <w:tcPr>
                  <w:tcW w:w="319" w:type="pct"/>
                  <w:vAlign w:val="center"/>
                </w:tcPr>
                <w:p w14:paraId="296E2A18">
                  <w:pPr>
                    <w:jc w:val="center"/>
                    <w:rPr>
                      <w:rFonts w:eastAsiaTheme="minorEastAsia"/>
                      <w:szCs w:val="21"/>
                    </w:rPr>
                  </w:pPr>
                  <w:r>
                    <w:rPr>
                      <w:rFonts w:eastAsiaTheme="minorEastAsia"/>
                      <w:szCs w:val="21"/>
                    </w:rPr>
                    <w:t>15</w:t>
                  </w:r>
                </w:p>
              </w:tc>
              <w:tc>
                <w:tcPr>
                  <w:tcW w:w="665" w:type="pct"/>
                  <w:vAlign w:val="center"/>
                </w:tcPr>
                <w:p w14:paraId="0251A2E1">
                  <w:pPr>
                    <w:jc w:val="center"/>
                    <w:rPr>
                      <w:rFonts w:eastAsiaTheme="minorEastAsia"/>
                      <w:szCs w:val="21"/>
                    </w:rPr>
                  </w:pPr>
                  <w:r>
                    <w:rPr>
                      <w:rFonts w:eastAsiaTheme="minorEastAsia"/>
                      <w:szCs w:val="21"/>
                    </w:rPr>
                    <w:t>氰化物</w:t>
                  </w:r>
                </w:p>
              </w:tc>
              <w:tc>
                <w:tcPr>
                  <w:tcW w:w="690" w:type="pct"/>
                  <w:vAlign w:val="center"/>
                </w:tcPr>
                <w:p w14:paraId="10E24225">
                  <w:pPr>
                    <w:jc w:val="center"/>
                    <w:rPr>
                      <w:rFonts w:eastAsiaTheme="minorEastAsia"/>
                      <w:szCs w:val="21"/>
                    </w:rPr>
                  </w:pPr>
                  <w:r>
                    <w:rPr>
                      <w:rFonts w:eastAsiaTheme="minorEastAsia"/>
                      <w:szCs w:val="21"/>
                    </w:rPr>
                    <w:t>mg/L</w:t>
                  </w:r>
                </w:p>
              </w:tc>
              <w:tc>
                <w:tcPr>
                  <w:tcW w:w="744" w:type="pct"/>
                  <w:vAlign w:val="center"/>
                </w:tcPr>
                <w:p w14:paraId="531045F5">
                  <w:pPr>
                    <w:jc w:val="center"/>
                    <w:rPr>
                      <w:rFonts w:eastAsiaTheme="minorEastAsia"/>
                      <w:szCs w:val="21"/>
                    </w:rPr>
                  </w:pPr>
                  <w:r>
                    <w:rPr>
                      <w:rFonts w:eastAsiaTheme="minorEastAsia"/>
                      <w:szCs w:val="21"/>
                    </w:rPr>
                    <w:t>≤0.05</w:t>
                  </w:r>
                </w:p>
              </w:tc>
            </w:tr>
            <w:tr w14:paraId="4256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9" w:type="pct"/>
                  <w:vAlign w:val="center"/>
                </w:tcPr>
                <w:p w14:paraId="0D3A2DA9">
                  <w:pPr>
                    <w:jc w:val="center"/>
                    <w:rPr>
                      <w:rFonts w:eastAsiaTheme="minorEastAsia"/>
                      <w:szCs w:val="21"/>
                    </w:rPr>
                  </w:pPr>
                  <w:r>
                    <w:rPr>
                      <w:rFonts w:eastAsiaTheme="minorEastAsia"/>
                      <w:szCs w:val="21"/>
                    </w:rPr>
                    <w:t>5</w:t>
                  </w:r>
                </w:p>
              </w:tc>
              <w:tc>
                <w:tcPr>
                  <w:tcW w:w="803" w:type="pct"/>
                  <w:vAlign w:val="center"/>
                </w:tcPr>
                <w:p w14:paraId="0BF66FE9">
                  <w:pPr>
                    <w:jc w:val="center"/>
                    <w:rPr>
                      <w:rFonts w:eastAsiaTheme="minorEastAsia"/>
                      <w:szCs w:val="21"/>
                    </w:rPr>
                  </w:pPr>
                  <w:r>
                    <w:rPr>
                      <w:rFonts w:eastAsiaTheme="minorEastAsia"/>
                      <w:szCs w:val="21"/>
                    </w:rPr>
                    <w:t>氯化物</w:t>
                  </w:r>
                </w:p>
              </w:tc>
              <w:tc>
                <w:tcPr>
                  <w:tcW w:w="657" w:type="pct"/>
                  <w:vAlign w:val="center"/>
                </w:tcPr>
                <w:p w14:paraId="082FE403">
                  <w:pPr>
                    <w:jc w:val="center"/>
                    <w:rPr>
                      <w:rFonts w:eastAsiaTheme="minorEastAsia"/>
                      <w:szCs w:val="21"/>
                    </w:rPr>
                  </w:pPr>
                  <w:r>
                    <w:rPr>
                      <w:rFonts w:eastAsiaTheme="minorEastAsia"/>
                      <w:szCs w:val="21"/>
                    </w:rPr>
                    <w:t>mg/L</w:t>
                  </w:r>
                </w:p>
              </w:tc>
              <w:tc>
                <w:tcPr>
                  <w:tcW w:w="804" w:type="pct"/>
                  <w:vAlign w:val="center"/>
                </w:tcPr>
                <w:p w14:paraId="304AFA91">
                  <w:pPr>
                    <w:jc w:val="center"/>
                    <w:rPr>
                      <w:rFonts w:eastAsiaTheme="minorEastAsia"/>
                      <w:szCs w:val="21"/>
                    </w:rPr>
                  </w:pPr>
                  <w:r>
                    <w:rPr>
                      <w:rFonts w:eastAsiaTheme="minorEastAsia"/>
                      <w:szCs w:val="21"/>
                    </w:rPr>
                    <w:t>≤250</w:t>
                  </w:r>
                </w:p>
              </w:tc>
              <w:tc>
                <w:tcPr>
                  <w:tcW w:w="319" w:type="pct"/>
                  <w:vAlign w:val="center"/>
                </w:tcPr>
                <w:p w14:paraId="477B5E59">
                  <w:pPr>
                    <w:jc w:val="center"/>
                    <w:rPr>
                      <w:rFonts w:eastAsiaTheme="minorEastAsia"/>
                      <w:szCs w:val="21"/>
                    </w:rPr>
                  </w:pPr>
                  <w:r>
                    <w:rPr>
                      <w:rFonts w:eastAsiaTheme="minorEastAsia"/>
                      <w:szCs w:val="21"/>
                    </w:rPr>
                    <w:t>16</w:t>
                  </w:r>
                </w:p>
              </w:tc>
              <w:tc>
                <w:tcPr>
                  <w:tcW w:w="665" w:type="pct"/>
                  <w:vAlign w:val="center"/>
                </w:tcPr>
                <w:p w14:paraId="62DF55B8">
                  <w:pPr>
                    <w:jc w:val="center"/>
                    <w:rPr>
                      <w:rFonts w:eastAsiaTheme="minorEastAsia"/>
                      <w:szCs w:val="21"/>
                    </w:rPr>
                  </w:pPr>
                  <w:r>
                    <w:rPr>
                      <w:rFonts w:eastAsiaTheme="minorEastAsia"/>
                      <w:szCs w:val="21"/>
                    </w:rPr>
                    <w:t>氟化物</w:t>
                  </w:r>
                </w:p>
              </w:tc>
              <w:tc>
                <w:tcPr>
                  <w:tcW w:w="690" w:type="pct"/>
                  <w:vAlign w:val="center"/>
                </w:tcPr>
                <w:p w14:paraId="2CE8686F">
                  <w:pPr>
                    <w:jc w:val="center"/>
                    <w:rPr>
                      <w:rFonts w:eastAsiaTheme="minorEastAsia"/>
                      <w:szCs w:val="21"/>
                    </w:rPr>
                  </w:pPr>
                  <w:r>
                    <w:rPr>
                      <w:rFonts w:eastAsiaTheme="minorEastAsia"/>
                      <w:szCs w:val="21"/>
                    </w:rPr>
                    <w:t>mg/L</w:t>
                  </w:r>
                </w:p>
              </w:tc>
              <w:tc>
                <w:tcPr>
                  <w:tcW w:w="744" w:type="pct"/>
                  <w:vAlign w:val="center"/>
                </w:tcPr>
                <w:p w14:paraId="6AFB3613">
                  <w:pPr>
                    <w:jc w:val="center"/>
                    <w:rPr>
                      <w:rFonts w:eastAsiaTheme="minorEastAsia"/>
                      <w:szCs w:val="21"/>
                    </w:rPr>
                  </w:pPr>
                  <w:r>
                    <w:rPr>
                      <w:rFonts w:eastAsiaTheme="minorEastAsia"/>
                      <w:szCs w:val="21"/>
                    </w:rPr>
                    <w:t>≤1.0</w:t>
                  </w:r>
                </w:p>
              </w:tc>
            </w:tr>
            <w:tr w14:paraId="6DC0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9" w:type="pct"/>
                  <w:vAlign w:val="center"/>
                </w:tcPr>
                <w:p w14:paraId="0810508F">
                  <w:pPr>
                    <w:jc w:val="center"/>
                    <w:rPr>
                      <w:rFonts w:eastAsiaTheme="minorEastAsia"/>
                      <w:szCs w:val="21"/>
                    </w:rPr>
                  </w:pPr>
                  <w:r>
                    <w:rPr>
                      <w:rFonts w:eastAsiaTheme="minorEastAsia"/>
                      <w:szCs w:val="21"/>
                    </w:rPr>
                    <w:t>6</w:t>
                  </w:r>
                </w:p>
              </w:tc>
              <w:tc>
                <w:tcPr>
                  <w:tcW w:w="803" w:type="pct"/>
                  <w:vAlign w:val="center"/>
                </w:tcPr>
                <w:p w14:paraId="74EF3A0A">
                  <w:pPr>
                    <w:jc w:val="center"/>
                    <w:rPr>
                      <w:rFonts w:eastAsiaTheme="minorEastAsia"/>
                      <w:szCs w:val="21"/>
                    </w:rPr>
                  </w:pPr>
                  <w:r>
                    <w:rPr>
                      <w:rFonts w:eastAsiaTheme="minorEastAsia"/>
                      <w:szCs w:val="21"/>
                    </w:rPr>
                    <w:t>铁</w:t>
                  </w:r>
                </w:p>
              </w:tc>
              <w:tc>
                <w:tcPr>
                  <w:tcW w:w="657" w:type="pct"/>
                  <w:vAlign w:val="center"/>
                </w:tcPr>
                <w:p w14:paraId="18928566">
                  <w:pPr>
                    <w:jc w:val="center"/>
                    <w:rPr>
                      <w:rFonts w:eastAsiaTheme="minorEastAsia"/>
                      <w:szCs w:val="21"/>
                    </w:rPr>
                  </w:pPr>
                  <w:r>
                    <w:rPr>
                      <w:rFonts w:eastAsiaTheme="minorEastAsia"/>
                      <w:szCs w:val="21"/>
                    </w:rPr>
                    <w:t>mg/L</w:t>
                  </w:r>
                </w:p>
              </w:tc>
              <w:tc>
                <w:tcPr>
                  <w:tcW w:w="804" w:type="pct"/>
                  <w:vAlign w:val="center"/>
                </w:tcPr>
                <w:p w14:paraId="481465F5">
                  <w:pPr>
                    <w:jc w:val="center"/>
                    <w:rPr>
                      <w:rFonts w:eastAsiaTheme="minorEastAsia"/>
                      <w:szCs w:val="21"/>
                    </w:rPr>
                  </w:pPr>
                  <w:r>
                    <w:rPr>
                      <w:rFonts w:eastAsiaTheme="minorEastAsia"/>
                      <w:szCs w:val="21"/>
                    </w:rPr>
                    <w:t>≤0.3</w:t>
                  </w:r>
                </w:p>
              </w:tc>
              <w:tc>
                <w:tcPr>
                  <w:tcW w:w="319" w:type="pct"/>
                  <w:vAlign w:val="center"/>
                </w:tcPr>
                <w:p w14:paraId="519841EB">
                  <w:pPr>
                    <w:jc w:val="center"/>
                    <w:rPr>
                      <w:rFonts w:eastAsiaTheme="minorEastAsia"/>
                      <w:szCs w:val="21"/>
                    </w:rPr>
                  </w:pPr>
                  <w:r>
                    <w:rPr>
                      <w:rFonts w:eastAsiaTheme="minorEastAsia"/>
                      <w:szCs w:val="21"/>
                    </w:rPr>
                    <w:t>17</w:t>
                  </w:r>
                </w:p>
              </w:tc>
              <w:tc>
                <w:tcPr>
                  <w:tcW w:w="665" w:type="pct"/>
                  <w:vAlign w:val="center"/>
                </w:tcPr>
                <w:p w14:paraId="5925AD03">
                  <w:pPr>
                    <w:jc w:val="center"/>
                    <w:rPr>
                      <w:rFonts w:eastAsiaTheme="minorEastAsia"/>
                      <w:szCs w:val="21"/>
                    </w:rPr>
                  </w:pPr>
                  <w:r>
                    <w:rPr>
                      <w:rFonts w:eastAsiaTheme="minorEastAsia"/>
                      <w:szCs w:val="21"/>
                    </w:rPr>
                    <w:t>汞</w:t>
                  </w:r>
                </w:p>
              </w:tc>
              <w:tc>
                <w:tcPr>
                  <w:tcW w:w="690" w:type="pct"/>
                  <w:vAlign w:val="center"/>
                </w:tcPr>
                <w:p w14:paraId="156B215C">
                  <w:pPr>
                    <w:jc w:val="center"/>
                    <w:rPr>
                      <w:rFonts w:eastAsiaTheme="minorEastAsia"/>
                      <w:szCs w:val="21"/>
                    </w:rPr>
                  </w:pPr>
                  <w:r>
                    <w:rPr>
                      <w:rFonts w:eastAsiaTheme="minorEastAsia"/>
                      <w:szCs w:val="21"/>
                    </w:rPr>
                    <w:t>mg/L</w:t>
                  </w:r>
                </w:p>
              </w:tc>
              <w:tc>
                <w:tcPr>
                  <w:tcW w:w="744" w:type="pct"/>
                  <w:vAlign w:val="center"/>
                </w:tcPr>
                <w:p w14:paraId="49EB9505">
                  <w:pPr>
                    <w:jc w:val="center"/>
                    <w:rPr>
                      <w:rFonts w:eastAsiaTheme="minorEastAsia"/>
                      <w:szCs w:val="21"/>
                    </w:rPr>
                  </w:pPr>
                  <w:r>
                    <w:rPr>
                      <w:rFonts w:eastAsiaTheme="minorEastAsia"/>
                      <w:szCs w:val="21"/>
                    </w:rPr>
                    <w:t>≤0.001</w:t>
                  </w:r>
                </w:p>
              </w:tc>
            </w:tr>
            <w:tr w14:paraId="3729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9" w:type="pct"/>
                  <w:vAlign w:val="center"/>
                </w:tcPr>
                <w:p w14:paraId="18E1CCE2">
                  <w:pPr>
                    <w:jc w:val="center"/>
                    <w:rPr>
                      <w:rFonts w:eastAsiaTheme="minorEastAsia"/>
                      <w:szCs w:val="21"/>
                    </w:rPr>
                  </w:pPr>
                  <w:r>
                    <w:rPr>
                      <w:rFonts w:eastAsiaTheme="minorEastAsia"/>
                      <w:szCs w:val="21"/>
                    </w:rPr>
                    <w:t>7</w:t>
                  </w:r>
                </w:p>
              </w:tc>
              <w:tc>
                <w:tcPr>
                  <w:tcW w:w="803" w:type="pct"/>
                  <w:vAlign w:val="center"/>
                </w:tcPr>
                <w:p w14:paraId="297DB692">
                  <w:pPr>
                    <w:jc w:val="center"/>
                    <w:rPr>
                      <w:rFonts w:eastAsiaTheme="minorEastAsia"/>
                      <w:szCs w:val="21"/>
                    </w:rPr>
                  </w:pPr>
                  <w:r>
                    <w:rPr>
                      <w:rFonts w:eastAsiaTheme="minorEastAsia"/>
                      <w:szCs w:val="21"/>
                    </w:rPr>
                    <w:t>锰</w:t>
                  </w:r>
                </w:p>
              </w:tc>
              <w:tc>
                <w:tcPr>
                  <w:tcW w:w="657" w:type="pct"/>
                  <w:vAlign w:val="center"/>
                </w:tcPr>
                <w:p w14:paraId="56D1C8EB">
                  <w:pPr>
                    <w:jc w:val="center"/>
                    <w:rPr>
                      <w:rFonts w:eastAsiaTheme="minorEastAsia"/>
                      <w:szCs w:val="21"/>
                    </w:rPr>
                  </w:pPr>
                  <w:r>
                    <w:rPr>
                      <w:rFonts w:eastAsiaTheme="minorEastAsia"/>
                      <w:szCs w:val="21"/>
                    </w:rPr>
                    <w:t>mg/L</w:t>
                  </w:r>
                </w:p>
              </w:tc>
              <w:tc>
                <w:tcPr>
                  <w:tcW w:w="804" w:type="pct"/>
                  <w:vAlign w:val="center"/>
                </w:tcPr>
                <w:p w14:paraId="4915BCF5">
                  <w:pPr>
                    <w:jc w:val="center"/>
                    <w:rPr>
                      <w:rFonts w:eastAsiaTheme="minorEastAsia"/>
                      <w:szCs w:val="21"/>
                    </w:rPr>
                  </w:pPr>
                  <w:r>
                    <w:rPr>
                      <w:rFonts w:eastAsiaTheme="minorEastAsia"/>
                      <w:szCs w:val="21"/>
                    </w:rPr>
                    <w:t>≤0.10</w:t>
                  </w:r>
                </w:p>
              </w:tc>
              <w:tc>
                <w:tcPr>
                  <w:tcW w:w="319" w:type="pct"/>
                  <w:vAlign w:val="center"/>
                </w:tcPr>
                <w:p w14:paraId="61FED7D2">
                  <w:pPr>
                    <w:jc w:val="center"/>
                    <w:rPr>
                      <w:rFonts w:eastAsiaTheme="minorEastAsia"/>
                      <w:szCs w:val="21"/>
                    </w:rPr>
                  </w:pPr>
                  <w:r>
                    <w:rPr>
                      <w:rFonts w:eastAsiaTheme="minorEastAsia"/>
                      <w:szCs w:val="21"/>
                    </w:rPr>
                    <w:t>18</w:t>
                  </w:r>
                </w:p>
              </w:tc>
              <w:tc>
                <w:tcPr>
                  <w:tcW w:w="665" w:type="pct"/>
                  <w:vAlign w:val="center"/>
                </w:tcPr>
                <w:p w14:paraId="08AA84CF">
                  <w:pPr>
                    <w:jc w:val="center"/>
                    <w:rPr>
                      <w:rFonts w:eastAsiaTheme="minorEastAsia"/>
                      <w:szCs w:val="21"/>
                    </w:rPr>
                  </w:pPr>
                  <w:r>
                    <w:rPr>
                      <w:rFonts w:eastAsiaTheme="minorEastAsia"/>
                      <w:szCs w:val="21"/>
                    </w:rPr>
                    <w:t>砷</w:t>
                  </w:r>
                </w:p>
              </w:tc>
              <w:tc>
                <w:tcPr>
                  <w:tcW w:w="690" w:type="pct"/>
                  <w:vAlign w:val="center"/>
                </w:tcPr>
                <w:p w14:paraId="10B5B3CC">
                  <w:pPr>
                    <w:jc w:val="center"/>
                    <w:rPr>
                      <w:rFonts w:eastAsiaTheme="minorEastAsia"/>
                      <w:szCs w:val="21"/>
                    </w:rPr>
                  </w:pPr>
                  <w:r>
                    <w:rPr>
                      <w:rFonts w:eastAsiaTheme="minorEastAsia"/>
                      <w:szCs w:val="21"/>
                    </w:rPr>
                    <w:t>mg/L</w:t>
                  </w:r>
                </w:p>
              </w:tc>
              <w:tc>
                <w:tcPr>
                  <w:tcW w:w="744" w:type="pct"/>
                  <w:vAlign w:val="center"/>
                </w:tcPr>
                <w:p w14:paraId="25BF4E3C">
                  <w:pPr>
                    <w:jc w:val="center"/>
                    <w:rPr>
                      <w:rFonts w:eastAsiaTheme="minorEastAsia"/>
                      <w:szCs w:val="21"/>
                    </w:rPr>
                  </w:pPr>
                  <w:r>
                    <w:rPr>
                      <w:rFonts w:eastAsiaTheme="minorEastAsia"/>
                      <w:szCs w:val="21"/>
                    </w:rPr>
                    <w:t>≤0.01</w:t>
                  </w:r>
                </w:p>
              </w:tc>
            </w:tr>
            <w:tr w14:paraId="47AB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9" w:type="pct"/>
                  <w:vAlign w:val="center"/>
                </w:tcPr>
                <w:p w14:paraId="4089863E">
                  <w:pPr>
                    <w:jc w:val="center"/>
                    <w:rPr>
                      <w:rFonts w:eastAsiaTheme="minorEastAsia"/>
                      <w:szCs w:val="21"/>
                    </w:rPr>
                  </w:pPr>
                  <w:r>
                    <w:rPr>
                      <w:rFonts w:eastAsiaTheme="minorEastAsia"/>
                      <w:szCs w:val="21"/>
                    </w:rPr>
                    <w:t>8</w:t>
                  </w:r>
                </w:p>
              </w:tc>
              <w:tc>
                <w:tcPr>
                  <w:tcW w:w="803" w:type="pct"/>
                  <w:vAlign w:val="center"/>
                </w:tcPr>
                <w:p w14:paraId="76EFCEFD">
                  <w:pPr>
                    <w:jc w:val="center"/>
                    <w:rPr>
                      <w:rFonts w:eastAsiaTheme="minorEastAsia"/>
                      <w:szCs w:val="21"/>
                    </w:rPr>
                  </w:pPr>
                  <w:r>
                    <w:rPr>
                      <w:rFonts w:eastAsiaTheme="minorEastAsia"/>
                      <w:szCs w:val="21"/>
                    </w:rPr>
                    <w:t>挥发性酚类</w:t>
                  </w:r>
                </w:p>
              </w:tc>
              <w:tc>
                <w:tcPr>
                  <w:tcW w:w="657" w:type="pct"/>
                  <w:vAlign w:val="center"/>
                </w:tcPr>
                <w:p w14:paraId="68E4B146">
                  <w:pPr>
                    <w:jc w:val="center"/>
                    <w:rPr>
                      <w:rFonts w:eastAsiaTheme="minorEastAsia"/>
                      <w:szCs w:val="21"/>
                    </w:rPr>
                  </w:pPr>
                  <w:r>
                    <w:rPr>
                      <w:rFonts w:eastAsiaTheme="minorEastAsia"/>
                      <w:szCs w:val="21"/>
                    </w:rPr>
                    <w:t>mg/L</w:t>
                  </w:r>
                </w:p>
              </w:tc>
              <w:tc>
                <w:tcPr>
                  <w:tcW w:w="804" w:type="pct"/>
                  <w:vAlign w:val="center"/>
                </w:tcPr>
                <w:p w14:paraId="2871C3E4">
                  <w:pPr>
                    <w:jc w:val="center"/>
                    <w:rPr>
                      <w:rFonts w:eastAsiaTheme="minorEastAsia"/>
                      <w:szCs w:val="21"/>
                    </w:rPr>
                  </w:pPr>
                  <w:r>
                    <w:rPr>
                      <w:rFonts w:eastAsiaTheme="minorEastAsia"/>
                      <w:szCs w:val="21"/>
                    </w:rPr>
                    <w:t>≤0.002</w:t>
                  </w:r>
                </w:p>
              </w:tc>
              <w:tc>
                <w:tcPr>
                  <w:tcW w:w="319" w:type="pct"/>
                  <w:vAlign w:val="center"/>
                </w:tcPr>
                <w:p w14:paraId="2F74C62A">
                  <w:pPr>
                    <w:jc w:val="center"/>
                    <w:rPr>
                      <w:rFonts w:eastAsiaTheme="minorEastAsia"/>
                      <w:szCs w:val="21"/>
                    </w:rPr>
                  </w:pPr>
                  <w:r>
                    <w:rPr>
                      <w:rFonts w:eastAsiaTheme="minorEastAsia"/>
                      <w:szCs w:val="21"/>
                    </w:rPr>
                    <w:t>19</w:t>
                  </w:r>
                </w:p>
              </w:tc>
              <w:tc>
                <w:tcPr>
                  <w:tcW w:w="665" w:type="pct"/>
                  <w:vAlign w:val="center"/>
                </w:tcPr>
                <w:p w14:paraId="2DE305E9">
                  <w:pPr>
                    <w:jc w:val="center"/>
                    <w:rPr>
                      <w:rFonts w:eastAsiaTheme="minorEastAsia"/>
                      <w:szCs w:val="21"/>
                    </w:rPr>
                  </w:pPr>
                  <w:r>
                    <w:rPr>
                      <w:rFonts w:eastAsiaTheme="minorEastAsia"/>
                      <w:szCs w:val="21"/>
                    </w:rPr>
                    <w:t>镉</w:t>
                  </w:r>
                </w:p>
              </w:tc>
              <w:tc>
                <w:tcPr>
                  <w:tcW w:w="690" w:type="pct"/>
                  <w:vAlign w:val="center"/>
                </w:tcPr>
                <w:p w14:paraId="79668E83">
                  <w:pPr>
                    <w:jc w:val="center"/>
                    <w:rPr>
                      <w:rFonts w:eastAsiaTheme="minorEastAsia"/>
                      <w:szCs w:val="21"/>
                    </w:rPr>
                  </w:pPr>
                  <w:r>
                    <w:rPr>
                      <w:rFonts w:eastAsiaTheme="minorEastAsia"/>
                      <w:szCs w:val="21"/>
                    </w:rPr>
                    <w:t>mg/L</w:t>
                  </w:r>
                </w:p>
              </w:tc>
              <w:tc>
                <w:tcPr>
                  <w:tcW w:w="744" w:type="pct"/>
                  <w:vAlign w:val="center"/>
                </w:tcPr>
                <w:p w14:paraId="6E7633BE">
                  <w:pPr>
                    <w:jc w:val="center"/>
                    <w:rPr>
                      <w:rFonts w:eastAsiaTheme="minorEastAsia"/>
                      <w:szCs w:val="21"/>
                    </w:rPr>
                  </w:pPr>
                  <w:r>
                    <w:rPr>
                      <w:rFonts w:eastAsiaTheme="minorEastAsia"/>
                      <w:szCs w:val="21"/>
                    </w:rPr>
                    <w:t>≤0.005</w:t>
                  </w:r>
                </w:p>
              </w:tc>
            </w:tr>
            <w:tr w14:paraId="1701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9" w:type="pct"/>
                  <w:vAlign w:val="center"/>
                </w:tcPr>
                <w:p w14:paraId="2C74C41D">
                  <w:pPr>
                    <w:jc w:val="center"/>
                    <w:rPr>
                      <w:rFonts w:eastAsiaTheme="minorEastAsia"/>
                      <w:szCs w:val="21"/>
                    </w:rPr>
                  </w:pPr>
                  <w:r>
                    <w:rPr>
                      <w:rFonts w:eastAsiaTheme="minorEastAsia"/>
                      <w:szCs w:val="21"/>
                    </w:rPr>
                    <w:t>9</w:t>
                  </w:r>
                </w:p>
              </w:tc>
              <w:tc>
                <w:tcPr>
                  <w:tcW w:w="803" w:type="pct"/>
                  <w:vAlign w:val="center"/>
                </w:tcPr>
                <w:p w14:paraId="16944961">
                  <w:pPr>
                    <w:jc w:val="center"/>
                    <w:rPr>
                      <w:rFonts w:eastAsiaTheme="minorEastAsia"/>
                      <w:szCs w:val="21"/>
                    </w:rPr>
                  </w:pPr>
                  <w:r>
                    <w:rPr>
                      <w:rFonts w:eastAsiaTheme="minorEastAsia"/>
                      <w:szCs w:val="21"/>
                    </w:rPr>
                    <w:t>耗氧量（CODMn）</w:t>
                  </w:r>
                </w:p>
              </w:tc>
              <w:tc>
                <w:tcPr>
                  <w:tcW w:w="657" w:type="pct"/>
                  <w:vAlign w:val="center"/>
                </w:tcPr>
                <w:p w14:paraId="51CFD498">
                  <w:pPr>
                    <w:jc w:val="center"/>
                    <w:rPr>
                      <w:rFonts w:eastAsiaTheme="minorEastAsia"/>
                      <w:szCs w:val="21"/>
                    </w:rPr>
                  </w:pPr>
                  <w:r>
                    <w:rPr>
                      <w:rFonts w:eastAsiaTheme="minorEastAsia"/>
                      <w:szCs w:val="21"/>
                    </w:rPr>
                    <w:t>mg/L</w:t>
                  </w:r>
                </w:p>
              </w:tc>
              <w:tc>
                <w:tcPr>
                  <w:tcW w:w="804" w:type="pct"/>
                  <w:vAlign w:val="center"/>
                </w:tcPr>
                <w:p w14:paraId="2D1BBA90">
                  <w:pPr>
                    <w:jc w:val="center"/>
                    <w:rPr>
                      <w:rFonts w:eastAsiaTheme="minorEastAsia"/>
                      <w:szCs w:val="21"/>
                    </w:rPr>
                  </w:pPr>
                  <w:r>
                    <w:rPr>
                      <w:rFonts w:eastAsiaTheme="minorEastAsia"/>
                      <w:szCs w:val="21"/>
                    </w:rPr>
                    <w:t>≤3.0</w:t>
                  </w:r>
                </w:p>
              </w:tc>
              <w:tc>
                <w:tcPr>
                  <w:tcW w:w="319" w:type="pct"/>
                  <w:vAlign w:val="center"/>
                </w:tcPr>
                <w:p w14:paraId="1BD0FD02">
                  <w:pPr>
                    <w:jc w:val="center"/>
                    <w:rPr>
                      <w:rFonts w:eastAsiaTheme="minorEastAsia"/>
                      <w:szCs w:val="21"/>
                    </w:rPr>
                  </w:pPr>
                  <w:r>
                    <w:rPr>
                      <w:rFonts w:eastAsiaTheme="minorEastAsia"/>
                      <w:szCs w:val="21"/>
                    </w:rPr>
                    <w:t>20</w:t>
                  </w:r>
                </w:p>
              </w:tc>
              <w:tc>
                <w:tcPr>
                  <w:tcW w:w="665" w:type="pct"/>
                  <w:vAlign w:val="center"/>
                </w:tcPr>
                <w:p w14:paraId="3B86EF46">
                  <w:pPr>
                    <w:jc w:val="center"/>
                    <w:rPr>
                      <w:rFonts w:eastAsiaTheme="minorEastAsia"/>
                      <w:szCs w:val="21"/>
                    </w:rPr>
                  </w:pPr>
                  <w:r>
                    <w:rPr>
                      <w:rFonts w:eastAsiaTheme="minorEastAsia"/>
                      <w:szCs w:val="21"/>
                    </w:rPr>
                    <w:t>铅</w:t>
                  </w:r>
                </w:p>
              </w:tc>
              <w:tc>
                <w:tcPr>
                  <w:tcW w:w="690" w:type="pct"/>
                  <w:vAlign w:val="center"/>
                </w:tcPr>
                <w:p w14:paraId="42961716">
                  <w:pPr>
                    <w:jc w:val="center"/>
                    <w:rPr>
                      <w:rFonts w:eastAsiaTheme="minorEastAsia"/>
                      <w:szCs w:val="21"/>
                    </w:rPr>
                  </w:pPr>
                  <w:r>
                    <w:rPr>
                      <w:rFonts w:eastAsiaTheme="minorEastAsia"/>
                      <w:szCs w:val="21"/>
                    </w:rPr>
                    <w:t>mg/L</w:t>
                  </w:r>
                </w:p>
              </w:tc>
              <w:tc>
                <w:tcPr>
                  <w:tcW w:w="744" w:type="pct"/>
                  <w:vAlign w:val="center"/>
                </w:tcPr>
                <w:p w14:paraId="13008BD9">
                  <w:pPr>
                    <w:jc w:val="center"/>
                    <w:rPr>
                      <w:rFonts w:eastAsiaTheme="minorEastAsia"/>
                      <w:szCs w:val="21"/>
                    </w:rPr>
                  </w:pPr>
                  <w:r>
                    <w:rPr>
                      <w:rFonts w:eastAsiaTheme="minorEastAsia"/>
                      <w:szCs w:val="21"/>
                    </w:rPr>
                    <w:t>≤0.01</w:t>
                  </w:r>
                </w:p>
              </w:tc>
            </w:tr>
            <w:tr w14:paraId="6616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9" w:type="pct"/>
                  <w:vAlign w:val="center"/>
                </w:tcPr>
                <w:p w14:paraId="3AB0C30A">
                  <w:pPr>
                    <w:jc w:val="center"/>
                    <w:rPr>
                      <w:rFonts w:eastAsiaTheme="minorEastAsia"/>
                      <w:szCs w:val="21"/>
                    </w:rPr>
                  </w:pPr>
                  <w:r>
                    <w:rPr>
                      <w:rFonts w:eastAsiaTheme="minorEastAsia"/>
                      <w:szCs w:val="21"/>
                    </w:rPr>
                    <w:t>10</w:t>
                  </w:r>
                </w:p>
              </w:tc>
              <w:tc>
                <w:tcPr>
                  <w:tcW w:w="803" w:type="pct"/>
                  <w:vAlign w:val="center"/>
                </w:tcPr>
                <w:p w14:paraId="2A373592">
                  <w:pPr>
                    <w:jc w:val="center"/>
                    <w:rPr>
                      <w:rFonts w:eastAsiaTheme="minorEastAsia"/>
                      <w:szCs w:val="21"/>
                    </w:rPr>
                  </w:pPr>
                  <w:r>
                    <w:rPr>
                      <w:rFonts w:eastAsiaTheme="minorEastAsia"/>
                      <w:szCs w:val="21"/>
                    </w:rPr>
                    <w:t>氨氮</w:t>
                  </w:r>
                </w:p>
              </w:tc>
              <w:tc>
                <w:tcPr>
                  <w:tcW w:w="657" w:type="pct"/>
                  <w:vAlign w:val="center"/>
                </w:tcPr>
                <w:p w14:paraId="230EDAD6">
                  <w:pPr>
                    <w:jc w:val="center"/>
                    <w:rPr>
                      <w:rFonts w:eastAsiaTheme="minorEastAsia"/>
                      <w:szCs w:val="21"/>
                    </w:rPr>
                  </w:pPr>
                  <w:r>
                    <w:rPr>
                      <w:rFonts w:eastAsiaTheme="minorEastAsia"/>
                      <w:szCs w:val="21"/>
                    </w:rPr>
                    <w:t>mg/L</w:t>
                  </w:r>
                </w:p>
              </w:tc>
              <w:tc>
                <w:tcPr>
                  <w:tcW w:w="804" w:type="pct"/>
                  <w:vAlign w:val="center"/>
                </w:tcPr>
                <w:p w14:paraId="0BEE1172">
                  <w:pPr>
                    <w:jc w:val="center"/>
                    <w:rPr>
                      <w:rFonts w:eastAsiaTheme="minorEastAsia"/>
                      <w:szCs w:val="21"/>
                    </w:rPr>
                  </w:pPr>
                  <w:r>
                    <w:rPr>
                      <w:rFonts w:eastAsiaTheme="minorEastAsia"/>
                      <w:szCs w:val="21"/>
                    </w:rPr>
                    <w:t>≤0.5</w:t>
                  </w:r>
                </w:p>
              </w:tc>
              <w:tc>
                <w:tcPr>
                  <w:tcW w:w="319" w:type="pct"/>
                  <w:vAlign w:val="center"/>
                </w:tcPr>
                <w:p w14:paraId="472003C0">
                  <w:pPr>
                    <w:jc w:val="center"/>
                    <w:rPr>
                      <w:rFonts w:eastAsiaTheme="minorEastAsia"/>
                      <w:szCs w:val="21"/>
                    </w:rPr>
                  </w:pPr>
                  <w:r>
                    <w:rPr>
                      <w:rFonts w:eastAsiaTheme="minorEastAsia"/>
                      <w:szCs w:val="21"/>
                    </w:rPr>
                    <w:t>21</w:t>
                  </w:r>
                </w:p>
              </w:tc>
              <w:tc>
                <w:tcPr>
                  <w:tcW w:w="665" w:type="pct"/>
                  <w:vAlign w:val="center"/>
                </w:tcPr>
                <w:p w14:paraId="323CC593">
                  <w:pPr>
                    <w:jc w:val="center"/>
                    <w:rPr>
                      <w:rFonts w:eastAsiaTheme="minorEastAsia"/>
                      <w:szCs w:val="21"/>
                    </w:rPr>
                  </w:pPr>
                  <w:r>
                    <w:rPr>
                      <w:rFonts w:eastAsiaTheme="minorEastAsia"/>
                      <w:szCs w:val="21"/>
                    </w:rPr>
                    <w:t>铬(六价)</w:t>
                  </w:r>
                </w:p>
              </w:tc>
              <w:tc>
                <w:tcPr>
                  <w:tcW w:w="690" w:type="pct"/>
                  <w:vAlign w:val="center"/>
                </w:tcPr>
                <w:p w14:paraId="607476A9">
                  <w:pPr>
                    <w:jc w:val="center"/>
                    <w:rPr>
                      <w:rFonts w:eastAsiaTheme="minorEastAsia"/>
                      <w:szCs w:val="21"/>
                    </w:rPr>
                  </w:pPr>
                  <w:r>
                    <w:rPr>
                      <w:rFonts w:eastAsiaTheme="minorEastAsia"/>
                      <w:szCs w:val="21"/>
                    </w:rPr>
                    <w:t>mg/L</w:t>
                  </w:r>
                </w:p>
              </w:tc>
              <w:tc>
                <w:tcPr>
                  <w:tcW w:w="744" w:type="pct"/>
                  <w:vAlign w:val="center"/>
                </w:tcPr>
                <w:p w14:paraId="6EF91E90">
                  <w:pPr>
                    <w:jc w:val="center"/>
                    <w:rPr>
                      <w:rFonts w:eastAsiaTheme="minorEastAsia"/>
                      <w:szCs w:val="21"/>
                    </w:rPr>
                  </w:pPr>
                  <w:r>
                    <w:rPr>
                      <w:rFonts w:eastAsiaTheme="minorEastAsia"/>
                      <w:szCs w:val="21"/>
                    </w:rPr>
                    <w:t>≤0.05</w:t>
                  </w:r>
                </w:p>
              </w:tc>
            </w:tr>
            <w:tr w14:paraId="2038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9" w:type="pct"/>
                  <w:vAlign w:val="center"/>
                </w:tcPr>
                <w:p w14:paraId="056462C7">
                  <w:pPr>
                    <w:jc w:val="center"/>
                    <w:rPr>
                      <w:rFonts w:eastAsiaTheme="minorEastAsia"/>
                      <w:szCs w:val="21"/>
                    </w:rPr>
                  </w:pPr>
                  <w:r>
                    <w:rPr>
                      <w:rFonts w:eastAsiaTheme="minorEastAsia"/>
                      <w:szCs w:val="21"/>
                    </w:rPr>
                    <w:t>11</w:t>
                  </w:r>
                </w:p>
              </w:tc>
              <w:tc>
                <w:tcPr>
                  <w:tcW w:w="803" w:type="pct"/>
                  <w:vAlign w:val="center"/>
                </w:tcPr>
                <w:p w14:paraId="772E2815">
                  <w:pPr>
                    <w:jc w:val="center"/>
                    <w:rPr>
                      <w:rFonts w:eastAsiaTheme="minorEastAsia"/>
                      <w:szCs w:val="21"/>
                    </w:rPr>
                  </w:pPr>
                  <w:r>
                    <w:rPr>
                      <w:rFonts w:eastAsiaTheme="minorEastAsia"/>
                      <w:szCs w:val="21"/>
                    </w:rPr>
                    <w:t>总大肠菌群</w:t>
                  </w:r>
                </w:p>
              </w:tc>
              <w:tc>
                <w:tcPr>
                  <w:tcW w:w="657" w:type="pct"/>
                  <w:vAlign w:val="center"/>
                </w:tcPr>
                <w:p w14:paraId="40C4ABE2">
                  <w:pPr>
                    <w:jc w:val="center"/>
                    <w:rPr>
                      <w:rFonts w:eastAsiaTheme="minorEastAsia"/>
                      <w:szCs w:val="21"/>
                    </w:rPr>
                  </w:pPr>
                  <w:r>
                    <w:rPr>
                      <w:rFonts w:eastAsiaTheme="minorEastAsia"/>
                      <w:szCs w:val="21"/>
                    </w:rPr>
                    <w:t>CFU/100ml</w:t>
                  </w:r>
                </w:p>
              </w:tc>
              <w:tc>
                <w:tcPr>
                  <w:tcW w:w="804" w:type="pct"/>
                  <w:vAlign w:val="center"/>
                </w:tcPr>
                <w:p w14:paraId="5402D97D">
                  <w:pPr>
                    <w:jc w:val="center"/>
                    <w:rPr>
                      <w:rFonts w:eastAsiaTheme="minorEastAsia"/>
                      <w:szCs w:val="21"/>
                    </w:rPr>
                  </w:pPr>
                  <w:r>
                    <w:rPr>
                      <w:rFonts w:eastAsiaTheme="minorEastAsia"/>
                      <w:szCs w:val="21"/>
                    </w:rPr>
                    <w:t>≤3.0</w:t>
                  </w:r>
                </w:p>
              </w:tc>
              <w:tc>
                <w:tcPr>
                  <w:tcW w:w="319" w:type="pct"/>
                  <w:vAlign w:val="center"/>
                </w:tcPr>
                <w:p w14:paraId="0C5E68D4">
                  <w:pPr>
                    <w:jc w:val="center"/>
                    <w:rPr>
                      <w:rFonts w:eastAsiaTheme="minorEastAsia"/>
                      <w:szCs w:val="21"/>
                    </w:rPr>
                  </w:pPr>
                  <w:r>
                    <w:rPr>
                      <w:rFonts w:eastAsiaTheme="minorEastAsia"/>
                      <w:szCs w:val="21"/>
                    </w:rPr>
                    <w:t>22</w:t>
                  </w:r>
                </w:p>
              </w:tc>
              <w:tc>
                <w:tcPr>
                  <w:tcW w:w="665" w:type="pct"/>
                  <w:vAlign w:val="center"/>
                </w:tcPr>
                <w:p w14:paraId="1CE84D62">
                  <w:pPr>
                    <w:jc w:val="center"/>
                    <w:rPr>
                      <w:rFonts w:eastAsiaTheme="minorEastAsia"/>
                      <w:szCs w:val="21"/>
                    </w:rPr>
                  </w:pPr>
                  <w:r>
                    <w:rPr>
                      <w:rFonts w:eastAsiaTheme="minorEastAsia"/>
                      <w:szCs w:val="21"/>
                    </w:rPr>
                    <w:t>苯并[a]芘</w:t>
                  </w:r>
                </w:p>
              </w:tc>
              <w:tc>
                <w:tcPr>
                  <w:tcW w:w="690" w:type="pct"/>
                  <w:vAlign w:val="center"/>
                </w:tcPr>
                <w:p w14:paraId="16ED5D34">
                  <w:pPr>
                    <w:jc w:val="center"/>
                    <w:rPr>
                      <w:rFonts w:eastAsiaTheme="minorEastAsia"/>
                      <w:szCs w:val="21"/>
                    </w:rPr>
                  </w:pPr>
                  <w:r>
                    <w:t>μg/L</w:t>
                  </w:r>
                </w:p>
              </w:tc>
              <w:tc>
                <w:tcPr>
                  <w:tcW w:w="744" w:type="pct"/>
                  <w:vAlign w:val="center"/>
                </w:tcPr>
                <w:p w14:paraId="2B1D5B00">
                  <w:pPr>
                    <w:jc w:val="center"/>
                    <w:rPr>
                      <w:rFonts w:eastAsiaTheme="minorEastAsia"/>
                      <w:szCs w:val="21"/>
                    </w:rPr>
                  </w:pPr>
                  <w:r>
                    <w:rPr>
                      <w:rFonts w:eastAsiaTheme="minorEastAsia"/>
                      <w:szCs w:val="21"/>
                    </w:rPr>
                    <w:t>≤0.01</w:t>
                  </w:r>
                </w:p>
              </w:tc>
            </w:tr>
          </w:tbl>
          <w:p w14:paraId="3EB45B08">
            <w:pPr>
              <w:adjustRightInd w:val="0"/>
              <w:snapToGrid w:val="0"/>
              <w:spacing w:line="360" w:lineRule="auto"/>
              <w:jc w:val="left"/>
              <w:rPr>
                <w:kern w:val="24"/>
                <w:sz w:val="24"/>
              </w:rPr>
            </w:pPr>
            <w:r>
              <w:rPr>
                <w:b/>
                <w:bCs/>
                <w:sz w:val="24"/>
              </w:rPr>
              <w:t>5.1.2</w:t>
            </w:r>
            <w:r>
              <w:rPr>
                <w:rFonts w:hint="eastAsia"/>
                <w:b/>
                <w:bCs/>
                <w:sz w:val="24"/>
              </w:rPr>
              <w:t>地下水环境质量现状</w:t>
            </w:r>
          </w:p>
          <w:p w14:paraId="28152590">
            <w:pPr>
              <w:adjustRightInd w:val="0"/>
              <w:snapToGrid w:val="0"/>
              <w:spacing w:line="360" w:lineRule="auto"/>
              <w:ind w:firstLine="480" w:firstLineChars="200"/>
              <w:rPr>
                <w:bCs/>
                <w:sz w:val="24"/>
              </w:rPr>
            </w:pPr>
            <w:r>
              <w:rPr>
                <w:rFonts w:hint="eastAsia"/>
                <w:bCs/>
                <w:sz w:val="24"/>
              </w:rPr>
              <w:t>本次评价地下水环境质量现状引用《云南通海伟达工贸有限公司年产10万吨高频焊管技改项目环境质量现状检测报告》中云南环绿环境检测技术有限公司于2023年</w:t>
            </w:r>
            <w:r>
              <w:rPr>
                <w:bCs/>
                <w:sz w:val="24"/>
              </w:rPr>
              <w:t>5</w:t>
            </w:r>
            <w:r>
              <w:rPr>
                <w:rFonts w:hint="eastAsia"/>
                <w:bCs/>
                <w:sz w:val="24"/>
              </w:rPr>
              <w:t>月</w:t>
            </w:r>
            <w:r>
              <w:rPr>
                <w:bCs/>
                <w:sz w:val="24"/>
              </w:rPr>
              <w:t>23</w:t>
            </w:r>
            <w:r>
              <w:rPr>
                <w:rFonts w:hint="eastAsia"/>
                <w:bCs/>
                <w:sz w:val="24"/>
              </w:rPr>
              <w:t>日至</w:t>
            </w:r>
            <w:r>
              <w:rPr>
                <w:bCs/>
                <w:sz w:val="24"/>
              </w:rPr>
              <w:t>5</w:t>
            </w:r>
            <w:r>
              <w:rPr>
                <w:rFonts w:hint="eastAsia"/>
                <w:bCs/>
                <w:sz w:val="24"/>
              </w:rPr>
              <w:t>月</w:t>
            </w:r>
            <w:r>
              <w:rPr>
                <w:bCs/>
                <w:sz w:val="24"/>
              </w:rPr>
              <w:t>24</w:t>
            </w:r>
            <w:r>
              <w:rPr>
                <w:rFonts w:hint="eastAsia"/>
                <w:bCs/>
                <w:sz w:val="24"/>
              </w:rPr>
              <w:t>日对项目区域地下水现状监测数据。</w:t>
            </w:r>
          </w:p>
          <w:p w14:paraId="4E4ECF1E">
            <w:pPr>
              <w:adjustRightInd w:val="0"/>
              <w:snapToGrid w:val="0"/>
              <w:spacing w:line="360" w:lineRule="auto"/>
              <w:ind w:firstLine="480" w:firstLineChars="200"/>
              <w:rPr>
                <w:bCs/>
                <w:sz w:val="24"/>
              </w:rPr>
            </w:pPr>
            <w:r>
              <w:rPr>
                <w:rFonts w:hint="eastAsia"/>
                <w:bCs/>
                <w:sz w:val="24"/>
              </w:rPr>
              <w:t>二街村地下水型水源地取水口位于本项目东侧约</w:t>
            </w:r>
            <w:r>
              <w:rPr>
                <w:bCs/>
                <w:sz w:val="24"/>
              </w:rPr>
              <w:t>470</w:t>
            </w:r>
            <w:r>
              <w:rPr>
                <w:rFonts w:hint="eastAsia"/>
                <w:bCs/>
                <w:sz w:val="24"/>
              </w:rPr>
              <w:t>m，位于项目区地下水下游。三街村位于本项目南侧约7</w:t>
            </w:r>
            <w:r>
              <w:rPr>
                <w:bCs/>
                <w:sz w:val="24"/>
              </w:rPr>
              <w:t>00m</w:t>
            </w:r>
            <w:r>
              <w:rPr>
                <w:rFonts w:hint="eastAsia"/>
                <w:bCs/>
                <w:sz w:val="24"/>
              </w:rPr>
              <w:t>，位于项目区地下水下游。二街村位于本项目东南侧约</w:t>
            </w:r>
            <w:r>
              <w:rPr>
                <w:bCs/>
                <w:sz w:val="24"/>
              </w:rPr>
              <w:t>1600</w:t>
            </w:r>
            <w:r>
              <w:rPr>
                <w:rFonts w:hint="eastAsia"/>
                <w:bCs/>
                <w:sz w:val="24"/>
              </w:rPr>
              <w:t>m，位于项目区地下水下游。</w:t>
            </w:r>
          </w:p>
          <w:p w14:paraId="406C8884">
            <w:pPr>
              <w:pStyle w:val="60"/>
              <w:snapToGrid w:val="0"/>
              <w:spacing w:line="360" w:lineRule="auto"/>
              <w:ind w:firstLine="0"/>
              <w:jc w:val="center"/>
              <w:textAlignment w:val="auto"/>
              <w:rPr>
                <w:b/>
                <w:bCs/>
                <w:szCs w:val="24"/>
              </w:rPr>
            </w:pPr>
            <w:r>
              <w:rPr>
                <w:rFonts w:hint="eastAsia"/>
                <w:b/>
                <w:bCs/>
                <w:szCs w:val="24"/>
              </w:rPr>
              <w:t>表</w:t>
            </w:r>
            <w:r>
              <w:rPr>
                <w:b/>
                <w:bCs/>
                <w:szCs w:val="24"/>
              </w:rPr>
              <w:t xml:space="preserve">3-7  </w:t>
            </w:r>
            <w:r>
              <w:rPr>
                <w:rFonts w:hint="eastAsia"/>
                <w:b/>
                <w:bCs/>
                <w:szCs w:val="24"/>
              </w:rPr>
              <w:t>引用地下水水质监测结果一览表    单位：mg/L</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01"/>
              <w:gridCol w:w="805"/>
              <w:gridCol w:w="675"/>
              <w:gridCol w:w="806"/>
              <w:gridCol w:w="805"/>
              <w:gridCol w:w="806"/>
              <w:gridCol w:w="689"/>
              <w:gridCol w:w="923"/>
              <w:gridCol w:w="672"/>
            </w:tblGrid>
            <w:tr w14:paraId="1EF1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1" w:type="dxa"/>
                  <w:vMerge w:val="restart"/>
                  <w:vAlign w:val="center"/>
                </w:tcPr>
                <w:p w14:paraId="1EBE08E5">
                  <w:pPr>
                    <w:adjustRightInd w:val="0"/>
                    <w:jc w:val="center"/>
                    <w:rPr>
                      <w:rFonts w:eastAsiaTheme="minorEastAsia"/>
                      <w:szCs w:val="21"/>
                    </w:rPr>
                  </w:pPr>
                  <w:r>
                    <w:rPr>
                      <w:rFonts w:eastAsiaTheme="minorEastAsia"/>
                      <w:szCs w:val="21"/>
                    </w:rPr>
                    <w:t>项目</w:t>
                  </w:r>
                </w:p>
              </w:tc>
              <w:tc>
                <w:tcPr>
                  <w:tcW w:w="1201" w:type="dxa"/>
                  <w:vMerge w:val="restart"/>
                  <w:vAlign w:val="center"/>
                </w:tcPr>
                <w:p w14:paraId="7B6803F7">
                  <w:pPr>
                    <w:adjustRightInd w:val="0"/>
                    <w:jc w:val="center"/>
                    <w:rPr>
                      <w:szCs w:val="21"/>
                    </w:rPr>
                  </w:pPr>
                  <w:r>
                    <w:rPr>
                      <w:szCs w:val="21"/>
                    </w:rPr>
                    <w:t>日期</w:t>
                  </w:r>
                </w:p>
              </w:tc>
              <w:tc>
                <w:tcPr>
                  <w:tcW w:w="4586" w:type="dxa"/>
                  <w:gridSpan w:val="6"/>
                  <w:vAlign w:val="center"/>
                </w:tcPr>
                <w:p w14:paraId="606D2592">
                  <w:pPr>
                    <w:adjustRightInd w:val="0"/>
                    <w:jc w:val="center"/>
                    <w:rPr>
                      <w:rFonts w:eastAsiaTheme="minorEastAsia"/>
                      <w:szCs w:val="21"/>
                    </w:rPr>
                  </w:pPr>
                  <w:r>
                    <w:rPr>
                      <w:szCs w:val="21"/>
                    </w:rPr>
                    <w:t>监测点位及结果</w:t>
                  </w:r>
                </w:p>
              </w:tc>
              <w:tc>
                <w:tcPr>
                  <w:tcW w:w="923" w:type="dxa"/>
                  <w:vMerge w:val="restart"/>
                  <w:vAlign w:val="center"/>
                </w:tcPr>
                <w:p w14:paraId="56474235">
                  <w:pPr>
                    <w:adjustRightInd w:val="0"/>
                    <w:jc w:val="center"/>
                    <w:rPr>
                      <w:rFonts w:eastAsiaTheme="minorEastAsia"/>
                      <w:szCs w:val="21"/>
                    </w:rPr>
                  </w:pPr>
                  <w:r>
                    <w:rPr>
                      <w:rFonts w:eastAsiaTheme="minorEastAsia"/>
                      <w:szCs w:val="21"/>
                    </w:rPr>
                    <w:t>标准值</w:t>
                  </w:r>
                </w:p>
              </w:tc>
              <w:tc>
                <w:tcPr>
                  <w:tcW w:w="672" w:type="dxa"/>
                  <w:vMerge w:val="restart"/>
                  <w:vAlign w:val="center"/>
                </w:tcPr>
                <w:p w14:paraId="06C3C1E0">
                  <w:pPr>
                    <w:adjustRightInd w:val="0"/>
                    <w:jc w:val="center"/>
                    <w:rPr>
                      <w:rFonts w:eastAsiaTheme="minorEastAsia"/>
                      <w:szCs w:val="21"/>
                    </w:rPr>
                  </w:pPr>
                  <w:r>
                    <w:rPr>
                      <w:rFonts w:eastAsiaTheme="minorEastAsia"/>
                      <w:szCs w:val="21"/>
                    </w:rPr>
                    <w:t>达标情况</w:t>
                  </w:r>
                </w:p>
              </w:tc>
            </w:tr>
            <w:tr w14:paraId="54D8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1" w:type="dxa"/>
                  <w:vMerge w:val="continue"/>
                  <w:vAlign w:val="center"/>
                </w:tcPr>
                <w:p w14:paraId="2D213B6C">
                  <w:pPr>
                    <w:adjustRightInd w:val="0"/>
                    <w:jc w:val="center"/>
                    <w:rPr>
                      <w:rFonts w:eastAsiaTheme="minorEastAsia"/>
                      <w:szCs w:val="21"/>
                    </w:rPr>
                  </w:pPr>
                </w:p>
              </w:tc>
              <w:tc>
                <w:tcPr>
                  <w:tcW w:w="1201" w:type="dxa"/>
                  <w:vMerge w:val="continue"/>
                  <w:vAlign w:val="center"/>
                </w:tcPr>
                <w:p w14:paraId="6EF15C59">
                  <w:pPr>
                    <w:pStyle w:val="47"/>
                    <w:spacing w:before="24" w:after="24"/>
                    <w:rPr>
                      <w:rFonts w:ascii="Times New Roman"/>
                      <w:szCs w:val="21"/>
                    </w:rPr>
                  </w:pPr>
                </w:p>
              </w:tc>
              <w:tc>
                <w:tcPr>
                  <w:tcW w:w="1480" w:type="dxa"/>
                  <w:gridSpan w:val="2"/>
                  <w:vAlign w:val="center"/>
                </w:tcPr>
                <w:p w14:paraId="3C70B26D">
                  <w:pPr>
                    <w:pStyle w:val="47"/>
                    <w:spacing w:before="24" w:after="24"/>
                    <w:rPr>
                      <w:rFonts w:ascii="Times New Roman"/>
                      <w:szCs w:val="21"/>
                    </w:rPr>
                  </w:pPr>
                  <w:r>
                    <w:rPr>
                      <w:rFonts w:ascii="Times New Roman"/>
                      <w:szCs w:val="21"/>
                    </w:rPr>
                    <w:t>1#二街村地下水型水源地取水口</w:t>
                  </w:r>
                </w:p>
              </w:tc>
              <w:tc>
                <w:tcPr>
                  <w:tcW w:w="1611" w:type="dxa"/>
                  <w:gridSpan w:val="2"/>
                  <w:vAlign w:val="center"/>
                </w:tcPr>
                <w:p w14:paraId="4A79CF3F">
                  <w:pPr>
                    <w:pStyle w:val="47"/>
                    <w:spacing w:before="24" w:after="24"/>
                    <w:rPr>
                      <w:rFonts w:ascii="Times New Roman"/>
                      <w:szCs w:val="21"/>
                    </w:rPr>
                  </w:pPr>
                  <w:r>
                    <w:rPr>
                      <w:rFonts w:ascii="Times New Roman"/>
                      <w:szCs w:val="21"/>
                    </w:rPr>
                    <w:t>2#三街村</w:t>
                  </w:r>
                </w:p>
              </w:tc>
              <w:tc>
                <w:tcPr>
                  <w:tcW w:w="1495" w:type="dxa"/>
                  <w:gridSpan w:val="2"/>
                  <w:vAlign w:val="center"/>
                </w:tcPr>
                <w:p w14:paraId="3E1080F3">
                  <w:pPr>
                    <w:pStyle w:val="47"/>
                    <w:spacing w:before="24" w:after="24"/>
                    <w:rPr>
                      <w:rFonts w:ascii="Times New Roman"/>
                      <w:szCs w:val="21"/>
                    </w:rPr>
                  </w:pPr>
                  <w:r>
                    <w:rPr>
                      <w:rFonts w:ascii="Times New Roman"/>
                      <w:szCs w:val="21"/>
                    </w:rPr>
                    <w:t>3#二街村</w:t>
                  </w:r>
                </w:p>
              </w:tc>
              <w:tc>
                <w:tcPr>
                  <w:tcW w:w="923" w:type="dxa"/>
                  <w:vMerge w:val="continue"/>
                  <w:vAlign w:val="center"/>
                </w:tcPr>
                <w:p w14:paraId="1A2FB4AF">
                  <w:pPr>
                    <w:adjustRightInd w:val="0"/>
                    <w:jc w:val="center"/>
                    <w:rPr>
                      <w:rFonts w:eastAsiaTheme="minorEastAsia"/>
                      <w:szCs w:val="21"/>
                    </w:rPr>
                  </w:pPr>
                </w:p>
              </w:tc>
              <w:tc>
                <w:tcPr>
                  <w:tcW w:w="672" w:type="dxa"/>
                  <w:vMerge w:val="continue"/>
                  <w:vAlign w:val="center"/>
                </w:tcPr>
                <w:p w14:paraId="33335F36">
                  <w:pPr>
                    <w:adjustRightInd w:val="0"/>
                    <w:jc w:val="center"/>
                    <w:rPr>
                      <w:rFonts w:eastAsiaTheme="minorEastAsia"/>
                      <w:szCs w:val="21"/>
                    </w:rPr>
                  </w:pPr>
                </w:p>
              </w:tc>
            </w:tr>
            <w:tr w14:paraId="0EC4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1" w:type="dxa"/>
                  <w:vMerge w:val="continue"/>
                  <w:vAlign w:val="center"/>
                </w:tcPr>
                <w:p w14:paraId="0FA4F66B">
                  <w:pPr>
                    <w:adjustRightInd w:val="0"/>
                    <w:jc w:val="center"/>
                    <w:rPr>
                      <w:rFonts w:eastAsiaTheme="minorEastAsia"/>
                      <w:szCs w:val="21"/>
                    </w:rPr>
                  </w:pPr>
                </w:p>
              </w:tc>
              <w:tc>
                <w:tcPr>
                  <w:tcW w:w="1201" w:type="dxa"/>
                  <w:vMerge w:val="continue"/>
                  <w:vAlign w:val="center"/>
                </w:tcPr>
                <w:p w14:paraId="468E2F2D">
                  <w:pPr>
                    <w:widowControl/>
                    <w:adjustRightInd w:val="0"/>
                    <w:jc w:val="center"/>
                    <w:textAlignment w:val="center"/>
                    <w:rPr>
                      <w:rFonts w:eastAsiaTheme="minorEastAsia"/>
                      <w:szCs w:val="21"/>
                    </w:rPr>
                  </w:pPr>
                </w:p>
              </w:tc>
              <w:tc>
                <w:tcPr>
                  <w:tcW w:w="805" w:type="dxa"/>
                  <w:vAlign w:val="center"/>
                </w:tcPr>
                <w:p w14:paraId="57B4B60D">
                  <w:pPr>
                    <w:widowControl/>
                    <w:adjustRightInd w:val="0"/>
                    <w:jc w:val="center"/>
                    <w:textAlignment w:val="center"/>
                    <w:rPr>
                      <w:rFonts w:eastAsiaTheme="minorEastAsia"/>
                      <w:szCs w:val="21"/>
                    </w:rPr>
                  </w:pPr>
                  <w:r>
                    <w:rPr>
                      <w:rFonts w:eastAsiaTheme="minorEastAsia"/>
                      <w:szCs w:val="21"/>
                    </w:rPr>
                    <w:t>监测值</w:t>
                  </w:r>
                </w:p>
              </w:tc>
              <w:tc>
                <w:tcPr>
                  <w:tcW w:w="675" w:type="dxa"/>
                  <w:vAlign w:val="center"/>
                </w:tcPr>
                <w:p w14:paraId="4AB8EF5B">
                  <w:pPr>
                    <w:adjustRightInd w:val="0"/>
                    <w:jc w:val="center"/>
                    <w:rPr>
                      <w:rFonts w:eastAsiaTheme="minorEastAsia"/>
                      <w:szCs w:val="21"/>
                    </w:rPr>
                  </w:pPr>
                  <w:r>
                    <w:rPr>
                      <w:rFonts w:eastAsiaTheme="minorEastAsia"/>
                      <w:szCs w:val="21"/>
                    </w:rPr>
                    <w:t>标准</w:t>
                  </w:r>
                </w:p>
                <w:p w14:paraId="33C35FB5">
                  <w:pPr>
                    <w:adjustRightInd w:val="0"/>
                    <w:jc w:val="center"/>
                    <w:rPr>
                      <w:rFonts w:eastAsiaTheme="minorEastAsia"/>
                      <w:szCs w:val="21"/>
                    </w:rPr>
                  </w:pPr>
                  <w:r>
                    <w:rPr>
                      <w:rFonts w:eastAsiaTheme="minorEastAsia"/>
                      <w:szCs w:val="21"/>
                    </w:rPr>
                    <w:t>指数</w:t>
                  </w:r>
                </w:p>
              </w:tc>
              <w:tc>
                <w:tcPr>
                  <w:tcW w:w="806" w:type="dxa"/>
                  <w:vAlign w:val="center"/>
                </w:tcPr>
                <w:p w14:paraId="693B80F0">
                  <w:pPr>
                    <w:adjustRightInd w:val="0"/>
                    <w:jc w:val="center"/>
                    <w:rPr>
                      <w:rFonts w:eastAsiaTheme="minorEastAsia"/>
                      <w:szCs w:val="21"/>
                    </w:rPr>
                  </w:pPr>
                  <w:r>
                    <w:rPr>
                      <w:rFonts w:eastAsiaTheme="minorEastAsia"/>
                      <w:szCs w:val="21"/>
                    </w:rPr>
                    <w:t>监测值</w:t>
                  </w:r>
                </w:p>
              </w:tc>
              <w:tc>
                <w:tcPr>
                  <w:tcW w:w="805" w:type="dxa"/>
                  <w:vAlign w:val="center"/>
                </w:tcPr>
                <w:p w14:paraId="2ACE5D64">
                  <w:pPr>
                    <w:adjustRightInd w:val="0"/>
                    <w:jc w:val="center"/>
                    <w:rPr>
                      <w:rFonts w:eastAsiaTheme="minorEastAsia"/>
                      <w:szCs w:val="21"/>
                    </w:rPr>
                  </w:pPr>
                  <w:r>
                    <w:rPr>
                      <w:rFonts w:eastAsiaTheme="minorEastAsia"/>
                      <w:szCs w:val="21"/>
                    </w:rPr>
                    <w:t>标准</w:t>
                  </w:r>
                </w:p>
                <w:p w14:paraId="49E195E0">
                  <w:pPr>
                    <w:adjustRightInd w:val="0"/>
                    <w:jc w:val="center"/>
                    <w:rPr>
                      <w:rFonts w:eastAsiaTheme="minorEastAsia"/>
                      <w:szCs w:val="21"/>
                    </w:rPr>
                  </w:pPr>
                  <w:r>
                    <w:rPr>
                      <w:rFonts w:eastAsiaTheme="minorEastAsia"/>
                      <w:szCs w:val="21"/>
                    </w:rPr>
                    <w:t>指数</w:t>
                  </w:r>
                </w:p>
              </w:tc>
              <w:tc>
                <w:tcPr>
                  <w:tcW w:w="806" w:type="dxa"/>
                  <w:vAlign w:val="center"/>
                </w:tcPr>
                <w:p w14:paraId="6E3F9654">
                  <w:pPr>
                    <w:adjustRightInd w:val="0"/>
                    <w:jc w:val="center"/>
                    <w:rPr>
                      <w:rFonts w:eastAsiaTheme="minorEastAsia"/>
                      <w:szCs w:val="21"/>
                    </w:rPr>
                  </w:pPr>
                  <w:r>
                    <w:rPr>
                      <w:rFonts w:eastAsiaTheme="minorEastAsia"/>
                      <w:szCs w:val="21"/>
                    </w:rPr>
                    <w:t>监测值</w:t>
                  </w:r>
                </w:p>
              </w:tc>
              <w:tc>
                <w:tcPr>
                  <w:tcW w:w="689" w:type="dxa"/>
                  <w:vAlign w:val="center"/>
                </w:tcPr>
                <w:p w14:paraId="1876FA32">
                  <w:pPr>
                    <w:adjustRightInd w:val="0"/>
                    <w:jc w:val="center"/>
                    <w:rPr>
                      <w:rFonts w:eastAsiaTheme="minorEastAsia"/>
                      <w:szCs w:val="21"/>
                    </w:rPr>
                  </w:pPr>
                  <w:r>
                    <w:rPr>
                      <w:rFonts w:eastAsiaTheme="minorEastAsia"/>
                      <w:szCs w:val="21"/>
                    </w:rPr>
                    <w:t>标准</w:t>
                  </w:r>
                </w:p>
                <w:p w14:paraId="27691660">
                  <w:pPr>
                    <w:adjustRightInd w:val="0"/>
                    <w:jc w:val="center"/>
                    <w:rPr>
                      <w:rFonts w:eastAsiaTheme="minorEastAsia"/>
                      <w:szCs w:val="21"/>
                    </w:rPr>
                  </w:pPr>
                  <w:r>
                    <w:rPr>
                      <w:rFonts w:eastAsiaTheme="minorEastAsia"/>
                      <w:szCs w:val="21"/>
                    </w:rPr>
                    <w:t>指数</w:t>
                  </w:r>
                </w:p>
              </w:tc>
              <w:tc>
                <w:tcPr>
                  <w:tcW w:w="923" w:type="dxa"/>
                  <w:vMerge w:val="continue"/>
                  <w:vAlign w:val="center"/>
                </w:tcPr>
                <w:p w14:paraId="058C1BEC">
                  <w:pPr>
                    <w:adjustRightInd w:val="0"/>
                    <w:jc w:val="center"/>
                    <w:rPr>
                      <w:rFonts w:eastAsiaTheme="minorEastAsia"/>
                      <w:szCs w:val="21"/>
                    </w:rPr>
                  </w:pPr>
                </w:p>
              </w:tc>
              <w:tc>
                <w:tcPr>
                  <w:tcW w:w="672" w:type="dxa"/>
                  <w:vMerge w:val="continue"/>
                  <w:vAlign w:val="center"/>
                </w:tcPr>
                <w:p w14:paraId="6B17E54E">
                  <w:pPr>
                    <w:adjustRightInd w:val="0"/>
                    <w:jc w:val="center"/>
                    <w:rPr>
                      <w:rFonts w:eastAsiaTheme="minorEastAsia"/>
                      <w:szCs w:val="21"/>
                    </w:rPr>
                  </w:pPr>
                </w:p>
              </w:tc>
            </w:tr>
            <w:tr w14:paraId="026E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1" w:type="dxa"/>
                  <w:vMerge w:val="restart"/>
                  <w:vAlign w:val="center"/>
                </w:tcPr>
                <w:p w14:paraId="2D1995FD">
                  <w:pPr>
                    <w:pStyle w:val="47"/>
                    <w:spacing w:before="24" w:after="24"/>
                    <w:rPr>
                      <w:rFonts w:ascii="Times New Roman"/>
                      <w:szCs w:val="21"/>
                    </w:rPr>
                  </w:pPr>
                  <w:r>
                    <w:rPr>
                      <w:rFonts w:ascii="Times New Roman"/>
                      <w:szCs w:val="21"/>
                    </w:rPr>
                    <w:t>pH（无</w:t>
                  </w:r>
                </w:p>
                <w:p w14:paraId="499BDA2F">
                  <w:pPr>
                    <w:widowControl/>
                    <w:adjustRightInd w:val="0"/>
                    <w:jc w:val="center"/>
                    <w:textAlignment w:val="center"/>
                    <w:rPr>
                      <w:rFonts w:eastAsiaTheme="minorEastAsia"/>
                      <w:szCs w:val="21"/>
                    </w:rPr>
                  </w:pPr>
                  <w:r>
                    <w:rPr>
                      <w:szCs w:val="21"/>
                    </w:rPr>
                    <w:t>量纲）</w:t>
                  </w:r>
                </w:p>
              </w:tc>
              <w:tc>
                <w:tcPr>
                  <w:tcW w:w="1201" w:type="dxa"/>
                  <w:vAlign w:val="center"/>
                </w:tcPr>
                <w:p w14:paraId="7B0E1DA7">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6794950A">
                  <w:pPr>
                    <w:adjustRightInd w:val="0"/>
                    <w:jc w:val="center"/>
                    <w:rPr>
                      <w:szCs w:val="21"/>
                    </w:rPr>
                  </w:pPr>
                  <w:r>
                    <w:rPr>
                      <w:rFonts w:eastAsia="TimesNewRomanPSMT"/>
                      <w:kern w:val="0"/>
                      <w:szCs w:val="21"/>
                    </w:rPr>
                    <w:t>7.7</w:t>
                  </w:r>
                </w:p>
              </w:tc>
              <w:tc>
                <w:tcPr>
                  <w:tcW w:w="675" w:type="dxa"/>
                  <w:vAlign w:val="center"/>
                </w:tcPr>
                <w:p w14:paraId="4A2686C3">
                  <w:pPr>
                    <w:adjustRightInd w:val="0"/>
                    <w:jc w:val="center"/>
                    <w:rPr>
                      <w:szCs w:val="21"/>
                    </w:rPr>
                  </w:pPr>
                  <w:r>
                    <w:rPr>
                      <w:rFonts w:hint="eastAsia"/>
                      <w:szCs w:val="21"/>
                    </w:rPr>
                    <w:t>0</w:t>
                  </w:r>
                  <w:r>
                    <w:rPr>
                      <w:szCs w:val="21"/>
                    </w:rPr>
                    <w:t>.47</w:t>
                  </w:r>
                </w:p>
              </w:tc>
              <w:tc>
                <w:tcPr>
                  <w:tcW w:w="806" w:type="dxa"/>
                  <w:vAlign w:val="center"/>
                </w:tcPr>
                <w:p w14:paraId="430CB06B">
                  <w:pPr>
                    <w:adjustRightInd w:val="0"/>
                    <w:jc w:val="center"/>
                    <w:rPr>
                      <w:szCs w:val="21"/>
                    </w:rPr>
                  </w:pPr>
                  <w:r>
                    <w:rPr>
                      <w:szCs w:val="21"/>
                    </w:rPr>
                    <w:t>7.2</w:t>
                  </w:r>
                </w:p>
              </w:tc>
              <w:tc>
                <w:tcPr>
                  <w:tcW w:w="805" w:type="dxa"/>
                  <w:vAlign w:val="center"/>
                </w:tcPr>
                <w:p w14:paraId="58D8E0F2">
                  <w:pPr>
                    <w:adjustRightInd w:val="0"/>
                    <w:jc w:val="center"/>
                    <w:rPr>
                      <w:szCs w:val="21"/>
                    </w:rPr>
                  </w:pPr>
                  <w:r>
                    <w:rPr>
                      <w:szCs w:val="21"/>
                    </w:rPr>
                    <w:t xml:space="preserve">0.13 </w:t>
                  </w:r>
                </w:p>
              </w:tc>
              <w:tc>
                <w:tcPr>
                  <w:tcW w:w="806" w:type="dxa"/>
                  <w:vAlign w:val="center"/>
                </w:tcPr>
                <w:p w14:paraId="133A8938">
                  <w:pPr>
                    <w:adjustRightInd w:val="0"/>
                    <w:jc w:val="center"/>
                    <w:rPr>
                      <w:szCs w:val="21"/>
                    </w:rPr>
                  </w:pPr>
                  <w:r>
                    <w:rPr>
                      <w:szCs w:val="21"/>
                    </w:rPr>
                    <w:t>7.1</w:t>
                  </w:r>
                </w:p>
              </w:tc>
              <w:tc>
                <w:tcPr>
                  <w:tcW w:w="689" w:type="dxa"/>
                  <w:vAlign w:val="center"/>
                </w:tcPr>
                <w:p w14:paraId="47AEF300">
                  <w:pPr>
                    <w:adjustRightInd w:val="0"/>
                    <w:jc w:val="center"/>
                    <w:rPr>
                      <w:szCs w:val="21"/>
                    </w:rPr>
                  </w:pPr>
                  <w:r>
                    <w:rPr>
                      <w:szCs w:val="21"/>
                    </w:rPr>
                    <w:t xml:space="preserve">0.07 </w:t>
                  </w:r>
                </w:p>
              </w:tc>
              <w:tc>
                <w:tcPr>
                  <w:tcW w:w="923" w:type="dxa"/>
                  <w:vMerge w:val="restart"/>
                  <w:vAlign w:val="center"/>
                </w:tcPr>
                <w:p w14:paraId="1DAD0FAF">
                  <w:pPr>
                    <w:adjustRightInd w:val="0"/>
                    <w:jc w:val="center"/>
                    <w:rPr>
                      <w:rFonts w:eastAsiaTheme="minorEastAsia"/>
                      <w:szCs w:val="21"/>
                    </w:rPr>
                  </w:pPr>
                  <w:r>
                    <w:rPr>
                      <w:szCs w:val="21"/>
                    </w:rPr>
                    <w:t>6.5~8.5</w:t>
                  </w:r>
                </w:p>
              </w:tc>
              <w:tc>
                <w:tcPr>
                  <w:tcW w:w="672" w:type="dxa"/>
                  <w:vAlign w:val="center"/>
                </w:tcPr>
                <w:p w14:paraId="133F6765">
                  <w:pPr>
                    <w:adjustRightInd w:val="0"/>
                    <w:jc w:val="center"/>
                    <w:rPr>
                      <w:rFonts w:eastAsiaTheme="minorEastAsia"/>
                      <w:szCs w:val="21"/>
                    </w:rPr>
                  </w:pPr>
                  <w:r>
                    <w:rPr>
                      <w:rFonts w:eastAsiaTheme="minorEastAsia"/>
                      <w:szCs w:val="21"/>
                    </w:rPr>
                    <w:t>达标</w:t>
                  </w:r>
                </w:p>
              </w:tc>
            </w:tr>
            <w:tr w14:paraId="7DFF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1" w:type="dxa"/>
                  <w:vMerge w:val="continue"/>
                  <w:vAlign w:val="center"/>
                </w:tcPr>
                <w:p w14:paraId="5E28195D">
                  <w:pPr>
                    <w:pStyle w:val="47"/>
                    <w:spacing w:before="24" w:after="24"/>
                    <w:rPr>
                      <w:rFonts w:ascii="Times New Roman"/>
                      <w:szCs w:val="21"/>
                    </w:rPr>
                  </w:pPr>
                </w:p>
              </w:tc>
              <w:tc>
                <w:tcPr>
                  <w:tcW w:w="1201" w:type="dxa"/>
                  <w:vAlign w:val="center"/>
                </w:tcPr>
                <w:p w14:paraId="4361F7BA">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20697D7A">
                  <w:pPr>
                    <w:adjustRightInd w:val="0"/>
                    <w:jc w:val="center"/>
                    <w:rPr>
                      <w:szCs w:val="21"/>
                    </w:rPr>
                  </w:pPr>
                  <w:r>
                    <w:rPr>
                      <w:rFonts w:eastAsia="TimesNewRomanPSMT"/>
                      <w:kern w:val="0"/>
                      <w:szCs w:val="21"/>
                    </w:rPr>
                    <w:t>7.7</w:t>
                  </w:r>
                </w:p>
              </w:tc>
              <w:tc>
                <w:tcPr>
                  <w:tcW w:w="675" w:type="dxa"/>
                  <w:vAlign w:val="center"/>
                </w:tcPr>
                <w:p w14:paraId="09FF822C">
                  <w:pPr>
                    <w:adjustRightInd w:val="0"/>
                    <w:jc w:val="center"/>
                    <w:rPr>
                      <w:szCs w:val="21"/>
                    </w:rPr>
                  </w:pPr>
                  <w:r>
                    <w:rPr>
                      <w:rFonts w:hint="eastAsia"/>
                      <w:szCs w:val="21"/>
                    </w:rPr>
                    <w:t>0</w:t>
                  </w:r>
                  <w:r>
                    <w:rPr>
                      <w:szCs w:val="21"/>
                    </w:rPr>
                    <w:t>.47</w:t>
                  </w:r>
                </w:p>
              </w:tc>
              <w:tc>
                <w:tcPr>
                  <w:tcW w:w="806" w:type="dxa"/>
                  <w:vAlign w:val="center"/>
                </w:tcPr>
                <w:p w14:paraId="2A318516">
                  <w:pPr>
                    <w:adjustRightInd w:val="0"/>
                    <w:jc w:val="center"/>
                    <w:rPr>
                      <w:szCs w:val="21"/>
                    </w:rPr>
                  </w:pPr>
                  <w:r>
                    <w:rPr>
                      <w:szCs w:val="21"/>
                    </w:rPr>
                    <w:t>7.2</w:t>
                  </w:r>
                </w:p>
              </w:tc>
              <w:tc>
                <w:tcPr>
                  <w:tcW w:w="805" w:type="dxa"/>
                  <w:vAlign w:val="center"/>
                </w:tcPr>
                <w:p w14:paraId="48CB722F">
                  <w:pPr>
                    <w:adjustRightInd w:val="0"/>
                    <w:jc w:val="center"/>
                    <w:rPr>
                      <w:szCs w:val="21"/>
                    </w:rPr>
                  </w:pPr>
                  <w:r>
                    <w:rPr>
                      <w:szCs w:val="21"/>
                    </w:rPr>
                    <w:t xml:space="preserve">0.13 </w:t>
                  </w:r>
                </w:p>
              </w:tc>
              <w:tc>
                <w:tcPr>
                  <w:tcW w:w="806" w:type="dxa"/>
                  <w:vAlign w:val="center"/>
                </w:tcPr>
                <w:p w14:paraId="3FE86312">
                  <w:pPr>
                    <w:adjustRightInd w:val="0"/>
                    <w:jc w:val="center"/>
                    <w:rPr>
                      <w:szCs w:val="21"/>
                    </w:rPr>
                  </w:pPr>
                  <w:r>
                    <w:rPr>
                      <w:szCs w:val="21"/>
                    </w:rPr>
                    <w:t>7.1</w:t>
                  </w:r>
                </w:p>
              </w:tc>
              <w:tc>
                <w:tcPr>
                  <w:tcW w:w="689" w:type="dxa"/>
                  <w:vAlign w:val="center"/>
                </w:tcPr>
                <w:p w14:paraId="512D75E4">
                  <w:pPr>
                    <w:adjustRightInd w:val="0"/>
                    <w:jc w:val="center"/>
                    <w:rPr>
                      <w:szCs w:val="21"/>
                    </w:rPr>
                  </w:pPr>
                  <w:r>
                    <w:rPr>
                      <w:szCs w:val="21"/>
                    </w:rPr>
                    <w:t xml:space="preserve">0.07 </w:t>
                  </w:r>
                </w:p>
              </w:tc>
              <w:tc>
                <w:tcPr>
                  <w:tcW w:w="923" w:type="dxa"/>
                  <w:vMerge w:val="continue"/>
                  <w:vAlign w:val="center"/>
                </w:tcPr>
                <w:p w14:paraId="58108930">
                  <w:pPr>
                    <w:adjustRightInd w:val="0"/>
                    <w:jc w:val="center"/>
                    <w:rPr>
                      <w:szCs w:val="21"/>
                    </w:rPr>
                  </w:pPr>
                </w:p>
              </w:tc>
              <w:tc>
                <w:tcPr>
                  <w:tcW w:w="672" w:type="dxa"/>
                  <w:vAlign w:val="center"/>
                </w:tcPr>
                <w:p w14:paraId="0D6BDCB8">
                  <w:pPr>
                    <w:adjustRightInd w:val="0"/>
                    <w:jc w:val="center"/>
                    <w:rPr>
                      <w:rFonts w:eastAsiaTheme="minorEastAsia"/>
                      <w:szCs w:val="21"/>
                    </w:rPr>
                  </w:pPr>
                  <w:r>
                    <w:rPr>
                      <w:rFonts w:eastAsiaTheme="minorEastAsia"/>
                      <w:szCs w:val="21"/>
                    </w:rPr>
                    <w:t>达标</w:t>
                  </w:r>
                </w:p>
              </w:tc>
            </w:tr>
            <w:tr w14:paraId="5631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1" w:type="dxa"/>
                  <w:vMerge w:val="restart"/>
                  <w:vAlign w:val="center"/>
                </w:tcPr>
                <w:p w14:paraId="41E12978">
                  <w:pPr>
                    <w:adjustRightInd w:val="0"/>
                    <w:jc w:val="center"/>
                    <w:rPr>
                      <w:rFonts w:eastAsiaTheme="minorEastAsia"/>
                      <w:szCs w:val="21"/>
                    </w:rPr>
                  </w:pPr>
                  <w:r>
                    <w:rPr>
                      <w:szCs w:val="21"/>
                    </w:rPr>
                    <w:t>氨氮</w:t>
                  </w:r>
                </w:p>
              </w:tc>
              <w:tc>
                <w:tcPr>
                  <w:tcW w:w="1201" w:type="dxa"/>
                  <w:vAlign w:val="center"/>
                </w:tcPr>
                <w:p w14:paraId="7600C6B8">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16D470CA">
                  <w:pPr>
                    <w:adjustRightInd w:val="0"/>
                    <w:jc w:val="center"/>
                    <w:rPr>
                      <w:szCs w:val="21"/>
                    </w:rPr>
                  </w:pPr>
                  <w:r>
                    <w:rPr>
                      <w:rFonts w:eastAsia="TimesNewRomanPSMT"/>
                      <w:kern w:val="0"/>
                      <w:szCs w:val="21"/>
                    </w:rPr>
                    <w:t>ND</w:t>
                  </w:r>
                </w:p>
              </w:tc>
              <w:tc>
                <w:tcPr>
                  <w:tcW w:w="675" w:type="dxa"/>
                  <w:vAlign w:val="center"/>
                </w:tcPr>
                <w:p w14:paraId="6EF7B73E">
                  <w:pPr>
                    <w:adjustRightInd w:val="0"/>
                    <w:jc w:val="center"/>
                    <w:rPr>
                      <w:szCs w:val="21"/>
                    </w:rPr>
                  </w:pPr>
                  <w:r>
                    <w:rPr>
                      <w:rFonts w:hint="eastAsia"/>
                      <w:szCs w:val="21"/>
                    </w:rPr>
                    <w:t>/</w:t>
                  </w:r>
                </w:p>
              </w:tc>
              <w:tc>
                <w:tcPr>
                  <w:tcW w:w="806" w:type="dxa"/>
                  <w:vAlign w:val="center"/>
                </w:tcPr>
                <w:p w14:paraId="303DB8C4">
                  <w:pPr>
                    <w:adjustRightInd w:val="0"/>
                    <w:jc w:val="center"/>
                    <w:rPr>
                      <w:szCs w:val="21"/>
                    </w:rPr>
                  </w:pPr>
                  <w:r>
                    <w:rPr>
                      <w:szCs w:val="21"/>
                    </w:rPr>
                    <w:t>0.488</w:t>
                  </w:r>
                </w:p>
              </w:tc>
              <w:tc>
                <w:tcPr>
                  <w:tcW w:w="805" w:type="dxa"/>
                  <w:vAlign w:val="center"/>
                </w:tcPr>
                <w:p w14:paraId="4AE5F8C4">
                  <w:pPr>
                    <w:adjustRightInd w:val="0"/>
                    <w:jc w:val="center"/>
                    <w:rPr>
                      <w:szCs w:val="21"/>
                    </w:rPr>
                  </w:pPr>
                  <w:r>
                    <w:rPr>
                      <w:szCs w:val="21"/>
                    </w:rPr>
                    <w:t xml:space="preserve">0.98 </w:t>
                  </w:r>
                </w:p>
              </w:tc>
              <w:tc>
                <w:tcPr>
                  <w:tcW w:w="806" w:type="dxa"/>
                  <w:vAlign w:val="center"/>
                </w:tcPr>
                <w:p w14:paraId="73854E91">
                  <w:pPr>
                    <w:adjustRightInd w:val="0"/>
                    <w:jc w:val="center"/>
                    <w:rPr>
                      <w:szCs w:val="21"/>
                    </w:rPr>
                  </w:pPr>
                  <w:r>
                    <w:rPr>
                      <w:rFonts w:eastAsia="TimesNewRomanPSMT"/>
                      <w:kern w:val="0"/>
                      <w:szCs w:val="21"/>
                    </w:rPr>
                    <w:t>ND</w:t>
                  </w:r>
                </w:p>
              </w:tc>
              <w:tc>
                <w:tcPr>
                  <w:tcW w:w="689" w:type="dxa"/>
                  <w:vAlign w:val="center"/>
                </w:tcPr>
                <w:p w14:paraId="5C2408EF">
                  <w:pPr>
                    <w:adjustRightInd w:val="0"/>
                    <w:jc w:val="center"/>
                    <w:rPr>
                      <w:szCs w:val="21"/>
                    </w:rPr>
                  </w:pPr>
                  <w:r>
                    <w:rPr>
                      <w:rFonts w:hint="eastAsia"/>
                      <w:szCs w:val="21"/>
                    </w:rPr>
                    <w:t>/</w:t>
                  </w:r>
                </w:p>
              </w:tc>
              <w:tc>
                <w:tcPr>
                  <w:tcW w:w="923" w:type="dxa"/>
                  <w:vMerge w:val="restart"/>
                  <w:vAlign w:val="center"/>
                </w:tcPr>
                <w:p w14:paraId="6D77A731">
                  <w:pPr>
                    <w:adjustRightInd w:val="0"/>
                    <w:jc w:val="center"/>
                    <w:rPr>
                      <w:rFonts w:eastAsiaTheme="minorEastAsia"/>
                      <w:szCs w:val="21"/>
                    </w:rPr>
                  </w:pPr>
                  <w:r>
                    <w:rPr>
                      <w:szCs w:val="21"/>
                    </w:rPr>
                    <w:t>0.5</w:t>
                  </w:r>
                </w:p>
              </w:tc>
              <w:tc>
                <w:tcPr>
                  <w:tcW w:w="672" w:type="dxa"/>
                  <w:vAlign w:val="center"/>
                </w:tcPr>
                <w:p w14:paraId="2255F1FF">
                  <w:pPr>
                    <w:adjustRightInd w:val="0"/>
                    <w:jc w:val="center"/>
                    <w:rPr>
                      <w:rFonts w:eastAsiaTheme="minorEastAsia"/>
                      <w:szCs w:val="21"/>
                    </w:rPr>
                  </w:pPr>
                  <w:r>
                    <w:rPr>
                      <w:rFonts w:eastAsiaTheme="minorEastAsia"/>
                      <w:szCs w:val="21"/>
                    </w:rPr>
                    <w:t>达标</w:t>
                  </w:r>
                </w:p>
              </w:tc>
            </w:tr>
            <w:tr w14:paraId="6EFD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1" w:type="dxa"/>
                  <w:vMerge w:val="continue"/>
                  <w:vAlign w:val="center"/>
                </w:tcPr>
                <w:p w14:paraId="45E3C07A">
                  <w:pPr>
                    <w:adjustRightInd w:val="0"/>
                    <w:jc w:val="center"/>
                    <w:rPr>
                      <w:szCs w:val="21"/>
                    </w:rPr>
                  </w:pPr>
                </w:p>
              </w:tc>
              <w:tc>
                <w:tcPr>
                  <w:tcW w:w="1201" w:type="dxa"/>
                  <w:vAlign w:val="center"/>
                </w:tcPr>
                <w:p w14:paraId="4D5BF497">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5BC330C0">
                  <w:pPr>
                    <w:adjustRightInd w:val="0"/>
                    <w:jc w:val="center"/>
                    <w:rPr>
                      <w:szCs w:val="21"/>
                    </w:rPr>
                  </w:pPr>
                  <w:r>
                    <w:rPr>
                      <w:rFonts w:eastAsia="TimesNewRomanPSMT"/>
                      <w:kern w:val="0"/>
                      <w:szCs w:val="21"/>
                    </w:rPr>
                    <w:t>ND</w:t>
                  </w:r>
                </w:p>
              </w:tc>
              <w:tc>
                <w:tcPr>
                  <w:tcW w:w="675" w:type="dxa"/>
                  <w:vAlign w:val="center"/>
                </w:tcPr>
                <w:p w14:paraId="6A32252B">
                  <w:pPr>
                    <w:adjustRightInd w:val="0"/>
                    <w:jc w:val="center"/>
                    <w:rPr>
                      <w:szCs w:val="21"/>
                    </w:rPr>
                  </w:pPr>
                  <w:r>
                    <w:rPr>
                      <w:rFonts w:hint="eastAsia"/>
                      <w:szCs w:val="21"/>
                    </w:rPr>
                    <w:t>/</w:t>
                  </w:r>
                </w:p>
              </w:tc>
              <w:tc>
                <w:tcPr>
                  <w:tcW w:w="806" w:type="dxa"/>
                  <w:vAlign w:val="center"/>
                </w:tcPr>
                <w:p w14:paraId="20C8C049">
                  <w:pPr>
                    <w:adjustRightInd w:val="0"/>
                    <w:jc w:val="center"/>
                    <w:rPr>
                      <w:szCs w:val="21"/>
                    </w:rPr>
                  </w:pPr>
                  <w:r>
                    <w:rPr>
                      <w:szCs w:val="21"/>
                    </w:rPr>
                    <w:t>0.485</w:t>
                  </w:r>
                </w:p>
              </w:tc>
              <w:tc>
                <w:tcPr>
                  <w:tcW w:w="805" w:type="dxa"/>
                  <w:vAlign w:val="center"/>
                </w:tcPr>
                <w:p w14:paraId="508565F1">
                  <w:pPr>
                    <w:adjustRightInd w:val="0"/>
                    <w:jc w:val="center"/>
                    <w:rPr>
                      <w:szCs w:val="21"/>
                    </w:rPr>
                  </w:pPr>
                  <w:r>
                    <w:rPr>
                      <w:szCs w:val="21"/>
                    </w:rPr>
                    <w:t xml:space="preserve">0.97 </w:t>
                  </w:r>
                </w:p>
              </w:tc>
              <w:tc>
                <w:tcPr>
                  <w:tcW w:w="806" w:type="dxa"/>
                  <w:vAlign w:val="center"/>
                </w:tcPr>
                <w:p w14:paraId="28A4BBF3">
                  <w:pPr>
                    <w:adjustRightInd w:val="0"/>
                    <w:jc w:val="center"/>
                    <w:rPr>
                      <w:szCs w:val="21"/>
                    </w:rPr>
                  </w:pPr>
                  <w:r>
                    <w:rPr>
                      <w:rFonts w:eastAsia="TimesNewRomanPSMT"/>
                      <w:kern w:val="0"/>
                      <w:szCs w:val="21"/>
                    </w:rPr>
                    <w:t>ND</w:t>
                  </w:r>
                </w:p>
              </w:tc>
              <w:tc>
                <w:tcPr>
                  <w:tcW w:w="689" w:type="dxa"/>
                  <w:vAlign w:val="center"/>
                </w:tcPr>
                <w:p w14:paraId="52CB143F">
                  <w:pPr>
                    <w:adjustRightInd w:val="0"/>
                    <w:jc w:val="center"/>
                    <w:rPr>
                      <w:szCs w:val="21"/>
                    </w:rPr>
                  </w:pPr>
                  <w:r>
                    <w:rPr>
                      <w:rFonts w:hint="eastAsia"/>
                      <w:szCs w:val="21"/>
                    </w:rPr>
                    <w:t>/</w:t>
                  </w:r>
                </w:p>
              </w:tc>
              <w:tc>
                <w:tcPr>
                  <w:tcW w:w="923" w:type="dxa"/>
                  <w:vMerge w:val="continue"/>
                  <w:vAlign w:val="center"/>
                </w:tcPr>
                <w:p w14:paraId="53D48CDA">
                  <w:pPr>
                    <w:adjustRightInd w:val="0"/>
                    <w:jc w:val="center"/>
                    <w:rPr>
                      <w:szCs w:val="21"/>
                    </w:rPr>
                  </w:pPr>
                </w:p>
              </w:tc>
              <w:tc>
                <w:tcPr>
                  <w:tcW w:w="672" w:type="dxa"/>
                  <w:vAlign w:val="center"/>
                </w:tcPr>
                <w:p w14:paraId="1C2C6A7A">
                  <w:pPr>
                    <w:adjustRightInd w:val="0"/>
                    <w:jc w:val="center"/>
                    <w:rPr>
                      <w:rFonts w:eastAsiaTheme="minorEastAsia"/>
                      <w:szCs w:val="21"/>
                    </w:rPr>
                  </w:pPr>
                  <w:r>
                    <w:rPr>
                      <w:rFonts w:eastAsiaTheme="minorEastAsia"/>
                      <w:szCs w:val="21"/>
                    </w:rPr>
                    <w:t>达标</w:t>
                  </w:r>
                </w:p>
              </w:tc>
            </w:tr>
            <w:tr w14:paraId="0CE4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11AF802B">
                  <w:pPr>
                    <w:adjustRightInd w:val="0"/>
                    <w:jc w:val="center"/>
                    <w:rPr>
                      <w:rFonts w:eastAsiaTheme="minorEastAsia"/>
                      <w:szCs w:val="21"/>
                    </w:rPr>
                  </w:pPr>
                  <w:r>
                    <w:rPr>
                      <w:szCs w:val="21"/>
                    </w:rPr>
                    <w:t>耗氧量（COD</w:t>
                  </w:r>
                  <w:r>
                    <w:rPr>
                      <w:szCs w:val="21"/>
                      <w:vertAlign w:val="subscript"/>
                    </w:rPr>
                    <w:t>Mn</w:t>
                  </w:r>
                  <w:r>
                    <w:rPr>
                      <w:szCs w:val="21"/>
                    </w:rPr>
                    <w:t>）</w:t>
                  </w:r>
                </w:p>
              </w:tc>
              <w:tc>
                <w:tcPr>
                  <w:tcW w:w="1201" w:type="dxa"/>
                  <w:vAlign w:val="center"/>
                </w:tcPr>
                <w:p w14:paraId="14D4A267">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3C670669">
                  <w:pPr>
                    <w:adjustRightInd w:val="0"/>
                    <w:jc w:val="center"/>
                    <w:rPr>
                      <w:szCs w:val="21"/>
                    </w:rPr>
                  </w:pPr>
                  <w:r>
                    <w:rPr>
                      <w:rFonts w:eastAsia="TimesNewRomanPSMT"/>
                      <w:kern w:val="0"/>
                      <w:szCs w:val="21"/>
                    </w:rPr>
                    <w:t>0.62</w:t>
                  </w:r>
                </w:p>
              </w:tc>
              <w:tc>
                <w:tcPr>
                  <w:tcW w:w="675" w:type="dxa"/>
                  <w:vAlign w:val="center"/>
                </w:tcPr>
                <w:p w14:paraId="576DBE70">
                  <w:pPr>
                    <w:adjustRightInd w:val="0"/>
                    <w:jc w:val="center"/>
                    <w:rPr>
                      <w:szCs w:val="21"/>
                    </w:rPr>
                  </w:pPr>
                  <w:r>
                    <w:rPr>
                      <w:szCs w:val="21"/>
                    </w:rPr>
                    <w:t xml:space="preserve">0.21 </w:t>
                  </w:r>
                </w:p>
              </w:tc>
              <w:tc>
                <w:tcPr>
                  <w:tcW w:w="806" w:type="dxa"/>
                  <w:vAlign w:val="center"/>
                </w:tcPr>
                <w:p w14:paraId="282FB5CA">
                  <w:pPr>
                    <w:adjustRightInd w:val="0"/>
                    <w:jc w:val="center"/>
                    <w:rPr>
                      <w:szCs w:val="21"/>
                    </w:rPr>
                  </w:pPr>
                  <w:r>
                    <w:rPr>
                      <w:szCs w:val="21"/>
                    </w:rPr>
                    <w:t>2.86</w:t>
                  </w:r>
                </w:p>
              </w:tc>
              <w:tc>
                <w:tcPr>
                  <w:tcW w:w="805" w:type="dxa"/>
                  <w:vAlign w:val="center"/>
                </w:tcPr>
                <w:p w14:paraId="495DDDD3">
                  <w:pPr>
                    <w:adjustRightInd w:val="0"/>
                    <w:jc w:val="center"/>
                    <w:rPr>
                      <w:szCs w:val="21"/>
                    </w:rPr>
                  </w:pPr>
                  <w:r>
                    <w:rPr>
                      <w:szCs w:val="21"/>
                    </w:rPr>
                    <w:t xml:space="preserve">0.95 </w:t>
                  </w:r>
                </w:p>
              </w:tc>
              <w:tc>
                <w:tcPr>
                  <w:tcW w:w="806" w:type="dxa"/>
                  <w:vAlign w:val="center"/>
                </w:tcPr>
                <w:p w14:paraId="3113C085">
                  <w:pPr>
                    <w:adjustRightInd w:val="0"/>
                    <w:jc w:val="center"/>
                    <w:rPr>
                      <w:szCs w:val="21"/>
                    </w:rPr>
                  </w:pPr>
                  <w:r>
                    <w:rPr>
                      <w:szCs w:val="21"/>
                    </w:rPr>
                    <w:t>1.42</w:t>
                  </w:r>
                </w:p>
              </w:tc>
              <w:tc>
                <w:tcPr>
                  <w:tcW w:w="689" w:type="dxa"/>
                  <w:vAlign w:val="center"/>
                </w:tcPr>
                <w:p w14:paraId="5DCD7220">
                  <w:pPr>
                    <w:adjustRightInd w:val="0"/>
                    <w:jc w:val="center"/>
                    <w:rPr>
                      <w:szCs w:val="21"/>
                    </w:rPr>
                  </w:pPr>
                  <w:r>
                    <w:rPr>
                      <w:szCs w:val="21"/>
                    </w:rPr>
                    <w:t xml:space="preserve">0.47 </w:t>
                  </w:r>
                </w:p>
              </w:tc>
              <w:tc>
                <w:tcPr>
                  <w:tcW w:w="923" w:type="dxa"/>
                  <w:vMerge w:val="restart"/>
                  <w:vAlign w:val="center"/>
                </w:tcPr>
                <w:p w14:paraId="2DA01E3A">
                  <w:pPr>
                    <w:adjustRightInd w:val="0"/>
                    <w:jc w:val="center"/>
                    <w:rPr>
                      <w:rFonts w:eastAsiaTheme="minorEastAsia"/>
                      <w:szCs w:val="21"/>
                    </w:rPr>
                  </w:pPr>
                  <w:r>
                    <w:rPr>
                      <w:szCs w:val="21"/>
                    </w:rPr>
                    <w:t>3.0</w:t>
                  </w:r>
                </w:p>
              </w:tc>
              <w:tc>
                <w:tcPr>
                  <w:tcW w:w="672" w:type="dxa"/>
                  <w:vAlign w:val="center"/>
                </w:tcPr>
                <w:p w14:paraId="72B4606C">
                  <w:pPr>
                    <w:adjustRightInd w:val="0"/>
                    <w:jc w:val="center"/>
                    <w:rPr>
                      <w:rFonts w:eastAsiaTheme="minorEastAsia"/>
                      <w:szCs w:val="21"/>
                    </w:rPr>
                  </w:pPr>
                  <w:r>
                    <w:rPr>
                      <w:rFonts w:eastAsiaTheme="minorEastAsia"/>
                      <w:szCs w:val="21"/>
                    </w:rPr>
                    <w:t>达标</w:t>
                  </w:r>
                </w:p>
              </w:tc>
            </w:tr>
            <w:tr w14:paraId="69DE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23313905">
                  <w:pPr>
                    <w:adjustRightInd w:val="0"/>
                    <w:jc w:val="center"/>
                    <w:rPr>
                      <w:szCs w:val="21"/>
                    </w:rPr>
                  </w:pPr>
                </w:p>
              </w:tc>
              <w:tc>
                <w:tcPr>
                  <w:tcW w:w="1201" w:type="dxa"/>
                  <w:vAlign w:val="center"/>
                </w:tcPr>
                <w:p w14:paraId="32654B49">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7305FA85">
                  <w:pPr>
                    <w:adjustRightInd w:val="0"/>
                    <w:jc w:val="center"/>
                    <w:rPr>
                      <w:szCs w:val="21"/>
                    </w:rPr>
                  </w:pPr>
                  <w:r>
                    <w:rPr>
                      <w:rFonts w:eastAsia="TimesNewRomanPSMT"/>
                      <w:kern w:val="0"/>
                      <w:szCs w:val="21"/>
                    </w:rPr>
                    <w:t>0.66</w:t>
                  </w:r>
                </w:p>
              </w:tc>
              <w:tc>
                <w:tcPr>
                  <w:tcW w:w="675" w:type="dxa"/>
                  <w:vAlign w:val="center"/>
                </w:tcPr>
                <w:p w14:paraId="4768B9B3">
                  <w:pPr>
                    <w:adjustRightInd w:val="0"/>
                    <w:jc w:val="center"/>
                    <w:rPr>
                      <w:szCs w:val="21"/>
                    </w:rPr>
                  </w:pPr>
                  <w:r>
                    <w:rPr>
                      <w:szCs w:val="21"/>
                    </w:rPr>
                    <w:t xml:space="preserve">0.22 </w:t>
                  </w:r>
                </w:p>
              </w:tc>
              <w:tc>
                <w:tcPr>
                  <w:tcW w:w="806" w:type="dxa"/>
                  <w:vAlign w:val="center"/>
                </w:tcPr>
                <w:p w14:paraId="17A8EBC2">
                  <w:pPr>
                    <w:adjustRightInd w:val="0"/>
                    <w:jc w:val="center"/>
                    <w:rPr>
                      <w:szCs w:val="21"/>
                    </w:rPr>
                  </w:pPr>
                  <w:r>
                    <w:rPr>
                      <w:szCs w:val="21"/>
                    </w:rPr>
                    <w:t>2.92</w:t>
                  </w:r>
                </w:p>
              </w:tc>
              <w:tc>
                <w:tcPr>
                  <w:tcW w:w="805" w:type="dxa"/>
                  <w:vAlign w:val="center"/>
                </w:tcPr>
                <w:p w14:paraId="46694240">
                  <w:pPr>
                    <w:adjustRightInd w:val="0"/>
                    <w:jc w:val="center"/>
                    <w:rPr>
                      <w:szCs w:val="21"/>
                    </w:rPr>
                  </w:pPr>
                  <w:r>
                    <w:rPr>
                      <w:szCs w:val="21"/>
                    </w:rPr>
                    <w:t xml:space="preserve">0.97 </w:t>
                  </w:r>
                </w:p>
              </w:tc>
              <w:tc>
                <w:tcPr>
                  <w:tcW w:w="806" w:type="dxa"/>
                  <w:vAlign w:val="center"/>
                </w:tcPr>
                <w:p w14:paraId="4F1F63BF">
                  <w:pPr>
                    <w:adjustRightInd w:val="0"/>
                    <w:jc w:val="center"/>
                    <w:rPr>
                      <w:szCs w:val="21"/>
                    </w:rPr>
                  </w:pPr>
                  <w:r>
                    <w:rPr>
                      <w:szCs w:val="21"/>
                    </w:rPr>
                    <w:t>1.51</w:t>
                  </w:r>
                </w:p>
              </w:tc>
              <w:tc>
                <w:tcPr>
                  <w:tcW w:w="689" w:type="dxa"/>
                  <w:vAlign w:val="center"/>
                </w:tcPr>
                <w:p w14:paraId="02426FB5">
                  <w:pPr>
                    <w:adjustRightInd w:val="0"/>
                    <w:jc w:val="center"/>
                    <w:rPr>
                      <w:szCs w:val="21"/>
                    </w:rPr>
                  </w:pPr>
                  <w:r>
                    <w:rPr>
                      <w:szCs w:val="21"/>
                    </w:rPr>
                    <w:t xml:space="preserve">0.50 </w:t>
                  </w:r>
                </w:p>
              </w:tc>
              <w:tc>
                <w:tcPr>
                  <w:tcW w:w="923" w:type="dxa"/>
                  <w:vMerge w:val="continue"/>
                  <w:vAlign w:val="center"/>
                </w:tcPr>
                <w:p w14:paraId="49C413A6">
                  <w:pPr>
                    <w:adjustRightInd w:val="0"/>
                    <w:jc w:val="center"/>
                    <w:rPr>
                      <w:szCs w:val="21"/>
                    </w:rPr>
                  </w:pPr>
                </w:p>
              </w:tc>
              <w:tc>
                <w:tcPr>
                  <w:tcW w:w="672" w:type="dxa"/>
                  <w:vAlign w:val="center"/>
                </w:tcPr>
                <w:p w14:paraId="0232972F">
                  <w:pPr>
                    <w:adjustRightInd w:val="0"/>
                    <w:jc w:val="center"/>
                    <w:rPr>
                      <w:rFonts w:eastAsiaTheme="minorEastAsia"/>
                      <w:szCs w:val="21"/>
                    </w:rPr>
                  </w:pPr>
                  <w:r>
                    <w:rPr>
                      <w:rFonts w:eastAsiaTheme="minorEastAsia"/>
                      <w:szCs w:val="21"/>
                    </w:rPr>
                    <w:t>达标</w:t>
                  </w:r>
                </w:p>
              </w:tc>
            </w:tr>
            <w:tr w14:paraId="7651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1D05D8C5">
                  <w:pPr>
                    <w:adjustRightInd w:val="0"/>
                    <w:jc w:val="center"/>
                    <w:rPr>
                      <w:rFonts w:eastAsiaTheme="minorEastAsia"/>
                      <w:szCs w:val="21"/>
                    </w:rPr>
                  </w:pPr>
                  <w:r>
                    <w:rPr>
                      <w:szCs w:val="21"/>
                    </w:rPr>
                    <w:t>硝酸盐</w:t>
                  </w:r>
                </w:p>
              </w:tc>
              <w:tc>
                <w:tcPr>
                  <w:tcW w:w="1201" w:type="dxa"/>
                  <w:vAlign w:val="center"/>
                </w:tcPr>
                <w:p w14:paraId="0459B1CC">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00068361">
                  <w:pPr>
                    <w:adjustRightInd w:val="0"/>
                    <w:jc w:val="center"/>
                    <w:rPr>
                      <w:szCs w:val="21"/>
                    </w:rPr>
                  </w:pPr>
                  <w:r>
                    <w:rPr>
                      <w:rFonts w:eastAsia="TimesNewRomanPSMT"/>
                      <w:kern w:val="0"/>
                      <w:szCs w:val="21"/>
                    </w:rPr>
                    <w:t>1.40</w:t>
                  </w:r>
                </w:p>
              </w:tc>
              <w:tc>
                <w:tcPr>
                  <w:tcW w:w="675" w:type="dxa"/>
                  <w:vAlign w:val="center"/>
                </w:tcPr>
                <w:p w14:paraId="14EAD06C">
                  <w:pPr>
                    <w:adjustRightInd w:val="0"/>
                    <w:jc w:val="center"/>
                    <w:rPr>
                      <w:szCs w:val="21"/>
                    </w:rPr>
                  </w:pPr>
                  <w:r>
                    <w:rPr>
                      <w:szCs w:val="21"/>
                    </w:rPr>
                    <w:t xml:space="preserve">0.07 </w:t>
                  </w:r>
                </w:p>
              </w:tc>
              <w:tc>
                <w:tcPr>
                  <w:tcW w:w="806" w:type="dxa"/>
                  <w:vAlign w:val="center"/>
                </w:tcPr>
                <w:p w14:paraId="0F4A6AD9">
                  <w:pPr>
                    <w:adjustRightInd w:val="0"/>
                    <w:jc w:val="center"/>
                    <w:rPr>
                      <w:szCs w:val="21"/>
                    </w:rPr>
                  </w:pPr>
                  <w:r>
                    <w:rPr>
                      <w:szCs w:val="21"/>
                    </w:rPr>
                    <w:t>2.10</w:t>
                  </w:r>
                </w:p>
              </w:tc>
              <w:tc>
                <w:tcPr>
                  <w:tcW w:w="805" w:type="dxa"/>
                  <w:vAlign w:val="center"/>
                </w:tcPr>
                <w:p w14:paraId="34F1BD06">
                  <w:pPr>
                    <w:adjustRightInd w:val="0"/>
                    <w:jc w:val="center"/>
                    <w:rPr>
                      <w:szCs w:val="21"/>
                    </w:rPr>
                  </w:pPr>
                  <w:r>
                    <w:rPr>
                      <w:szCs w:val="21"/>
                    </w:rPr>
                    <w:t xml:space="preserve">0.11 </w:t>
                  </w:r>
                </w:p>
              </w:tc>
              <w:tc>
                <w:tcPr>
                  <w:tcW w:w="806" w:type="dxa"/>
                  <w:vAlign w:val="center"/>
                </w:tcPr>
                <w:p w14:paraId="38ED6DAF">
                  <w:pPr>
                    <w:adjustRightInd w:val="0"/>
                    <w:jc w:val="center"/>
                    <w:rPr>
                      <w:szCs w:val="21"/>
                    </w:rPr>
                  </w:pPr>
                  <w:r>
                    <w:rPr>
                      <w:szCs w:val="21"/>
                    </w:rPr>
                    <w:t>19.7</w:t>
                  </w:r>
                </w:p>
              </w:tc>
              <w:tc>
                <w:tcPr>
                  <w:tcW w:w="689" w:type="dxa"/>
                  <w:vAlign w:val="center"/>
                </w:tcPr>
                <w:p w14:paraId="0795A66C">
                  <w:pPr>
                    <w:adjustRightInd w:val="0"/>
                    <w:jc w:val="center"/>
                    <w:rPr>
                      <w:szCs w:val="21"/>
                    </w:rPr>
                  </w:pPr>
                  <w:r>
                    <w:rPr>
                      <w:szCs w:val="21"/>
                    </w:rPr>
                    <w:t xml:space="preserve">0.99 </w:t>
                  </w:r>
                </w:p>
              </w:tc>
              <w:tc>
                <w:tcPr>
                  <w:tcW w:w="923" w:type="dxa"/>
                  <w:vMerge w:val="restart"/>
                  <w:vAlign w:val="center"/>
                </w:tcPr>
                <w:p w14:paraId="131E3A87">
                  <w:pPr>
                    <w:adjustRightInd w:val="0"/>
                    <w:jc w:val="center"/>
                    <w:rPr>
                      <w:rFonts w:eastAsiaTheme="minorEastAsia"/>
                      <w:szCs w:val="21"/>
                    </w:rPr>
                  </w:pPr>
                  <w:r>
                    <w:rPr>
                      <w:rFonts w:eastAsiaTheme="minorEastAsia"/>
                      <w:szCs w:val="21"/>
                    </w:rPr>
                    <w:t>20</w:t>
                  </w:r>
                </w:p>
              </w:tc>
              <w:tc>
                <w:tcPr>
                  <w:tcW w:w="672" w:type="dxa"/>
                  <w:vAlign w:val="center"/>
                </w:tcPr>
                <w:p w14:paraId="09B816DA">
                  <w:pPr>
                    <w:adjustRightInd w:val="0"/>
                    <w:jc w:val="center"/>
                    <w:rPr>
                      <w:rFonts w:eastAsiaTheme="minorEastAsia"/>
                      <w:szCs w:val="21"/>
                    </w:rPr>
                  </w:pPr>
                  <w:r>
                    <w:rPr>
                      <w:rFonts w:eastAsiaTheme="minorEastAsia"/>
                      <w:szCs w:val="21"/>
                    </w:rPr>
                    <w:t>达标</w:t>
                  </w:r>
                </w:p>
              </w:tc>
            </w:tr>
            <w:tr w14:paraId="0F8F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29E169B8">
                  <w:pPr>
                    <w:adjustRightInd w:val="0"/>
                    <w:jc w:val="center"/>
                    <w:rPr>
                      <w:szCs w:val="21"/>
                    </w:rPr>
                  </w:pPr>
                </w:p>
              </w:tc>
              <w:tc>
                <w:tcPr>
                  <w:tcW w:w="1201" w:type="dxa"/>
                  <w:vAlign w:val="center"/>
                </w:tcPr>
                <w:p w14:paraId="47A182B2">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1A1FD21D">
                  <w:pPr>
                    <w:adjustRightInd w:val="0"/>
                    <w:jc w:val="center"/>
                    <w:rPr>
                      <w:szCs w:val="21"/>
                    </w:rPr>
                  </w:pPr>
                  <w:r>
                    <w:rPr>
                      <w:rFonts w:eastAsia="TimesNewRomanPSMT"/>
                      <w:kern w:val="0"/>
                      <w:szCs w:val="21"/>
                    </w:rPr>
                    <w:t>1.37</w:t>
                  </w:r>
                </w:p>
              </w:tc>
              <w:tc>
                <w:tcPr>
                  <w:tcW w:w="675" w:type="dxa"/>
                  <w:vAlign w:val="center"/>
                </w:tcPr>
                <w:p w14:paraId="51CC6825">
                  <w:pPr>
                    <w:adjustRightInd w:val="0"/>
                    <w:jc w:val="center"/>
                    <w:rPr>
                      <w:szCs w:val="21"/>
                    </w:rPr>
                  </w:pPr>
                  <w:r>
                    <w:rPr>
                      <w:szCs w:val="21"/>
                    </w:rPr>
                    <w:t xml:space="preserve">0.07 </w:t>
                  </w:r>
                </w:p>
              </w:tc>
              <w:tc>
                <w:tcPr>
                  <w:tcW w:w="806" w:type="dxa"/>
                  <w:vAlign w:val="center"/>
                </w:tcPr>
                <w:p w14:paraId="29C42377">
                  <w:pPr>
                    <w:adjustRightInd w:val="0"/>
                    <w:jc w:val="center"/>
                    <w:rPr>
                      <w:szCs w:val="21"/>
                    </w:rPr>
                  </w:pPr>
                  <w:r>
                    <w:rPr>
                      <w:szCs w:val="21"/>
                    </w:rPr>
                    <w:t>2.09</w:t>
                  </w:r>
                </w:p>
              </w:tc>
              <w:tc>
                <w:tcPr>
                  <w:tcW w:w="805" w:type="dxa"/>
                  <w:vAlign w:val="center"/>
                </w:tcPr>
                <w:p w14:paraId="649165C5">
                  <w:pPr>
                    <w:adjustRightInd w:val="0"/>
                    <w:jc w:val="center"/>
                    <w:rPr>
                      <w:szCs w:val="21"/>
                    </w:rPr>
                  </w:pPr>
                  <w:r>
                    <w:rPr>
                      <w:szCs w:val="21"/>
                    </w:rPr>
                    <w:t xml:space="preserve">0.10 </w:t>
                  </w:r>
                </w:p>
              </w:tc>
              <w:tc>
                <w:tcPr>
                  <w:tcW w:w="806" w:type="dxa"/>
                  <w:vAlign w:val="center"/>
                </w:tcPr>
                <w:p w14:paraId="38FA12BB">
                  <w:pPr>
                    <w:adjustRightInd w:val="0"/>
                    <w:jc w:val="center"/>
                    <w:rPr>
                      <w:szCs w:val="21"/>
                    </w:rPr>
                  </w:pPr>
                  <w:r>
                    <w:rPr>
                      <w:szCs w:val="21"/>
                    </w:rPr>
                    <w:t>19.5</w:t>
                  </w:r>
                </w:p>
              </w:tc>
              <w:tc>
                <w:tcPr>
                  <w:tcW w:w="689" w:type="dxa"/>
                  <w:vAlign w:val="center"/>
                </w:tcPr>
                <w:p w14:paraId="6CAD5371">
                  <w:pPr>
                    <w:adjustRightInd w:val="0"/>
                    <w:jc w:val="center"/>
                    <w:rPr>
                      <w:szCs w:val="21"/>
                    </w:rPr>
                  </w:pPr>
                  <w:r>
                    <w:rPr>
                      <w:szCs w:val="21"/>
                    </w:rPr>
                    <w:t xml:space="preserve">0.98 </w:t>
                  </w:r>
                </w:p>
              </w:tc>
              <w:tc>
                <w:tcPr>
                  <w:tcW w:w="923" w:type="dxa"/>
                  <w:vMerge w:val="continue"/>
                  <w:vAlign w:val="center"/>
                </w:tcPr>
                <w:p w14:paraId="50670924">
                  <w:pPr>
                    <w:adjustRightInd w:val="0"/>
                    <w:jc w:val="center"/>
                    <w:rPr>
                      <w:rFonts w:eastAsiaTheme="minorEastAsia"/>
                      <w:szCs w:val="21"/>
                    </w:rPr>
                  </w:pPr>
                </w:p>
              </w:tc>
              <w:tc>
                <w:tcPr>
                  <w:tcW w:w="672" w:type="dxa"/>
                  <w:vAlign w:val="center"/>
                </w:tcPr>
                <w:p w14:paraId="1BD683EB">
                  <w:pPr>
                    <w:adjustRightInd w:val="0"/>
                    <w:jc w:val="center"/>
                    <w:rPr>
                      <w:rFonts w:eastAsiaTheme="minorEastAsia"/>
                      <w:szCs w:val="21"/>
                    </w:rPr>
                  </w:pPr>
                  <w:r>
                    <w:rPr>
                      <w:rFonts w:eastAsiaTheme="minorEastAsia"/>
                      <w:szCs w:val="21"/>
                    </w:rPr>
                    <w:t>达标</w:t>
                  </w:r>
                </w:p>
              </w:tc>
            </w:tr>
            <w:tr w14:paraId="5D79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13FB9F63">
                  <w:pPr>
                    <w:widowControl/>
                    <w:adjustRightInd w:val="0"/>
                    <w:jc w:val="center"/>
                    <w:textAlignment w:val="center"/>
                    <w:rPr>
                      <w:rFonts w:eastAsiaTheme="minorEastAsia"/>
                      <w:szCs w:val="21"/>
                    </w:rPr>
                  </w:pPr>
                  <w:r>
                    <w:rPr>
                      <w:szCs w:val="21"/>
                    </w:rPr>
                    <w:t>亚硝酸盐</w:t>
                  </w:r>
                </w:p>
              </w:tc>
              <w:tc>
                <w:tcPr>
                  <w:tcW w:w="1201" w:type="dxa"/>
                  <w:vAlign w:val="center"/>
                </w:tcPr>
                <w:p w14:paraId="371E6731">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24698E8E">
                  <w:pPr>
                    <w:adjustRightInd w:val="0"/>
                    <w:jc w:val="center"/>
                    <w:rPr>
                      <w:szCs w:val="21"/>
                    </w:rPr>
                  </w:pPr>
                  <w:r>
                    <w:rPr>
                      <w:rFonts w:eastAsia="TimesNewRomanPSMT"/>
                      <w:kern w:val="0"/>
                      <w:szCs w:val="21"/>
                    </w:rPr>
                    <w:t>ND</w:t>
                  </w:r>
                </w:p>
              </w:tc>
              <w:tc>
                <w:tcPr>
                  <w:tcW w:w="675" w:type="dxa"/>
                  <w:vAlign w:val="center"/>
                </w:tcPr>
                <w:p w14:paraId="008EA991">
                  <w:pPr>
                    <w:adjustRightInd w:val="0"/>
                    <w:jc w:val="center"/>
                    <w:rPr>
                      <w:szCs w:val="21"/>
                    </w:rPr>
                  </w:pPr>
                  <w:r>
                    <w:rPr>
                      <w:szCs w:val="21"/>
                    </w:rPr>
                    <w:t>/</w:t>
                  </w:r>
                </w:p>
              </w:tc>
              <w:tc>
                <w:tcPr>
                  <w:tcW w:w="806" w:type="dxa"/>
                  <w:vAlign w:val="center"/>
                </w:tcPr>
                <w:p w14:paraId="7C0BDA31">
                  <w:pPr>
                    <w:adjustRightInd w:val="0"/>
                    <w:jc w:val="center"/>
                    <w:rPr>
                      <w:szCs w:val="21"/>
                    </w:rPr>
                  </w:pPr>
                  <w:r>
                    <w:rPr>
                      <w:szCs w:val="21"/>
                    </w:rPr>
                    <w:t>0.997</w:t>
                  </w:r>
                </w:p>
              </w:tc>
              <w:tc>
                <w:tcPr>
                  <w:tcW w:w="805" w:type="dxa"/>
                  <w:vAlign w:val="center"/>
                </w:tcPr>
                <w:p w14:paraId="6DBE84AF">
                  <w:pPr>
                    <w:adjustRightInd w:val="0"/>
                    <w:jc w:val="center"/>
                    <w:rPr>
                      <w:szCs w:val="21"/>
                    </w:rPr>
                  </w:pPr>
                  <w:r>
                    <w:rPr>
                      <w:szCs w:val="21"/>
                    </w:rPr>
                    <w:t xml:space="preserve">0.997 </w:t>
                  </w:r>
                </w:p>
              </w:tc>
              <w:tc>
                <w:tcPr>
                  <w:tcW w:w="806" w:type="dxa"/>
                  <w:vAlign w:val="center"/>
                </w:tcPr>
                <w:p w14:paraId="40F50EC2">
                  <w:pPr>
                    <w:adjustRightInd w:val="0"/>
                    <w:jc w:val="center"/>
                    <w:rPr>
                      <w:szCs w:val="21"/>
                    </w:rPr>
                  </w:pPr>
                  <w:r>
                    <w:rPr>
                      <w:szCs w:val="21"/>
                    </w:rPr>
                    <w:t>0.053</w:t>
                  </w:r>
                </w:p>
              </w:tc>
              <w:tc>
                <w:tcPr>
                  <w:tcW w:w="689" w:type="dxa"/>
                  <w:vAlign w:val="center"/>
                </w:tcPr>
                <w:p w14:paraId="1443F295">
                  <w:pPr>
                    <w:adjustRightInd w:val="0"/>
                    <w:jc w:val="center"/>
                    <w:rPr>
                      <w:szCs w:val="21"/>
                    </w:rPr>
                  </w:pPr>
                  <w:r>
                    <w:rPr>
                      <w:szCs w:val="21"/>
                    </w:rPr>
                    <w:t xml:space="preserve">0.053 </w:t>
                  </w:r>
                </w:p>
              </w:tc>
              <w:tc>
                <w:tcPr>
                  <w:tcW w:w="923" w:type="dxa"/>
                  <w:vMerge w:val="restart"/>
                  <w:vAlign w:val="center"/>
                </w:tcPr>
                <w:p w14:paraId="0DBE0A42">
                  <w:pPr>
                    <w:adjustRightInd w:val="0"/>
                    <w:jc w:val="center"/>
                    <w:rPr>
                      <w:rFonts w:eastAsiaTheme="minorEastAsia"/>
                      <w:szCs w:val="21"/>
                    </w:rPr>
                  </w:pPr>
                  <w:r>
                    <w:rPr>
                      <w:rFonts w:eastAsiaTheme="minorEastAsia"/>
                      <w:szCs w:val="21"/>
                    </w:rPr>
                    <w:t>1.0</w:t>
                  </w:r>
                </w:p>
              </w:tc>
              <w:tc>
                <w:tcPr>
                  <w:tcW w:w="672" w:type="dxa"/>
                  <w:vAlign w:val="center"/>
                </w:tcPr>
                <w:p w14:paraId="4E9C4E6F">
                  <w:pPr>
                    <w:adjustRightInd w:val="0"/>
                    <w:jc w:val="center"/>
                    <w:rPr>
                      <w:rFonts w:eastAsiaTheme="minorEastAsia"/>
                      <w:szCs w:val="21"/>
                    </w:rPr>
                  </w:pPr>
                  <w:r>
                    <w:rPr>
                      <w:rFonts w:eastAsiaTheme="minorEastAsia"/>
                      <w:szCs w:val="21"/>
                    </w:rPr>
                    <w:t>达标</w:t>
                  </w:r>
                </w:p>
              </w:tc>
            </w:tr>
            <w:tr w14:paraId="241B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23781E57">
                  <w:pPr>
                    <w:widowControl/>
                    <w:adjustRightInd w:val="0"/>
                    <w:jc w:val="center"/>
                    <w:textAlignment w:val="center"/>
                    <w:rPr>
                      <w:szCs w:val="21"/>
                    </w:rPr>
                  </w:pPr>
                </w:p>
              </w:tc>
              <w:tc>
                <w:tcPr>
                  <w:tcW w:w="1201" w:type="dxa"/>
                  <w:vAlign w:val="center"/>
                </w:tcPr>
                <w:p w14:paraId="5230B3A4">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316871B9">
                  <w:pPr>
                    <w:adjustRightInd w:val="0"/>
                    <w:jc w:val="center"/>
                    <w:rPr>
                      <w:szCs w:val="21"/>
                    </w:rPr>
                  </w:pPr>
                  <w:r>
                    <w:rPr>
                      <w:rFonts w:eastAsia="TimesNewRomanPSMT"/>
                      <w:kern w:val="0"/>
                      <w:szCs w:val="21"/>
                    </w:rPr>
                    <w:t>ND</w:t>
                  </w:r>
                </w:p>
              </w:tc>
              <w:tc>
                <w:tcPr>
                  <w:tcW w:w="675" w:type="dxa"/>
                  <w:vAlign w:val="center"/>
                </w:tcPr>
                <w:p w14:paraId="0EDF8334">
                  <w:pPr>
                    <w:adjustRightInd w:val="0"/>
                    <w:jc w:val="center"/>
                    <w:rPr>
                      <w:szCs w:val="21"/>
                    </w:rPr>
                  </w:pPr>
                  <w:r>
                    <w:rPr>
                      <w:szCs w:val="21"/>
                    </w:rPr>
                    <w:t>/</w:t>
                  </w:r>
                </w:p>
              </w:tc>
              <w:tc>
                <w:tcPr>
                  <w:tcW w:w="806" w:type="dxa"/>
                  <w:vAlign w:val="center"/>
                </w:tcPr>
                <w:p w14:paraId="2FB90FD3">
                  <w:pPr>
                    <w:adjustRightInd w:val="0"/>
                    <w:jc w:val="center"/>
                    <w:rPr>
                      <w:szCs w:val="21"/>
                    </w:rPr>
                  </w:pPr>
                  <w:r>
                    <w:rPr>
                      <w:szCs w:val="21"/>
                    </w:rPr>
                    <w:t>0.995</w:t>
                  </w:r>
                </w:p>
              </w:tc>
              <w:tc>
                <w:tcPr>
                  <w:tcW w:w="805" w:type="dxa"/>
                  <w:vAlign w:val="center"/>
                </w:tcPr>
                <w:p w14:paraId="69A0D263">
                  <w:pPr>
                    <w:adjustRightInd w:val="0"/>
                    <w:jc w:val="center"/>
                    <w:rPr>
                      <w:szCs w:val="21"/>
                    </w:rPr>
                  </w:pPr>
                  <w:r>
                    <w:rPr>
                      <w:szCs w:val="21"/>
                    </w:rPr>
                    <w:t xml:space="preserve">0.995 </w:t>
                  </w:r>
                </w:p>
              </w:tc>
              <w:tc>
                <w:tcPr>
                  <w:tcW w:w="806" w:type="dxa"/>
                  <w:vAlign w:val="center"/>
                </w:tcPr>
                <w:p w14:paraId="59B41DC5">
                  <w:pPr>
                    <w:adjustRightInd w:val="0"/>
                    <w:jc w:val="center"/>
                    <w:rPr>
                      <w:szCs w:val="21"/>
                    </w:rPr>
                  </w:pPr>
                  <w:r>
                    <w:rPr>
                      <w:szCs w:val="21"/>
                    </w:rPr>
                    <w:t>0.051</w:t>
                  </w:r>
                </w:p>
              </w:tc>
              <w:tc>
                <w:tcPr>
                  <w:tcW w:w="689" w:type="dxa"/>
                  <w:vAlign w:val="center"/>
                </w:tcPr>
                <w:p w14:paraId="6DE6E76E">
                  <w:pPr>
                    <w:adjustRightInd w:val="0"/>
                    <w:jc w:val="center"/>
                    <w:rPr>
                      <w:szCs w:val="21"/>
                    </w:rPr>
                  </w:pPr>
                  <w:r>
                    <w:rPr>
                      <w:szCs w:val="21"/>
                    </w:rPr>
                    <w:t xml:space="preserve">0.051 </w:t>
                  </w:r>
                </w:p>
              </w:tc>
              <w:tc>
                <w:tcPr>
                  <w:tcW w:w="923" w:type="dxa"/>
                  <w:vMerge w:val="continue"/>
                  <w:vAlign w:val="center"/>
                </w:tcPr>
                <w:p w14:paraId="4E495122">
                  <w:pPr>
                    <w:adjustRightInd w:val="0"/>
                    <w:jc w:val="center"/>
                    <w:rPr>
                      <w:rFonts w:eastAsiaTheme="minorEastAsia"/>
                      <w:szCs w:val="21"/>
                    </w:rPr>
                  </w:pPr>
                </w:p>
              </w:tc>
              <w:tc>
                <w:tcPr>
                  <w:tcW w:w="672" w:type="dxa"/>
                  <w:vAlign w:val="center"/>
                </w:tcPr>
                <w:p w14:paraId="6DBA6E06">
                  <w:pPr>
                    <w:adjustRightInd w:val="0"/>
                    <w:jc w:val="center"/>
                    <w:rPr>
                      <w:rFonts w:eastAsiaTheme="minorEastAsia"/>
                      <w:szCs w:val="21"/>
                    </w:rPr>
                  </w:pPr>
                  <w:r>
                    <w:rPr>
                      <w:rFonts w:eastAsiaTheme="minorEastAsia"/>
                      <w:szCs w:val="21"/>
                    </w:rPr>
                    <w:t>达标</w:t>
                  </w:r>
                </w:p>
              </w:tc>
            </w:tr>
            <w:tr w14:paraId="7E3D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5A755DB2">
                  <w:pPr>
                    <w:adjustRightInd w:val="0"/>
                    <w:jc w:val="center"/>
                    <w:rPr>
                      <w:rFonts w:eastAsiaTheme="minorEastAsia"/>
                      <w:szCs w:val="21"/>
                    </w:rPr>
                  </w:pPr>
                  <w:r>
                    <w:rPr>
                      <w:szCs w:val="21"/>
                    </w:rPr>
                    <w:t>挥发性酚类</w:t>
                  </w:r>
                </w:p>
              </w:tc>
              <w:tc>
                <w:tcPr>
                  <w:tcW w:w="1201" w:type="dxa"/>
                  <w:vAlign w:val="center"/>
                </w:tcPr>
                <w:p w14:paraId="639867B4">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68CF4FC3">
                  <w:pPr>
                    <w:adjustRightInd w:val="0"/>
                    <w:jc w:val="center"/>
                    <w:rPr>
                      <w:szCs w:val="21"/>
                    </w:rPr>
                  </w:pPr>
                  <w:r>
                    <w:rPr>
                      <w:rFonts w:eastAsia="TimesNewRomanPSMT"/>
                      <w:kern w:val="0"/>
                      <w:szCs w:val="21"/>
                    </w:rPr>
                    <w:t>ND</w:t>
                  </w:r>
                </w:p>
              </w:tc>
              <w:tc>
                <w:tcPr>
                  <w:tcW w:w="675" w:type="dxa"/>
                  <w:vAlign w:val="center"/>
                </w:tcPr>
                <w:p w14:paraId="7433D0D7">
                  <w:pPr>
                    <w:adjustRightInd w:val="0"/>
                    <w:jc w:val="center"/>
                    <w:rPr>
                      <w:szCs w:val="21"/>
                    </w:rPr>
                  </w:pPr>
                  <w:r>
                    <w:rPr>
                      <w:szCs w:val="21"/>
                    </w:rPr>
                    <w:t>/</w:t>
                  </w:r>
                </w:p>
              </w:tc>
              <w:tc>
                <w:tcPr>
                  <w:tcW w:w="806" w:type="dxa"/>
                  <w:vAlign w:val="center"/>
                </w:tcPr>
                <w:p w14:paraId="02DFC29E">
                  <w:pPr>
                    <w:adjustRightInd w:val="0"/>
                    <w:jc w:val="center"/>
                    <w:rPr>
                      <w:szCs w:val="21"/>
                    </w:rPr>
                  </w:pPr>
                  <w:r>
                    <w:rPr>
                      <w:rFonts w:eastAsia="TimesNewRomanPSMT"/>
                      <w:kern w:val="0"/>
                      <w:szCs w:val="21"/>
                    </w:rPr>
                    <w:t>ND</w:t>
                  </w:r>
                </w:p>
              </w:tc>
              <w:tc>
                <w:tcPr>
                  <w:tcW w:w="805" w:type="dxa"/>
                  <w:vAlign w:val="center"/>
                </w:tcPr>
                <w:p w14:paraId="5D39DA46">
                  <w:pPr>
                    <w:adjustRightInd w:val="0"/>
                    <w:jc w:val="center"/>
                    <w:rPr>
                      <w:szCs w:val="21"/>
                    </w:rPr>
                  </w:pPr>
                  <w:r>
                    <w:rPr>
                      <w:rFonts w:hint="eastAsia"/>
                      <w:szCs w:val="21"/>
                    </w:rPr>
                    <w:t>/</w:t>
                  </w:r>
                </w:p>
              </w:tc>
              <w:tc>
                <w:tcPr>
                  <w:tcW w:w="806" w:type="dxa"/>
                  <w:vAlign w:val="center"/>
                </w:tcPr>
                <w:p w14:paraId="0F779616">
                  <w:pPr>
                    <w:adjustRightInd w:val="0"/>
                    <w:jc w:val="center"/>
                    <w:rPr>
                      <w:szCs w:val="21"/>
                    </w:rPr>
                  </w:pPr>
                  <w:r>
                    <w:rPr>
                      <w:rFonts w:eastAsia="TimesNewRomanPSMT"/>
                      <w:kern w:val="0"/>
                      <w:szCs w:val="21"/>
                    </w:rPr>
                    <w:t>ND</w:t>
                  </w:r>
                </w:p>
              </w:tc>
              <w:tc>
                <w:tcPr>
                  <w:tcW w:w="689" w:type="dxa"/>
                  <w:vAlign w:val="center"/>
                </w:tcPr>
                <w:p w14:paraId="79C58EA0">
                  <w:pPr>
                    <w:adjustRightInd w:val="0"/>
                    <w:jc w:val="center"/>
                    <w:rPr>
                      <w:szCs w:val="21"/>
                    </w:rPr>
                  </w:pPr>
                  <w:r>
                    <w:rPr>
                      <w:rFonts w:hint="eastAsia"/>
                      <w:szCs w:val="21"/>
                    </w:rPr>
                    <w:t>/</w:t>
                  </w:r>
                </w:p>
              </w:tc>
              <w:tc>
                <w:tcPr>
                  <w:tcW w:w="923" w:type="dxa"/>
                  <w:vMerge w:val="restart"/>
                  <w:vAlign w:val="center"/>
                </w:tcPr>
                <w:p w14:paraId="2AFD78A7">
                  <w:pPr>
                    <w:adjustRightInd w:val="0"/>
                    <w:jc w:val="center"/>
                    <w:rPr>
                      <w:rFonts w:eastAsiaTheme="minorEastAsia"/>
                      <w:szCs w:val="21"/>
                    </w:rPr>
                  </w:pPr>
                  <w:r>
                    <w:rPr>
                      <w:rFonts w:eastAsiaTheme="minorEastAsia"/>
                      <w:szCs w:val="21"/>
                    </w:rPr>
                    <w:t>0.002</w:t>
                  </w:r>
                </w:p>
              </w:tc>
              <w:tc>
                <w:tcPr>
                  <w:tcW w:w="672" w:type="dxa"/>
                  <w:vAlign w:val="center"/>
                </w:tcPr>
                <w:p w14:paraId="590A6121">
                  <w:pPr>
                    <w:adjustRightInd w:val="0"/>
                    <w:jc w:val="center"/>
                    <w:rPr>
                      <w:rFonts w:eastAsiaTheme="minorEastAsia"/>
                      <w:szCs w:val="21"/>
                    </w:rPr>
                  </w:pPr>
                  <w:r>
                    <w:rPr>
                      <w:rFonts w:eastAsiaTheme="minorEastAsia"/>
                      <w:szCs w:val="21"/>
                    </w:rPr>
                    <w:t>达标</w:t>
                  </w:r>
                </w:p>
              </w:tc>
            </w:tr>
            <w:tr w14:paraId="6D2C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07321710">
                  <w:pPr>
                    <w:adjustRightInd w:val="0"/>
                    <w:jc w:val="center"/>
                    <w:rPr>
                      <w:szCs w:val="21"/>
                    </w:rPr>
                  </w:pPr>
                </w:p>
              </w:tc>
              <w:tc>
                <w:tcPr>
                  <w:tcW w:w="1201" w:type="dxa"/>
                  <w:vAlign w:val="center"/>
                </w:tcPr>
                <w:p w14:paraId="27AB66F4">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75996392">
                  <w:pPr>
                    <w:adjustRightInd w:val="0"/>
                    <w:jc w:val="center"/>
                    <w:rPr>
                      <w:szCs w:val="21"/>
                    </w:rPr>
                  </w:pPr>
                  <w:r>
                    <w:rPr>
                      <w:rFonts w:eastAsia="TimesNewRomanPSMT"/>
                      <w:kern w:val="0"/>
                      <w:szCs w:val="21"/>
                    </w:rPr>
                    <w:t>ND</w:t>
                  </w:r>
                </w:p>
              </w:tc>
              <w:tc>
                <w:tcPr>
                  <w:tcW w:w="675" w:type="dxa"/>
                  <w:vAlign w:val="center"/>
                </w:tcPr>
                <w:p w14:paraId="188DDC71">
                  <w:pPr>
                    <w:adjustRightInd w:val="0"/>
                    <w:jc w:val="center"/>
                    <w:rPr>
                      <w:szCs w:val="21"/>
                    </w:rPr>
                  </w:pPr>
                  <w:r>
                    <w:rPr>
                      <w:szCs w:val="21"/>
                    </w:rPr>
                    <w:t>/</w:t>
                  </w:r>
                </w:p>
              </w:tc>
              <w:tc>
                <w:tcPr>
                  <w:tcW w:w="806" w:type="dxa"/>
                  <w:vAlign w:val="center"/>
                </w:tcPr>
                <w:p w14:paraId="154E8D08">
                  <w:pPr>
                    <w:adjustRightInd w:val="0"/>
                    <w:jc w:val="center"/>
                    <w:rPr>
                      <w:szCs w:val="21"/>
                    </w:rPr>
                  </w:pPr>
                  <w:r>
                    <w:rPr>
                      <w:rFonts w:eastAsia="TimesNewRomanPSMT"/>
                      <w:kern w:val="0"/>
                      <w:szCs w:val="21"/>
                    </w:rPr>
                    <w:t>ND</w:t>
                  </w:r>
                </w:p>
              </w:tc>
              <w:tc>
                <w:tcPr>
                  <w:tcW w:w="805" w:type="dxa"/>
                  <w:vAlign w:val="center"/>
                </w:tcPr>
                <w:p w14:paraId="0185254E">
                  <w:pPr>
                    <w:adjustRightInd w:val="0"/>
                    <w:jc w:val="center"/>
                    <w:rPr>
                      <w:szCs w:val="21"/>
                    </w:rPr>
                  </w:pPr>
                  <w:r>
                    <w:rPr>
                      <w:rFonts w:hint="eastAsia"/>
                      <w:szCs w:val="21"/>
                    </w:rPr>
                    <w:t>/</w:t>
                  </w:r>
                </w:p>
              </w:tc>
              <w:tc>
                <w:tcPr>
                  <w:tcW w:w="806" w:type="dxa"/>
                  <w:vAlign w:val="center"/>
                </w:tcPr>
                <w:p w14:paraId="6BF4DA0E">
                  <w:pPr>
                    <w:adjustRightInd w:val="0"/>
                    <w:jc w:val="center"/>
                    <w:rPr>
                      <w:szCs w:val="21"/>
                    </w:rPr>
                  </w:pPr>
                  <w:r>
                    <w:rPr>
                      <w:rFonts w:eastAsia="TimesNewRomanPSMT"/>
                      <w:kern w:val="0"/>
                      <w:szCs w:val="21"/>
                    </w:rPr>
                    <w:t>ND</w:t>
                  </w:r>
                </w:p>
              </w:tc>
              <w:tc>
                <w:tcPr>
                  <w:tcW w:w="689" w:type="dxa"/>
                  <w:vAlign w:val="center"/>
                </w:tcPr>
                <w:p w14:paraId="2B5E382F">
                  <w:pPr>
                    <w:adjustRightInd w:val="0"/>
                    <w:jc w:val="center"/>
                    <w:rPr>
                      <w:szCs w:val="21"/>
                    </w:rPr>
                  </w:pPr>
                  <w:r>
                    <w:rPr>
                      <w:rFonts w:hint="eastAsia"/>
                      <w:szCs w:val="21"/>
                    </w:rPr>
                    <w:t>/</w:t>
                  </w:r>
                </w:p>
              </w:tc>
              <w:tc>
                <w:tcPr>
                  <w:tcW w:w="923" w:type="dxa"/>
                  <w:vMerge w:val="continue"/>
                  <w:vAlign w:val="center"/>
                </w:tcPr>
                <w:p w14:paraId="589E3412">
                  <w:pPr>
                    <w:adjustRightInd w:val="0"/>
                    <w:jc w:val="center"/>
                    <w:rPr>
                      <w:rFonts w:eastAsiaTheme="minorEastAsia"/>
                      <w:szCs w:val="21"/>
                    </w:rPr>
                  </w:pPr>
                </w:p>
              </w:tc>
              <w:tc>
                <w:tcPr>
                  <w:tcW w:w="672" w:type="dxa"/>
                  <w:vAlign w:val="center"/>
                </w:tcPr>
                <w:p w14:paraId="48407DF1">
                  <w:pPr>
                    <w:adjustRightInd w:val="0"/>
                    <w:jc w:val="center"/>
                    <w:rPr>
                      <w:rFonts w:eastAsiaTheme="minorEastAsia"/>
                      <w:szCs w:val="21"/>
                    </w:rPr>
                  </w:pPr>
                  <w:r>
                    <w:rPr>
                      <w:rFonts w:eastAsiaTheme="minorEastAsia"/>
                      <w:szCs w:val="21"/>
                    </w:rPr>
                    <w:t>达标</w:t>
                  </w:r>
                </w:p>
              </w:tc>
            </w:tr>
            <w:tr w14:paraId="4AD8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588C443E">
                  <w:pPr>
                    <w:adjustRightInd w:val="0"/>
                    <w:jc w:val="center"/>
                    <w:rPr>
                      <w:rFonts w:eastAsiaTheme="minorEastAsia"/>
                      <w:szCs w:val="21"/>
                    </w:rPr>
                  </w:pPr>
                  <w:r>
                    <w:rPr>
                      <w:szCs w:val="21"/>
                    </w:rPr>
                    <w:t>氰化物</w:t>
                  </w:r>
                </w:p>
              </w:tc>
              <w:tc>
                <w:tcPr>
                  <w:tcW w:w="1201" w:type="dxa"/>
                  <w:vAlign w:val="center"/>
                </w:tcPr>
                <w:p w14:paraId="1822EA59">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tcPr>
                <w:p w14:paraId="0E851A6C">
                  <w:pPr>
                    <w:adjustRightInd w:val="0"/>
                    <w:jc w:val="center"/>
                    <w:rPr>
                      <w:szCs w:val="21"/>
                    </w:rPr>
                  </w:pPr>
                  <w:r>
                    <w:rPr>
                      <w:rFonts w:eastAsia="TimesNewRomanPSMT"/>
                      <w:kern w:val="0"/>
                      <w:szCs w:val="21"/>
                    </w:rPr>
                    <w:t>ND</w:t>
                  </w:r>
                </w:p>
              </w:tc>
              <w:tc>
                <w:tcPr>
                  <w:tcW w:w="675" w:type="dxa"/>
                  <w:vAlign w:val="center"/>
                </w:tcPr>
                <w:p w14:paraId="23535CA8">
                  <w:pPr>
                    <w:adjustRightInd w:val="0"/>
                    <w:jc w:val="center"/>
                    <w:rPr>
                      <w:szCs w:val="21"/>
                    </w:rPr>
                  </w:pPr>
                  <w:r>
                    <w:rPr>
                      <w:szCs w:val="21"/>
                    </w:rPr>
                    <w:t>/</w:t>
                  </w:r>
                </w:p>
              </w:tc>
              <w:tc>
                <w:tcPr>
                  <w:tcW w:w="806" w:type="dxa"/>
                  <w:vAlign w:val="center"/>
                </w:tcPr>
                <w:p w14:paraId="50164E14">
                  <w:pPr>
                    <w:adjustRightInd w:val="0"/>
                    <w:jc w:val="center"/>
                    <w:rPr>
                      <w:szCs w:val="21"/>
                    </w:rPr>
                  </w:pPr>
                  <w:r>
                    <w:rPr>
                      <w:rFonts w:eastAsia="TimesNewRomanPSMT"/>
                      <w:kern w:val="0"/>
                      <w:szCs w:val="21"/>
                    </w:rPr>
                    <w:t>ND</w:t>
                  </w:r>
                </w:p>
              </w:tc>
              <w:tc>
                <w:tcPr>
                  <w:tcW w:w="805" w:type="dxa"/>
                  <w:vAlign w:val="center"/>
                </w:tcPr>
                <w:p w14:paraId="02BE4630">
                  <w:pPr>
                    <w:adjustRightInd w:val="0"/>
                    <w:jc w:val="center"/>
                    <w:rPr>
                      <w:szCs w:val="21"/>
                    </w:rPr>
                  </w:pPr>
                  <w:r>
                    <w:rPr>
                      <w:rFonts w:hint="eastAsia"/>
                      <w:szCs w:val="21"/>
                    </w:rPr>
                    <w:t>/</w:t>
                  </w:r>
                </w:p>
              </w:tc>
              <w:tc>
                <w:tcPr>
                  <w:tcW w:w="806" w:type="dxa"/>
                  <w:vAlign w:val="center"/>
                </w:tcPr>
                <w:p w14:paraId="589748A6">
                  <w:pPr>
                    <w:adjustRightInd w:val="0"/>
                    <w:jc w:val="center"/>
                    <w:rPr>
                      <w:szCs w:val="21"/>
                    </w:rPr>
                  </w:pPr>
                  <w:r>
                    <w:rPr>
                      <w:rFonts w:eastAsia="TimesNewRomanPSMT"/>
                      <w:kern w:val="0"/>
                      <w:szCs w:val="21"/>
                    </w:rPr>
                    <w:t>ND</w:t>
                  </w:r>
                </w:p>
              </w:tc>
              <w:tc>
                <w:tcPr>
                  <w:tcW w:w="689" w:type="dxa"/>
                  <w:vAlign w:val="center"/>
                </w:tcPr>
                <w:p w14:paraId="3ECADE66">
                  <w:pPr>
                    <w:adjustRightInd w:val="0"/>
                    <w:jc w:val="center"/>
                    <w:rPr>
                      <w:szCs w:val="21"/>
                    </w:rPr>
                  </w:pPr>
                  <w:r>
                    <w:rPr>
                      <w:rFonts w:hint="eastAsia"/>
                      <w:szCs w:val="21"/>
                    </w:rPr>
                    <w:t>/</w:t>
                  </w:r>
                </w:p>
              </w:tc>
              <w:tc>
                <w:tcPr>
                  <w:tcW w:w="923" w:type="dxa"/>
                  <w:vMerge w:val="restart"/>
                  <w:vAlign w:val="center"/>
                </w:tcPr>
                <w:p w14:paraId="07C2D496">
                  <w:pPr>
                    <w:adjustRightInd w:val="0"/>
                    <w:jc w:val="center"/>
                    <w:rPr>
                      <w:rFonts w:eastAsiaTheme="minorEastAsia"/>
                      <w:szCs w:val="21"/>
                    </w:rPr>
                  </w:pPr>
                  <w:r>
                    <w:rPr>
                      <w:szCs w:val="21"/>
                    </w:rPr>
                    <w:t>0.05</w:t>
                  </w:r>
                </w:p>
              </w:tc>
              <w:tc>
                <w:tcPr>
                  <w:tcW w:w="672" w:type="dxa"/>
                  <w:vAlign w:val="center"/>
                </w:tcPr>
                <w:p w14:paraId="586236B0">
                  <w:pPr>
                    <w:adjustRightInd w:val="0"/>
                    <w:jc w:val="center"/>
                    <w:rPr>
                      <w:rFonts w:eastAsiaTheme="minorEastAsia"/>
                      <w:szCs w:val="21"/>
                    </w:rPr>
                  </w:pPr>
                  <w:r>
                    <w:rPr>
                      <w:rFonts w:eastAsiaTheme="minorEastAsia"/>
                      <w:szCs w:val="21"/>
                    </w:rPr>
                    <w:t>达标</w:t>
                  </w:r>
                </w:p>
              </w:tc>
            </w:tr>
            <w:tr w14:paraId="1435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7D2DEFB3">
                  <w:pPr>
                    <w:adjustRightInd w:val="0"/>
                    <w:jc w:val="center"/>
                    <w:rPr>
                      <w:szCs w:val="21"/>
                    </w:rPr>
                  </w:pPr>
                </w:p>
              </w:tc>
              <w:tc>
                <w:tcPr>
                  <w:tcW w:w="1201" w:type="dxa"/>
                  <w:vAlign w:val="center"/>
                </w:tcPr>
                <w:p w14:paraId="6651B237">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tcPr>
                <w:p w14:paraId="672EE27C">
                  <w:pPr>
                    <w:adjustRightInd w:val="0"/>
                    <w:jc w:val="center"/>
                    <w:rPr>
                      <w:szCs w:val="21"/>
                    </w:rPr>
                  </w:pPr>
                  <w:r>
                    <w:rPr>
                      <w:rFonts w:eastAsia="TimesNewRomanPSMT"/>
                      <w:kern w:val="0"/>
                      <w:szCs w:val="21"/>
                    </w:rPr>
                    <w:t>ND</w:t>
                  </w:r>
                </w:p>
              </w:tc>
              <w:tc>
                <w:tcPr>
                  <w:tcW w:w="675" w:type="dxa"/>
                  <w:vAlign w:val="center"/>
                </w:tcPr>
                <w:p w14:paraId="0CB3AE94">
                  <w:pPr>
                    <w:adjustRightInd w:val="0"/>
                    <w:jc w:val="center"/>
                    <w:rPr>
                      <w:szCs w:val="21"/>
                    </w:rPr>
                  </w:pPr>
                  <w:r>
                    <w:rPr>
                      <w:szCs w:val="21"/>
                    </w:rPr>
                    <w:t>/</w:t>
                  </w:r>
                </w:p>
              </w:tc>
              <w:tc>
                <w:tcPr>
                  <w:tcW w:w="806" w:type="dxa"/>
                  <w:vAlign w:val="center"/>
                </w:tcPr>
                <w:p w14:paraId="643D1D15">
                  <w:pPr>
                    <w:adjustRightInd w:val="0"/>
                    <w:jc w:val="center"/>
                    <w:rPr>
                      <w:szCs w:val="21"/>
                    </w:rPr>
                  </w:pPr>
                  <w:r>
                    <w:rPr>
                      <w:rFonts w:eastAsia="TimesNewRomanPSMT"/>
                      <w:kern w:val="0"/>
                      <w:szCs w:val="21"/>
                    </w:rPr>
                    <w:t>ND</w:t>
                  </w:r>
                </w:p>
              </w:tc>
              <w:tc>
                <w:tcPr>
                  <w:tcW w:w="805" w:type="dxa"/>
                  <w:vAlign w:val="center"/>
                </w:tcPr>
                <w:p w14:paraId="1791AD1C">
                  <w:pPr>
                    <w:adjustRightInd w:val="0"/>
                    <w:jc w:val="center"/>
                    <w:rPr>
                      <w:szCs w:val="21"/>
                    </w:rPr>
                  </w:pPr>
                  <w:r>
                    <w:rPr>
                      <w:rFonts w:hint="eastAsia"/>
                      <w:szCs w:val="21"/>
                    </w:rPr>
                    <w:t>/</w:t>
                  </w:r>
                </w:p>
              </w:tc>
              <w:tc>
                <w:tcPr>
                  <w:tcW w:w="806" w:type="dxa"/>
                  <w:vAlign w:val="center"/>
                </w:tcPr>
                <w:p w14:paraId="4AAAD606">
                  <w:pPr>
                    <w:adjustRightInd w:val="0"/>
                    <w:jc w:val="center"/>
                    <w:rPr>
                      <w:szCs w:val="21"/>
                    </w:rPr>
                  </w:pPr>
                  <w:r>
                    <w:rPr>
                      <w:rFonts w:eastAsia="TimesNewRomanPSMT"/>
                      <w:kern w:val="0"/>
                      <w:szCs w:val="21"/>
                    </w:rPr>
                    <w:t>ND</w:t>
                  </w:r>
                </w:p>
              </w:tc>
              <w:tc>
                <w:tcPr>
                  <w:tcW w:w="689" w:type="dxa"/>
                  <w:vAlign w:val="center"/>
                </w:tcPr>
                <w:p w14:paraId="16E18FA1">
                  <w:pPr>
                    <w:adjustRightInd w:val="0"/>
                    <w:jc w:val="center"/>
                    <w:rPr>
                      <w:szCs w:val="21"/>
                    </w:rPr>
                  </w:pPr>
                  <w:r>
                    <w:rPr>
                      <w:rFonts w:hint="eastAsia"/>
                      <w:szCs w:val="21"/>
                    </w:rPr>
                    <w:t>/</w:t>
                  </w:r>
                </w:p>
              </w:tc>
              <w:tc>
                <w:tcPr>
                  <w:tcW w:w="923" w:type="dxa"/>
                  <w:vMerge w:val="continue"/>
                  <w:vAlign w:val="center"/>
                </w:tcPr>
                <w:p w14:paraId="664FD918">
                  <w:pPr>
                    <w:adjustRightInd w:val="0"/>
                    <w:jc w:val="center"/>
                    <w:rPr>
                      <w:szCs w:val="21"/>
                    </w:rPr>
                  </w:pPr>
                </w:p>
              </w:tc>
              <w:tc>
                <w:tcPr>
                  <w:tcW w:w="672" w:type="dxa"/>
                  <w:vAlign w:val="center"/>
                </w:tcPr>
                <w:p w14:paraId="2048641C">
                  <w:pPr>
                    <w:adjustRightInd w:val="0"/>
                    <w:jc w:val="center"/>
                    <w:rPr>
                      <w:rFonts w:eastAsiaTheme="minorEastAsia"/>
                      <w:szCs w:val="21"/>
                    </w:rPr>
                  </w:pPr>
                  <w:r>
                    <w:rPr>
                      <w:rFonts w:eastAsiaTheme="minorEastAsia"/>
                      <w:szCs w:val="21"/>
                    </w:rPr>
                    <w:t>达标</w:t>
                  </w:r>
                </w:p>
              </w:tc>
            </w:tr>
            <w:tr w14:paraId="50CE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58E5E77E">
                  <w:pPr>
                    <w:widowControl/>
                    <w:adjustRightInd w:val="0"/>
                    <w:jc w:val="center"/>
                    <w:textAlignment w:val="center"/>
                    <w:rPr>
                      <w:rFonts w:eastAsiaTheme="minorEastAsia"/>
                      <w:szCs w:val="21"/>
                    </w:rPr>
                  </w:pPr>
                  <w:r>
                    <w:rPr>
                      <w:szCs w:val="21"/>
                    </w:rPr>
                    <w:t>砷</w:t>
                  </w:r>
                </w:p>
              </w:tc>
              <w:tc>
                <w:tcPr>
                  <w:tcW w:w="1201" w:type="dxa"/>
                  <w:vAlign w:val="center"/>
                </w:tcPr>
                <w:p w14:paraId="06EEB6A7">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tcPr>
                <w:p w14:paraId="0EE1CB09">
                  <w:pPr>
                    <w:adjustRightInd w:val="0"/>
                    <w:jc w:val="center"/>
                    <w:rPr>
                      <w:szCs w:val="21"/>
                    </w:rPr>
                  </w:pPr>
                  <w:r>
                    <w:rPr>
                      <w:rFonts w:eastAsia="TimesNewRomanPSMT"/>
                      <w:kern w:val="0"/>
                      <w:szCs w:val="21"/>
                    </w:rPr>
                    <w:t>ND</w:t>
                  </w:r>
                </w:p>
              </w:tc>
              <w:tc>
                <w:tcPr>
                  <w:tcW w:w="675" w:type="dxa"/>
                  <w:vAlign w:val="center"/>
                </w:tcPr>
                <w:p w14:paraId="0736CBC0">
                  <w:pPr>
                    <w:adjustRightInd w:val="0"/>
                    <w:jc w:val="center"/>
                    <w:rPr>
                      <w:szCs w:val="21"/>
                    </w:rPr>
                  </w:pPr>
                  <w:r>
                    <w:rPr>
                      <w:szCs w:val="21"/>
                    </w:rPr>
                    <w:t>/</w:t>
                  </w:r>
                </w:p>
              </w:tc>
              <w:tc>
                <w:tcPr>
                  <w:tcW w:w="806" w:type="dxa"/>
                  <w:vAlign w:val="center"/>
                </w:tcPr>
                <w:p w14:paraId="5C33300F">
                  <w:pPr>
                    <w:adjustRightInd w:val="0"/>
                    <w:jc w:val="center"/>
                    <w:rPr>
                      <w:szCs w:val="21"/>
                    </w:rPr>
                  </w:pPr>
                  <w:r>
                    <w:rPr>
                      <w:szCs w:val="21"/>
                    </w:rPr>
                    <w:t>0.0003</w:t>
                  </w:r>
                </w:p>
              </w:tc>
              <w:tc>
                <w:tcPr>
                  <w:tcW w:w="805" w:type="dxa"/>
                  <w:vAlign w:val="center"/>
                </w:tcPr>
                <w:p w14:paraId="32C788D7">
                  <w:pPr>
                    <w:adjustRightInd w:val="0"/>
                    <w:jc w:val="center"/>
                    <w:rPr>
                      <w:szCs w:val="21"/>
                    </w:rPr>
                  </w:pPr>
                  <w:r>
                    <w:rPr>
                      <w:szCs w:val="21"/>
                    </w:rPr>
                    <w:t>0.030</w:t>
                  </w:r>
                </w:p>
              </w:tc>
              <w:tc>
                <w:tcPr>
                  <w:tcW w:w="806" w:type="dxa"/>
                  <w:vAlign w:val="center"/>
                </w:tcPr>
                <w:p w14:paraId="2BD96E55">
                  <w:pPr>
                    <w:adjustRightInd w:val="0"/>
                    <w:jc w:val="center"/>
                    <w:rPr>
                      <w:szCs w:val="21"/>
                    </w:rPr>
                  </w:pPr>
                  <w:r>
                    <w:rPr>
                      <w:rFonts w:eastAsia="TimesNewRomanPSMT"/>
                      <w:kern w:val="0"/>
                      <w:szCs w:val="21"/>
                    </w:rPr>
                    <w:t>ND</w:t>
                  </w:r>
                </w:p>
              </w:tc>
              <w:tc>
                <w:tcPr>
                  <w:tcW w:w="689" w:type="dxa"/>
                  <w:vAlign w:val="center"/>
                </w:tcPr>
                <w:p w14:paraId="4F6A7EA1">
                  <w:pPr>
                    <w:adjustRightInd w:val="0"/>
                    <w:jc w:val="center"/>
                    <w:rPr>
                      <w:szCs w:val="21"/>
                    </w:rPr>
                  </w:pPr>
                  <w:r>
                    <w:rPr>
                      <w:rFonts w:hint="eastAsia"/>
                      <w:szCs w:val="21"/>
                    </w:rPr>
                    <w:t>/</w:t>
                  </w:r>
                </w:p>
              </w:tc>
              <w:tc>
                <w:tcPr>
                  <w:tcW w:w="923" w:type="dxa"/>
                  <w:vMerge w:val="restart"/>
                  <w:vAlign w:val="center"/>
                </w:tcPr>
                <w:p w14:paraId="4388D8D4">
                  <w:pPr>
                    <w:adjustRightInd w:val="0"/>
                    <w:jc w:val="center"/>
                    <w:rPr>
                      <w:rFonts w:eastAsiaTheme="minorEastAsia"/>
                      <w:szCs w:val="21"/>
                    </w:rPr>
                  </w:pPr>
                  <w:r>
                    <w:rPr>
                      <w:szCs w:val="21"/>
                    </w:rPr>
                    <w:t>0.01</w:t>
                  </w:r>
                </w:p>
              </w:tc>
              <w:tc>
                <w:tcPr>
                  <w:tcW w:w="672" w:type="dxa"/>
                  <w:vAlign w:val="center"/>
                </w:tcPr>
                <w:p w14:paraId="73F31DE5">
                  <w:pPr>
                    <w:adjustRightInd w:val="0"/>
                    <w:jc w:val="center"/>
                    <w:rPr>
                      <w:rFonts w:eastAsiaTheme="minorEastAsia"/>
                      <w:szCs w:val="21"/>
                    </w:rPr>
                  </w:pPr>
                  <w:r>
                    <w:rPr>
                      <w:rFonts w:eastAsiaTheme="minorEastAsia"/>
                      <w:szCs w:val="21"/>
                    </w:rPr>
                    <w:t>达标</w:t>
                  </w:r>
                </w:p>
              </w:tc>
            </w:tr>
            <w:tr w14:paraId="3FB5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29D10F8C">
                  <w:pPr>
                    <w:widowControl/>
                    <w:adjustRightInd w:val="0"/>
                    <w:jc w:val="center"/>
                    <w:textAlignment w:val="center"/>
                    <w:rPr>
                      <w:szCs w:val="21"/>
                    </w:rPr>
                  </w:pPr>
                </w:p>
              </w:tc>
              <w:tc>
                <w:tcPr>
                  <w:tcW w:w="1201" w:type="dxa"/>
                  <w:vAlign w:val="center"/>
                </w:tcPr>
                <w:p w14:paraId="544E38F0">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tcPr>
                <w:p w14:paraId="57EB292D">
                  <w:pPr>
                    <w:adjustRightInd w:val="0"/>
                    <w:jc w:val="center"/>
                    <w:rPr>
                      <w:szCs w:val="21"/>
                    </w:rPr>
                  </w:pPr>
                  <w:r>
                    <w:rPr>
                      <w:rFonts w:eastAsia="TimesNewRomanPSMT"/>
                      <w:kern w:val="0"/>
                      <w:szCs w:val="21"/>
                    </w:rPr>
                    <w:t>ND</w:t>
                  </w:r>
                </w:p>
              </w:tc>
              <w:tc>
                <w:tcPr>
                  <w:tcW w:w="675" w:type="dxa"/>
                  <w:vAlign w:val="center"/>
                </w:tcPr>
                <w:p w14:paraId="739782F4">
                  <w:pPr>
                    <w:adjustRightInd w:val="0"/>
                    <w:jc w:val="center"/>
                    <w:rPr>
                      <w:szCs w:val="21"/>
                    </w:rPr>
                  </w:pPr>
                  <w:r>
                    <w:rPr>
                      <w:szCs w:val="21"/>
                    </w:rPr>
                    <w:t>/</w:t>
                  </w:r>
                </w:p>
              </w:tc>
              <w:tc>
                <w:tcPr>
                  <w:tcW w:w="806" w:type="dxa"/>
                  <w:vAlign w:val="center"/>
                </w:tcPr>
                <w:p w14:paraId="1687C227">
                  <w:pPr>
                    <w:adjustRightInd w:val="0"/>
                    <w:jc w:val="center"/>
                    <w:rPr>
                      <w:szCs w:val="21"/>
                    </w:rPr>
                  </w:pPr>
                  <w:r>
                    <w:rPr>
                      <w:szCs w:val="21"/>
                    </w:rPr>
                    <w:t>0.0003</w:t>
                  </w:r>
                </w:p>
              </w:tc>
              <w:tc>
                <w:tcPr>
                  <w:tcW w:w="805" w:type="dxa"/>
                  <w:vAlign w:val="center"/>
                </w:tcPr>
                <w:p w14:paraId="71302137">
                  <w:pPr>
                    <w:adjustRightInd w:val="0"/>
                    <w:jc w:val="center"/>
                    <w:rPr>
                      <w:szCs w:val="21"/>
                    </w:rPr>
                  </w:pPr>
                  <w:r>
                    <w:rPr>
                      <w:szCs w:val="21"/>
                    </w:rPr>
                    <w:t>0.030</w:t>
                  </w:r>
                </w:p>
              </w:tc>
              <w:tc>
                <w:tcPr>
                  <w:tcW w:w="806" w:type="dxa"/>
                  <w:vAlign w:val="center"/>
                </w:tcPr>
                <w:p w14:paraId="5E772D05">
                  <w:pPr>
                    <w:adjustRightInd w:val="0"/>
                    <w:jc w:val="center"/>
                    <w:rPr>
                      <w:szCs w:val="21"/>
                    </w:rPr>
                  </w:pPr>
                  <w:r>
                    <w:rPr>
                      <w:rFonts w:eastAsia="TimesNewRomanPSMT"/>
                      <w:kern w:val="0"/>
                      <w:szCs w:val="21"/>
                    </w:rPr>
                    <w:t>ND</w:t>
                  </w:r>
                </w:p>
              </w:tc>
              <w:tc>
                <w:tcPr>
                  <w:tcW w:w="689" w:type="dxa"/>
                  <w:vAlign w:val="center"/>
                </w:tcPr>
                <w:p w14:paraId="1D070457">
                  <w:pPr>
                    <w:adjustRightInd w:val="0"/>
                    <w:jc w:val="center"/>
                    <w:rPr>
                      <w:szCs w:val="21"/>
                    </w:rPr>
                  </w:pPr>
                  <w:r>
                    <w:rPr>
                      <w:rFonts w:hint="eastAsia"/>
                      <w:szCs w:val="21"/>
                    </w:rPr>
                    <w:t>/</w:t>
                  </w:r>
                </w:p>
              </w:tc>
              <w:tc>
                <w:tcPr>
                  <w:tcW w:w="923" w:type="dxa"/>
                  <w:vMerge w:val="continue"/>
                  <w:vAlign w:val="center"/>
                </w:tcPr>
                <w:p w14:paraId="313E4A2F">
                  <w:pPr>
                    <w:adjustRightInd w:val="0"/>
                    <w:jc w:val="center"/>
                    <w:rPr>
                      <w:szCs w:val="21"/>
                    </w:rPr>
                  </w:pPr>
                </w:p>
              </w:tc>
              <w:tc>
                <w:tcPr>
                  <w:tcW w:w="672" w:type="dxa"/>
                  <w:vAlign w:val="center"/>
                </w:tcPr>
                <w:p w14:paraId="3DB0B8FA">
                  <w:pPr>
                    <w:adjustRightInd w:val="0"/>
                    <w:jc w:val="center"/>
                    <w:rPr>
                      <w:rFonts w:eastAsiaTheme="minorEastAsia"/>
                      <w:szCs w:val="21"/>
                    </w:rPr>
                  </w:pPr>
                  <w:r>
                    <w:rPr>
                      <w:rFonts w:eastAsiaTheme="minorEastAsia"/>
                      <w:szCs w:val="21"/>
                    </w:rPr>
                    <w:t>达标</w:t>
                  </w:r>
                </w:p>
              </w:tc>
            </w:tr>
            <w:tr w14:paraId="4C83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23E88CF0">
                  <w:pPr>
                    <w:adjustRightInd w:val="0"/>
                    <w:jc w:val="center"/>
                    <w:rPr>
                      <w:rFonts w:eastAsiaTheme="minorEastAsia"/>
                      <w:szCs w:val="21"/>
                    </w:rPr>
                  </w:pPr>
                  <w:r>
                    <w:rPr>
                      <w:szCs w:val="21"/>
                    </w:rPr>
                    <w:t>汞</w:t>
                  </w:r>
                </w:p>
              </w:tc>
              <w:tc>
                <w:tcPr>
                  <w:tcW w:w="1201" w:type="dxa"/>
                  <w:vAlign w:val="center"/>
                </w:tcPr>
                <w:p w14:paraId="2B73A875">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tcPr>
                <w:p w14:paraId="0F125F1B">
                  <w:pPr>
                    <w:adjustRightInd w:val="0"/>
                    <w:jc w:val="center"/>
                    <w:rPr>
                      <w:szCs w:val="21"/>
                    </w:rPr>
                  </w:pPr>
                  <w:r>
                    <w:rPr>
                      <w:rFonts w:eastAsia="TimesNewRomanPSMT"/>
                      <w:kern w:val="0"/>
                      <w:szCs w:val="21"/>
                    </w:rPr>
                    <w:t>ND</w:t>
                  </w:r>
                </w:p>
              </w:tc>
              <w:tc>
                <w:tcPr>
                  <w:tcW w:w="675" w:type="dxa"/>
                  <w:vAlign w:val="center"/>
                </w:tcPr>
                <w:p w14:paraId="4ED7570A">
                  <w:pPr>
                    <w:adjustRightInd w:val="0"/>
                    <w:jc w:val="center"/>
                    <w:rPr>
                      <w:szCs w:val="21"/>
                    </w:rPr>
                  </w:pPr>
                  <w:r>
                    <w:rPr>
                      <w:szCs w:val="21"/>
                    </w:rPr>
                    <w:t>/</w:t>
                  </w:r>
                </w:p>
              </w:tc>
              <w:tc>
                <w:tcPr>
                  <w:tcW w:w="806" w:type="dxa"/>
                  <w:vAlign w:val="center"/>
                </w:tcPr>
                <w:p w14:paraId="3632F85E">
                  <w:pPr>
                    <w:adjustRightInd w:val="0"/>
                    <w:jc w:val="center"/>
                    <w:rPr>
                      <w:szCs w:val="21"/>
                    </w:rPr>
                  </w:pPr>
                  <w:r>
                    <w:rPr>
                      <w:rFonts w:eastAsia="TimesNewRomanPSMT"/>
                      <w:kern w:val="0"/>
                      <w:szCs w:val="21"/>
                    </w:rPr>
                    <w:t>ND</w:t>
                  </w:r>
                </w:p>
              </w:tc>
              <w:tc>
                <w:tcPr>
                  <w:tcW w:w="805" w:type="dxa"/>
                  <w:vAlign w:val="center"/>
                </w:tcPr>
                <w:p w14:paraId="5C6F10E7">
                  <w:pPr>
                    <w:adjustRightInd w:val="0"/>
                    <w:jc w:val="center"/>
                    <w:rPr>
                      <w:szCs w:val="21"/>
                    </w:rPr>
                  </w:pPr>
                  <w:r>
                    <w:rPr>
                      <w:rFonts w:hint="eastAsia"/>
                      <w:szCs w:val="21"/>
                    </w:rPr>
                    <w:t>/</w:t>
                  </w:r>
                </w:p>
              </w:tc>
              <w:tc>
                <w:tcPr>
                  <w:tcW w:w="806" w:type="dxa"/>
                  <w:vAlign w:val="center"/>
                </w:tcPr>
                <w:p w14:paraId="2BE85732">
                  <w:pPr>
                    <w:adjustRightInd w:val="0"/>
                    <w:jc w:val="center"/>
                    <w:rPr>
                      <w:szCs w:val="21"/>
                    </w:rPr>
                  </w:pPr>
                  <w:r>
                    <w:rPr>
                      <w:rFonts w:eastAsia="TimesNewRomanPSMT"/>
                      <w:kern w:val="0"/>
                      <w:szCs w:val="21"/>
                    </w:rPr>
                    <w:t>ND</w:t>
                  </w:r>
                </w:p>
              </w:tc>
              <w:tc>
                <w:tcPr>
                  <w:tcW w:w="689" w:type="dxa"/>
                  <w:vAlign w:val="center"/>
                </w:tcPr>
                <w:p w14:paraId="0B65D483">
                  <w:pPr>
                    <w:adjustRightInd w:val="0"/>
                    <w:jc w:val="center"/>
                    <w:rPr>
                      <w:szCs w:val="21"/>
                    </w:rPr>
                  </w:pPr>
                  <w:r>
                    <w:rPr>
                      <w:rFonts w:hint="eastAsia"/>
                      <w:szCs w:val="21"/>
                    </w:rPr>
                    <w:t>/</w:t>
                  </w:r>
                </w:p>
              </w:tc>
              <w:tc>
                <w:tcPr>
                  <w:tcW w:w="923" w:type="dxa"/>
                  <w:vMerge w:val="restart"/>
                  <w:vAlign w:val="center"/>
                </w:tcPr>
                <w:p w14:paraId="5C9653AB">
                  <w:pPr>
                    <w:adjustRightInd w:val="0"/>
                    <w:jc w:val="center"/>
                    <w:rPr>
                      <w:rFonts w:eastAsiaTheme="minorEastAsia"/>
                      <w:szCs w:val="21"/>
                    </w:rPr>
                  </w:pPr>
                  <w:r>
                    <w:rPr>
                      <w:szCs w:val="21"/>
                    </w:rPr>
                    <w:t>0.001</w:t>
                  </w:r>
                </w:p>
              </w:tc>
              <w:tc>
                <w:tcPr>
                  <w:tcW w:w="672" w:type="dxa"/>
                  <w:vAlign w:val="center"/>
                </w:tcPr>
                <w:p w14:paraId="0E14BC2A">
                  <w:pPr>
                    <w:adjustRightInd w:val="0"/>
                    <w:jc w:val="center"/>
                    <w:rPr>
                      <w:rFonts w:eastAsiaTheme="minorEastAsia"/>
                      <w:szCs w:val="21"/>
                    </w:rPr>
                  </w:pPr>
                  <w:r>
                    <w:rPr>
                      <w:rFonts w:eastAsiaTheme="minorEastAsia"/>
                      <w:szCs w:val="21"/>
                    </w:rPr>
                    <w:t>达标</w:t>
                  </w:r>
                </w:p>
              </w:tc>
            </w:tr>
            <w:tr w14:paraId="6F3A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623EB255">
                  <w:pPr>
                    <w:adjustRightInd w:val="0"/>
                    <w:jc w:val="center"/>
                    <w:rPr>
                      <w:szCs w:val="21"/>
                    </w:rPr>
                  </w:pPr>
                </w:p>
              </w:tc>
              <w:tc>
                <w:tcPr>
                  <w:tcW w:w="1201" w:type="dxa"/>
                  <w:vAlign w:val="center"/>
                </w:tcPr>
                <w:p w14:paraId="1A4C4A03">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tcPr>
                <w:p w14:paraId="7BC0147A">
                  <w:pPr>
                    <w:adjustRightInd w:val="0"/>
                    <w:jc w:val="center"/>
                    <w:rPr>
                      <w:szCs w:val="21"/>
                    </w:rPr>
                  </w:pPr>
                  <w:r>
                    <w:rPr>
                      <w:rFonts w:eastAsia="TimesNewRomanPSMT"/>
                      <w:kern w:val="0"/>
                      <w:szCs w:val="21"/>
                    </w:rPr>
                    <w:t>ND</w:t>
                  </w:r>
                </w:p>
              </w:tc>
              <w:tc>
                <w:tcPr>
                  <w:tcW w:w="675" w:type="dxa"/>
                  <w:vAlign w:val="center"/>
                </w:tcPr>
                <w:p w14:paraId="12DE7FCA">
                  <w:pPr>
                    <w:adjustRightInd w:val="0"/>
                    <w:jc w:val="center"/>
                    <w:rPr>
                      <w:szCs w:val="21"/>
                    </w:rPr>
                  </w:pPr>
                  <w:r>
                    <w:rPr>
                      <w:szCs w:val="21"/>
                    </w:rPr>
                    <w:t>/</w:t>
                  </w:r>
                </w:p>
              </w:tc>
              <w:tc>
                <w:tcPr>
                  <w:tcW w:w="806" w:type="dxa"/>
                  <w:vAlign w:val="center"/>
                </w:tcPr>
                <w:p w14:paraId="7CD91869">
                  <w:pPr>
                    <w:adjustRightInd w:val="0"/>
                    <w:jc w:val="center"/>
                    <w:rPr>
                      <w:szCs w:val="21"/>
                    </w:rPr>
                  </w:pPr>
                  <w:r>
                    <w:rPr>
                      <w:rFonts w:eastAsia="TimesNewRomanPSMT"/>
                      <w:kern w:val="0"/>
                      <w:szCs w:val="21"/>
                    </w:rPr>
                    <w:t>ND</w:t>
                  </w:r>
                </w:p>
              </w:tc>
              <w:tc>
                <w:tcPr>
                  <w:tcW w:w="805" w:type="dxa"/>
                  <w:vAlign w:val="center"/>
                </w:tcPr>
                <w:p w14:paraId="2F8A5E8B">
                  <w:pPr>
                    <w:adjustRightInd w:val="0"/>
                    <w:jc w:val="center"/>
                    <w:rPr>
                      <w:szCs w:val="21"/>
                    </w:rPr>
                  </w:pPr>
                  <w:r>
                    <w:rPr>
                      <w:rFonts w:hint="eastAsia"/>
                      <w:szCs w:val="21"/>
                    </w:rPr>
                    <w:t>/</w:t>
                  </w:r>
                </w:p>
              </w:tc>
              <w:tc>
                <w:tcPr>
                  <w:tcW w:w="806" w:type="dxa"/>
                  <w:vAlign w:val="center"/>
                </w:tcPr>
                <w:p w14:paraId="6A59D1A3">
                  <w:pPr>
                    <w:adjustRightInd w:val="0"/>
                    <w:jc w:val="center"/>
                    <w:rPr>
                      <w:szCs w:val="21"/>
                    </w:rPr>
                  </w:pPr>
                  <w:r>
                    <w:rPr>
                      <w:rFonts w:eastAsia="TimesNewRomanPSMT"/>
                      <w:kern w:val="0"/>
                      <w:szCs w:val="21"/>
                    </w:rPr>
                    <w:t>ND</w:t>
                  </w:r>
                </w:p>
              </w:tc>
              <w:tc>
                <w:tcPr>
                  <w:tcW w:w="689" w:type="dxa"/>
                  <w:vAlign w:val="center"/>
                </w:tcPr>
                <w:p w14:paraId="12CC3D93">
                  <w:pPr>
                    <w:adjustRightInd w:val="0"/>
                    <w:jc w:val="center"/>
                    <w:rPr>
                      <w:szCs w:val="21"/>
                    </w:rPr>
                  </w:pPr>
                  <w:r>
                    <w:rPr>
                      <w:rFonts w:hint="eastAsia"/>
                      <w:szCs w:val="21"/>
                    </w:rPr>
                    <w:t>/</w:t>
                  </w:r>
                </w:p>
              </w:tc>
              <w:tc>
                <w:tcPr>
                  <w:tcW w:w="923" w:type="dxa"/>
                  <w:vMerge w:val="continue"/>
                  <w:vAlign w:val="center"/>
                </w:tcPr>
                <w:p w14:paraId="4062DE55">
                  <w:pPr>
                    <w:adjustRightInd w:val="0"/>
                    <w:jc w:val="center"/>
                    <w:rPr>
                      <w:szCs w:val="21"/>
                    </w:rPr>
                  </w:pPr>
                </w:p>
              </w:tc>
              <w:tc>
                <w:tcPr>
                  <w:tcW w:w="672" w:type="dxa"/>
                  <w:vAlign w:val="center"/>
                </w:tcPr>
                <w:p w14:paraId="2BF849FB">
                  <w:pPr>
                    <w:adjustRightInd w:val="0"/>
                    <w:jc w:val="center"/>
                    <w:rPr>
                      <w:rFonts w:eastAsiaTheme="minorEastAsia"/>
                      <w:szCs w:val="21"/>
                    </w:rPr>
                  </w:pPr>
                  <w:r>
                    <w:rPr>
                      <w:rFonts w:eastAsiaTheme="minorEastAsia"/>
                      <w:szCs w:val="21"/>
                    </w:rPr>
                    <w:t>达标</w:t>
                  </w:r>
                </w:p>
              </w:tc>
            </w:tr>
            <w:tr w14:paraId="16C7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1" w:type="dxa"/>
                  <w:vMerge w:val="restart"/>
                  <w:vAlign w:val="center"/>
                </w:tcPr>
                <w:p w14:paraId="448747FD">
                  <w:pPr>
                    <w:adjustRightInd w:val="0"/>
                    <w:jc w:val="center"/>
                    <w:rPr>
                      <w:rFonts w:eastAsiaTheme="minorEastAsia"/>
                      <w:szCs w:val="21"/>
                    </w:rPr>
                  </w:pPr>
                  <w:r>
                    <w:rPr>
                      <w:szCs w:val="21"/>
                    </w:rPr>
                    <w:t>铬(六价)</w:t>
                  </w:r>
                </w:p>
              </w:tc>
              <w:tc>
                <w:tcPr>
                  <w:tcW w:w="1201" w:type="dxa"/>
                  <w:vAlign w:val="center"/>
                </w:tcPr>
                <w:p w14:paraId="14E19F3D">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tcPr>
                <w:p w14:paraId="2EA690F9">
                  <w:pPr>
                    <w:adjustRightInd w:val="0"/>
                    <w:jc w:val="center"/>
                    <w:rPr>
                      <w:szCs w:val="21"/>
                    </w:rPr>
                  </w:pPr>
                  <w:r>
                    <w:rPr>
                      <w:rFonts w:eastAsia="TimesNewRomanPSMT"/>
                      <w:kern w:val="0"/>
                      <w:szCs w:val="21"/>
                    </w:rPr>
                    <w:t>ND</w:t>
                  </w:r>
                </w:p>
              </w:tc>
              <w:tc>
                <w:tcPr>
                  <w:tcW w:w="675" w:type="dxa"/>
                  <w:vAlign w:val="center"/>
                </w:tcPr>
                <w:p w14:paraId="47146192">
                  <w:pPr>
                    <w:adjustRightInd w:val="0"/>
                    <w:jc w:val="center"/>
                    <w:rPr>
                      <w:szCs w:val="21"/>
                    </w:rPr>
                  </w:pPr>
                  <w:r>
                    <w:rPr>
                      <w:szCs w:val="21"/>
                    </w:rPr>
                    <w:t>/</w:t>
                  </w:r>
                </w:p>
              </w:tc>
              <w:tc>
                <w:tcPr>
                  <w:tcW w:w="806" w:type="dxa"/>
                  <w:vAlign w:val="center"/>
                </w:tcPr>
                <w:p w14:paraId="73EFF1F5">
                  <w:pPr>
                    <w:adjustRightInd w:val="0"/>
                    <w:jc w:val="center"/>
                    <w:rPr>
                      <w:szCs w:val="21"/>
                    </w:rPr>
                  </w:pPr>
                  <w:r>
                    <w:rPr>
                      <w:rFonts w:eastAsia="TimesNewRomanPSMT"/>
                      <w:kern w:val="0"/>
                      <w:szCs w:val="21"/>
                    </w:rPr>
                    <w:t>ND</w:t>
                  </w:r>
                </w:p>
              </w:tc>
              <w:tc>
                <w:tcPr>
                  <w:tcW w:w="805" w:type="dxa"/>
                  <w:vAlign w:val="center"/>
                </w:tcPr>
                <w:p w14:paraId="57222EA0">
                  <w:pPr>
                    <w:adjustRightInd w:val="0"/>
                    <w:jc w:val="center"/>
                    <w:rPr>
                      <w:szCs w:val="21"/>
                    </w:rPr>
                  </w:pPr>
                  <w:r>
                    <w:rPr>
                      <w:rFonts w:hint="eastAsia"/>
                      <w:szCs w:val="21"/>
                    </w:rPr>
                    <w:t>/</w:t>
                  </w:r>
                </w:p>
              </w:tc>
              <w:tc>
                <w:tcPr>
                  <w:tcW w:w="806" w:type="dxa"/>
                  <w:vAlign w:val="center"/>
                </w:tcPr>
                <w:p w14:paraId="55639C3F">
                  <w:pPr>
                    <w:adjustRightInd w:val="0"/>
                    <w:jc w:val="center"/>
                    <w:rPr>
                      <w:szCs w:val="21"/>
                    </w:rPr>
                  </w:pPr>
                  <w:r>
                    <w:rPr>
                      <w:rFonts w:eastAsia="TimesNewRomanPSMT"/>
                      <w:kern w:val="0"/>
                      <w:szCs w:val="21"/>
                    </w:rPr>
                    <w:t>ND</w:t>
                  </w:r>
                </w:p>
              </w:tc>
              <w:tc>
                <w:tcPr>
                  <w:tcW w:w="689" w:type="dxa"/>
                  <w:vAlign w:val="center"/>
                </w:tcPr>
                <w:p w14:paraId="696DFAD8">
                  <w:pPr>
                    <w:adjustRightInd w:val="0"/>
                    <w:jc w:val="center"/>
                    <w:rPr>
                      <w:szCs w:val="21"/>
                    </w:rPr>
                  </w:pPr>
                  <w:r>
                    <w:rPr>
                      <w:rFonts w:hint="eastAsia"/>
                      <w:szCs w:val="21"/>
                    </w:rPr>
                    <w:t>/</w:t>
                  </w:r>
                </w:p>
              </w:tc>
              <w:tc>
                <w:tcPr>
                  <w:tcW w:w="923" w:type="dxa"/>
                  <w:vMerge w:val="restart"/>
                  <w:vAlign w:val="center"/>
                </w:tcPr>
                <w:p w14:paraId="3B3D2821">
                  <w:pPr>
                    <w:adjustRightInd w:val="0"/>
                    <w:jc w:val="center"/>
                    <w:rPr>
                      <w:rFonts w:eastAsiaTheme="minorEastAsia"/>
                      <w:szCs w:val="21"/>
                    </w:rPr>
                  </w:pPr>
                  <w:r>
                    <w:rPr>
                      <w:szCs w:val="21"/>
                    </w:rPr>
                    <w:t>0.05</w:t>
                  </w:r>
                </w:p>
              </w:tc>
              <w:tc>
                <w:tcPr>
                  <w:tcW w:w="672" w:type="dxa"/>
                  <w:vAlign w:val="center"/>
                </w:tcPr>
                <w:p w14:paraId="343956E7">
                  <w:pPr>
                    <w:adjustRightInd w:val="0"/>
                    <w:jc w:val="center"/>
                    <w:rPr>
                      <w:rFonts w:eastAsiaTheme="minorEastAsia"/>
                      <w:szCs w:val="21"/>
                    </w:rPr>
                  </w:pPr>
                  <w:r>
                    <w:rPr>
                      <w:rFonts w:eastAsiaTheme="minorEastAsia"/>
                      <w:szCs w:val="21"/>
                    </w:rPr>
                    <w:t>达标</w:t>
                  </w:r>
                </w:p>
              </w:tc>
            </w:tr>
            <w:tr w14:paraId="222F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1" w:type="dxa"/>
                  <w:vMerge w:val="continue"/>
                  <w:vAlign w:val="center"/>
                </w:tcPr>
                <w:p w14:paraId="022DD7D9">
                  <w:pPr>
                    <w:adjustRightInd w:val="0"/>
                    <w:jc w:val="center"/>
                    <w:rPr>
                      <w:szCs w:val="21"/>
                    </w:rPr>
                  </w:pPr>
                </w:p>
              </w:tc>
              <w:tc>
                <w:tcPr>
                  <w:tcW w:w="1201" w:type="dxa"/>
                  <w:vAlign w:val="center"/>
                </w:tcPr>
                <w:p w14:paraId="33BE570E">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tcPr>
                <w:p w14:paraId="281E88E9">
                  <w:pPr>
                    <w:adjustRightInd w:val="0"/>
                    <w:jc w:val="center"/>
                    <w:rPr>
                      <w:szCs w:val="21"/>
                    </w:rPr>
                  </w:pPr>
                  <w:r>
                    <w:rPr>
                      <w:rFonts w:eastAsia="TimesNewRomanPSMT"/>
                      <w:kern w:val="0"/>
                      <w:szCs w:val="21"/>
                    </w:rPr>
                    <w:t>ND</w:t>
                  </w:r>
                </w:p>
              </w:tc>
              <w:tc>
                <w:tcPr>
                  <w:tcW w:w="675" w:type="dxa"/>
                  <w:vAlign w:val="center"/>
                </w:tcPr>
                <w:p w14:paraId="36770E70">
                  <w:pPr>
                    <w:adjustRightInd w:val="0"/>
                    <w:jc w:val="center"/>
                    <w:rPr>
                      <w:szCs w:val="21"/>
                    </w:rPr>
                  </w:pPr>
                  <w:r>
                    <w:rPr>
                      <w:szCs w:val="21"/>
                    </w:rPr>
                    <w:t>/</w:t>
                  </w:r>
                </w:p>
              </w:tc>
              <w:tc>
                <w:tcPr>
                  <w:tcW w:w="806" w:type="dxa"/>
                  <w:vAlign w:val="center"/>
                </w:tcPr>
                <w:p w14:paraId="1071B695">
                  <w:pPr>
                    <w:adjustRightInd w:val="0"/>
                    <w:jc w:val="center"/>
                    <w:rPr>
                      <w:szCs w:val="21"/>
                    </w:rPr>
                  </w:pPr>
                  <w:r>
                    <w:rPr>
                      <w:rFonts w:eastAsia="TimesNewRomanPSMT"/>
                      <w:kern w:val="0"/>
                      <w:szCs w:val="21"/>
                    </w:rPr>
                    <w:t>ND</w:t>
                  </w:r>
                </w:p>
              </w:tc>
              <w:tc>
                <w:tcPr>
                  <w:tcW w:w="805" w:type="dxa"/>
                  <w:vAlign w:val="center"/>
                </w:tcPr>
                <w:p w14:paraId="75762813">
                  <w:pPr>
                    <w:adjustRightInd w:val="0"/>
                    <w:jc w:val="center"/>
                    <w:rPr>
                      <w:szCs w:val="21"/>
                    </w:rPr>
                  </w:pPr>
                  <w:r>
                    <w:rPr>
                      <w:rFonts w:hint="eastAsia"/>
                      <w:szCs w:val="21"/>
                    </w:rPr>
                    <w:t>/</w:t>
                  </w:r>
                </w:p>
              </w:tc>
              <w:tc>
                <w:tcPr>
                  <w:tcW w:w="806" w:type="dxa"/>
                  <w:vAlign w:val="center"/>
                </w:tcPr>
                <w:p w14:paraId="50EC58B6">
                  <w:pPr>
                    <w:adjustRightInd w:val="0"/>
                    <w:jc w:val="center"/>
                    <w:rPr>
                      <w:szCs w:val="21"/>
                    </w:rPr>
                  </w:pPr>
                  <w:r>
                    <w:rPr>
                      <w:rFonts w:eastAsia="TimesNewRomanPSMT"/>
                      <w:kern w:val="0"/>
                      <w:szCs w:val="21"/>
                    </w:rPr>
                    <w:t>ND</w:t>
                  </w:r>
                </w:p>
              </w:tc>
              <w:tc>
                <w:tcPr>
                  <w:tcW w:w="689" w:type="dxa"/>
                  <w:vAlign w:val="center"/>
                </w:tcPr>
                <w:p w14:paraId="1614290B">
                  <w:pPr>
                    <w:adjustRightInd w:val="0"/>
                    <w:jc w:val="center"/>
                    <w:rPr>
                      <w:szCs w:val="21"/>
                    </w:rPr>
                  </w:pPr>
                  <w:r>
                    <w:rPr>
                      <w:rFonts w:hint="eastAsia"/>
                      <w:szCs w:val="21"/>
                    </w:rPr>
                    <w:t>/</w:t>
                  </w:r>
                </w:p>
              </w:tc>
              <w:tc>
                <w:tcPr>
                  <w:tcW w:w="923" w:type="dxa"/>
                  <w:vMerge w:val="continue"/>
                  <w:vAlign w:val="center"/>
                </w:tcPr>
                <w:p w14:paraId="1E774631">
                  <w:pPr>
                    <w:adjustRightInd w:val="0"/>
                    <w:jc w:val="center"/>
                    <w:rPr>
                      <w:szCs w:val="21"/>
                    </w:rPr>
                  </w:pPr>
                </w:p>
              </w:tc>
              <w:tc>
                <w:tcPr>
                  <w:tcW w:w="672" w:type="dxa"/>
                  <w:vAlign w:val="center"/>
                </w:tcPr>
                <w:p w14:paraId="60CC8C4E">
                  <w:pPr>
                    <w:adjustRightInd w:val="0"/>
                    <w:jc w:val="center"/>
                    <w:rPr>
                      <w:rFonts w:eastAsiaTheme="minorEastAsia"/>
                      <w:szCs w:val="21"/>
                    </w:rPr>
                  </w:pPr>
                  <w:r>
                    <w:rPr>
                      <w:rFonts w:eastAsiaTheme="minorEastAsia"/>
                      <w:szCs w:val="21"/>
                    </w:rPr>
                    <w:t>达标</w:t>
                  </w:r>
                </w:p>
              </w:tc>
            </w:tr>
            <w:tr w14:paraId="5C39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14BF40DA">
                  <w:pPr>
                    <w:widowControl/>
                    <w:adjustRightInd w:val="0"/>
                    <w:jc w:val="center"/>
                    <w:textAlignment w:val="center"/>
                    <w:rPr>
                      <w:rFonts w:eastAsiaTheme="minorEastAsia"/>
                      <w:szCs w:val="21"/>
                    </w:rPr>
                  </w:pPr>
                  <w:r>
                    <w:rPr>
                      <w:szCs w:val="21"/>
                    </w:rPr>
                    <w:t>总硬度</w:t>
                  </w:r>
                </w:p>
              </w:tc>
              <w:tc>
                <w:tcPr>
                  <w:tcW w:w="1201" w:type="dxa"/>
                  <w:vAlign w:val="center"/>
                </w:tcPr>
                <w:p w14:paraId="0827A57E">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74049262">
                  <w:pPr>
                    <w:adjustRightInd w:val="0"/>
                    <w:jc w:val="center"/>
                    <w:rPr>
                      <w:szCs w:val="21"/>
                    </w:rPr>
                  </w:pPr>
                  <w:r>
                    <w:rPr>
                      <w:rFonts w:eastAsia="TimesNewRomanPSMT"/>
                      <w:kern w:val="0"/>
                      <w:szCs w:val="21"/>
                    </w:rPr>
                    <w:t>436</w:t>
                  </w:r>
                </w:p>
              </w:tc>
              <w:tc>
                <w:tcPr>
                  <w:tcW w:w="675" w:type="dxa"/>
                  <w:vAlign w:val="center"/>
                </w:tcPr>
                <w:p w14:paraId="6E70C1F8">
                  <w:pPr>
                    <w:adjustRightInd w:val="0"/>
                    <w:jc w:val="center"/>
                    <w:rPr>
                      <w:szCs w:val="21"/>
                    </w:rPr>
                  </w:pPr>
                  <w:r>
                    <w:rPr>
                      <w:szCs w:val="21"/>
                    </w:rPr>
                    <w:t xml:space="preserve">0.97 </w:t>
                  </w:r>
                </w:p>
              </w:tc>
              <w:tc>
                <w:tcPr>
                  <w:tcW w:w="806" w:type="dxa"/>
                  <w:vAlign w:val="center"/>
                </w:tcPr>
                <w:p w14:paraId="76CE3769">
                  <w:pPr>
                    <w:adjustRightInd w:val="0"/>
                    <w:jc w:val="center"/>
                    <w:rPr>
                      <w:szCs w:val="21"/>
                    </w:rPr>
                  </w:pPr>
                  <w:r>
                    <w:rPr>
                      <w:szCs w:val="21"/>
                    </w:rPr>
                    <w:t>440</w:t>
                  </w:r>
                </w:p>
              </w:tc>
              <w:tc>
                <w:tcPr>
                  <w:tcW w:w="805" w:type="dxa"/>
                  <w:vAlign w:val="center"/>
                </w:tcPr>
                <w:p w14:paraId="60309BC6">
                  <w:pPr>
                    <w:adjustRightInd w:val="0"/>
                    <w:jc w:val="center"/>
                    <w:rPr>
                      <w:szCs w:val="21"/>
                    </w:rPr>
                  </w:pPr>
                  <w:r>
                    <w:rPr>
                      <w:szCs w:val="21"/>
                    </w:rPr>
                    <w:t xml:space="preserve">0.978 </w:t>
                  </w:r>
                </w:p>
              </w:tc>
              <w:tc>
                <w:tcPr>
                  <w:tcW w:w="806" w:type="dxa"/>
                  <w:vAlign w:val="center"/>
                </w:tcPr>
                <w:p w14:paraId="43D4D2AC">
                  <w:pPr>
                    <w:adjustRightInd w:val="0"/>
                    <w:jc w:val="center"/>
                    <w:rPr>
                      <w:szCs w:val="21"/>
                    </w:rPr>
                  </w:pPr>
                  <w:r>
                    <w:rPr>
                      <w:szCs w:val="21"/>
                    </w:rPr>
                    <w:t>426</w:t>
                  </w:r>
                </w:p>
              </w:tc>
              <w:tc>
                <w:tcPr>
                  <w:tcW w:w="689" w:type="dxa"/>
                  <w:vAlign w:val="center"/>
                </w:tcPr>
                <w:p w14:paraId="56A2DEDC">
                  <w:pPr>
                    <w:adjustRightInd w:val="0"/>
                    <w:jc w:val="center"/>
                    <w:rPr>
                      <w:szCs w:val="21"/>
                    </w:rPr>
                  </w:pPr>
                  <w:r>
                    <w:rPr>
                      <w:szCs w:val="21"/>
                    </w:rPr>
                    <w:t xml:space="preserve">0.95 </w:t>
                  </w:r>
                </w:p>
              </w:tc>
              <w:tc>
                <w:tcPr>
                  <w:tcW w:w="923" w:type="dxa"/>
                  <w:vMerge w:val="restart"/>
                  <w:vAlign w:val="center"/>
                </w:tcPr>
                <w:p w14:paraId="414C779C">
                  <w:pPr>
                    <w:adjustRightInd w:val="0"/>
                    <w:jc w:val="center"/>
                    <w:rPr>
                      <w:rFonts w:eastAsiaTheme="minorEastAsia"/>
                      <w:szCs w:val="21"/>
                    </w:rPr>
                  </w:pPr>
                  <w:r>
                    <w:rPr>
                      <w:szCs w:val="21"/>
                    </w:rPr>
                    <w:t>450</w:t>
                  </w:r>
                </w:p>
              </w:tc>
              <w:tc>
                <w:tcPr>
                  <w:tcW w:w="672" w:type="dxa"/>
                  <w:vAlign w:val="center"/>
                </w:tcPr>
                <w:p w14:paraId="2D9585C6">
                  <w:pPr>
                    <w:adjustRightInd w:val="0"/>
                    <w:jc w:val="center"/>
                    <w:rPr>
                      <w:rFonts w:eastAsiaTheme="minorEastAsia"/>
                      <w:szCs w:val="21"/>
                    </w:rPr>
                  </w:pPr>
                  <w:r>
                    <w:rPr>
                      <w:rFonts w:eastAsiaTheme="minorEastAsia"/>
                      <w:szCs w:val="21"/>
                    </w:rPr>
                    <w:t>达标</w:t>
                  </w:r>
                </w:p>
              </w:tc>
            </w:tr>
            <w:tr w14:paraId="533B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2D5C4A01">
                  <w:pPr>
                    <w:widowControl/>
                    <w:adjustRightInd w:val="0"/>
                    <w:jc w:val="center"/>
                    <w:textAlignment w:val="center"/>
                    <w:rPr>
                      <w:szCs w:val="21"/>
                    </w:rPr>
                  </w:pPr>
                </w:p>
              </w:tc>
              <w:tc>
                <w:tcPr>
                  <w:tcW w:w="1201" w:type="dxa"/>
                  <w:vAlign w:val="center"/>
                </w:tcPr>
                <w:p w14:paraId="488FDB29">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51D782B8">
                  <w:pPr>
                    <w:adjustRightInd w:val="0"/>
                    <w:jc w:val="center"/>
                    <w:rPr>
                      <w:szCs w:val="21"/>
                    </w:rPr>
                  </w:pPr>
                  <w:r>
                    <w:rPr>
                      <w:rFonts w:eastAsia="TimesNewRomanPSMT"/>
                      <w:kern w:val="0"/>
                      <w:szCs w:val="21"/>
                    </w:rPr>
                    <w:t>442</w:t>
                  </w:r>
                </w:p>
              </w:tc>
              <w:tc>
                <w:tcPr>
                  <w:tcW w:w="675" w:type="dxa"/>
                  <w:vAlign w:val="center"/>
                </w:tcPr>
                <w:p w14:paraId="53BEA9FB">
                  <w:pPr>
                    <w:adjustRightInd w:val="0"/>
                    <w:jc w:val="center"/>
                    <w:rPr>
                      <w:szCs w:val="21"/>
                    </w:rPr>
                  </w:pPr>
                  <w:r>
                    <w:rPr>
                      <w:szCs w:val="21"/>
                    </w:rPr>
                    <w:t xml:space="preserve">0.98 </w:t>
                  </w:r>
                </w:p>
              </w:tc>
              <w:tc>
                <w:tcPr>
                  <w:tcW w:w="806" w:type="dxa"/>
                  <w:vAlign w:val="center"/>
                </w:tcPr>
                <w:p w14:paraId="548BD38E">
                  <w:pPr>
                    <w:adjustRightInd w:val="0"/>
                    <w:jc w:val="center"/>
                    <w:rPr>
                      <w:szCs w:val="21"/>
                    </w:rPr>
                  </w:pPr>
                  <w:r>
                    <w:rPr>
                      <w:szCs w:val="21"/>
                    </w:rPr>
                    <w:t>448</w:t>
                  </w:r>
                </w:p>
              </w:tc>
              <w:tc>
                <w:tcPr>
                  <w:tcW w:w="805" w:type="dxa"/>
                  <w:vAlign w:val="center"/>
                </w:tcPr>
                <w:p w14:paraId="133FD278">
                  <w:pPr>
                    <w:adjustRightInd w:val="0"/>
                    <w:jc w:val="center"/>
                    <w:rPr>
                      <w:szCs w:val="21"/>
                    </w:rPr>
                  </w:pPr>
                  <w:r>
                    <w:rPr>
                      <w:szCs w:val="21"/>
                    </w:rPr>
                    <w:t xml:space="preserve">0.996 </w:t>
                  </w:r>
                </w:p>
              </w:tc>
              <w:tc>
                <w:tcPr>
                  <w:tcW w:w="806" w:type="dxa"/>
                  <w:vAlign w:val="center"/>
                </w:tcPr>
                <w:p w14:paraId="1279FDF1">
                  <w:pPr>
                    <w:adjustRightInd w:val="0"/>
                    <w:jc w:val="center"/>
                    <w:rPr>
                      <w:szCs w:val="21"/>
                    </w:rPr>
                  </w:pPr>
                  <w:r>
                    <w:rPr>
                      <w:szCs w:val="21"/>
                    </w:rPr>
                    <w:t>420</w:t>
                  </w:r>
                </w:p>
              </w:tc>
              <w:tc>
                <w:tcPr>
                  <w:tcW w:w="689" w:type="dxa"/>
                  <w:vAlign w:val="center"/>
                </w:tcPr>
                <w:p w14:paraId="6D0FD0CD">
                  <w:pPr>
                    <w:adjustRightInd w:val="0"/>
                    <w:jc w:val="center"/>
                    <w:rPr>
                      <w:szCs w:val="21"/>
                    </w:rPr>
                  </w:pPr>
                  <w:r>
                    <w:rPr>
                      <w:szCs w:val="21"/>
                    </w:rPr>
                    <w:t xml:space="preserve">0.93 </w:t>
                  </w:r>
                </w:p>
              </w:tc>
              <w:tc>
                <w:tcPr>
                  <w:tcW w:w="923" w:type="dxa"/>
                  <w:vMerge w:val="continue"/>
                  <w:vAlign w:val="center"/>
                </w:tcPr>
                <w:p w14:paraId="12CA48E7">
                  <w:pPr>
                    <w:adjustRightInd w:val="0"/>
                    <w:jc w:val="center"/>
                    <w:rPr>
                      <w:szCs w:val="21"/>
                    </w:rPr>
                  </w:pPr>
                </w:p>
              </w:tc>
              <w:tc>
                <w:tcPr>
                  <w:tcW w:w="672" w:type="dxa"/>
                  <w:vAlign w:val="center"/>
                </w:tcPr>
                <w:p w14:paraId="755B8647">
                  <w:pPr>
                    <w:adjustRightInd w:val="0"/>
                    <w:jc w:val="center"/>
                    <w:rPr>
                      <w:rFonts w:eastAsiaTheme="minorEastAsia"/>
                      <w:szCs w:val="21"/>
                    </w:rPr>
                  </w:pPr>
                  <w:r>
                    <w:rPr>
                      <w:rFonts w:eastAsiaTheme="minorEastAsia"/>
                      <w:szCs w:val="21"/>
                    </w:rPr>
                    <w:t>达标</w:t>
                  </w:r>
                </w:p>
              </w:tc>
            </w:tr>
            <w:tr w14:paraId="0896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25F09385">
                  <w:pPr>
                    <w:adjustRightInd w:val="0"/>
                    <w:jc w:val="center"/>
                    <w:rPr>
                      <w:rFonts w:eastAsiaTheme="minorEastAsia"/>
                      <w:szCs w:val="21"/>
                    </w:rPr>
                  </w:pPr>
                  <w:r>
                    <w:rPr>
                      <w:szCs w:val="21"/>
                    </w:rPr>
                    <w:t>铅</w:t>
                  </w:r>
                </w:p>
              </w:tc>
              <w:tc>
                <w:tcPr>
                  <w:tcW w:w="1201" w:type="dxa"/>
                  <w:vAlign w:val="center"/>
                </w:tcPr>
                <w:p w14:paraId="19582531">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tcPr>
                <w:p w14:paraId="65979467">
                  <w:pPr>
                    <w:adjustRightInd w:val="0"/>
                    <w:jc w:val="center"/>
                    <w:rPr>
                      <w:szCs w:val="21"/>
                    </w:rPr>
                  </w:pPr>
                  <w:r>
                    <w:rPr>
                      <w:rFonts w:eastAsia="TimesNewRomanPSMT"/>
                      <w:kern w:val="0"/>
                      <w:szCs w:val="21"/>
                    </w:rPr>
                    <w:t>ND</w:t>
                  </w:r>
                </w:p>
              </w:tc>
              <w:tc>
                <w:tcPr>
                  <w:tcW w:w="675" w:type="dxa"/>
                  <w:vAlign w:val="center"/>
                </w:tcPr>
                <w:p w14:paraId="032517D3">
                  <w:pPr>
                    <w:adjustRightInd w:val="0"/>
                    <w:jc w:val="center"/>
                    <w:rPr>
                      <w:szCs w:val="21"/>
                    </w:rPr>
                  </w:pPr>
                  <w:r>
                    <w:rPr>
                      <w:szCs w:val="21"/>
                    </w:rPr>
                    <w:t>/</w:t>
                  </w:r>
                </w:p>
              </w:tc>
              <w:tc>
                <w:tcPr>
                  <w:tcW w:w="806" w:type="dxa"/>
                  <w:vAlign w:val="center"/>
                </w:tcPr>
                <w:p w14:paraId="410FBC6A">
                  <w:pPr>
                    <w:adjustRightInd w:val="0"/>
                    <w:jc w:val="center"/>
                    <w:rPr>
                      <w:szCs w:val="21"/>
                    </w:rPr>
                  </w:pPr>
                  <w:r>
                    <w:rPr>
                      <w:rFonts w:eastAsia="TimesNewRomanPSMT"/>
                      <w:kern w:val="0"/>
                      <w:szCs w:val="21"/>
                    </w:rPr>
                    <w:t>ND</w:t>
                  </w:r>
                </w:p>
              </w:tc>
              <w:tc>
                <w:tcPr>
                  <w:tcW w:w="805" w:type="dxa"/>
                  <w:vAlign w:val="center"/>
                </w:tcPr>
                <w:p w14:paraId="13BC0248">
                  <w:pPr>
                    <w:adjustRightInd w:val="0"/>
                    <w:jc w:val="center"/>
                    <w:rPr>
                      <w:szCs w:val="21"/>
                    </w:rPr>
                  </w:pPr>
                  <w:r>
                    <w:rPr>
                      <w:rFonts w:hint="eastAsia"/>
                      <w:szCs w:val="21"/>
                    </w:rPr>
                    <w:t>/</w:t>
                  </w:r>
                </w:p>
              </w:tc>
              <w:tc>
                <w:tcPr>
                  <w:tcW w:w="806" w:type="dxa"/>
                  <w:vAlign w:val="center"/>
                </w:tcPr>
                <w:p w14:paraId="2EB0517C">
                  <w:pPr>
                    <w:adjustRightInd w:val="0"/>
                    <w:jc w:val="center"/>
                    <w:rPr>
                      <w:szCs w:val="21"/>
                    </w:rPr>
                  </w:pPr>
                  <w:r>
                    <w:rPr>
                      <w:rFonts w:eastAsia="TimesNewRomanPSMT"/>
                      <w:kern w:val="0"/>
                      <w:szCs w:val="21"/>
                    </w:rPr>
                    <w:t>ND</w:t>
                  </w:r>
                </w:p>
              </w:tc>
              <w:tc>
                <w:tcPr>
                  <w:tcW w:w="689" w:type="dxa"/>
                  <w:vAlign w:val="center"/>
                </w:tcPr>
                <w:p w14:paraId="3D32C6E8">
                  <w:pPr>
                    <w:adjustRightInd w:val="0"/>
                    <w:jc w:val="center"/>
                    <w:rPr>
                      <w:szCs w:val="21"/>
                    </w:rPr>
                  </w:pPr>
                  <w:r>
                    <w:rPr>
                      <w:rFonts w:hint="eastAsia"/>
                      <w:szCs w:val="21"/>
                    </w:rPr>
                    <w:t>/</w:t>
                  </w:r>
                </w:p>
              </w:tc>
              <w:tc>
                <w:tcPr>
                  <w:tcW w:w="923" w:type="dxa"/>
                  <w:vMerge w:val="restart"/>
                  <w:vAlign w:val="center"/>
                </w:tcPr>
                <w:p w14:paraId="60058959">
                  <w:pPr>
                    <w:adjustRightInd w:val="0"/>
                    <w:jc w:val="center"/>
                    <w:rPr>
                      <w:rFonts w:eastAsiaTheme="minorEastAsia"/>
                      <w:szCs w:val="21"/>
                    </w:rPr>
                  </w:pPr>
                  <w:r>
                    <w:rPr>
                      <w:rFonts w:eastAsiaTheme="minorEastAsia"/>
                      <w:szCs w:val="21"/>
                    </w:rPr>
                    <w:t>0.01</w:t>
                  </w:r>
                </w:p>
              </w:tc>
              <w:tc>
                <w:tcPr>
                  <w:tcW w:w="672" w:type="dxa"/>
                  <w:vAlign w:val="center"/>
                </w:tcPr>
                <w:p w14:paraId="4F72F7B8">
                  <w:pPr>
                    <w:adjustRightInd w:val="0"/>
                    <w:jc w:val="center"/>
                    <w:rPr>
                      <w:rFonts w:eastAsiaTheme="minorEastAsia"/>
                      <w:szCs w:val="21"/>
                    </w:rPr>
                  </w:pPr>
                  <w:r>
                    <w:rPr>
                      <w:rFonts w:eastAsiaTheme="minorEastAsia"/>
                      <w:szCs w:val="21"/>
                    </w:rPr>
                    <w:t>达标</w:t>
                  </w:r>
                </w:p>
              </w:tc>
            </w:tr>
            <w:tr w14:paraId="6BC2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034698B5">
                  <w:pPr>
                    <w:adjustRightInd w:val="0"/>
                    <w:jc w:val="center"/>
                    <w:rPr>
                      <w:szCs w:val="21"/>
                    </w:rPr>
                  </w:pPr>
                </w:p>
              </w:tc>
              <w:tc>
                <w:tcPr>
                  <w:tcW w:w="1201" w:type="dxa"/>
                  <w:vAlign w:val="center"/>
                </w:tcPr>
                <w:p w14:paraId="465D0C5A">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tcPr>
                <w:p w14:paraId="7AAFC62A">
                  <w:pPr>
                    <w:adjustRightInd w:val="0"/>
                    <w:jc w:val="center"/>
                    <w:rPr>
                      <w:szCs w:val="21"/>
                    </w:rPr>
                  </w:pPr>
                  <w:r>
                    <w:rPr>
                      <w:rFonts w:eastAsia="TimesNewRomanPSMT"/>
                      <w:kern w:val="0"/>
                      <w:szCs w:val="21"/>
                    </w:rPr>
                    <w:t>ND</w:t>
                  </w:r>
                </w:p>
              </w:tc>
              <w:tc>
                <w:tcPr>
                  <w:tcW w:w="675" w:type="dxa"/>
                  <w:vAlign w:val="center"/>
                </w:tcPr>
                <w:p w14:paraId="44523890">
                  <w:pPr>
                    <w:adjustRightInd w:val="0"/>
                    <w:jc w:val="center"/>
                    <w:rPr>
                      <w:szCs w:val="21"/>
                    </w:rPr>
                  </w:pPr>
                  <w:r>
                    <w:rPr>
                      <w:szCs w:val="21"/>
                    </w:rPr>
                    <w:t>/</w:t>
                  </w:r>
                </w:p>
              </w:tc>
              <w:tc>
                <w:tcPr>
                  <w:tcW w:w="806" w:type="dxa"/>
                  <w:vAlign w:val="center"/>
                </w:tcPr>
                <w:p w14:paraId="2150B72B">
                  <w:pPr>
                    <w:adjustRightInd w:val="0"/>
                    <w:jc w:val="center"/>
                    <w:rPr>
                      <w:szCs w:val="21"/>
                    </w:rPr>
                  </w:pPr>
                  <w:r>
                    <w:rPr>
                      <w:rFonts w:eastAsia="TimesNewRomanPSMT"/>
                      <w:kern w:val="0"/>
                      <w:szCs w:val="21"/>
                    </w:rPr>
                    <w:t>ND</w:t>
                  </w:r>
                </w:p>
              </w:tc>
              <w:tc>
                <w:tcPr>
                  <w:tcW w:w="805" w:type="dxa"/>
                  <w:vAlign w:val="center"/>
                </w:tcPr>
                <w:p w14:paraId="308FB1B5">
                  <w:pPr>
                    <w:adjustRightInd w:val="0"/>
                    <w:jc w:val="center"/>
                    <w:rPr>
                      <w:szCs w:val="21"/>
                    </w:rPr>
                  </w:pPr>
                  <w:r>
                    <w:rPr>
                      <w:rFonts w:hint="eastAsia"/>
                      <w:szCs w:val="21"/>
                    </w:rPr>
                    <w:t>/</w:t>
                  </w:r>
                </w:p>
              </w:tc>
              <w:tc>
                <w:tcPr>
                  <w:tcW w:w="806" w:type="dxa"/>
                  <w:vAlign w:val="center"/>
                </w:tcPr>
                <w:p w14:paraId="13A1325E">
                  <w:pPr>
                    <w:adjustRightInd w:val="0"/>
                    <w:jc w:val="center"/>
                    <w:rPr>
                      <w:szCs w:val="21"/>
                    </w:rPr>
                  </w:pPr>
                  <w:r>
                    <w:rPr>
                      <w:rFonts w:eastAsia="TimesNewRomanPSMT"/>
                      <w:kern w:val="0"/>
                      <w:szCs w:val="21"/>
                    </w:rPr>
                    <w:t>ND</w:t>
                  </w:r>
                </w:p>
              </w:tc>
              <w:tc>
                <w:tcPr>
                  <w:tcW w:w="689" w:type="dxa"/>
                  <w:vAlign w:val="center"/>
                </w:tcPr>
                <w:p w14:paraId="2A15E9CF">
                  <w:pPr>
                    <w:adjustRightInd w:val="0"/>
                    <w:jc w:val="center"/>
                    <w:rPr>
                      <w:szCs w:val="21"/>
                    </w:rPr>
                  </w:pPr>
                  <w:r>
                    <w:rPr>
                      <w:rFonts w:hint="eastAsia"/>
                      <w:szCs w:val="21"/>
                    </w:rPr>
                    <w:t>/</w:t>
                  </w:r>
                </w:p>
              </w:tc>
              <w:tc>
                <w:tcPr>
                  <w:tcW w:w="923" w:type="dxa"/>
                  <w:vMerge w:val="continue"/>
                  <w:vAlign w:val="center"/>
                </w:tcPr>
                <w:p w14:paraId="25B783BE">
                  <w:pPr>
                    <w:adjustRightInd w:val="0"/>
                    <w:jc w:val="center"/>
                    <w:rPr>
                      <w:rFonts w:eastAsiaTheme="minorEastAsia"/>
                      <w:szCs w:val="21"/>
                    </w:rPr>
                  </w:pPr>
                </w:p>
              </w:tc>
              <w:tc>
                <w:tcPr>
                  <w:tcW w:w="672" w:type="dxa"/>
                  <w:vAlign w:val="center"/>
                </w:tcPr>
                <w:p w14:paraId="0C45C5D3">
                  <w:pPr>
                    <w:adjustRightInd w:val="0"/>
                    <w:jc w:val="center"/>
                    <w:rPr>
                      <w:rFonts w:eastAsiaTheme="minorEastAsia"/>
                      <w:szCs w:val="21"/>
                    </w:rPr>
                  </w:pPr>
                  <w:r>
                    <w:rPr>
                      <w:rFonts w:eastAsiaTheme="minorEastAsia"/>
                      <w:szCs w:val="21"/>
                    </w:rPr>
                    <w:t>达标</w:t>
                  </w:r>
                </w:p>
              </w:tc>
            </w:tr>
            <w:tr w14:paraId="7DC1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30F75EFC">
                  <w:pPr>
                    <w:widowControl/>
                    <w:adjustRightInd w:val="0"/>
                    <w:jc w:val="center"/>
                    <w:textAlignment w:val="center"/>
                    <w:rPr>
                      <w:rFonts w:eastAsiaTheme="minorEastAsia"/>
                      <w:szCs w:val="21"/>
                    </w:rPr>
                  </w:pPr>
                  <w:r>
                    <w:rPr>
                      <w:szCs w:val="21"/>
                    </w:rPr>
                    <w:t>镉</w:t>
                  </w:r>
                </w:p>
              </w:tc>
              <w:tc>
                <w:tcPr>
                  <w:tcW w:w="1201" w:type="dxa"/>
                  <w:vAlign w:val="center"/>
                </w:tcPr>
                <w:p w14:paraId="1D03C363">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tcPr>
                <w:p w14:paraId="346B7EA3">
                  <w:pPr>
                    <w:adjustRightInd w:val="0"/>
                    <w:jc w:val="center"/>
                    <w:rPr>
                      <w:szCs w:val="21"/>
                    </w:rPr>
                  </w:pPr>
                  <w:r>
                    <w:rPr>
                      <w:rFonts w:eastAsia="TimesNewRomanPSMT"/>
                      <w:kern w:val="0"/>
                      <w:szCs w:val="21"/>
                    </w:rPr>
                    <w:t>ND</w:t>
                  </w:r>
                </w:p>
              </w:tc>
              <w:tc>
                <w:tcPr>
                  <w:tcW w:w="675" w:type="dxa"/>
                  <w:vAlign w:val="center"/>
                </w:tcPr>
                <w:p w14:paraId="1AE60C9B">
                  <w:pPr>
                    <w:adjustRightInd w:val="0"/>
                    <w:jc w:val="center"/>
                    <w:rPr>
                      <w:szCs w:val="21"/>
                    </w:rPr>
                  </w:pPr>
                  <w:r>
                    <w:rPr>
                      <w:szCs w:val="21"/>
                    </w:rPr>
                    <w:t>/</w:t>
                  </w:r>
                </w:p>
              </w:tc>
              <w:tc>
                <w:tcPr>
                  <w:tcW w:w="806" w:type="dxa"/>
                  <w:vAlign w:val="center"/>
                </w:tcPr>
                <w:p w14:paraId="067E648A">
                  <w:pPr>
                    <w:adjustRightInd w:val="0"/>
                    <w:jc w:val="center"/>
                    <w:rPr>
                      <w:szCs w:val="21"/>
                    </w:rPr>
                  </w:pPr>
                  <w:r>
                    <w:rPr>
                      <w:rFonts w:eastAsia="TimesNewRomanPSMT"/>
                      <w:kern w:val="0"/>
                      <w:szCs w:val="21"/>
                    </w:rPr>
                    <w:t>ND</w:t>
                  </w:r>
                </w:p>
              </w:tc>
              <w:tc>
                <w:tcPr>
                  <w:tcW w:w="805" w:type="dxa"/>
                  <w:vAlign w:val="center"/>
                </w:tcPr>
                <w:p w14:paraId="39E3A786">
                  <w:pPr>
                    <w:adjustRightInd w:val="0"/>
                    <w:jc w:val="center"/>
                    <w:rPr>
                      <w:szCs w:val="21"/>
                    </w:rPr>
                  </w:pPr>
                  <w:r>
                    <w:rPr>
                      <w:rFonts w:hint="eastAsia"/>
                      <w:szCs w:val="21"/>
                    </w:rPr>
                    <w:t>/</w:t>
                  </w:r>
                </w:p>
              </w:tc>
              <w:tc>
                <w:tcPr>
                  <w:tcW w:w="806" w:type="dxa"/>
                  <w:vAlign w:val="center"/>
                </w:tcPr>
                <w:p w14:paraId="6D9E8BA8">
                  <w:pPr>
                    <w:adjustRightInd w:val="0"/>
                    <w:jc w:val="center"/>
                    <w:rPr>
                      <w:szCs w:val="21"/>
                    </w:rPr>
                  </w:pPr>
                  <w:r>
                    <w:rPr>
                      <w:rFonts w:eastAsia="TimesNewRomanPSMT"/>
                      <w:kern w:val="0"/>
                      <w:szCs w:val="21"/>
                    </w:rPr>
                    <w:t>ND</w:t>
                  </w:r>
                </w:p>
              </w:tc>
              <w:tc>
                <w:tcPr>
                  <w:tcW w:w="689" w:type="dxa"/>
                  <w:vAlign w:val="center"/>
                </w:tcPr>
                <w:p w14:paraId="76608CE9">
                  <w:pPr>
                    <w:adjustRightInd w:val="0"/>
                    <w:jc w:val="center"/>
                    <w:rPr>
                      <w:szCs w:val="21"/>
                    </w:rPr>
                  </w:pPr>
                  <w:r>
                    <w:rPr>
                      <w:rFonts w:hint="eastAsia"/>
                      <w:szCs w:val="21"/>
                    </w:rPr>
                    <w:t>/</w:t>
                  </w:r>
                </w:p>
              </w:tc>
              <w:tc>
                <w:tcPr>
                  <w:tcW w:w="923" w:type="dxa"/>
                  <w:vMerge w:val="restart"/>
                  <w:vAlign w:val="center"/>
                </w:tcPr>
                <w:p w14:paraId="710AC199">
                  <w:pPr>
                    <w:adjustRightInd w:val="0"/>
                    <w:jc w:val="center"/>
                    <w:rPr>
                      <w:rFonts w:eastAsiaTheme="minorEastAsia"/>
                      <w:szCs w:val="21"/>
                    </w:rPr>
                  </w:pPr>
                  <w:r>
                    <w:rPr>
                      <w:szCs w:val="21"/>
                    </w:rPr>
                    <w:t>0.005</w:t>
                  </w:r>
                </w:p>
              </w:tc>
              <w:tc>
                <w:tcPr>
                  <w:tcW w:w="672" w:type="dxa"/>
                  <w:vAlign w:val="center"/>
                </w:tcPr>
                <w:p w14:paraId="44B20DA2">
                  <w:pPr>
                    <w:adjustRightInd w:val="0"/>
                    <w:jc w:val="center"/>
                    <w:rPr>
                      <w:rFonts w:eastAsiaTheme="minorEastAsia"/>
                      <w:szCs w:val="21"/>
                    </w:rPr>
                  </w:pPr>
                  <w:r>
                    <w:rPr>
                      <w:rFonts w:eastAsiaTheme="minorEastAsia"/>
                      <w:szCs w:val="21"/>
                    </w:rPr>
                    <w:t>达标</w:t>
                  </w:r>
                </w:p>
              </w:tc>
            </w:tr>
            <w:tr w14:paraId="09EF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0F030169">
                  <w:pPr>
                    <w:widowControl/>
                    <w:adjustRightInd w:val="0"/>
                    <w:jc w:val="center"/>
                    <w:textAlignment w:val="center"/>
                    <w:rPr>
                      <w:szCs w:val="21"/>
                    </w:rPr>
                  </w:pPr>
                </w:p>
              </w:tc>
              <w:tc>
                <w:tcPr>
                  <w:tcW w:w="1201" w:type="dxa"/>
                  <w:vAlign w:val="center"/>
                </w:tcPr>
                <w:p w14:paraId="0159CB20">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tcPr>
                <w:p w14:paraId="6CD24405">
                  <w:pPr>
                    <w:adjustRightInd w:val="0"/>
                    <w:jc w:val="center"/>
                    <w:rPr>
                      <w:szCs w:val="21"/>
                    </w:rPr>
                  </w:pPr>
                  <w:r>
                    <w:rPr>
                      <w:rFonts w:eastAsia="TimesNewRomanPSMT"/>
                      <w:kern w:val="0"/>
                      <w:szCs w:val="21"/>
                    </w:rPr>
                    <w:t>ND</w:t>
                  </w:r>
                </w:p>
              </w:tc>
              <w:tc>
                <w:tcPr>
                  <w:tcW w:w="675" w:type="dxa"/>
                  <w:vAlign w:val="center"/>
                </w:tcPr>
                <w:p w14:paraId="598852E6">
                  <w:pPr>
                    <w:adjustRightInd w:val="0"/>
                    <w:jc w:val="center"/>
                    <w:rPr>
                      <w:szCs w:val="21"/>
                    </w:rPr>
                  </w:pPr>
                  <w:r>
                    <w:rPr>
                      <w:szCs w:val="21"/>
                    </w:rPr>
                    <w:t>/</w:t>
                  </w:r>
                </w:p>
              </w:tc>
              <w:tc>
                <w:tcPr>
                  <w:tcW w:w="806" w:type="dxa"/>
                  <w:vAlign w:val="center"/>
                </w:tcPr>
                <w:p w14:paraId="5DE13A43">
                  <w:pPr>
                    <w:adjustRightInd w:val="0"/>
                    <w:jc w:val="center"/>
                    <w:rPr>
                      <w:szCs w:val="21"/>
                    </w:rPr>
                  </w:pPr>
                  <w:r>
                    <w:rPr>
                      <w:rFonts w:eastAsia="TimesNewRomanPSMT"/>
                      <w:kern w:val="0"/>
                      <w:szCs w:val="21"/>
                    </w:rPr>
                    <w:t>ND</w:t>
                  </w:r>
                </w:p>
              </w:tc>
              <w:tc>
                <w:tcPr>
                  <w:tcW w:w="805" w:type="dxa"/>
                  <w:vAlign w:val="center"/>
                </w:tcPr>
                <w:p w14:paraId="24850E15">
                  <w:pPr>
                    <w:adjustRightInd w:val="0"/>
                    <w:jc w:val="center"/>
                    <w:rPr>
                      <w:szCs w:val="21"/>
                    </w:rPr>
                  </w:pPr>
                  <w:r>
                    <w:rPr>
                      <w:rFonts w:hint="eastAsia"/>
                      <w:szCs w:val="21"/>
                    </w:rPr>
                    <w:t>/</w:t>
                  </w:r>
                </w:p>
              </w:tc>
              <w:tc>
                <w:tcPr>
                  <w:tcW w:w="806" w:type="dxa"/>
                  <w:vAlign w:val="center"/>
                </w:tcPr>
                <w:p w14:paraId="1F7A0B21">
                  <w:pPr>
                    <w:adjustRightInd w:val="0"/>
                    <w:jc w:val="center"/>
                    <w:rPr>
                      <w:szCs w:val="21"/>
                    </w:rPr>
                  </w:pPr>
                  <w:r>
                    <w:rPr>
                      <w:rFonts w:eastAsia="TimesNewRomanPSMT"/>
                      <w:kern w:val="0"/>
                      <w:szCs w:val="21"/>
                    </w:rPr>
                    <w:t>ND</w:t>
                  </w:r>
                </w:p>
              </w:tc>
              <w:tc>
                <w:tcPr>
                  <w:tcW w:w="689" w:type="dxa"/>
                  <w:vAlign w:val="center"/>
                </w:tcPr>
                <w:p w14:paraId="2809C01D">
                  <w:pPr>
                    <w:adjustRightInd w:val="0"/>
                    <w:jc w:val="center"/>
                    <w:rPr>
                      <w:szCs w:val="21"/>
                    </w:rPr>
                  </w:pPr>
                  <w:r>
                    <w:rPr>
                      <w:rFonts w:hint="eastAsia"/>
                      <w:szCs w:val="21"/>
                    </w:rPr>
                    <w:t>/</w:t>
                  </w:r>
                </w:p>
              </w:tc>
              <w:tc>
                <w:tcPr>
                  <w:tcW w:w="923" w:type="dxa"/>
                  <w:vMerge w:val="continue"/>
                  <w:vAlign w:val="center"/>
                </w:tcPr>
                <w:p w14:paraId="191BEB2F">
                  <w:pPr>
                    <w:adjustRightInd w:val="0"/>
                    <w:jc w:val="center"/>
                    <w:rPr>
                      <w:szCs w:val="21"/>
                    </w:rPr>
                  </w:pPr>
                </w:p>
              </w:tc>
              <w:tc>
                <w:tcPr>
                  <w:tcW w:w="672" w:type="dxa"/>
                  <w:vAlign w:val="center"/>
                </w:tcPr>
                <w:p w14:paraId="5F1A2AF6">
                  <w:pPr>
                    <w:adjustRightInd w:val="0"/>
                    <w:jc w:val="center"/>
                    <w:rPr>
                      <w:rFonts w:eastAsiaTheme="minorEastAsia"/>
                      <w:szCs w:val="21"/>
                    </w:rPr>
                  </w:pPr>
                  <w:r>
                    <w:rPr>
                      <w:rFonts w:eastAsiaTheme="minorEastAsia"/>
                      <w:szCs w:val="21"/>
                    </w:rPr>
                    <w:t>达标</w:t>
                  </w:r>
                </w:p>
              </w:tc>
            </w:tr>
            <w:tr w14:paraId="04B4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3195E403">
                  <w:pPr>
                    <w:adjustRightInd w:val="0"/>
                    <w:jc w:val="center"/>
                    <w:rPr>
                      <w:rFonts w:eastAsiaTheme="minorEastAsia"/>
                      <w:szCs w:val="21"/>
                    </w:rPr>
                  </w:pPr>
                  <w:r>
                    <w:rPr>
                      <w:szCs w:val="21"/>
                    </w:rPr>
                    <w:t>铁</w:t>
                  </w:r>
                </w:p>
              </w:tc>
              <w:tc>
                <w:tcPr>
                  <w:tcW w:w="1201" w:type="dxa"/>
                  <w:vAlign w:val="center"/>
                </w:tcPr>
                <w:p w14:paraId="5E590BA6">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1920C0DD">
                  <w:pPr>
                    <w:adjustRightInd w:val="0"/>
                    <w:jc w:val="center"/>
                    <w:rPr>
                      <w:szCs w:val="21"/>
                    </w:rPr>
                  </w:pPr>
                  <w:r>
                    <w:rPr>
                      <w:rFonts w:eastAsia="TimesNewRomanPSMT"/>
                      <w:kern w:val="0"/>
                      <w:szCs w:val="21"/>
                    </w:rPr>
                    <w:t>0.13</w:t>
                  </w:r>
                </w:p>
              </w:tc>
              <w:tc>
                <w:tcPr>
                  <w:tcW w:w="675" w:type="dxa"/>
                  <w:vAlign w:val="center"/>
                </w:tcPr>
                <w:p w14:paraId="1893A4CC">
                  <w:pPr>
                    <w:adjustRightInd w:val="0"/>
                    <w:jc w:val="center"/>
                    <w:rPr>
                      <w:szCs w:val="21"/>
                    </w:rPr>
                  </w:pPr>
                  <w:r>
                    <w:rPr>
                      <w:szCs w:val="21"/>
                    </w:rPr>
                    <w:t xml:space="preserve">0.43 </w:t>
                  </w:r>
                </w:p>
              </w:tc>
              <w:tc>
                <w:tcPr>
                  <w:tcW w:w="806" w:type="dxa"/>
                  <w:vAlign w:val="center"/>
                </w:tcPr>
                <w:p w14:paraId="7325D6A9">
                  <w:pPr>
                    <w:adjustRightInd w:val="0"/>
                    <w:jc w:val="center"/>
                    <w:rPr>
                      <w:szCs w:val="21"/>
                    </w:rPr>
                  </w:pPr>
                  <w:r>
                    <w:rPr>
                      <w:szCs w:val="21"/>
                    </w:rPr>
                    <w:t>0.02</w:t>
                  </w:r>
                </w:p>
              </w:tc>
              <w:tc>
                <w:tcPr>
                  <w:tcW w:w="805" w:type="dxa"/>
                  <w:vAlign w:val="center"/>
                </w:tcPr>
                <w:p w14:paraId="0DA90636">
                  <w:pPr>
                    <w:adjustRightInd w:val="0"/>
                    <w:jc w:val="center"/>
                    <w:rPr>
                      <w:szCs w:val="21"/>
                    </w:rPr>
                  </w:pPr>
                  <w:r>
                    <w:rPr>
                      <w:szCs w:val="21"/>
                    </w:rPr>
                    <w:t xml:space="preserve">0.99 </w:t>
                  </w:r>
                </w:p>
              </w:tc>
              <w:tc>
                <w:tcPr>
                  <w:tcW w:w="806" w:type="dxa"/>
                  <w:vAlign w:val="center"/>
                </w:tcPr>
                <w:p w14:paraId="285FFFFD">
                  <w:pPr>
                    <w:adjustRightInd w:val="0"/>
                    <w:jc w:val="center"/>
                    <w:rPr>
                      <w:szCs w:val="21"/>
                    </w:rPr>
                  </w:pPr>
                  <w:r>
                    <w:rPr>
                      <w:szCs w:val="21"/>
                    </w:rPr>
                    <w:t>0.08</w:t>
                  </w:r>
                </w:p>
              </w:tc>
              <w:tc>
                <w:tcPr>
                  <w:tcW w:w="689" w:type="dxa"/>
                  <w:vAlign w:val="center"/>
                </w:tcPr>
                <w:p w14:paraId="05EC537F">
                  <w:pPr>
                    <w:adjustRightInd w:val="0"/>
                    <w:jc w:val="center"/>
                    <w:rPr>
                      <w:szCs w:val="21"/>
                    </w:rPr>
                  </w:pPr>
                  <w:r>
                    <w:rPr>
                      <w:szCs w:val="21"/>
                    </w:rPr>
                    <w:t xml:space="preserve">0.27 </w:t>
                  </w:r>
                </w:p>
              </w:tc>
              <w:tc>
                <w:tcPr>
                  <w:tcW w:w="923" w:type="dxa"/>
                  <w:vMerge w:val="restart"/>
                  <w:vAlign w:val="center"/>
                </w:tcPr>
                <w:p w14:paraId="564BE6A8">
                  <w:pPr>
                    <w:adjustRightInd w:val="0"/>
                    <w:jc w:val="center"/>
                    <w:rPr>
                      <w:rFonts w:eastAsiaTheme="minorEastAsia"/>
                      <w:szCs w:val="21"/>
                    </w:rPr>
                  </w:pPr>
                  <w:r>
                    <w:rPr>
                      <w:szCs w:val="21"/>
                    </w:rPr>
                    <w:t>0.3</w:t>
                  </w:r>
                </w:p>
              </w:tc>
              <w:tc>
                <w:tcPr>
                  <w:tcW w:w="672" w:type="dxa"/>
                  <w:vAlign w:val="center"/>
                </w:tcPr>
                <w:p w14:paraId="38DCABB9">
                  <w:pPr>
                    <w:adjustRightInd w:val="0"/>
                    <w:jc w:val="center"/>
                    <w:rPr>
                      <w:rFonts w:eastAsiaTheme="minorEastAsia"/>
                      <w:szCs w:val="21"/>
                    </w:rPr>
                  </w:pPr>
                  <w:r>
                    <w:rPr>
                      <w:rFonts w:eastAsiaTheme="minorEastAsia"/>
                      <w:szCs w:val="21"/>
                    </w:rPr>
                    <w:t>达标</w:t>
                  </w:r>
                </w:p>
              </w:tc>
            </w:tr>
            <w:tr w14:paraId="331D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24333B9E">
                  <w:pPr>
                    <w:adjustRightInd w:val="0"/>
                    <w:jc w:val="center"/>
                    <w:rPr>
                      <w:szCs w:val="21"/>
                    </w:rPr>
                  </w:pPr>
                </w:p>
              </w:tc>
              <w:tc>
                <w:tcPr>
                  <w:tcW w:w="1201" w:type="dxa"/>
                  <w:vAlign w:val="center"/>
                </w:tcPr>
                <w:p w14:paraId="5C82E9CC">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2550294D">
                  <w:pPr>
                    <w:adjustRightInd w:val="0"/>
                    <w:jc w:val="center"/>
                    <w:rPr>
                      <w:szCs w:val="21"/>
                    </w:rPr>
                  </w:pPr>
                  <w:r>
                    <w:rPr>
                      <w:rFonts w:eastAsia="TimesNewRomanPSMT"/>
                      <w:kern w:val="0"/>
                      <w:szCs w:val="21"/>
                    </w:rPr>
                    <w:t>0.12</w:t>
                  </w:r>
                </w:p>
              </w:tc>
              <w:tc>
                <w:tcPr>
                  <w:tcW w:w="675" w:type="dxa"/>
                  <w:vAlign w:val="center"/>
                </w:tcPr>
                <w:p w14:paraId="0F4D41EC">
                  <w:pPr>
                    <w:adjustRightInd w:val="0"/>
                    <w:jc w:val="center"/>
                    <w:rPr>
                      <w:szCs w:val="21"/>
                    </w:rPr>
                  </w:pPr>
                  <w:r>
                    <w:rPr>
                      <w:szCs w:val="21"/>
                    </w:rPr>
                    <w:t xml:space="preserve">0.40 </w:t>
                  </w:r>
                </w:p>
              </w:tc>
              <w:tc>
                <w:tcPr>
                  <w:tcW w:w="806" w:type="dxa"/>
                  <w:vAlign w:val="center"/>
                </w:tcPr>
                <w:p w14:paraId="21E6B122">
                  <w:pPr>
                    <w:adjustRightInd w:val="0"/>
                    <w:jc w:val="center"/>
                    <w:rPr>
                      <w:szCs w:val="21"/>
                    </w:rPr>
                  </w:pPr>
                  <w:r>
                    <w:rPr>
                      <w:szCs w:val="21"/>
                    </w:rPr>
                    <w:t>0.02</w:t>
                  </w:r>
                </w:p>
              </w:tc>
              <w:tc>
                <w:tcPr>
                  <w:tcW w:w="805" w:type="dxa"/>
                  <w:vAlign w:val="center"/>
                </w:tcPr>
                <w:p w14:paraId="2A263A3F">
                  <w:pPr>
                    <w:adjustRightInd w:val="0"/>
                    <w:jc w:val="center"/>
                    <w:rPr>
                      <w:szCs w:val="21"/>
                    </w:rPr>
                  </w:pPr>
                  <w:r>
                    <w:rPr>
                      <w:szCs w:val="21"/>
                    </w:rPr>
                    <w:t xml:space="preserve">0.98 </w:t>
                  </w:r>
                </w:p>
              </w:tc>
              <w:tc>
                <w:tcPr>
                  <w:tcW w:w="806" w:type="dxa"/>
                  <w:vAlign w:val="center"/>
                </w:tcPr>
                <w:p w14:paraId="17955503">
                  <w:pPr>
                    <w:adjustRightInd w:val="0"/>
                    <w:jc w:val="center"/>
                    <w:rPr>
                      <w:szCs w:val="21"/>
                    </w:rPr>
                  </w:pPr>
                  <w:r>
                    <w:rPr>
                      <w:szCs w:val="21"/>
                    </w:rPr>
                    <w:t>0.08</w:t>
                  </w:r>
                </w:p>
              </w:tc>
              <w:tc>
                <w:tcPr>
                  <w:tcW w:w="689" w:type="dxa"/>
                  <w:vAlign w:val="center"/>
                </w:tcPr>
                <w:p w14:paraId="56EB0A90">
                  <w:pPr>
                    <w:adjustRightInd w:val="0"/>
                    <w:jc w:val="center"/>
                    <w:rPr>
                      <w:szCs w:val="21"/>
                    </w:rPr>
                  </w:pPr>
                  <w:r>
                    <w:rPr>
                      <w:szCs w:val="21"/>
                    </w:rPr>
                    <w:t xml:space="preserve">0.27 </w:t>
                  </w:r>
                </w:p>
              </w:tc>
              <w:tc>
                <w:tcPr>
                  <w:tcW w:w="923" w:type="dxa"/>
                  <w:vMerge w:val="continue"/>
                  <w:vAlign w:val="center"/>
                </w:tcPr>
                <w:p w14:paraId="1201122D">
                  <w:pPr>
                    <w:adjustRightInd w:val="0"/>
                    <w:jc w:val="center"/>
                    <w:rPr>
                      <w:szCs w:val="21"/>
                    </w:rPr>
                  </w:pPr>
                </w:p>
              </w:tc>
              <w:tc>
                <w:tcPr>
                  <w:tcW w:w="672" w:type="dxa"/>
                  <w:vAlign w:val="center"/>
                </w:tcPr>
                <w:p w14:paraId="4E231659">
                  <w:pPr>
                    <w:adjustRightInd w:val="0"/>
                    <w:jc w:val="center"/>
                    <w:rPr>
                      <w:rFonts w:eastAsiaTheme="minorEastAsia"/>
                      <w:szCs w:val="21"/>
                    </w:rPr>
                  </w:pPr>
                  <w:r>
                    <w:rPr>
                      <w:rFonts w:eastAsiaTheme="minorEastAsia"/>
                      <w:szCs w:val="21"/>
                    </w:rPr>
                    <w:t>达标</w:t>
                  </w:r>
                </w:p>
              </w:tc>
            </w:tr>
            <w:tr w14:paraId="3393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020279D7">
                  <w:pPr>
                    <w:adjustRightInd w:val="0"/>
                    <w:jc w:val="center"/>
                    <w:rPr>
                      <w:rFonts w:eastAsiaTheme="minorEastAsia"/>
                      <w:szCs w:val="21"/>
                    </w:rPr>
                  </w:pPr>
                  <w:r>
                    <w:rPr>
                      <w:szCs w:val="21"/>
                    </w:rPr>
                    <w:t>锰</w:t>
                  </w:r>
                </w:p>
              </w:tc>
              <w:tc>
                <w:tcPr>
                  <w:tcW w:w="1201" w:type="dxa"/>
                  <w:vAlign w:val="center"/>
                </w:tcPr>
                <w:p w14:paraId="3408E680">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547F9B96">
                  <w:pPr>
                    <w:adjustRightInd w:val="0"/>
                    <w:jc w:val="center"/>
                    <w:rPr>
                      <w:szCs w:val="21"/>
                    </w:rPr>
                  </w:pPr>
                  <w:r>
                    <w:rPr>
                      <w:rFonts w:eastAsia="TimesNewRomanPSMT"/>
                      <w:kern w:val="0"/>
                      <w:szCs w:val="21"/>
                    </w:rPr>
                    <w:t>0.01</w:t>
                  </w:r>
                </w:p>
              </w:tc>
              <w:tc>
                <w:tcPr>
                  <w:tcW w:w="675" w:type="dxa"/>
                  <w:vAlign w:val="center"/>
                </w:tcPr>
                <w:p w14:paraId="3E80A73A">
                  <w:pPr>
                    <w:adjustRightInd w:val="0"/>
                    <w:jc w:val="center"/>
                    <w:rPr>
                      <w:szCs w:val="21"/>
                    </w:rPr>
                  </w:pPr>
                  <w:r>
                    <w:rPr>
                      <w:szCs w:val="21"/>
                    </w:rPr>
                    <w:t xml:space="preserve">0.10 </w:t>
                  </w:r>
                </w:p>
              </w:tc>
              <w:tc>
                <w:tcPr>
                  <w:tcW w:w="806" w:type="dxa"/>
                  <w:vAlign w:val="center"/>
                </w:tcPr>
                <w:p w14:paraId="689C3ED3">
                  <w:pPr>
                    <w:adjustRightInd w:val="0"/>
                    <w:jc w:val="center"/>
                    <w:rPr>
                      <w:szCs w:val="21"/>
                    </w:rPr>
                  </w:pPr>
                  <w:r>
                    <w:rPr>
                      <w:szCs w:val="21"/>
                    </w:rPr>
                    <w:t>0.05</w:t>
                  </w:r>
                </w:p>
              </w:tc>
              <w:tc>
                <w:tcPr>
                  <w:tcW w:w="805" w:type="dxa"/>
                  <w:vAlign w:val="center"/>
                </w:tcPr>
                <w:p w14:paraId="4D230DED">
                  <w:pPr>
                    <w:adjustRightInd w:val="0"/>
                    <w:jc w:val="center"/>
                    <w:rPr>
                      <w:szCs w:val="21"/>
                    </w:rPr>
                  </w:pPr>
                  <w:r>
                    <w:rPr>
                      <w:szCs w:val="21"/>
                    </w:rPr>
                    <w:t xml:space="preserve">0.66 </w:t>
                  </w:r>
                </w:p>
              </w:tc>
              <w:tc>
                <w:tcPr>
                  <w:tcW w:w="806" w:type="dxa"/>
                  <w:vAlign w:val="center"/>
                </w:tcPr>
                <w:p w14:paraId="54DA1ECE">
                  <w:pPr>
                    <w:adjustRightInd w:val="0"/>
                    <w:jc w:val="center"/>
                    <w:rPr>
                      <w:szCs w:val="21"/>
                    </w:rPr>
                  </w:pPr>
                  <w:r>
                    <w:rPr>
                      <w:szCs w:val="21"/>
                    </w:rPr>
                    <w:t>0.01</w:t>
                  </w:r>
                </w:p>
              </w:tc>
              <w:tc>
                <w:tcPr>
                  <w:tcW w:w="689" w:type="dxa"/>
                  <w:vAlign w:val="center"/>
                </w:tcPr>
                <w:p w14:paraId="4EDC9948">
                  <w:pPr>
                    <w:adjustRightInd w:val="0"/>
                    <w:jc w:val="center"/>
                    <w:rPr>
                      <w:szCs w:val="21"/>
                    </w:rPr>
                  </w:pPr>
                  <w:r>
                    <w:rPr>
                      <w:szCs w:val="21"/>
                    </w:rPr>
                    <w:t xml:space="preserve">0.10 </w:t>
                  </w:r>
                </w:p>
              </w:tc>
              <w:tc>
                <w:tcPr>
                  <w:tcW w:w="923" w:type="dxa"/>
                  <w:vMerge w:val="restart"/>
                  <w:vAlign w:val="center"/>
                </w:tcPr>
                <w:p w14:paraId="7FF12DD4">
                  <w:pPr>
                    <w:adjustRightInd w:val="0"/>
                    <w:jc w:val="center"/>
                    <w:rPr>
                      <w:rFonts w:eastAsiaTheme="minorEastAsia"/>
                      <w:szCs w:val="21"/>
                    </w:rPr>
                  </w:pPr>
                  <w:r>
                    <w:rPr>
                      <w:rFonts w:eastAsiaTheme="minorEastAsia"/>
                      <w:szCs w:val="21"/>
                    </w:rPr>
                    <w:t>0.1</w:t>
                  </w:r>
                </w:p>
              </w:tc>
              <w:tc>
                <w:tcPr>
                  <w:tcW w:w="672" w:type="dxa"/>
                  <w:vAlign w:val="center"/>
                </w:tcPr>
                <w:p w14:paraId="62781394">
                  <w:pPr>
                    <w:adjustRightInd w:val="0"/>
                    <w:jc w:val="center"/>
                    <w:rPr>
                      <w:rFonts w:eastAsiaTheme="minorEastAsia"/>
                      <w:szCs w:val="21"/>
                    </w:rPr>
                  </w:pPr>
                  <w:r>
                    <w:rPr>
                      <w:rFonts w:eastAsiaTheme="minorEastAsia"/>
                      <w:szCs w:val="21"/>
                    </w:rPr>
                    <w:t>达标</w:t>
                  </w:r>
                </w:p>
              </w:tc>
            </w:tr>
            <w:tr w14:paraId="264B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4D2FC23D">
                  <w:pPr>
                    <w:adjustRightInd w:val="0"/>
                    <w:jc w:val="center"/>
                    <w:rPr>
                      <w:szCs w:val="21"/>
                    </w:rPr>
                  </w:pPr>
                </w:p>
              </w:tc>
              <w:tc>
                <w:tcPr>
                  <w:tcW w:w="1201" w:type="dxa"/>
                  <w:vAlign w:val="center"/>
                </w:tcPr>
                <w:p w14:paraId="3C3B7FCB">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51A25C39">
                  <w:pPr>
                    <w:adjustRightInd w:val="0"/>
                    <w:jc w:val="center"/>
                    <w:rPr>
                      <w:szCs w:val="21"/>
                    </w:rPr>
                  </w:pPr>
                  <w:r>
                    <w:rPr>
                      <w:rFonts w:eastAsia="TimesNewRomanPSMT"/>
                      <w:kern w:val="0"/>
                      <w:szCs w:val="21"/>
                    </w:rPr>
                    <w:t>0.01</w:t>
                  </w:r>
                </w:p>
              </w:tc>
              <w:tc>
                <w:tcPr>
                  <w:tcW w:w="675" w:type="dxa"/>
                  <w:vAlign w:val="center"/>
                </w:tcPr>
                <w:p w14:paraId="5CB8C980">
                  <w:pPr>
                    <w:adjustRightInd w:val="0"/>
                    <w:jc w:val="center"/>
                    <w:rPr>
                      <w:szCs w:val="21"/>
                    </w:rPr>
                  </w:pPr>
                  <w:r>
                    <w:rPr>
                      <w:szCs w:val="21"/>
                    </w:rPr>
                    <w:t xml:space="preserve">0.10 </w:t>
                  </w:r>
                </w:p>
              </w:tc>
              <w:tc>
                <w:tcPr>
                  <w:tcW w:w="806" w:type="dxa"/>
                  <w:vAlign w:val="center"/>
                </w:tcPr>
                <w:p w14:paraId="381728B0">
                  <w:pPr>
                    <w:adjustRightInd w:val="0"/>
                    <w:jc w:val="center"/>
                    <w:rPr>
                      <w:szCs w:val="21"/>
                    </w:rPr>
                  </w:pPr>
                  <w:r>
                    <w:rPr>
                      <w:szCs w:val="21"/>
                    </w:rPr>
                    <w:t>0.05</w:t>
                  </w:r>
                </w:p>
              </w:tc>
              <w:tc>
                <w:tcPr>
                  <w:tcW w:w="805" w:type="dxa"/>
                  <w:vAlign w:val="center"/>
                </w:tcPr>
                <w:p w14:paraId="6B80C512">
                  <w:pPr>
                    <w:adjustRightInd w:val="0"/>
                    <w:jc w:val="center"/>
                    <w:rPr>
                      <w:szCs w:val="21"/>
                    </w:rPr>
                  </w:pPr>
                  <w:r>
                    <w:rPr>
                      <w:szCs w:val="21"/>
                    </w:rPr>
                    <w:t xml:space="preserve">0.68 </w:t>
                  </w:r>
                </w:p>
              </w:tc>
              <w:tc>
                <w:tcPr>
                  <w:tcW w:w="806" w:type="dxa"/>
                  <w:vAlign w:val="center"/>
                </w:tcPr>
                <w:p w14:paraId="46153B46">
                  <w:pPr>
                    <w:adjustRightInd w:val="0"/>
                    <w:jc w:val="center"/>
                    <w:rPr>
                      <w:szCs w:val="21"/>
                    </w:rPr>
                  </w:pPr>
                  <w:r>
                    <w:rPr>
                      <w:szCs w:val="21"/>
                    </w:rPr>
                    <w:t>0.01</w:t>
                  </w:r>
                </w:p>
              </w:tc>
              <w:tc>
                <w:tcPr>
                  <w:tcW w:w="689" w:type="dxa"/>
                  <w:vAlign w:val="center"/>
                </w:tcPr>
                <w:p w14:paraId="378FD076">
                  <w:pPr>
                    <w:adjustRightInd w:val="0"/>
                    <w:jc w:val="center"/>
                    <w:rPr>
                      <w:szCs w:val="21"/>
                    </w:rPr>
                  </w:pPr>
                  <w:r>
                    <w:rPr>
                      <w:szCs w:val="21"/>
                    </w:rPr>
                    <w:t xml:space="preserve">0.10 </w:t>
                  </w:r>
                </w:p>
              </w:tc>
              <w:tc>
                <w:tcPr>
                  <w:tcW w:w="923" w:type="dxa"/>
                  <w:vMerge w:val="continue"/>
                  <w:vAlign w:val="center"/>
                </w:tcPr>
                <w:p w14:paraId="233D0527">
                  <w:pPr>
                    <w:adjustRightInd w:val="0"/>
                    <w:jc w:val="center"/>
                    <w:rPr>
                      <w:rFonts w:eastAsiaTheme="minorEastAsia"/>
                      <w:szCs w:val="21"/>
                    </w:rPr>
                  </w:pPr>
                </w:p>
              </w:tc>
              <w:tc>
                <w:tcPr>
                  <w:tcW w:w="672" w:type="dxa"/>
                  <w:vAlign w:val="center"/>
                </w:tcPr>
                <w:p w14:paraId="76FB6B2D">
                  <w:pPr>
                    <w:adjustRightInd w:val="0"/>
                    <w:jc w:val="center"/>
                    <w:rPr>
                      <w:rFonts w:eastAsiaTheme="minorEastAsia"/>
                      <w:szCs w:val="21"/>
                    </w:rPr>
                  </w:pPr>
                  <w:r>
                    <w:rPr>
                      <w:rFonts w:eastAsiaTheme="minorEastAsia"/>
                      <w:szCs w:val="21"/>
                    </w:rPr>
                    <w:t>达标</w:t>
                  </w:r>
                </w:p>
              </w:tc>
            </w:tr>
            <w:tr w14:paraId="5C8B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3E0D5A37">
                  <w:pPr>
                    <w:adjustRightInd w:val="0"/>
                    <w:jc w:val="center"/>
                    <w:rPr>
                      <w:rFonts w:eastAsiaTheme="minorEastAsia"/>
                      <w:szCs w:val="21"/>
                    </w:rPr>
                  </w:pPr>
                  <w:r>
                    <w:rPr>
                      <w:szCs w:val="21"/>
                    </w:rPr>
                    <w:t>溶解性总固体</w:t>
                  </w:r>
                </w:p>
              </w:tc>
              <w:tc>
                <w:tcPr>
                  <w:tcW w:w="1201" w:type="dxa"/>
                  <w:vAlign w:val="center"/>
                </w:tcPr>
                <w:p w14:paraId="214ABA29">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4AD489FD">
                  <w:pPr>
                    <w:adjustRightInd w:val="0"/>
                    <w:jc w:val="center"/>
                    <w:rPr>
                      <w:szCs w:val="21"/>
                    </w:rPr>
                  </w:pPr>
                  <w:r>
                    <w:rPr>
                      <w:rFonts w:eastAsia="TimesNewRomanPSMT"/>
                      <w:kern w:val="0"/>
                      <w:szCs w:val="21"/>
                    </w:rPr>
                    <w:t>963</w:t>
                  </w:r>
                </w:p>
              </w:tc>
              <w:tc>
                <w:tcPr>
                  <w:tcW w:w="675" w:type="dxa"/>
                  <w:vAlign w:val="center"/>
                </w:tcPr>
                <w:p w14:paraId="56BE999B">
                  <w:pPr>
                    <w:adjustRightInd w:val="0"/>
                    <w:jc w:val="center"/>
                    <w:rPr>
                      <w:szCs w:val="21"/>
                    </w:rPr>
                  </w:pPr>
                  <w:r>
                    <w:rPr>
                      <w:szCs w:val="21"/>
                    </w:rPr>
                    <w:t xml:space="preserve">0.96 </w:t>
                  </w:r>
                </w:p>
              </w:tc>
              <w:tc>
                <w:tcPr>
                  <w:tcW w:w="806" w:type="dxa"/>
                  <w:vAlign w:val="center"/>
                </w:tcPr>
                <w:p w14:paraId="6917C252">
                  <w:pPr>
                    <w:adjustRightInd w:val="0"/>
                    <w:jc w:val="center"/>
                    <w:rPr>
                      <w:szCs w:val="21"/>
                    </w:rPr>
                  </w:pPr>
                  <w:r>
                    <w:rPr>
                      <w:szCs w:val="21"/>
                    </w:rPr>
                    <w:t>987</w:t>
                  </w:r>
                </w:p>
              </w:tc>
              <w:tc>
                <w:tcPr>
                  <w:tcW w:w="805" w:type="dxa"/>
                  <w:vAlign w:val="center"/>
                </w:tcPr>
                <w:p w14:paraId="4F86BD06">
                  <w:pPr>
                    <w:adjustRightInd w:val="0"/>
                    <w:jc w:val="center"/>
                    <w:rPr>
                      <w:szCs w:val="21"/>
                    </w:rPr>
                  </w:pPr>
                  <w:r>
                    <w:rPr>
                      <w:szCs w:val="21"/>
                    </w:rPr>
                    <w:t xml:space="preserve">0.80 </w:t>
                  </w:r>
                </w:p>
              </w:tc>
              <w:tc>
                <w:tcPr>
                  <w:tcW w:w="806" w:type="dxa"/>
                  <w:vAlign w:val="center"/>
                </w:tcPr>
                <w:p w14:paraId="7F0E64F8">
                  <w:pPr>
                    <w:adjustRightInd w:val="0"/>
                    <w:jc w:val="center"/>
                    <w:rPr>
                      <w:szCs w:val="21"/>
                    </w:rPr>
                  </w:pPr>
                  <w:r>
                    <w:rPr>
                      <w:szCs w:val="21"/>
                    </w:rPr>
                    <w:t>967</w:t>
                  </w:r>
                </w:p>
              </w:tc>
              <w:tc>
                <w:tcPr>
                  <w:tcW w:w="689" w:type="dxa"/>
                  <w:vAlign w:val="center"/>
                </w:tcPr>
                <w:p w14:paraId="66447D78">
                  <w:pPr>
                    <w:adjustRightInd w:val="0"/>
                    <w:jc w:val="center"/>
                    <w:rPr>
                      <w:szCs w:val="21"/>
                    </w:rPr>
                  </w:pPr>
                  <w:r>
                    <w:rPr>
                      <w:szCs w:val="21"/>
                    </w:rPr>
                    <w:t xml:space="preserve">0.97 </w:t>
                  </w:r>
                </w:p>
              </w:tc>
              <w:tc>
                <w:tcPr>
                  <w:tcW w:w="923" w:type="dxa"/>
                  <w:vMerge w:val="restart"/>
                  <w:vAlign w:val="center"/>
                </w:tcPr>
                <w:p w14:paraId="6C8E5CB4">
                  <w:pPr>
                    <w:adjustRightInd w:val="0"/>
                    <w:jc w:val="center"/>
                    <w:rPr>
                      <w:rFonts w:eastAsiaTheme="minorEastAsia"/>
                      <w:szCs w:val="21"/>
                    </w:rPr>
                  </w:pPr>
                  <w:r>
                    <w:rPr>
                      <w:rFonts w:eastAsiaTheme="minorEastAsia"/>
                      <w:szCs w:val="21"/>
                    </w:rPr>
                    <w:t>1000</w:t>
                  </w:r>
                </w:p>
              </w:tc>
              <w:tc>
                <w:tcPr>
                  <w:tcW w:w="672" w:type="dxa"/>
                  <w:vAlign w:val="center"/>
                </w:tcPr>
                <w:p w14:paraId="2C8745C0">
                  <w:pPr>
                    <w:adjustRightInd w:val="0"/>
                    <w:jc w:val="center"/>
                    <w:rPr>
                      <w:rFonts w:eastAsiaTheme="minorEastAsia"/>
                      <w:szCs w:val="21"/>
                    </w:rPr>
                  </w:pPr>
                  <w:r>
                    <w:rPr>
                      <w:rFonts w:eastAsiaTheme="minorEastAsia"/>
                      <w:szCs w:val="21"/>
                    </w:rPr>
                    <w:t>达标</w:t>
                  </w:r>
                </w:p>
              </w:tc>
            </w:tr>
            <w:tr w14:paraId="1A11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73AC7D6D">
                  <w:pPr>
                    <w:adjustRightInd w:val="0"/>
                    <w:jc w:val="center"/>
                    <w:rPr>
                      <w:szCs w:val="21"/>
                    </w:rPr>
                  </w:pPr>
                </w:p>
              </w:tc>
              <w:tc>
                <w:tcPr>
                  <w:tcW w:w="1201" w:type="dxa"/>
                  <w:vAlign w:val="center"/>
                </w:tcPr>
                <w:p w14:paraId="3B54A52D">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39517C73">
                  <w:pPr>
                    <w:adjustRightInd w:val="0"/>
                    <w:jc w:val="center"/>
                    <w:rPr>
                      <w:szCs w:val="21"/>
                    </w:rPr>
                  </w:pPr>
                  <w:r>
                    <w:rPr>
                      <w:rFonts w:eastAsia="TimesNewRomanPSMT"/>
                      <w:kern w:val="0"/>
                      <w:szCs w:val="21"/>
                    </w:rPr>
                    <w:t>968</w:t>
                  </w:r>
                </w:p>
              </w:tc>
              <w:tc>
                <w:tcPr>
                  <w:tcW w:w="675" w:type="dxa"/>
                  <w:vAlign w:val="center"/>
                </w:tcPr>
                <w:p w14:paraId="06201E19">
                  <w:pPr>
                    <w:adjustRightInd w:val="0"/>
                    <w:jc w:val="center"/>
                    <w:rPr>
                      <w:szCs w:val="21"/>
                    </w:rPr>
                  </w:pPr>
                  <w:r>
                    <w:rPr>
                      <w:szCs w:val="21"/>
                    </w:rPr>
                    <w:t xml:space="preserve">0.97 </w:t>
                  </w:r>
                </w:p>
              </w:tc>
              <w:tc>
                <w:tcPr>
                  <w:tcW w:w="806" w:type="dxa"/>
                  <w:vAlign w:val="center"/>
                </w:tcPr>
                <w:p w14:paraId="192F6227">
                  <w:pPr>
                    <w:adjustRightInd w:val="0"/>
                    <w:jc w:val="center"/>
                    <w:rPr>
                      <w:szCs w:val="21"/>
                    </w:rPr>
                  </w:pPr>
                  <w:r>
                    <w:rPr>
                      <w:szCs w:val="21"/>
                    </w:rPr>
                    <w:t>982</w:t>
                  </w:r>
                </w:p>
              </w:tc>
              <w:tc>
                <w:tcPr>
                  <w:tcW w:w="805" w:type="dxa"/>
                  <w:vAlign w:val="center"/>
                </w:tcPr>
                <w:p w14:paraId="49D52711">
                  <w:pPr>
                    <w:adjustRightInd w:val="0"/>
                    <w:jc w:val="center"/>
                    <w:rPr>
                      <w:szCs w:val="21"/>
                    </w:rPr>
                  </w:pPr>
                  <w:r>
                    <w:rPr>
                      <w:szCs w:val="21"/>
                    </w:rPr>
                    <w:t xml:space="preserve">0.81 </w:t>
                  </w:r>
                </w:p>
              </w:tc>
              <w:tc>
                <w:tcPr>
                  <w:tcW w:w="806" w:type="dxa"/>
                  <w:vAlign w:val="center"/>
                </w:tcPr>
                <w:p w14:paraId="11489A29">
                  <w:pPr>
                    <w:adjustRightInd w:val="0"/>
                    <w:jc w:val="center"/>
                    <w:rPr>
                      <w:szCs w:val="21"/>
                    </w:rPr>
                  </w:pPr>
                  <w:r>
                    <w:rPr>
                      <w:szCs w:val="21"/>
                    </w:rPr>
                    <w:t>984</w:t>
                  </w:r>
                </w:p>
              </w:tc>
              <w:tc>
                <w:tcPr>
                  <w:tcW w:w="689" w:type="dxa"/>
                  <w:vAlign w:val="center"/>
                </w:tcPr>
                <w:p w14:paraId="294EC859">
                  <w:pPr>
                    <w:adjustRightInd w:val="0"/>
                    <w:jc w:val="center"/>
                    <w:rPr>
                      <w:szCs w:val="21"/>
                    </w:rPr>
                  </w:pPr>
                  <w:r>
                    <w:rPr>
                      <w:szCs w:val="21"/>
                    </w:rPr>
                    <w:t xml:space="preserve">0.98 </w:t>
                  </w:r>
                </w:p>
              </w:tc>
              <w:tc>
                <w:tcPr>
                  <w:tcW w:w="923" w:type="dxa"/>
                  <w:vMerge w:val="continue"/>
                  <w:vAlign w:val="center"/>
                </w:tcPr>
                <w:p w14:paraId="4E68D3AD">
                  <w:pPr>
                    <w:adjustRightInd w:val="0"/>
                    <w:jc w:val="center"/>
                    <w:rPr>
                      <w:rFonts w:eastAsiaTheme="minorEastAsia"/>
                      <w:szCs w:val="21"/>
                    </w:rPr>
                  </w:pPr>
                </w:p>
              </w:tc>
              <w:tc>
                <w:tcPr>
                  <w:tcW w:w="672" w:type="dxa"/>
                  <w:vAlign w:val="center"/>
                </w:tcPr>
                <w:p w14:paraId="268D696B">
                  <w:pPr>
                    <w:adjustRightInd w:val="0"/>
                    <w:jc w:val="center"/>
                    <w:rPr>
                      <w:rFonts w:eastAsiaTheme="minorEastAsia"/>
                      <w:szCs w:val="21"/>
                    </w:rPr>
                  </w:pPr>
                  <w:r>
                    <w:rPr>
                      <w:rFonts w:eastAsiaTheme="minorEastAsia"/>
                      <w:szCs w:val="21"/>
                    </w:rPr>
                    <w:t>达标</w:t>
                  </w:r>
                </w:p>
              </w:tc>
            </w:tr>
            <w:tr w14:paraId="3651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3D7D084B">
                  <w:pPr>
                    <w:adjustRightInd w:val="0"/>
                    <w:jc w:val="center"/>
                    <w:rPr>
                      <w:rFonts w:eastAsiaTheme="minorEastAsia"/>
                      <w:szCs w:val="21"/>
                    </w:rPr>
                  </w:pPr>
                  <w:r>
                    <w:rPr>
                      <w:szCs w:val="21"/>
                    </w:rPr>
                    <w:t>硫酸盐</w:t>
                  </w:r>
                </w:p>
              </w:tc>
              <w:tc>
                <w:tcPr>
                  <w:tcW w:w="1201" w:type="dxa"/>
                  <w:vAlign w:val="center"/>
                </w:tcPr>
                <w:p w14:paraId="00B4047C">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tcPr>
                <w:p w14:paraId="151CB75B">
                  <w:pPr>
                    <w:adjustRightInd w:val="0"/>
                    <w:jc w:val="center"/>
                    <w:rPr>
                      <w:szCs w:val="21"/>
                    </w:rPr>
                  </w:pPr>
                  <w:r>
                    <w:rPr>
                      <w:rFonts w:eastAsia="TimesNewRomanPSMT"/>
                      <w:kern w:val="0"/>
                      <w:szCs w:val="21"/>
                    </w:rPr>
                    <w:t>ND</w:t>
                  </w:r>
                </w:p>
              </w:tc>
              <w:tc>
                <w:tcPr>
                  <w:tcW w:w="675" w:type="dxa"/>
                  <w:vAlign w:val="center"/>
                </w:tcPr>
                <w:p w14:paraId="09B2DB48">
                  <w:pPr>
                    <w:adjustRightInd w:val="0"/>
                    <w:jc w:val="center"/>
                    <w:rPr>
                      <w:szCs w:val="21"/>
                    </w:rPr>
                  </w:pPr>
                  <w:r>
                    <w:rPr>
                      <w:rFonts w:hint="eastAsia"/>
                      <w:szCs w:val="21"/>
                    </w:rPr>
                    <w:t>/</w:t>
                  </w:r>
                </w:p>
              </w:tc>
              <w:tc>
                <w:tcPr>
                  <w:tcW w:w="806" w:type="dxa"/>
                  <w:vAlign w:val="center"/>
                </w:tcPr>
                <w:p w14:paraId="2D930122">
                  <w:pPr>
                    <w:adjustRightInd w:val="0"/>
                    <w:jc w:val="center"/>
                    <w:rPr>
                      <w:szCs w:val="21"/>
                    </w:rPr>
                  </w:pPr>
                  <w:r>
                    <w:rPr>
                      <w:szCs w:val="21"/>
                    </w:rPr>
                    <w:t>166</w:t>
                  </w:r>
                </w:p>
              </w:tc>
              <w:tc>
                <w:tcPr>
                  <w:tcW w:w="805" w:type="dxa"/>
                  <w:vAlign w:val="center"/>
                </w:tcPr>
                <w:p w14:paraId="7B9F385F">
                  <w:pPr>
                    <w:adjustRightInd w:val="0"/>
                    <w:jc w:val="center"/>
                    <w:rPr>
                      <w:szCs w:val="21"/>
                    </w:rPr>
                  </w:pPr>
                  <w:r>
                    <w:rPr>
                      <w:szCs w:val="21"/>
                    </w:rPr>
                    <w:t xml:space="preserve">0.99 </w:t>
                  </w:r>
                </w:p>
              </w:tc>
              <w:tc>
                <w:tcPr>
                  <w:tcW w:w="806" w:type="dxa"/>
                  <w:vAlign w:val="center"/>
                </w:tcPr>
                <w:p w14:paraId="264293DB">
                  <w:pPr>
                    <w:adjustRightInd w:val="0"/>
                    <w:jc w:val="center"/>
                    <w:rPr>
                      <w:szCs w:val="21"/>
                    </w:rPr>
                  </w:pPr>
                  <w:r>
                    <w:rPr>
                      <w:szCs w:val="21"/>
                    </w:rPr>
                    <w:t>154</w:t>
                  </w:r>
                </w:p>
              </w:tc>
              <w:tc>
                <w:tcPr>
                  <w:tcW w:w="689" w:type="dxa"/>
                  <w:vAlign w:val="center"/>
                </w:tcPr>
                <w:p w14:paraId="632EF3AD">
                  <w:pPr>
                    <w:adjustRightInd w:val="0"/>
                    <w:jc w:val="center"/>
                    <w:rPr>
                      <w:szCs w:val="21"/>
                    </w:rPr>
                  </w:pPr>
                  <w:r>
                    <w:rPr>
                      <w:szCs w:val="21"/>
                    </w:rPr>
                    <w:t xml:space="preserve">0.62 </w:t>
                  </w:r>
                </w:p>
              </w:tc>
              <w:tc>
                <w:tcPr>
                  <w:tcW w:w="923" w:type="dxa"/>
                  <w:vMerge w:val="restart"/>
                  <w:vAlign w:val="center"/>
                </w:tcPr>
                <w:p w14:paraId="1B4719C1">
                  <w:pPr>
                    <w:adjustRightInd w:val="0"/>
                    <w:jc w:val="center"/>
                    <w:rPr>
                      <w:rFonts w:eastAsiaTheme="minorEastAsia"/>
                      <w:szCs w:val="21"/>
                    </w:rPr>
                  </w:pPr>
                  <w:r>
                    <w:rPr>
                      <w:szCs w:val="21"/>
                    </w:rPr>
                    <w:t>250</w:t>
                  </w:r>
                </w:p>
              </w:tc>
              <w:tc>
                <w:tcPr>
                  <w:tcW w:w="672" w:type="dxa"/>
                  <w:vAlign w:val="center"/>
                </w:tcPr>
                <w:p w14:paraId="11B3B5CB">
                  <w:pPr>
                    <w:adjustRightInd w:val="0"/>
                    <w:jc w:val="center"/>
                    <w:rPr>
                      <w:rFonts w:eastAsiaTheme="minorEastAsia"/>
                      <w:szCs w:val="21"/>
                    </w:rPr>
                  </w:pPr>
                  <w:r>
                    <w:rPr>
                      <w:rFonts w:eastAsiaTheme="minorEastAsia"/>
                      <w:szCs w:val="21"/>
                    </w:rPr>
                    <w:t>达标</w:t>
                  </w:r>
                </w:p>
              </w:tc>
            </w:tr>
            <w:tr w14:paraId="7BFD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7C5070AE">
                  <w:pPr>
                    <w:adjustRightInd w:val="0"/>
                    <w:jc w:val="center"/>
                    <w:rPr>
                      <w:szCs w:val="21"/>
                    </w:rPr>
                  </w:pPr>
                </w:p>
              </w:tc>
              <w:tc>
                <w:tcPr>
                  <w:tcW w:w="1201" w:type="dxa"/>
                  <w:vAlign w:val="center"/>
                </w:tcPr>
                <w:p w14:paraId="34FFBDCB">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tcPr>
                <w:p w14:paraId="5220F4E1">
                  <w:pPr>
                    <w:adjustRightInd w:val="0"/>
                    <w:jc w:val="center"/>
                    <w:rPr>
                      <w:szCs w:val="21"/>
                    </w:rPr>
                  </w:pPr>
                  <w:r>
                    <w:rPr>
                      <w:rFonts w:eastAsia="TimesNewRomanPSMT"/>
                      <w:kern w:val="0"/>
                      <w:szCs w:val="21"/>
                    </w:rPr>
                    <w:t>ND</w:t>
                  </w:r>
                </w:p>
              </w:tc>
              <w:tc>
                <w:tcPr>
                  <w:tcW w:w="675" w:type="dxa"/>
                  <w:vAlign w:val="center"/>
                </w:tcPr>
                <w:p w14:paraId="555F374D">
                  <w:pPr>
                    <w:adjustRightInd w:val="0"/>
                    <w:jc w:val="center"/>
                    <w:rPr>
                      <w:szCs w:val="21"/>
                    </w:rPr>
                  </w:pPr>
                  <w:r>
                    <w:rPr>
                      <w:rFonts w:hint="eastAsia"/>
                      <w:szCs w:val="21"/>
                    </w:rPr>
                    <w:t>/</w:t>
                  </w:r>
                </w:p>
              </w:tc>
              <w:tc>
                <w:tcPr>
                  <w:tcW w:w="806" w:type="dxa"/>
                  <w:vAlign w:val="center"/>
                </w:tcPr>
                <w:p w14:paraId="40D95D77">
                  <w:pPr>
                    <w:adjustRightInd w:val="0"/>
                    <w:jc w:val="center"/>
                    <w:rPr>
                      <w:szCs w:val="21"/>
                    </w:rPr>
                  </w:pPr>
                  <w:r>
                    <w:rPr>
                      <w:szCs w:val="21"/>
                    </w:rPr>
                    <w:t>171</w:t>
                  </w:r>
                </w:p>
              </w:tc>
              <w:tc>
                <w:tcPr>
                  <w:tcW w:w="805" w:type="dxa"/>
                  <w:vAlign w:val="center"/>
                </w:tcPr>
                <w:p w14:paraId="6DE3658F">
                  <w:pPr>
                    <w:adjustRightInd w:val="0"/>
                    <w:jc w:val="center"/>
                    <w:rPr>
                      <w:szCs w:val="21"/>
                    </w:rPr>
                  </w:pPr>
                  <w:r>
                    <w:rPr>
                      <w:szCs w:val="21"/>
                    </w:rPr>
                    <w:t xml:space="preserve">0.98 </w:t>
                  </w:r>
                </w:p>
              </w:tc>
              <w:tc>
                <w:tcPr>
                  <w:tcW w:w="806" w:type="dxa"/>
                  <w:vAlign w:val="center"/>
                </w:tcPr>
                <w:p w14:paraId="47BC1C27">
                  <w:pPr>
                    <w:adjustRightInd w:val="0"/>
                    <w:jc w:val="center"/>
                    <w:rPr>
                      <w:szCs w:val="21"/>
                    </w:rPr>
                  </w:pPr>
                  <w:r>
                    <w:rPr>
                      <w:szCs w:val="21"/>
                    </w:rPr>
                    <w:t>160</w:t>
                  </w:r>
                </w:p>
              </w:tc>
              <w:tc>
                <w:tcPr>
                  <w:tcW w:w="689" w:type="dxa"/>
                  <w:vAlign w:val="center"/>
                </w:tcPr>
                <w:p w14:paraId="1690F217">
                  <w:pPr>
                    <w:adjustRightInd w:val="0"/>
                    <w:jc w:val="center"/>
                    <w:rPr>
                      <w:szCs w:val="21"/>
                    </w:rPr>
                  </w:pPr>
                  <w:r>
                    <w:rPr>
                      <w:szCs w:val="21"/>
                    </w:rPr>
                    <w:t xml:space="preserve">0.64 </w:t>
                  </w:r>
                </w:p>
              </w:tc>
              <w:tc>
                <w:tcPr>
                  <w:tcW w:w="923" w:type="dxa"/>
                  <w:vMerge w:val="continue"/>
                  <w:vAlign w:val="center"/>
                </w:tcPr>
                <w:p w14:paraId="51A421BD">
                  <w:pPr>
                    <w:adjustRightInd w:val="0"/>
                    <w:jc w:val="center"/>
                    <w:rPr>
                      <w:szCs w:val="21"/>
                    </w:rPr>
                  </w:pPr>
                </w:p>
              </w:tc>
              <w:tc>
                <w:tcPr>
                  <w:tcW w:w="672" w:type="dxa"/>
                  <w:vAlign w:val="center"/>
                </w:tcPr>
                <w:p w14:paraId="20AF3125">
                  <w:pPr>
                    <w:adjustRightInd w:val="0"/>
                    <w:jc w:val="center"/>
                    <w:rPr>
                      <w:rFonts w:eastAsiaTheme="minorEastAsia"/>
                      <w:szCs w:val="21"/>
                    </w:rPr>
                  </w:pPr>
                  <w:r>
                    <w:rPr>
                      <w:rFonts w:eastAsiaTheme="minorEastAsia"/>
                      <w:szCs w:val="21"/>
                    </w:rPr>
                    <w:t>达标</w:t>
                  </w:r>
                </w:p>
              </w:tc>
            </w:tr>
            <w:tr w14:paraId="58CB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378DD339">
                  <w:pPr>
                    <w:adjustRightInd w:val="0"/>
                    <w:jc w:val="center"/>
                    <w:rPr>
                      <w:rFonts w:eastAsiaTheme="minorEastAsia"/>
                      <w:szCs w:val="21"/>
                    </w:rPr>
                  </w:pPr>
                  <w:r>
                    <w:rPr>
                      <w:szCs w:val="21"/>
                    </w:rPr>
                    <w:t>氯化物</w:t>
                  </w:r>
                </w:p>
              </w:tc>
              <w:tc>
                <w:tcPr>
                  <w:tcW w:w="1201" w:type="dxa"/>
                  <w:vAlign w:val="center"/>
                </w:tcPr>
                <w:p w14:paraId="56ECFFDB">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5D205FB4">
                  <w:pPr>
                    <w:adjustRightInd w:val="0"/>
                    <w:jc w:val="center"/>
                    <w:rPr>
                      <w:szCs w:val="21"/>
                    </w:rPr>
                  </w:pPr>
                  <w:r>
                    <w:rPr>
                      <w:rFonts w:eastAsia="TimesNewRomanPSMT"/>
                      <w:kern w:val="0"/>
                      <w:szCs w:val="21"/>
                    </w:rPr>
                    <w:t>224</w:t>
                  </w:r>
                </w:p>
              </w:tc>
              <w:tc>
                <w:tcPr>
                  <w:tcW w:w="675" w:type="dxa"/>
                  <w:vAlign w:val="center"/>
                </w:tcPr>
                <w:p w14:paraId="3E0472DA">
                  <w:pPr>
                    <w:adjustRightInd w:val="0"/>
                    <w:jc w:val="center"/>
                    <w:rPr>
                      <w:szCs w:val="21"/>
                    </w:rPr>
                  </w:pPr>
                  <w:r>
                    <w:rPr>
                      <w:szCs w:val="21"/>
                    </w:rPr>
                    <w:t xml:space="preserve">0.90 </w:t>
                  </w:r>
                </w:p>
              </w:tc>
              <w:tc>
                <w:tcPr>
                  <w:tcW w:w="806" w:type="dxa"/>
                  <w:vAlign w:val="center"/>
                </w:tcPr>
                <w:p w14:paraId="4BB6F5B4">
                  <w:pPr>
                    <w:adjustRightInd w:val="0"/>
                    <w:jc w:val="center"/>
                    <w:rPr>
                      <w:szCs w:val="21"/>
                    </w:rPr>
                  </w:pPr>
                  <w:r>
                    <w:rPr>
                      <w:szCs w:val="21"/>
                    </w:rPr>
                    <w:t>199</w:t>
                  </w:r>
                </w:p>
              </w:tc>
              <w:tc>
                <w:tcPr>
                  <w:tcW w:w="805" w:type="dxa"/>
                  <w:vAlign w:val="center"/>
                </w:tcPr>
                <w:p w14:paraId="44FCD26E">
                  <w:pPr>
                    <w:adjustRightInd w:val="0"/>
                    <w:jc w:val="center"/>
                    <w:rPr>
                      <w:szCs w:val="21"/>
                    </w:rPr>
                  </w:pPr>
                  <w:r>
                    <w:rPr>
                      <w:szCs w:val="21"/>
                    </w:rPr>
                    <w:t xml:space="preserve">0.66 </w:t>
                  </w:r>
                </w:p>
              </w:tc>
              <w:tc>
                <w:tcPr>
                  <w:tcW w:w="806" w:type="dxa"/>
                  <w:vAlign w:val="center"/>
                </w:tcPr>
                <w:p w14:paraId="3221B036">
                  <w:pPr>
                    <w:adjustRightInd w:val="0"/>
                    <w:jc w:val="center"/>
                    <w:rPr>
                      <w:szCs w:val="21"/>
                    </w:rPr>
                  </w:pPr>
                  <w:r>
                    <w:rPr>
                      <w:szCs w:val="21"/>
                    </w:rPr>
                    <w:t>126</w:t>
                  </w:r>
                </w:p>
              </w:tc>
              <w:tc>
                <w:tcPr>
                  <w:tcW w:w="689" w:type="dxa"/>
                  <w:vAlign w:val="center"/>
                </w:tcPr>
                <w:p w14:paraId="5171D0D2">
                  <w:pPr>
                    <w:adjustRightInd w:val="0"/>
                    <w:jc w:val="center"/>
                    <w:rPr>
                      <w:szCs w:val="21"/>
                    </w:rPr>
                  </w:pPr>
                  <w:r>
                    <w:rPr>
                      <w:szCs w:val="21"/>
                    </w:rPr>
                    <w:t xml:space="preserve">0.50 </w:t>
                  </w:r>
                </w:p>
              </w:tc>
              <w:tc>
                <w:tcPr>
                  <w:tcW w:w="923" w:type="dxa"/>
                  <w:vMerge w:val="restart"/>
                  <w:vAlign w:val="center"/>
                </w:tcPr>
                <w:p w14:paraId="1664F3E4">
                  <w:pPr>
                    <w:adjustRightInd w:val="0"/>
                    <w:jc w:val="center"/>
                    <w:rPr>
                      <w:rFonts w:eastAsiaTheme="minorEastAsia"/>
                      <w:szCs w:val="21"/>
                    </w:rPr>
                  </w:pPr>
                  <w:r>
                    <w:rPr>
                      <w:szCs w:val="21"/>
                    </w:rPr>
                    <w:t>250</w:t>
                  </w:r>
                </w:p>
              </w:tc>
              <w:tc>
                <w:tcPr>
                  <w:tcW w:w="672" w:type="dxa"/>
                  <w:vAlign w:val="center"/>
                </w:tcPr>
                <w:p w14:paraId="39ED1F03">
                  <w:pPr>
                    <w:adjustRightInd w:val="0"/>
                    <w:jc w:val="center"/>
                    <w:rPr>
                      <w:rFonts w:eastAsiaTheme="minorEastAsia"/>
                      <w:szCs w:val="21"/>
                    </w:rPr>
                  </w:pPr>
                  <w:r>
                    <w:rPr>
                      <w:rFonts w:eastAsiaTheme="minorEastAsia"/>
                      <w:szCs w:val="21"/>
                    </w:rPr>
                    <w:t>达标</w:t>
                  </w:r>
                </w:p>
              </w:tc>
            </w:tr>
            <w:tr w14:paraId="327F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11A8AE4E">
                  <w:pPr>
                    <w:adjustRightInd w:val="0"/>
                    <w:jc w:val="center"/>
                    <w:rPr>
                      <w:szCs w:val="21"/>
                    </w:rPr>
                  </w:pPr>
                </w:p>
              </w:tc>
              <w:tc>
                <w:tcPr>
                  <w:tcW w:w="1201" w:type="dxa"/>
                  <w:vAlign w:val="center"/>
                </w:tcPr>
                <w:p w14:paraId="0F339518">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48EB7A62">
                  <w:pPr>
                    <w:adjustRightInd w:val="0"/>
                    <w:jc w:val="center"/>
                    <w:rPr>
                      <w:szCs w:val="21"/>
                    </w:rPr>
                  </w:pPr>
                  <w:r>
                    <w:rPr>
                      <w:rFonts w:eastAsia="TimesNewRomanPSMT"/>
                      <w:kern w:val="0"/>
                      <w:szCs w:val="21"/>
                    </w:rPr>
                    <w:t>228</w:t>
                  </w:r>
                </w:p>
              </w:tc>
              <w:tc>
                <w:tcPr>
                  <w:tcW w:w="675" w:type="dxa"/>
                  <w:vAlign w:val="center"/>
                </w:tcPr>
                <w:p w14:paraId="0CC2D214">
                  <w:pPr>
                    <w:adjustRightInd w:val="0"/>
                    <w:jc w:val="center"/>
                    <w:rPr>
                      <w:szCs w:val="21"/>
                    </w:rPr>
                  </w:pPr>
                  <w:r>
                    <w:rPr>
                      <w:szCs w:val="21"/>
                    </w:rPr>
                    <w:t xml:space="preserve">0.91 </w:t>
                  </w:r>
                </w:p>
              </w:tc>
              <w:tc>
                <w:tcPr>
                  <w:tcW w:w="806" w:type="dxa"/>
                  <w:vAlign w:val="center"/>
                </w:tcPr>
                <w:p w14:paraId="2901FFE4">
                  <w:pPr>
                    <w:adjustRightInd w:val="0"/>
                    <w:jc w:val="center"/>
                    <w:rPr>
                      <w:szCs w:val="21"/>
                    </w:rPr>
                  </w:pPr>
                  <w:r>
                    <w:rPr>
                      <w:szCs w:val="21"/>
                    </w:rPr>
                    <w:t>202</w:t>
                  </w:r>
                </w:p>
              </w:tc>
              <w:tc>
                <w:tcPr>
                  <w:tcW w:w="805" w:type="dxa"/>
                  <w:vAlign w:val="center"/>
                </w:tcPr>
                <w:p w14:paraId="4CC29143">
                  <w:pPr>
                    <w:adjustRightInd w:val="0"/>
                    <w:jc w:val="center"/>
                    <w:rPr>
                      <w:szCs w:val="21"/>
                    </w:rPr>
                  </w:pPr>
                  <w:r>
                    <w:rPr>
                      <w:szCs w:val="21"/>
                    </w:rPr>
                    <w:t xml:space="preserve">0.68 </w:t>
                  </w:r>
                </w:p>
              </w:tc>
              <w:tc>
                <w:tcPr>
                  <w:tcW w:w="806" w:type="dxa"/>
                  <w:vAlign w:val="center"/>
                </w:tcPr>
                <w:p w14:paraId="5F4BA376">
                  <w:pPr>
                    <w:adjustRightInd w:val="0"/>
                    <w:jc w:val="center"/>
                    <w:rPr>
                      <w:szCs w:val="21"/>
                    </w:rPr>
                  </w:pPr>
                  <w:r>
                    <w:rPr>
                      <w:szCs w:val="21"/>
                    </w:rPr>
                    <w:t>125</w:t>
                  </w:r>
                </w:p>
              </w:tc>
              <w:tc>
                <w:tcPr>
                  <w:tcW w:w="689" w:type="dxa"/>
                  <w:vAlign w:val="center"/>
                </w:tcPr>
                <w:p w14:paraId="73CAC3D3">
                  <w:pPr>
                    <w:adjustRightInd w:val="0"/>
                    <w:jc w:val="center"/>
                    <w:rPr>
                      <w:szCs w:val="21"/>
                    </w:rPr>
                  </w:pPr>
                  <w:r>
                    <w:rPr>
                      <w:szCs w:val="21"/>
                    </w:rPr>
                    <w:t xml:space="preserve">0.50 </w:t>
                  </w:r>
                </w:p>
              </w:tc>
              <w:tc>
                <w:tcPr>
                  <w:tcW w:w="923" w:type="dxa"/>
                  <w:vMerge w:val="continue"/>
                  <w:vAlign w:val="center"/>
                </w:tcPr>
                <w:p w14:paraId="44C76D50">
                  <w:pPr>
                    <w:adjustRightInd w:val="0"/>
                    <w:jc w:val="center"/>
                    <w:rPr>
                      <w:szCs w:val="21"/>
                    </w:rPr>
                  </w:pPr>
                </w:p>
              </w:tc>
              <w:tc>
                <w:tcPr>
                  <w:tcW w:w="672" w:type="dxa"/>
                  <w:vAlign w:val="center"/>
                </w:tcPr>
                <w:p w14:paraId="31B9730D">
                  <w:pPr>
                    <w:adjustRightInd w:val="0"/>
                    <w:jc w:val="center"/>
                    <w:rPr>
                      <w:rFonts w:eastAsiaTheme="minorEastAsia"/>
                      <w:szCs w:val="21"/>
                    </w:rPr>
                  </w:pPr>
                  <w:r>
                    <w:rPr>
                      <w:rFonts w:eastAsiaTheme="minorEastAsia"/>
                      <w:szCs w:val="21"/>
                    </w:rPr>
                    <w:t>达标</w:t>
                  </w:r>
                </w:p>
              </w:tc>
            </w:tr>
            <w:tr w14:paraId="4DFD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5FF153A7">
                  <w:pPr>
                    <w:adjustRightInd w:val="0"/>
                    <w:jc w:val="center"/>
                    <w:rPr>
                      <w:rFonts w:eastAsiaTheme="minorEastAsia"/>
                      <w:szCs w:val="21"/>
                    </w:rPr>
                  </w:pPr>
                  <w:r>
                    <w:rPr>
                      <w:szCs w:val="21"/>
                    </w:rPr>
                    <w:t>总大肠菌群数</w:t>
                  </w:r>
                </w:p>
              </w:tc>
              <w:tc>
                <w:tcPr>
                  <w:tcW w:w="1201" w:type="dxa"/>
                  <w:vAlign w:val="center"/>
                </w:tcPr>
                <w:p w14:paraId="48230BA1">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tcPr>
                <w:p w14:paraId="0381F0CA">
                  <w:pPr>
                    <w:adjustRightInd w:val="0"/>
                    <w:jc w:val="center"/>
                    <w:rPr>
                      <w:szCs w:val="21"/>
                    </w:rPr>
                  </w:pPr>
                  <w:r>
                    <w:rPr>
                      <w:rFonts w:eastAsia="TimesNewRomanPSMT"/>
                      <w:kern w:val="0"/>
                      <w:szCs w:val="21"/>
                    </w:rPr>
                    <w:t>ND</w:t>
                  </w:r>
                </w:p>
              </w:tc>
              <w:tc>
                <w:tcPr>
                  <w:tcW w:w="675" w:type="dxa"/>
                  <w:vAlign w:val="center"/>
                </w:tcPr>
                <w:p w14:paraId="2AFF2BEF">
                  <w:pPr>
                    <w:adjustRightInd w:val="0"/>
                    <w:jc w:val="center"/>
                    <w:rPr>
                      <w:szCs w:val="21"/>
                    </w:rPr>
                  </w:pPr>
                  <w:r>
                    <w:rPr>
                      <w:szCs w:val="21"/>
                    </w:rPr>
                    <w:t>/</w:t>
                  </w:r>
                </w:p>
              </w:tc>
              <w:tc>
                <w:tcPr>
                  <w:tcW w:w="806" w:type="dxa"/>
                  <w:vAlign w:val="center"/>
                </w:tcPr>
                <w:p w14:paraId="1A452C4B">
                  <w:pPr>
                    <w:adjustRightInd w:val="0"/>
                    <w:jc w:val="center"/>
                    <w:rPr>
                      <w:szCs w:val="21"/>
                    </w:rPr>
                  </w:pPr>
                  <w:r>
                    <w:rPr>
                      <w:szCs w:val="21"/>
                    </w:rPr>
                    <w:t>2</w:t>
                  </w:r>
                </w:p>
              </w:tc>
              <w:tc>
                <w:tcPr>
                  <w:tcW w:w="805" w:type="dxa"/>
                  <w:vAlign w:val="center"/>
                </w:tcPr>
                <w:p w14:paraId="6AC10320">
                  <w:pPr>
                    <w:adjustRightInd w:val="0"/>
                    <w:jc w:val="center"/>
                    <w:rPr>
                      <w:szCs w:val="21"/>
                    </w:rPr>
                  </w:pPr>
                  <w:r>
                    <w:rPr>
                      <w:szCs w:val="21"/>
                    </w:rPr>
                    <w:t xml:space="preserve">0.67 </w:t>
                  </w:r>
                </w:p>
              </w:tc>
              <w:tc>
                <w:tcPr>
                  <w:tcW w:w="806" w:type="dxa"/>
                </w:tcPr>
                <w:p w14:paraId="09A1C037">
                  <w:pPr>
                    <w:adjustRightInd w:val="0"/>
                    <w:jc w:val="center"/>
                    <w:rPr>
                      <w:szCs w:val="21"/>
                    </w:rPr>
                  </w:pPr>
                  <w:r>
                    <w:rPr>
                      <w:rFonts w:eastAsia="TimesNewRomanPSMT"/>
                      <w:kern w:val="0"/>
                      <w:szCs w:val="21"/>
                    </w:rPr>
                    <w:t>ND</w:t>
                  </w:r>
                </w:p>
              </w:tc>
              <w:tc>
                <w:tcPr>
                  <w:tcW w:w="689" w:type="dxa"/>
                  <w:vAlign w:val="center"/>
                </w:tcPr>
                <w:p w14:paraId="1D57AC70">
                  <w:pPr>
                    <w:adjustRightInd w:val="0"/>
                    <w:jc w:val="center"/>
                    <w:rPr>
                      <w:szCs w:val="21"/>
                    </w:rPr>
                  </w:pPr>
                  <w:r>
                    <w:rPr>
                      <w:szCs w:val="21"/>
                    </w:rPr>
                    <w:t>/</w:t>
                  </w:r>
                </w:p>
              </w:tc>
              <w:tc>
                <w:tcPr>
                  <w:tcW w:w="923" w:type="dxa"/>
                  <w:vMerge w:val="restart"/>
                  <w:vAlign w:val="center"/>
                </w:tcPr>
                <w:p w14:paraId="477F0FD7">
                  <w:pPr>
                    <w:adjustRightInd w:val="0"/>
                    <w:jc w:val="center"/>
                    <w:rPr>
                      <w:rFonts w:eastAsiaTheme="minorEastAsia"/>
                      <w:szCs w:val="21"/>
                    </w:rPr>
                  </w:pPr>
                  <w:r>
                    <w:rPr>
                      <w:szCs w:val="21"/>
                    </w:rPr>
                    <w:t>3.0</w:t>
                  </w:r>
                </w:p>
              </w:tc>
              <w:tc>
                <w:tcPr>
                  <w:tcW w:w="672" w:type="dxa"/>
                  <w:vAlign w:val="center"/>
                </w:tcPr>
                <w:p w14:paraId="708F8C0F">
                  <w:pPr>
                    <w:adjustRightInd w:val="0"/>
                    <w:jc w:val="center"/>
                    <w:rPr>
                      <w:rFonts w:eastAsiaTheme="minorEastAsia"/>
                      <w:szCs w:val="21"/>
                    </w:rPr>
                  </w:pPr>
                  <w:r>
                    <w:rPr>
                      <w:rFonts w:eastAsiaTheme="minorEastAsia"/>
                      <w:szCs w:val="21"/>
                    </w:rPr>
                    <w:t>达标</w:t>
                  </w:r>
                </w:p>
              </w:tc>
            </w:tr>
            <w:tr w14:paraId="24EC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0259E493">
                  <w:pPr>
                    <w:adjustRightInd w:val="0"/>
                    <w:jc w:val="center"/>
                    <w:rPr>
                      <w:szCs w:val="21"/>
                    </w:rPr>
                  </w:pPr>
                </w:p>
              </w:tc>
              <w:tc>
                <w:tcPr>
                  <w:tcW w:w="1201" w:type="dxa"/>
                  <w:vAlign w:val="center"/>
                </w:tcPr>
                <w:p w14:paraId="4DA28776">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tcPr>
                <w:p w14:paraId="6F338C37">
                  <w:pPr>
                    <w:adjustRightInd w:val="0"/>
                    <w:jc w:val="center"/>
                    <w:rPr>
                      <w:szCs w:val="21"/>
                    </w:rPr>
                  </w:pPr>
                  <w:r>
                    <w:rPr>
                      <w:rFonts w:eastAsia="TimesNewRomanPSMT"/>
                      <w:kern w:val="0"/>
                      <w:szCs w:val="21"/>
                    </w:rPr>
                    <w:t>ND</w:t>
                  </w:r>
                </w:p>
              </w:tc>
              <w:tc>
                <w:tcPr>
                  <w:tcW w:w="675" w:type="dxa"/>
                  <w:vAlign w:val="center"/>
                </w:tcPr>
                <w:p w14:paraId="2796FC5D">
                  <w:pPr>
                    <w:adjustRightInd w:val="0"/>
                    <w:jc w:val="center"/>
                    <w:rPr>
                      <w:szCs w:val="21"/>
                    </w:rPr>
                  </w:pPr>
                  <w:r>
                    <w:rPr>
                      <w:szCs w:val="21"/>
                    </w:rPr>
                    <w:t>/</w:t>
                  </w:r>
                </w:p>
              </w:tc>
              <w:tc>
                <w:tcPr>
                  <w:tcW w:w="806" w:type="dxa"/>
                  <w:vAlign w:val="center"/>
                </w:tcPr>
                <w:p w14:paraId="665C424A">
                  <w:pPr>
                    <w:adjustRightInd w:val="0"/>
                    <w:jc w:val="center"/>
                    <w:rPr>
                      <w:szCs w:val="21"/>
                    </w:rPr>
                  </w:pPr>
                  <w:r>
                    <w:rPr>
                      <w:szCs w:val="21"/>
                    </w:rPr>
                    <w:t>2</w:t>
                  </w:r>
                </w:p>
              </w:tc>
              <w:tc>
                <w:tcPr>
                  <w:tcW w:w="805" w:type="dxa"/>
                  <w:vAlign w:val="center"/>
                </w:tcPr>
                <w:p w14:paraId="7C680E29">
                  <w:pPr>
                    <w:adjustRightInd w:val="0"/>
                    <w:jc w:val="center"/>
                    <w:rPr>
                      <w:szCs w:val="21"/>
                    </w:rPr>
                  </w:pPr>
                  <w:r>
                    <w:rPr>
                      <w:szCs w:val="21"/>
                    </w:rPr>
                    <w:t xml:space="preserve">0.67 </w:t>
                  </w:r>
                </w:p>
              </w:tc>
              <w:tc>
                <w:tcPr>
                  <w:tcW w:w="806" w:type="dxa"/>
                </w:tcPr>
                <w:p w14:paraId="3EF42FB5">
                  <w:pPr>
                    <w:adjustRightInd w:val="0"/>
                    <w:jc w:val="center"/>
                    <w:rPr>
                      <w:szCs w:val="21"/>
                    </w:rPr>
                  </w:pPr>
                  <w:r>
                    <w:rPr>
                      <w:rFonts w:eastAsia="TimesNewRomanPSMT"/>
                      <w:kern w:val="0"/>
                      <w:szCs w:val="21"/>
                    </w:rPr>
                    <w:t>ND</w:t>
                  </w:r>
                </w:p>
              </w:tc>
              <w:tc>
                <w:tcPr>
                  <w:tcW w:w="689" w:type="dxa"/>
                  <w:vAlign w:val="center"/>
                </w:tcPr>
                <w:p w14:paraId="38D7137D">
                  <w:pPr>
                    <w:adjustRightInd w:val="0"/>
                    <w:jc w:val="center"/>
                    <w:rPr>
                      <w:szCs w:val="21"/>
                    </w:rPr>
                  </w:pPr>
                  <w:r>
                    <w:rPr>
                      <w:szCs w:val="21"/>
                    </w:rPr>
                    <w:t>/</w:t>
                  </w:r>
                </w:p>
              </w:tc>
              <w:tc>
                <w:tcPr>
                  <w:tcW w:w="923" w:type="dxa"/>
                  <w:vMerge w:val="continue"/>
                  <w:vAlign w:val="center"/>
                </w:tcPr>
                <w:p w14:paraId="2E1368FE">
                  <w:pPr>
                    <w:adjustRightInd w:val="0"/>
                    <w:jc w:val="center"/>
                    <w:rPr>
                      <w:szCs w:val="21"/>
                    </w:rPr>
                  </w:pPr>
                </w:p>
              </w:tc>
              <w:tc>
                <w:tcPr>
                  <w:tcW w:w="672" w:type="dxa"/>
                  <w:vAlign w:val="center"/>
                </w:tcPr>
                <w:p w14:paraId="39AFB629">
                  <w:pPr>
                    <w:adjustRightInd w:val="0"/>
                    <w:jc w:val="center"/>
                    <w:rPr>
                      <w:rFonts w:eastAsiaTheme="minorEastAsia"/>
                      <w:szCs w:val="21"/>
                    </w:rPr>
                  </w:pPr>
                  <w:r>
                    <w:rPr>
                      <w:rFonts w:eastAsiaTheme="minorEastAsia"/>
                      <w:szCs w:val="21"/>
                    </w:rPr>
                    <w:t>达标</w:t>
                  </w:r>
                </w:p>
              </w:tc>
            </w:tr>
            <w:tr w14:paraId="2DE6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0EC424BE">
                  <w:pPr>
                    <w:adjustRightInd w:val="0"/>
                    <w:jc w:val="center"/>
                    <w:rPr>
                      <w:rFonts w:eastAsiaTheme="minorEastAsia"/>
                      <w:szCs w:val="21"/>
                    </w:rPr>
                  </w:pPr>
                  <w:r>
                    <w:rPr>
                      <w:szCs w:val="21"/>
                    </w:rPr>
                    <w:t>细菌总数</w:t>
                  </w:r>
                </w:p>
              </w:tc>
              <w:tc>
                <w:tcPr>
                  <w:tcW w:w="1201" w:type="dxa"/>
                  <w:vAlign w:val="center"/>
                </w:tcPr>
                <w:p w14:paraId="15C2491E">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597BD14C">
                  <w:pPr>
                    <w:adjustRightInd w:val="0"/>
                    <w:jc w:val="center"/>
                    <w:rPr>
                      <w:szCs w:val="21"/>
                    </w:rPr>
                  </w:pPr>
                  <w:r>
                    <w:rPr>
                      <w:rFonts w:eastAsia="TimesNewRomanPSMT"/>
                      <w:kern w:val="0"/>
                      <w:szCs w:val="21"/>
                    </w:rPr>
                    <w:t>89</w:t>
                  </w:r>
                </w:p>
              </w:tc>
              <w:tc>
                <w:tcPr>
                  <w:tcW w:w="675" w:type="dxa"/>
                  <w:vAlign w:val="center"/>
                </w:tcPr>
                <w:p w14:paraId="7E1942CC">
                  <w:pPr>
                    <w:adjustRightInd w:val="0"/>
                    <w:jc w:val="center"/>
                    <w:rPr>
                      <w:szCs w:val="21"/>
                    </w:rPr>
                  </w:pPr>
                  <w:r>
                    <w:rPr>
                      <w:szCs w:val="21"/>
                    </w:rPr>
                    <w:t xml:space="preserve">0.89 </w:t>
                  </w:r>
                </w:p>
              </w:tc>
              <w:tc>
                <w:tcPr>
                  <w:tcW w:w="806" w:type="dxa"/>
                  <w:vAlign w:val="center"/>
                </w:tcPr>
                <w:p w14:paraId="2A24856C">
                  <w:pPr>
                    <w:adjustRightInd w:val="0"/>
                    <w:jc w:val="center"/>
                    <w:rPr>
                      <w:szCs w:val="21"/>
                    </w:rPr>
                  </w:pPr>
                  <w:r>
                    <w:rPr>
                      <w:szCs w:val="21"/>
                    </w:rPr>
                    <w:t>92</w:t>
                  </w:r>
                </w:p>
              </w:tc>
              <w:tc>
                <w:tcPr>
                  <w:tcW w:w="805" w:type="dxa"/>
                  <w:vAlign w:val="center"/>
                </w:tcPr>
                <w:p w14:paraId="561F36B5">
                  <w:pPr>
                    <w:adjustRightInd w:val="0"/>
                    <w:jc w:val="center"/>
                    <w:rPr>
                      <w:szCs w:val="21"/>
                    </w:rPr>
                  </w:pPr>
                  <w:r>
                    <w:rPr>
                      <w:szCs w:val="21"/>
                    </w:rPr>
                    <w:t xml:space="preserve">0.92 </w:t>
                  </w:r>
                </w:p>
              </w:tc>
              <w:tc>
                <w:tcPr>
                  <w:tcW w:w="806" w:type="dxa"/>
                  <w:vAlign w:val="center"/>
                </w:tcPr>
                <w:p w14:paraId="0682999F">
                  <w:pPr>
                    <w:adjustRightInd w:val="0"/>
                    <w:jc w:val="center"/>
                    <w:rPr>
                      <w:szCs w:val="21"/>
                    </w:rPr>
                  </w:pPr>
                  <w:r>
                    <w:rPr>
                      <w:szCs w:val="21"/>
                    </w:rPr>
                    <w:t>89</w:t>
                  </w:r>
                </w:p>
              </w:tc>
              <w:tc>
                <w:tcPr>
                  <w:tcW w:w="689" w:type="dxa"/>
                  <w:vAlign w:val="center"/>
                </w:tcPr>
                <w:p w14:paraId="5B4C1066">
                  <w:pPr>
                    <w:adjustRightInd w:val="0"/>
                    <w:jc w:val="center"/>
                    <w:rPr>
                      <w:szCs w:val="21"/>
                    </w:rPr>
                  </w:pPr>
                  <w:r>
                    <w:rPr>
                      <w:szCs w:val="21"/>
                    </w:rPr>
                    <w:t xml:space="preserve">0.89 </w:t>
                  </w:r>
                </w:p>
              </w:tc>
              <w:tc>
                <w:tcPr>
                  <w:tcW w:w="923" w:type="dxa"/>
                  <w:vMerge w:val="restart"/>
                  <w:vAlign w:val="center"/>
                </w:tcPr>
                <w:p w14:paraId="101DF645">
                  <w:pPr>
                    <w:adjustRightInd w:val="0"/>
                    <w:jc w:val="center"/>
                    <w:rPr>
                      <w:rFonts w:eastAsiaTheme="minorEastAsia"/>
                      <w:szCs w:val="21"/>
                    </w:rPr>
                  </w:pPr>
                  <w:r>
                    <w:rPr>
                      <w:rFonts w:eastAsiaTheme="minorEastAsia"/>
                      <w:szCs w:val="21"/>
                    </w:rPr>
                    <w:t>100</w:t>
                  </w:r>
                </w:p>
              </w:tc>
              <w:tc>
                <w:tcPr>
                  <w:tcW w:w="672" w:type="dxa"/>
                  <w:vAlign w:val="center"/>
                </w:tcPr>
                <w:p w14:paraId="687D670B">
                  <w:pPr>
                    <w:adjustRightInd w:val="0"/>
                    <w:jc w:val="center"/>
                    <w:rPr>
                      <w:rFonts w:eastAsiaTheme="minorEastAsia"/>
                      <w:szCs w:val="21"/>
                    </w:rPr>
                  </w:pPr>
                  <w:r>
                    <w:rPr>
                      <w:rFonts w:eastAsiaTheme="minorEastAsia"/>
                      <w:szCs w:val="21"/>
                    </w:rPr>
                    <w:t>达标</w:t>
                  </w:r>
                </w:p>
              </w:tc>
            </w:tr>
            <w:tr w14:paraId="0BC7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0FAEFB33">
                  <w:pPr>
                    <w:adjustRightInd w:val="0"/>
                    <w:jc w:val="center"/>
                    <w:rPr>
                      <w:szCs w:val="21"/>
                    </w:rPr>
                  </w:pPr>
                </w:p>
              </w:tc>
              <w:tc>
                <w:tcPr>
                  <w:tcW w:w="1201" w:type="dxa"/>
                  <w:vAlign w:val="center"/>
                </w:tcPr>
                <w:p w14:paraId="46E79A42">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3E15C1CC">
                  <w:pPr>
                    <w:adjustRightInd w:val="0"/>
                    <w:jc w:val="center"/>
                    <w:rPr>
                      <w:szCs w:val="21"/>
                    </w:rPr>
                  </w:pPr>
                  <w:r>
                    <w:rPr>
                      <w:rFonts w:eastAsia="TimesNewRomanPSMT"/>
                      <w:kern w:val="0"/>
                      <w:szCs w:val="21"/>
                    </w:rPr>
                    <w:t>87</w:t>
                  </w:r>
                </w:p>
              </w:tc>
              <w:tc>
                <w:tcPr>
                  <w:tcW w:w="675" w:type="dxa"/>
                  <w:vAlign w:val="center"/>
                </w:tcPr>
                <w:p w14:paraId="63B8978F">
                  <w:pPr>
                    <w:adjustRightInd w:val="0"/>
                    <w:jc w:val="center"/>
                    <w:rPr>
                      <w:szCs w:val="21"/>
                    </w:rPr>
                  </w:pPr>
                  <w:r>
                    <w:rPr>
                      <w:szCs w:val="21"/>
                    </w:rPr>
                    <w:t xml:space="preserve">0.87 </w:t>
                  </w:r>
                </w:p>
              </w:tc>
              <w:tc>
                <w:tcPr>
                  <w:tcW w:w="806" w:type="dxa"/>
                  <w:vAlign w:val="center"/>
                </w:tcPr>
                <w:p w14:paraId="3B9B2ABB">
                  <w:pPr>
                    <w:adjustRightInd w:val="0"/>
                    <w:jc w:val="center"/>
                    <w:rPr>
                      <w:szCs w:val="21"/>
                    </w:rPr>
                  </w:pPr>
                  <w:r>
                    <w:rPr>
                      <w:szCs w:val="21"/>
                    </w:rPr>
                    <w:t>95</w:t>
                  </w:r>
                </w:p>
              </w:tc>
              <w:tc>
                <w:tcPr>
                  <w:tcW w:w="805" w:type="dxa"/>
                  <w:vAlign w:val="center"/>
                </w:tcPr>
                <w:p w14:paraId="4AC32359">
                  <w:pPr>
                    <w:adjustRightInd w:val="0"/>
                    <w:jc w:val="center"/>
                    <w:rPr>
                      <w:szCs w:val="21"/>
                    </w:rPr>
                  </w:pPr>
                  <w:r>
                    <w:rPr>
                      <w:szCs w:val="21"/>
                    </w:rPr>
                    <w:t xml:space="preserve">0.95 </w:t>
                  </w:r>
                </w:p>
              </w:tc>
              <w:tc>
                <w:tcPr>
                  <w:tcW w:w="806" w:type="dxa"/>
                  <w:vAlign w:val="center"/>
                </w:tcPr>
                <w:p w14:paraId="3B2FD7E3">
                  <w:pPr>
                    <w:adjustRightInd w:val="0"/>
                    <w:jc w:val="center"/>
                    <w:rPr>
                      <w:szCs w:val="21"/>
                    </w:rPr>
                  </w:pPr>
                  <w:r>
                    <w:rPr>
                      <w:szCs w:val="21"/>
                    </w:rPr>
                    <w:t>91</w:t>
                  </w:r>
                </w:p>
              </w:tc>
              <w:tc>
                <w:tcPr>
                  <w:tcW w:w="689" w:type="dxa"/>
                  <w:vAlign w:val="center"/>
                </w:tcPr>
                <w:p w14:paraId="3579EF0A">
                  <w:pPr>
                    <w:adjustRightInd w:val="0"/>
                    <w:jc w:val="center"/>
                    <w:rPr>
                      <w:szCs w:val="21"/>
                    </w:rPr>
                  </w:pPr>
                  <w:r>
                    <w:rPr>
                      <w:szCs w:val="21"/>
                    </w:rPr>
                    <w:t xml:space="preserve">0.91 </w:t>
                  </w:r>
                </w:p>
              </w:tc>
              <w:tc>
                <w:tcPr>
                  <w:tcW w:w="923" w:type="dxa"/>
                  <w:vMerge w:val="continue"/>
                  <w:vAlign w:val="center"/>
                </w:tcPr>
                <w:p w14:paraId="21D428BA">
                  <w:pPr>
                    <w:adjustRightInd w:val="0"/>
                    <w:jc w:val="center"/>
                    <w:rPr>
                      <w:rFonts w:eastAsiaTheme="minorEastAsia"/>
                      <w:szCs w:val="21"/>
                    </w:rPr>
                  </w:pPr>
                </w:p>
              </w:tc>
              <w:tc>
                <w:tcPr>
                  <w:tcW w:w="672" w:type="dxa"/>
                  <w:vAlign w:val="center"/>
                </w:tcPr>
                <w:p w14:paraId="632B3618">
                  <w:pPr>
                    <w:adjustRightInd w:val="0"/>
                    <w:jc w:val="center"/>
                    <w:rPr>
                      <w:rFonts w:eastAsiaTheme="minorEastAsia"/>
                      <w:szCs w:val="21"/>
                    </w:rPr>
                  </w:pPr>
                  <w:r>
                    <w:rPr>
                      <w:rFonts w:eastAsiaTheme="minorEastAsia"/>
                      <w:szCs w:val="21"/>
                    </w:rPr>
                    <w:t>达标</w:t>
                  </w:r>
                </w:p>
              </w:tc>
            </w:tr>
            <w:tr w14:paraId="0BBA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restart"/>
                  <w:vAlign w:val="center"/>
                </w:tcPr>
                <w:p w14:paraId="70E3F7D3">
                  <w:pPr>
                    <w:adjustRightInd w:val="0"/>
                    <w:jc w:val="center"/>
                    <w:rPr>
                      <w:rFonts w:eastAsiaTheme="minorEastAsia"/>
                      <w:szCs w:val="21"/>
                    </w:rPr>
                  </w:pPr>
                  <w:r>
                    <w:rPr>
                      <w:szCs w:val="21"/>
                    </w:rPr>
                    <w:t>氟化物</w:t>
                  </w:r>
                </w:p>
              </w:tc>
              <w:tc>
                <w:tcPr>
                  <w:tcW w:w="1201" w:type="dxa"/>
                  <w:vAlign w:val="center"/>
                </w:tcPr>
                <w:p w14:paraId="74A73C08">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23</w:t>
                  </w:r>
                </w:p>
              </w:tc>
              <w:tc>
                <w:tcPr>
                  <w:tcW w:w="805" w:type="dxa"/>
                  <w:vAlign w:val="center"/>
                </w:tcPr>
                <w:p w14:paraId="4EB6EBC7">
                  <w:pPr>
                    <w:adjustRightInd w:val="0"/>
                    <w:jc w:val="center"/>
                    <w:rPr>
                      <w:szCs w:val="21"/>
                    </w:rPr>
                  </w:pPr>
                  <w:r>
                    <w:rPr>
                      <w:rFonts w:eastAsia="TimesNewRomanPSMT"/>
                      <w:kern w:val="0"/>
                      <w:szCs w:val="21"/>
                    </w:rPr>
                    <w:t>0.16</w:t>
                  </w:r>
                </w:p>
              </w:tc>
              <w:tc>
                <w:tcPr>
                  <w:tcW w:w="675" w:type="dxa"/>
                  <w:vAlign w:val="center"/>
                </w:tcPr>
                <w:p w14:paraId="5A800849">
                  <w:pPr>
                    <w:adjustRightInd w:val="0"/>
                    <w:jc w:val="center"/>
                    <w:rPr>
                      <w:szCs w:val="21"/>
                    </w:rPr>
                  </w:pPr>
                  <w:r>
                    <w:rPr>
                      <w:szCs w:val="21"/>
                    </w:rPr>
                    <w:t xml:space="preserve">0.16 </w:t>
                  </w:r>
                </w:p>
              </w:tc>
              <w:tc>
                <w:tcPr>
                  <w:tcW w:w="806" w:type="dxa"/>
                  <w:vAlign w:val="center"/>
                </w:tcPr>
                <w:p w14:paraId="7CCAADEF">
                  <w:pPr>
                    <w:adjustRightInd w:val="0"/>
                    <w:jc w:val="center"/>
                    <w:rPr>
                      <w:szCs w:val="21"/>
                    </w:rPr>
                  </w:pPr>
                  <w:r>
                    <w:rPr>
                      <w:szCs w:val="21"/>
                    </w:rPr>
                    <w:t>0.16</w:t>
                  </w:r>
                </w:p>
              </w:tc>
              <w:tc>
                <w:tcPr>
                  <w:tcW w:w="805" w:type="dxa"/>
                  <w:vAlign w:val="center"/>
                </w:tcPr>
                <w:p w14:paraId="067FACBA">
                  <w:pPr>
                    <w:adjustRightInd w:val="0"/>
                    <w:jc w:val="center"/>
                    <w:rPr>
                      <w:szCs w:val="21"/>
                    </w:rPr>
                  </w:pPr>
                  <w:r>
                    <w:rPr>
                      <w:szCs w:val="21"/>
                    </w:rPr>
                    <w:t xml:space="preserve">0.16 </w:t>
                  </w:r>
                </w:p>
              </w:tc>
              <w:tc>
                <w:tcPr>
                  <w:tcW w:w="806" w:type="dxa"/>
                  <w:vAlign w:val="center"/>
                </w:tcPr>
                <w:p w14:paraId="6B121BA2">
                  <w:pPr>
                    <w:adjustRightInd w:val="0"/>
                    <w:jc w:val="center"/>
                    <w:rPr>
                      <w:szCs w:val="21"/>
                    </w:rPr>
                  </w:pPr>
                  <w:r>
                    <w:rPr>
                      <w:szCs w:val="21"/>
                    </w:rPr>
                    <w:t>0.15</w:t>
                  </w:r>
                </w:p>
              </w:tc>
              <w:tc>
                <w:tcPr>
                  <w:tcW w:w="689" w:type="dxa"/>
                  <w:vAlign w:val="center"/>
                </w:tcPr>
                <w:p w14:paraId="30BAFB4E">
                  <w:pPr>
                    <w:adjustRightInd w:val="0"/>
                    <w:jc w:val="center"/>
                    <w:rPr>
                      <w:szCs w:val="21"/>
                    </w:rPr>
                  </w:pPr>
                  <w:r>
                    <w:rPr>
                      <w:szCs w:val="21"/>
                    </w:rPr>
                    <w:t xml:space="preserve">0.15 </w:t>
                  </w:r>
                </w:p>
              </w:tc>
              <w:tc>
                <w:tcPr>
                  <w:tcW w:w="923" w:type="dxa"/>
                  <w:vMerge w:val="restart"/>
                  <w:vAlign w:val="center"/>
                </w:tcPr>
                <w:p w14:paraId="1047B715">
                  <w:pPr>
                    <w:adjustRightInd w:val="0"/>
                    <w:jc w:val="center"/>
                    <w:rPr>
                      <w:rFonts w:eastAsiaTheme="minorEastAsia"/>
                      <w:szCs w:val="21"/>
                    </w:rPr>
                  </w:pPr>
                  <w:r>
                    <w:rPr>
                      <w:rFonts w:eastAsiaTheme="minorEastAsia"/>
                      <w:szCs w:val="21"/>
                    </w:rPr>
                    <w:t>1.0</w:t>
                  </w:r>
                </w:p>
              </w:tc>
              <w:tc>
                <w:tcPr>
                  <w:tcW w:w="672" w:type="dxa"/>
                  <w:vAlign w:val="center"/>
                </w:tcPr>
                <w:p w14:paraId="2A4748A4">
                  <w:pPr>
                    <w:adjustRightInd w:val="0"/>
                    <w:jc w:val="center"/>
                    <w:rPr>
                      <w:rFonts w:eastAsiaTheme="minorEastAsia"/>
                      <w:szCs w:val="21"/>
                    </w:rPr>
                  </w:pPr>
                  <w:r>
                    <w:rPr>
                      <w:rFonts w:eastAsiaTheme="minorEastAsia"/>
                      <w:szCs w:val="21"/>
                    </w:rPr>
                    <w:t>达标</w:t>
                  </w:r>
                </w:p>
              </w:tc>
            </w:tr>
            <w:tr w14:paraId="3370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1" w:type="dxa"/>
                  <w:vMerge w:val="continue"/>
                  <w:vAlign w:val="center"/>
                </w:tcPr>
                <w:p w14:paraId="0FFD3BCE">
                  <w:pPr>
                    <w:adjustRightInd w:val="0"/>
                    <w:jc w:val="center"/>
                    <w:rPr>
                      <w:szCs w:val="21"/>
                    </w:rPr>
                  </w:pPr>
                </w:p>
              </w:tc>
              <w:tc>
                <w:tcPr>
                  <w:tcW w:w="1201" w:type="dxa"/>
                  <w:vAlign w:val="center"/>
                </w:tcPr>
                <w:p w14:paraId="00EC091C">
                  <w:pPr>
                    <w:adjustRightInd w:val="0"/>
                    <w:jc w:val="center"/>
                    <w:rPr>
                      <w:szCs w:val="21"/>
                    </w:rPr>
                  </w:pPr>
                  <w:r>
                    <w:rPr>
                      <w:szCs w:val="21"/>
                    </w:rPr>
                    <w:t>202</w:t>
                  </w:r>
                  <w:r>
                    <w:rPr>
                      <w:rFonts w:eastAsiaTheme="minorEastAsia"/>
                      <w:szCs w:val="21"/>
                    </w:rPr>
                    <w:t>3</w:t>
                  </w:r>
                  <w:r>
                    <w:rPr>
                      <w:szCs w:val="21"/>
                    </w:rPr>
                    <w:t>/</w:t>
                  </w:r>
                  <w:r>
                    <w:rPr>
                      <w:rFonts w:eastAsiaTheme="minorEastAsia"/>
                      <w:szCs w:val="21"/>
                    </w:rPr>
                    <w:t>5</w:t>
                  </w:r>
                  <w:r>
                    <w:rPr>
                      <w:szCs w:val="21"/>
                    </w:rPr>
                    <w:t>/</w:t>
                  </w:r>
                  <w:r>
                    <w:rPr>
                      <w:rFonts w:eastAsiaTheme="minorEastAsia"/>
                      <w:szCs w:val="21"/>
                    </w:rPr>
                    <w:t>24</w:t>
                  </w:r>
                </w:p>
              </w:tc>
              <w:tc>
                <w:tcPr>
                  <w:tcW w:w="805" w:type="dxa"/>
                  <w:vAlign w:val="center"/>
                </w:tcPr>
                <w:p w14:paraId="7A261E48">
                  <w:pPr>
                    <w:adjustRightInd w:val="0"/>
                    <w:jc w:val="center"/>
                    <w:rPr>
                      <w:szCs w:val="21"/>
                    </w:rPr>
                  </w:pPr>
                  <w:r>
                    <w:rPr>
                      <w:rFonts w:eastAsia="TimesNewRomanPSMT"/>
                      <w:kern w:val="0"/>
                      <w:szCs w:val="21"/>
                    </w:rPr>
                    <w:t>0.14</w:t>
                  </w:r>
                </w:p>
              </w:tc>
              <w:tc>
                <w:tcPr>
                  <w:tcW w:w="675" w:type="dxa"/>
                  <w:vAlign w:val="center"/>
                </w:tcPr>
                <w:p w14:paraId="2364A952">
                  <w:pPr>
                    <w:adjustRightInd w:val="0"/>
                    <w:jc w:val="center"/>
                    <w:rPr>
                      <w:szCs w:val="21"/>
                    </w:rPr>
                  </w:pPr>
                  <w:r>
                    <w:rPr>
                      <w:szCs w:val="21"/>
                    </w:rPr>
                    <w:t xml:space="preserve">0.14 </w:t>
                  </w:r>
                </w:p>
              </w:tc>
              <w:tc>
                <w:tcPr>
                  <w:tcW w:w="806" w:type="dxa"/>
                  <w:vAlign w:val="center"/>
                </w:tcPr>
                <w:p w14:paraId="67C062DD">
                  <w:pPr>
                    <w:adjustRightInd w:val="0"/>
                    <w:jc w:val="center"/>
                    <w:rPr>
                      <w:szCs w:val="21"/>
                    </w:rPr>
                  </w:pPr>
                  <w:r>
                    <w:rPr>
                      <w:szCs w:val="21"/>
                    </w:rPr>
                    <w:t>0.18</w:t>
                  </w:r>
                </w:p>
              </w:tc>
              <w:tc>
                <w:tcPr>
                  <w:tcW w:w="805" w:type="dxa"/>
                  <w:vAlign w:val="center"/>
                </w:tcPr>
                <w:p w14:paraId="5A9D9B57">
                  <w:pPr>
                    <w:adjustRightInd w:val="0"/>
                    <w:jc w:val="center"/>
                    <w:rPr>
                      <w:szCs w:val="21"/>
                    </w:rPr>
                  </w:pPr>
                  <w:r>
                    <w:rPr>
                      <w:szCs w:val="21"/>
                    </w:rPr>
                    <w:t xml:space="preserve">0.18 </w:t>
                  </w:r>
                </w:p>
              </w:tc>
              <w:tc>
                <w:tcPr>
                  <w:tcW w:w="806" w:type="dxa"/>
                  <w:vAlign w:val="center"/>
                </w:tcPr>
                <w:p w14:paraId="6B5D3763">
                  <w:pPr>
                    <w:adjustRightInd w:val="0"/>
                    <w:jc w:val="center"/>
                    <w:rPr>
                      <w:szCs w:val="21"/>
                    </w:rPr>
                  </w:pPr>
                  <w:r>
                    <w:rPr>
                      <w:szCs w:val="21"/>
                    </w:rPr>
                    <w:t>0.13</w:t>
                  </w:r>
                </w:p>
              </w:tc>
              <w:tc>
                <w:tcPr>
                  <w:tcW w:w="689" w:type="dxa"/>
                  <w:vAlign w:val="center"/>
                </w:tcPr>
                <w:p w14:paraId="7222C88C">
                  <w:pPr>
                    <w:adjustRightInd w:val="0"/>
                    <w:jc w:val="center"/>
                    <w:rPr>
                      <w:szCs w:val="21"/>
                    </w:rPr>
                  </w:pPr>
                  <w:r>
                    <w:rPr>
                      <w:szCs w:val="21"/>
                    </w:rPr>
                    <w:t xml:space="preserve">0.13 </w:t>
                  </w:r>
                </w:p>
              </w:tc>
              <w:tc>
                <w:tcPr>
                  <w:tcW w:w="923" w:type="dxa"/>
                  <w:vMerge w:val="continue"/>
                  <w:vAlign w:val="center"/>
                </w:tcPr>
                <w:p w14:paraId="3B749F2B">
                  <w:pPr>
                    <w:adjustRightInd w:val="0"/>
                    <w:jc w:val="center"/>
                    <w:rPr>
                      <w:rFonts w:eastAsiaTheme="minorEastAsia"/>
                      <w:szCs w:val="21"/>
                    </w:rPr>
                  </w:pPr>
                </w:p>
              </w:tc>
              <w:tc>
                <w:tcPr>
                  <w:tcW w:w="672" w:type="dxa"/>
                  <w:vAlign w:val="center"/>
                </w:tcPr>
                <w:p w14:paraId="040AF54A">
                  <w:pPr>
                    <w:adjustRightInd w:val="0"/>
                    <w:jc w:val="center"/>
                    <w:rPr>
                      <w:rFonts w:eastAsiaTheme="minorEastAsia"/>
                      <w:szCs w:val="21"/>
                    </w:rPr>
                  </w:pPr>
                  <w:r>
                    <w:rPr>
                      <w:rFonts w:eastAsiaTheme="minorEastAsia"/>
                      <w:szCs w:val="21"/>
                    </w:rPr>
                    <w:t>达标</w:t>
                  </w:r>
                </w:p>
              </w:tc>
            </w:tr>
            <w:tr w14:paraId="2CC9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583" w:type="dxa"/>
                  <w:gridSpan w:val="10"/>
                  <w:vAlign w:val="center"/>
                </w:tcPr>
                <w:p w14:paraId="07CF0A43">
                  <w:pPr>
                    <w:adjustRightInd w:val="0"/>
                    <w:jc w:val="left"/>
                    <w:rPr>
                      <w:rFonts w:eastAsiaTheme="minorEastAsia"/>
                      <w:szCs w:val="21"/>
                    </w:rPr>
                  </w:pPr>
                  <w:r>
                    <w:rPr>
                      <w:rFonts w:hint="eastAsia" w:eastAsiaTheme="minorEastAsia"/>
                      <w:szCs w:val="21"/>
                    </w:rPr>
                    <w:t>注：“N</w:t>
                  </w:r>
                  <w:r>
                    <w:rPr>
                      <w:rFonts w:eastAsiaTheme="minorEastAsia"/>
                      <w:szCs w:val="21"/>
                    </w:rPr>
                    <w:t>D</w:t>
                  </w:r>
                  <w:r>
                    <w:rPr>
                      <w:rFonts w:hint="eastAsia" w:eastAsiaTheme="minorEastAsia"/>
                      <w:szCs w:val="21"/>
                    </w:rPr>
                    <w:t>”表示检测结果低于分析方法检出限。</w:t>
                  </w:r>
                </w:p>
              </w:tc>
            </w:tr>
          </w:tbl>
          <w:p w14:paraId="46D1EB0D">
            <w:pPr>
              <w:adjustRightInd w:val="0"/>
              <w:snapToGrid w:val="0"/>
              <w:spacing w:line="360" w:lineRule="auto"/>
              <w:ind w:firstLine="480" w:firstLineChars="200"/>
              <w:rPr>
                <w:bCs/>
                <w:sz w:val="24"/>
              </w:rPr>
            </w:pPr>
            <w:r>
              <w:rPr>
                <w:rFonts w:hint="eastAsia"/>
                <w:bCs/>
                <w:sz w:val="24"/>
              </w:rPr>
              <w:t>根据引用监测结果表明，项目区域地下水质能够满足《地下水质量标准》(GB/T14848-2017)Ⅲ类标准要求。</w:t>
            </w:r>
          </w:p>
          <w:p w14:paraId="392A0664">
            <w:pPr>
              <w:adjustRightInd w:val="0"/>
              <w:snapToGrid w:val="0"/>
              <w:spacing w:line="360" w:lineRule="auto"/>
              <w:ind w:firstLine="480" w:firstLineChars="200"/>
              <w:rPr>
                <w:bCs/>
                <w:sz w:val="24"/>
              </w:rPr>
            </w:pPr>
          </w:p>
          <w:p w14:paraId="17F8D417">
            <w:pPr>
              <w:adjustRightInd w:val="0"/>
              <w:snapToGrid w:val="0"/>
              <w:spacing w:line="360" w:lineRule="auto"/>
              <w:ind w:firstLine="480" w:firstLineChars="200"/>
              <w:rPr>
                <w:bCs/>
                <w:sz w:val="24"/>
              </w:rPr>
            </w:pPr>
          </w:p>
          <w:p w14:paraId="0BF6F930">
            <w:pPr>
              <w:adjustRightInd w:val="0"/>
              <w:snapToGrid w:val="0"/>
              <w:spacing w:line="360" w:lineRule="auto"/>
              <w:ind w:firstLine="480" w:firstLineChars="200"/>
              <w:rPr>
                <w:bCs/>
                <w:sz w:val="24"/>
              </w:rPr>
            </w:pPr>
          </w:p>
          <w:p w14:paraId="673F74D5">
            <w:pPr>
              <w:adjustRightInd w:val="0"/>
              <w:snapToGrid w:val="0"/>
              <w:spacing w:line="360" w:lineRule="auto"/>
              <w:ind w:firstLine="480" w:firstLineChars="200"/>
              <w:rPr>
                <w:bCs/>
                <w:sz w:val="24"/>
              </w:rPr>
            </w:pPr>
          </w:p>
          <w:p w14:paraId="18A4B1A2">
            <w:pPr>
              <w:adjustRightInd w:val="0"/>
              <w:snapToGrid w:val="0"/>
              <w:spacing w:line="360" w:lineRule="auto"/>
              <w:ind w:firstLine="480" w:firstLineChars="200"/>
              <w:rPr>
                <w:bCs/>
                <w:sz w:val="24"/>
              </w:rPr>
            </w:pPr>
          </w:p>
          <w:p w14:paraId="7726CA93">
            <w:pPr>
              <w:adjustRightInd w:val="0"/>
              <w:snapToGrid w:val="0"/>
              <w:spacing w:line="360" w:lineRule="auto"/>
              <w:ind w:firstLine="480" w:firstLineChars="200"/>
              <w:rPr>
                <w:bCs/>
                <w:sz w:val="24"/>
              </w:rPr>
            </w:pPr>
          </w:p>
          <w:p w14:paraId="11F9AB87">
            <w:pPr>
              <w:adjustRightInd w:val="0"/>
              <w:snapToGrid w:val="0"/>
              <w:spacing w:line="360" w:lineRule="auto"/>
              <w:ind w:firstLine="480" w:firstLineChars="200"/>
              <w:rPr>
                <w:bCs/>
                <w:sz w:val="24"/>
              </w:rPr>
            </w:pPr>
          </w:p>
          <w:p w14:paraId="5E7ADB72">
            <w:pPr>
              <w:adjustRightInd w:val="0"/>
              <w:snapToGrid w:val="0"/>
              <w:spacing w:line="360" w:lineRule="auto"/>
              <w:ind w:firstLine="480" w:firstLineChars="200"/>
              <w:rPr>
                <w:bCs/>
                <w:sz w:val="24"/>
              </w:rPr>
            </w:pPr>
          </w:p>
          <w:p w14:paraId="761091EE">
            <w:pPr>
              <w:adjustRightInd w:val="0"/>
              <w:snapToGrid w:val="0"/>
              <w:spacing w:line="360" w:lineRule="auto"/>
              <w:ind w:firstLine="480" w:firstLineChars="200"/>
              <w:rPr>
                <w:bCs/>
                <w:sz w:val="24"/>
              </w:rPr>
            </w:pPr>
          </w:p>
          <w:p w14:paraId="679992CA">
            <w:pPr>
              <w:adjustRightInd w:val="0"/>
              <w:snapToGrid w:val="0"/>
              <w:spacing w:line="360" w:lineRule="auto"/>
              <w:ind w:firstLine="480" w:firstLineChars="200"/>
              <w:rPr>
                <w:bCs/>
                <w:sz w:val="24"/>
              </w:rPr>
            </w:pPr>
          </w:p>
        </w:tc>
      </w:tr>
      <w:tr w14:paraId="4752F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30" w:type="dxa"/>
            <w:vAlign w:val="center"/>
          </w:tcPr>
          <w:p w14:paraId="0AFE701C">
            <w:pPr>
              <w:adjustRightInd w:val="0"/>
              <w:snapToGrid w:val="0"/>
              <w:jc w:val="center"/>
              <w:rPr>
                <w:kern w:val="0"/>
                <w:sz w:val="24"/>
              </w:rPr>
            </w:pPr>
            <w:r>
              <w:rPr>
                <w:rFonts w:hAnsi="宋体"/>
                <w:kern w:val="0"/>
                <w:sz w:val="24"/>
              </w:rPr>
              <w:t>环境</w:t>
            </w:r>
          </w:p>
          <w:p w14:paraId="5E1F97F8">
            <w:pPr>
              <w:adjustRightInd w:val="0"/>
              <w:snapToGrid w:val="0"/>
              <w:jc w:val="center"/>
              <w:rPr>
                <w:kern w:val="0"/>
                <w:sz w:val="24"/>
              </w:rPr>
            </w:pPr>
            <w:r>
              <w:rPr>
                <w:rFonts w:hAnsi="宋体"/>
                <w:kern w:val="0"/>
                <w:sz w:val="24"/>
              </w:rPr>
              <w:t>保护</w:t>
            </w:r>
          </w:p>
          <w:p w14:paraId="7D15EEF7">
            <w:pPr>
              <w:adjustRightInd w:val="0"/>
              <w:snapToGrid w:val="0"/>
              <w:jc w:val="center"/>
              <w:rPr>
                <w:kern w:val="0"/>
                <w:sz w:val="24"/>
              </w:rPr>
            </w:pPr>
            <w:r>
              <w:rPr>
                <w:rFonts w:hAnsi="宋体"/>
                <w:kern w:val="0"/>
                <w:sz w:val="24"/>
              </w:rPr>
              <w:t>目标</w:t>
            </w:r>
          </w:p>
        </w:tc>
        <w:tc>
          <w:tcPr>
            <w:tcW w:w="8809" w:type="dxa"/>
          </w:tcPr>
          <w:p w14:paraId="4D7D6CD2">
            <w:pPr>
              <w:adjustRightInd w:val="0"/>
              <w:snapToGrid w:val="0"/>
              <w:spacing w:line="360" w:lineRule="auto"/>
              <w:ind w:firstLine="480" w:firstLineChars="200"/>
              <w:rPr>
                <w:kern w:val="24"/>
                <w:sz w:val="24"/>
              </w:rPr>
            </w:pPr>
            <w:r>
              <w:rPr>
                <w:kern w:val="24"/>
                <w:sz w:val="24"/>
              </w:rPr>
              <w:t>根据现场踏勘和环境现状调查</w:t>
            </w:r>
            <w:r>
              <w:rPr>
                <w:rFonts w:hint="eastAsia"/>
                <w:kern w:val="24"/>
                <w:sz w:val="24"/>
              </w:rPr>
              <w:t>，本项目厂界外500米范围内无大气环境保护目标，本项目厂界外50米范围内无声环境保护目标。本项目厂界外500 米范围内有</w:t>
            </w:r>
            <w:r>
              <w:rPr>
                <w:kern w:val="24"/>
                <w:sz w:val="24"/>
              </w:rPr>
              <w:t>2</w:t>
            </w:r>
            <w:r>
              <w:rPr>
                <w:rFonts w:hint="eastAsia"/>
                <w:kern w:val="24"/>
                <w:sz w:val="24"/>
              </w:rPr>
              <w:t>个村级地下水集中式饮用水水源（古城村、二街村地下井），属于农村级集中式饮用水水源，目前没有进行饮用水水源保护区划定。</w:t>
            </w:r>
          </w:p>
          <w:p w14:paraId="5FC48E20">
            <w:pPr>
              <w:adjustRightInd w:val="0"/>
              <w:snapToGrid w:val="0"/>
              <w:spacing w:line="360" w:lineRule="auto"/>
              <w:ind w:firstLine="480" w:firstLineChars="200"/>
              <w:rPr>
                <w:kern w:val="24"/>
                <w:sz w:val="24"/>
              </w:rPr>
            </w:pPr>
            <w:r>
              <w:rPr>
                <w:kern w:val="24"/>
                <w:sz w:val="24"/>
              </w:rPr>
              <w:t>主要环境保护目标见表3-8。</w:t>
            </w:r>
          </w:p>
          <w:p w14:paraId="128D59AA">
            <w:pPr>
              <w:pStyle w:val="62"/>
              <w:rPr>
                <w:rFonts w:hint="eastAsia" w:hAnsi="宋体"/>
                <w:sz w:val="24"/>
              </w:rPr>
            </w:pPr>
            <w:r>
              <w:rPr>
                <w:sz w:val="24"/>
              </w:rPr>
              <w:t>表3-8</w:t>
            </w:r>
            <w:r>
              <w:rPr>
                <w:rFonts w:hint="eastAsia"/>
                <w:sz w:val="24"/>
              </w:rPr>
              <w:t xml:space="preserve">  项目</w:t>
            </w:r>
            <w:r>
              <w:rPr>
                <w:rFonts w:hAnsi="宋体"/>
                <w:sz w:val="24"/>
              </w:rPr>
              <w:t>环境保护目标一览表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70"/>
              <w:gridCol w:w="1131"/>
              <w:gridCol w:w="980"/>
              <w:gridCol w:w="12"/>
              <w:gridCol w:w="996"/>
              <w:gridCol w:w="709"/>
              <w:gridCol w:w="24"/>
              <w:gridCol w:w="849"/>
              <w:gridCol w:w="1394"/>
              <w:gridCol w:w="718"/>
              <w:gridCol w:w="900"/>
            </w:tblGrid>
            <w:tr w14:paraId="7CBA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870" w:type="dxa"/>
                  <w:vMerge w:val="restart"/>
                  <w:vAlign w:val="center"/>
                </w:tcPr>
                <w:p w14:paraId="543AEDB0">
                  <w:pPr>
                    <w:adjustRightInd w:val="0"/>
                    <w:snapToGrid w:val="0"/>
                    <w:jc w:val="center"/>
                    <w:rPr>
                      <w:sz w:val="18"/>
                      <w:szCs w:val="18"/>
                    </w:rPr>
                  </w:pPr>
                  <w:r>
                    <w:rPr>
                      <w:sz w:val="18"/>
                      <w:szCs w:val="18"/>
                    </w:rPr>
                    <w:t>类别</w:t>
                  </w:r>
                </w:p>
              </w:tc>
              <w:tc>
                <w:tcPr>
                  <w:tcW w:w="1131" w:type="dxa"/>
                  <w:vMerge w:val="restart"/>
                  <w:vAlign w:val="center"/>
                </w:tcPr>
                <w:p w14:paraId="73BD5685">
                  <w:pPr>
                    <w:adjustRightInd w:val="0"/>
                    <w:snapToGrid w:val="0"/>
                    <w:jc w:val="center"/>
                    <w:rPr>
                      <w:sz w:val="18"/>
                      <w:szCs w:val="18"/>
                    </w:rPr>
                  </w:pPr>
                  <w:r>
                    <w:rPr>
                      <w:sz w:val="18"/>
                      <w:szCs w:val="18"/>
                    </w:rPr>
                    <w:t>保护</w:t>
                  </w:r>
                </w:p>
                <w:p w14:paraId="41AD2780">
                  <w:pPr>
                    <w:adjustRightInd w:val="0"/>
                    <w:snapToGrid w:val="0"/>
                    <w:jc w:val="center"/>
                    <w:rPr>
                      <w:sz w:val="18"/>
                      <w:szCs w:val="18"/>
                    </w:rPr>
                  </w:pPr>
                  <w:r>
                    <w:rPr>
                      <w:sz w:val="18"/>
                      <w:szCs w:val="18"/>
                    </w:rPr>
                    <w:t>目标</w:t>
                  </w:r>
                </w:p>
              </w:tc>
              <w:tc>
                <w:tcPr>
                  <w:tcW w:w="1988" w:type="dxa"/>
                  <w:gridSpan w:val="3"/>
                  <w:vAlign w:val="center"/>
                </w:tcPr>
                <w:p w14:paraId="2AD124A8">
                  <w:pPr>
                    <w:adjustRightInd w:val="0"/>
                    <w:snapToGrid w:val="0"/>
                    <w:jc w:val="center"/>
                    <w:rPr>
                      <w:sz w:val="18"/>
                      <w:szCs w:val="18"/>
                    </w:rPr>
                  </w:pPr>
                  <w:r>
                    <w:rPr>
                      <w:sz w:val="18"/>
                      <w:szCs w:val="18"/>
                    </w:rPr>
                    <w:t>坐标</w:t>
                  </w:r>
                </w:p>
              </w:tc>
              <w:tc>
                <w:tcPr>
                  <w:tcW w:w="709" w:type="dxa"/>
                  <w:vMerge w:val="restart"/>
                  <w:vAlign w:val="center"/>
                </w:tcPr>
                <w:p w14:paraId="3477FBA0">
                  <w:pPr>
                    <w:adjustRightInd w:val="0"/>
                    <w:snapToGrid w:val="0"/>
                    <w:jc w:val="center"/>
                    <w:rPr>
                      <w:sz w:val="18"/>
                      <w:szCs w:val="18"/>
                    </w:rPr>
                  </w:pPr>
                  <w:r>
                    <w:rPr>
                      <w:sz w:val="18"/>
                      <w:szCs w:val="18"/>
                    </w:rPr>
                    <w:t>保护对象</w:t>
                  </w:r>
                </w:p>
              </w:tc>
              <w:tc>
                <w:tcPr>
                  <w:tcW w:w="873" w:type="dxa"/>
                  <w:gridSpan w:val="2"/>
                  <w:vMerge w:val="restart"/>
                  <w:vAlign w:val="center"/>
                </w:tcPr>
                <w:p w14:paraId="79FD049C">
                  <w:pPr>
                    <w:adjustRightInd w:val="0"/>
                    <w:snapToGrid w:val="0"/>
                    <w:jc w:val="center"/>
                    <w:rPr>
                      <w:sz w:val="18"/>
                      <w:szCs w:val="18"/>
                    </w:rPr>
                  </w:pPr>
                  <w:r>
                    <w:rPr>
                      <w:sz w:val="18"/>
                      <w:szCs w:val="18"/>
                    </w:rPr>
                    <w:t>保护</w:t>
                  </w:r>
                </w:p>
                <w:p w14:paraId="7AA6CC8E">
                  <w:pPr>
                    <w:adjustRightInd w:val="0"/>
                    <w:snapToGrid w:val="0"/>
                    <w:jc w:val="center"/>
                    <w:rPr>
                      <w:sz w:val="18"/>
                      <w:szCs w:val="18"/>
                    </w:rPr>
                  </w:pPr>
                  <w:r>
                    <w:rPr>
                      <w:sz w:val="18"/>
                      <w:szCs w:val="18"/>
                    </w:rPr>
                    <w:t>内容</w:t>
                  </w:r>
                </w:p>
              </w:tc>
              <w:tc>
                <w:tcPr>
                  <w:tcW w:w="1394" w:type="dxa"/>
                  <w:vMerge w:val="restart"/>
                  <w:vAlign w:val="center"/>
                </w:tcPr>
                <w:p w14:paraId="6C025566">
                  <w:pPr>
                    <w:adjustRightInd w:val="0"/>
                    <w:snapToGrid w:val="0"/>
                    <w:jc w:val="center"/>
                    <w:rPr>
                      <w:sz w:val="18"/>
                      <w:szCs w:val="18"/>
                    </w:rPr>
                  </w:pPr>
                  <w:r>
                    <w:rPr>
                      <w:sz w:val="18"/>
                      <w:szCs w:val="18"/>
                    </w:rPr>
                    <w:t>环境功能区</w:t>
                  </w:r>
                </w:p>
              </w:tc>
              <w:tc>
                <w:tcPr>
                  <w:tcW w:w="718" w:type="dxa"/>
                  <w:vMerge w:val="restart"/>
                  <w:vAlign w:val="center"/>
                </w:tcPr>
                <w:p w14:paraId="309326F6">
                  <w:pPr>
                    <w:adjustRightInd w:val="0"/>
                    <w:snapToGrid w:val="0"/>
                    <w:jc w:val="center"/>
                    <w:rPr>
                      <w:sz w:val="18"/>
                      <w:szCs w:val="18"/>
                    </w:rPr>
                  </w:pPr>
                  <w:r>
                    <w:rPr>
                      <w:sz w:val="18"/>
                      <w:szCs w:val="18"/>
                    </w:rPr>
                    <w:t>相对厂址方位</w:t>
                  </w:r>
                </w:p>
              </w:tc>
              <w:tc>
                <w:tcPr>
                  <w:tcW w:w="900" w:type="dxa"/>
                  <w:vMerge w:val="restart"/>
                  <w:vAlign w:val="center"/>
                </w:tcPr>
                <w:p w14:paraId="184A7D6B">
                  <w:pPr>
                    <w:adjustRightInd w:val="0"/>
                    <w:snapToGrid w:val="0"/>
                    <w:jc w:val="center"/>
                    <w:rPr>
                      <w:sz w:val="18"/>
                      <w:szCs w:val="18"/>
                    </w:rPr>
                  </w:pPr>
                  <w:r>
                    <w:rPr>
                      <w:sz w:val="18"/>
                      <w:szCs w:val="18"/>
                    </w:rPr>
                    <w:t>相对厂界距离/m</w:t>
                  </w:r>
                </w:p>
              </w:tc>
            </w:tr>
            <w:tr w14:paraId="33B0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 w:hRule="atLeast"/>
                <w:jc w:val="center"/>
              </w:trPr>
              <w:tc>
                <w:tcPr>
                  <w:tcW w:w="870" w:type="dxa"/>
                  <w:vMerge w:val="continue"/>
                  <w:vAlign w:val="center"/>
                </w:tcPr>
                <w:p w14:paraId="0B9F3FDD">
                  <w:pPr>
                    <w:adjustRightInd w:val="0"/>
                    <w:snapToGrid w:val="0"/>
                    <w:jc w:val="center"/>
                    <w:rPr>
                      <w:sz w:val="18"/>
                      <w:szCs w:val="18"/>
                    </w:rPr>
                  </w:pPr>
                </w:p>
              </w:tc>
              <w:tc>
                <w:tcPr>
                  <w:tcW w:w="1131" w:type="dxa"/>
                  <w:vMerge w:val="continue"/>
                  <w:vAlign w:val="center"/>
                </w:tcPr>
                <w:p w14:paraId="7761A89F">
                  <w:pPr>
                    <w:adjustRightInd w:val="0"/>
                    <w:snapToGrid w:val="0"/>
                    <w:jc w:val="center"/>
                    <w:rPr>
                      <w:sz w:val="18"/>
                      <w:szCs w:val="18"/>
                    </w:rPr>
                  </w:pPr>
                </w:p>
              </w:tc>
              <w:tc>
                <w:tcPr>
                  <w:tcW w:w="992" w:type="dxa"/>
                  <w:gridSpan w:val="2"/>
                  <w:vAlign w:val="center"/>
                </w:tcPr>
                <w:p w14:paraId="788EC376">
                  <w:pPr>
                    <w:adjustRightInd w:val="0"/>
                    <w:snapToGrid w:val="0"/>
                    <w:jc w:val="center"/>
                    <w:rPr>
                      <w:sz w:val="18"/>
                      <w:szCs w:val="18"/>
                    </w:rPr>
                  </w:pPr>
                  <w:r>
                    <w:rPr>
                      <w:sz w:val="18"/>
                      <w:szCs w:val="18"/>
                    </w:rPr>
                    <w:t>经度</w:t>
                  </w:r>
                </w:p>
              </w:tc>
              <w:tc>
                <w:tcPr>
                  <w:tcW w:w="996" w:type="dxa"/>
                  <w:vAlign w:val="center"/>
                </w:tcPr>
                <w:p w14:paraId="17ED6EB2">
                  <w:pPr>
                    <w:adjustRightInd w:val="0"/>
                    <w:snapToGrid w:val="0"/>
                    <w:jc w:val="center"/>
                    <w:rPr>
                      <w:sz w:val="18"/>
                      <w:szCs w:val="18"/>
                    </w:rPr>
                  </w:pPr>
                  <w:r>
                    <w:rPr>
                      <w:sz w:val="18"/>
                      <w:szCs w:val="18"/>
                    </w:rPr>
                    <w:t>纬度</w:t>
                  </w:r>
                </w:p>
              </w:tc>
              <w:tc>
                <w:tcPr>
                  <w:tcW w:w="709" w:type="dxa"/>
                  <w:vMerge w:val="continue"/>
                  <w:vAlign w:val="center"/>
                </w:tcPr>
                <w:p w14:paraId="0ABC5AA4">
                  <w:pPr>
                    <w:adjustRightInd w:val="0"/>
                    <w:snapToGrid w:val="0"/>
                    <w:jc w:val="center"/>
                    <w:rPr>
                      <w:sz w:val="18"/>
                      <w:szCs w:val="18"/>
                    </w:rPr>
                  </w:pPr>
                </w:p>
              </w:tc>
              <w:tc>
                <w:tcPr>
                  <w:tcW w:w="873" w:type="dxa"/>
                  <w:gridSpan w:val="2"/>
                  <w:vMerge w:val="continue"/>
                  <w:vAlign w:val="center"/>
                </w:tcPr>
                <w:p w14:paraId="76EDECFD">
                  <w:pPr>
                    <w:adjustRightInd w:val="0"/>
                    <w:snapToGrid w:val="0"/>
                    <w:jc w:val="center"/>
                    <w:rPr>
                      <w:sz w:val="18"/>
                      <w:szCs w:val="18"/>
                    </w:rPr>
                  </w:pPr>
                </w:p>
              </w:tc>
              <w:tc>
                <w:tcPr>
                  <w:tcW w:w="1394" w:type="dxa"/>
                  <w:vMerge w:val="continue"/>
                  <w:vAlign w:val="center"/>
                </w:tcPr>
                <w:p w14:paraId="20A99495">
                  <w:pPr>
                    <w:adjustRightInd w:val="0"/>
                    <w:snapToGrid w:val="0"/>
                    <w:jc w:val="center"/>
                    <w:rPr>
                      <w:sz w:val="18"/>
                      <w:szCs w:val="18"/>
                    </w:rPr>
                  </w:pPr>
                </w:p>
              </w:tc>
              <w:tc>
                <w:tcPr>
                  <w:tcW w:w="718" w:type="dxa"/>
                  <w:vMerge w:val="continue"/>
                  <w:vAlign w:val="center"/>
                </w:tcPr>
                <w:p w14:paraId="24B5D68C">
                  <w:pPr>
                    <w:adjustRightInd w:val="0"/>
                    <w:snapToGrid w:val="0"/>
                    <w:jc w:val="center"/>
                    <w:rPr>
                      <w:sz w:val="18"/>
                      <w:szCs w:val="18"/>
                    </w:rPr>
                  </w:pPr>
                </w:p>
              </w:tc>
              <w:tc>
                <w:tcPr>
                  <w:tcW w:w="900" w:type="dxa"/>
                  <w:vMerge w:val="continue"/>
                  <w:vAlign w:val="center"/>
                </w:tcPr>
                <w:p w14:paraId="6EF47819">
                  <w:pPr>
                    <w:adjustRightInd w:val="0"/>
                    <w:snapToGrid w:val="0"/>
                    <w:jc w:val="center"/>
                    <w:rPr>
                      <w:sz w:val="18"/>
                      <w:szCs w:val="18"/>
                    </w:rPr>
                  </w:pPr>
                </w:p>
              </w:tc>
            </w:tr>
            <w:tr w14:paraId="7122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4" w:hRule="atLeast"/>
                <w:jc w:val="center"/>
              </w:trPr>
              <w:tc>
                <w:tcPr>
                  <w:tcW w:w="870" w:type="dxa"/>
                  <w:vAlign w:val="center"/>
                </w:tcPr>
                <w:p w14:paraId="0B120B4F">
                  <w:pPr>
                    <w:spacing w:line="360" w:lineRule="exact"/>
                    <w:jc w:val="center"/>
                    <w:rPr>
                      <w:kern w:val="24"/>
                      <w:sz w:val="18"/>
                      <w:szCs w:val="18"/>
                    </w:rPr>
                  </w:pPr>
                  <w:r>
                    <w:rPr>
                      <w:rFonts w:hint="eastAsia"/>
                      <w:kern w:val="24"/>
                      <w:sz w:val="18"/>
                      <w:szCs w:val="18"/>
                    </w:rPr>
                    <w:t>大气</w:t>
                  </w:r>
                </w:p>
                <w:p w14:paraId="4E4898FC">
                  <w:pPr>
                    <w:spacing w:line="360" w:lineRule="exact"/>
                    <w:jc w:val="center"/>
                    <w:rPr>
                      <w:kern w:val="24"/>
                      <w:sz w:val="18"/>
                      <w:szCs w:val="18"/>
                    </w:rPr>
                  </w:pPr>
                  <w:r>
                    <w:rPr>
                      <w:rFonts w:hint="eastAsia"/>
                      <w:kern w:val="24"/>
                      <w:sz w:val="18"/>
                      <w:szCs w:val="18"/>
                    </w:rPr>
                    <w:t>环境</w:t>
                  </w:r>
                </w:p>
              </w:tc>
              <w:tc>
                <w:tcPr>
                  <w:tcW w:w="4701" w:type="dxa"/>
                  <w:gridSpan w:val="7"/>
                  <w:vAlign w:val="center"/>
                </w:tcPr>
                <w:p w14:paraId="5221D9BB">
                  <w:pPr>
                    <w:spacing w:line="360" w:lineRule="exact"/>
                    <w:jc w:val="center"/>
                    <w:rPr>
                      <w:sz w:val="18"/>
                      <w:szCs w:val="18"/>
                    </w:rPr>
                  </w:pPr>
                  <w:r>
                    <w:rPr>
                      <w:sz w:val="18"/>
                      <w:szCs w:val="18"/>
                    </w:rPr>
                    <w:t>本项目厂界外50</w:t>
                  </w:r>
                  <w:r>
                    <w:rPr>
                      <w:rFonts w:hint="eastAsia"/>
                      <w:sz w:val="18"/>
                      <w:szCs w:val="18"/>
                    </w:rPr>
                    <w:t>0</w:t>
                  </w:r>
                  <w:r>
                    <w:rPr>
                      <w:sz w:val="18"/>
                      <w:szCs w:val="18"/>
                    </w:rPr>
                    <w:t>米范围内</w:t>
                  </w:r>
                  <w:r>
                    <w:rPr>
                      <w:rFonts w:hint="eastAsia"/>
                      <w:sz w:val="18"/>
                      <w:szCs w:val="18"/>
                    </w:rPr>
                    <w:t>无大气</w:t>
                  </w:r>
                  <w:r>
                    <w:rPr>
                      <w:sz w:val="18"/>
                      <w:szCs w:val="18"/>
                    </w:rPr>
                    <w:t>环境保护目标</w:t>
                  </w:r>
                </w:p>
              </w:tc>
              <w:tc>
                <w:tcPr>
                  <w:tcW w:w="1394" w:type="dxa"/>
                  <w:vAlign w:val="center"/>
                </w:tcPr>
                <w:p w14:paraId="77AAC122">
                  <w:pPr>
                    <w:adjustRightInd w:val="0"/>
                    <w:snapToGrid w:val="0"/>
                    <w:jc w:val="center"/>
                    <w:rPr>
                      <w:sz w:val="18"/>
                      <w:szCs w:val="18"/>
                    </w:rPr>
                  </w:pPr>
                  <w:r>
                    <w:rPr>
                      <w:sz w:val="18"/>
                      <w:szCs w:val="18"/>
                    </w:rPr>
                    <w:t>《环境空气质量标准》(GB3095-2012)</w:t>
                  </w:r>
                  <w:r>
                    <w:rPr>
                      <w:rFonts w:hint="eastAsia"/>
                      <w:sz w:val="18"/>
                      <w:szCs w:val="18"/>
                    </w:rPr>
                    <w:t>二类区</w:t>
                  </w:r>
                </w:p>
              </w:tc>
              <w:tc>
                <w:tcPr>
                  <w:tcW w:w="718" w:type="dxa"/>
                  <w:vAlign w:val="center"/>
                </w:tcPr>
                <w:p w14:paraId="6CC02C43">
                  <w:pPr>
                    <w:spacing w:line="360" w:lineRule="exact"/>
                    <w:jc w:val="center"/>
                    <w:rPr>
                      <w:sz w:val="18"/>
                      <w:szCs w:val="18"/>
                    </w:rPr>
                  </w:pPr>
                  <w:r>
                    <w:rPr>
                      <w:rFonts w:hint="eastAsia"/>
                      <w:sz w:val="18"/>
                      <w:szCs w:val="18"/>
                    </w:rPr>
                    <w:t>—</w:t>
                  </w:r>
                </w:p>
              </w:tc>
              <w:tc>
                <w:tcPr>
                  <w:tcW w:w="900" w:type="dxa"/>
                  <w:vAlign w:val="center"/>
                </w:tcPr>
                <w:p w14:paraId="236EEA5F">
                  <w:pPr>
                    <w:spacing w:line="360" w:lineRule="exact"/>
                    <w:jc w:val="center"/>
                    <w:rPr>
                      <w:sz w:val="18"/>
                      <w:szCs w:val="18"/>
                    </w:rPr>
                  </w:pPr>
                  <w:r>
                    <w:rPr>
                      <w:rFonts w:hint="eastAsia"/>
                      <w:sz w:val="18"/>
                      <w:szCs w:val="18"/>
                    </w:rPr>
                    <w:t>—</w:t>
                  </w:r>
                </w:p>
              </w:tc>
            </w:tr>
            <w:tr w14:paraId="56E1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1" w:hRule="atLeast"/>
                <w:jc w:val="center"/>
              </w:trPr>
              <w:tc>
                <w:tcPr>
                  <w:tcW w:w="870" w:type="dxa"/>
                  <w:vAlign w:val="center"/>
                </w:tcPr>
                <w:p w14:paraId="4121A7FE">
                  <w:pPr>
                    <w:spacing w:line="360" w:lineRule="exact"/>
                    <w:jc w:val="center"/>
                    <w:rPr>
                      <w:kern w:val="24"/>
                      <w:sz w:val="18"/>
                      <w:szCs w:val="18"/>
                    </w:rPr>
                  </w:pPr>
                  <w:r>
                    <w:rPr>
                      <w:rFonts w:hint="eastAsia"/>
                      <w:kern w:val="24"/>
                      <w:sz w:val="18"/>
                      <w:szCs w:val="18"/>
                    </w:rPr>
                    <w:t>声环境</w:t>
                  </w:r>
                </w:p>
              </w:tc>
              <w:tc>
                <w:tcPr>
                  <w:tcW w:w="4701" w:type="dxa"/>
                  <w:gridSpan w:val="7"/>
                  <w:vAlign w:val="center"/>
                </w:tcPr>
                <w:p w14:paraId="4336921E">
                  <w:pPr>
                    <w:spacing w:line="360" w:lineRule="exact"/>
                    <w:jc w:val="center"/>
                    <w:rPr>
                      <w:sz w:val="18"/>
                      <w:szCs w:val="18"/>
                    </w:rPr>
                  </w:pPr>
                  <w:r>
                    <w:rPr>
                      <w:sz w:val="18"/>
                      <w:szCs w:val="18"/>
                    </w:rPr>
                    <w:t>本项目厂界外50米范围内</w:t>
                  </w:r>
                  <w:r>
                    <w:rPr>
                      <w:rFonts w:hint="eastAsia"/>
                      <w:sz w:val="18"/>
                      <w:szCs w:val="18"/>
                    </w:rPr>
                    <w:t>无</w:t>
                  </w:r>
                  <w:r>
                    <w:rPr>
                      <w:sz w:val="18"/>
                      <w:szCs w:val="18"/>
                    </w:rPr>
                    <w:t>声环境保护目标</w:t>
                  </w:r>
                </w:p>
              </w:tc>
              <w:tc>
                <w:tcPr>
                  <w:tcW w:w="1394" w:type="dxa"/>
                  <w:vAlign w:val="center"/>
                </w:tcPr>
                <w:p w14:paraId="1F905062">
                  <w:pPr>
                    <w:adjustRightInd w:val="0"/>
                    <w:snapToGrid w:val="0"/>
                    <w:jc w:val="center"/>
                    <w:rPr>
                      <w:sz w:val="18"/>
                      <w:szCs w:val="18"/>
                    </w:rPr>
                  </w:pPr>
                  <w:r>
                    <w:rPr>
                      <w:rFonts w:hint="eastAsia"/>
                      <w:sz w:val="18"/>
                      <w:szCs w:val="18"/>
                    </w:rPr>
                    <w:t>《声环境质量标准》</w:t>
                  </w:r>
                  <w:r>
                    <w:rPr>
                      <w:sz w:val="18"/>
                      <w:szCs w:val="18"/>
                    </w:rPr>
                    <w:t>(GB</w:t>
                  </w:r>
                  <w:r>
                    <w:rPr>
                      <w:rFonts w:hint="eastAsia"/>
                      <w:sz w:val="18"/>
                      <w:szCs w:val="18"/>
                    </w:rPr>
                    <w:t>3096</w:t>
                  </w:r>
                  <w:r>
                    <w:rPr>
                      <w:sz w:val="18"/>
                      <w:szCs w:val="18"/>
                    </w:rPr>
                    <w:t>-</w:t>
                  </w:r>
                  <w:r>
                    <w:rPr>
                      <w:rFonts w:hint="eastAsia"/>
                      <w:sz w:val="18"/>
                      <w:szCs w:val="18"/>
                    </w:rPr>
                    <w:t>2008</w:t>
                  </w:r>
                  <w:r>
                    <w:rPr>
                      <w:sz w:val="18"/>
                      <w:szCs w:val="18"/>
                    </w:rPr>
                    <w:t>)</w:t>
                  </w:r>
                  <w:r>
                    <w:rPr>
                      <w:rFonts w:hint="eastAsia"/>
                      <w:sz w:val="18"/>
                      <w:szCs w:val="18"/>
                    </w:rPr>
                    <w:t>2类区</w:t>
                  </w:r>
                </w:p>
              </w:tc>
              <w:tc>
                <w:tcPr>
                  <w:tcW w:w="718" w:type="dxa"/>
                  <w:vAlign w:val="center"/>
                </w:tcPr>
                <w:p w14:paraId="7E687E03">
                  <w:pPr>
                    <w:spacing w:line="360" w:lineRule="exact"/>
                    <w:jc w:val="center"/>
                    <w:rPr>
                      <w:sz w:val="18"/>
                      <w:szCs w:val="18"/>
                    </w:rPr>
                  </w:pPr>
                  <w:r>
                    <w:rPr>
                      <w:rFonts w:hint="eastAsia"/>
                      <w:sz w:val="18"/>
                      <w:szCs w:val="18"/>
                    </w:rPr>
                    <w:t>—</w:t>
                  </w:r>
                </w:p>
              </w:tc>
              <w:tc>
                <w:tcPr>
                  <w:tcW w:w="900" w:type="dxa"/>
                  <w:vAlign w:val="center"/>
                </w:tcPr>
                <w:p w14:paraId="09B7450F">
                  <w:pPr>
                    <w:spacing w:line="360" w:lineRule="exact"/>
                    <w:jc w:val="center"/>
                    <w:rPr>
                      <w:sz w:val="18"/>
                      <w:szCs w:val="18"/>
                    </w:rPr>
                  </w:pPr>
                  <w:r>
                    <w:rPr>
                      <w:rFonts w:hint="eastAsia"/>
                      <w:sz w:val="18"/>
                      <w:szCs w:val="18"/>
                    </w:rPr>
                    <w:t>—</w:t>
                  </w:r>
                </w:p>
              </w:tc>
            </w:tr>
            <w:tr w14:paraId="61C3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1" w:hRule="atLeast"/>
                <w:jc w:val="center"/>
              </w:trPr>
              <w:tc>
                <w:tcPr>
                  <w:tcW w:w="870" w:type="dxa"/>
                  <w:vAlign w:val="center"/>
                </w:tcPr>
                <w:p w14:paraId="1320D899">
                  <w:pPr>
                    <w:spacing w:line="360" w:lineRule="exact"/>
                    <w:jc w:val="center"/>
                    <w:rPr>
                      <w:kern w:val="24"/>
                      <w:sz w:val="18"/>
                      <w:szCs w:val="18"/>
                    </w:rPr>
                  </w:pPr>
                  <w:r>
                    <w:rPr>
                      <w:rFonts w:hint="eastAsia"/>
                      <w:kern w:val="24"/>
                      <w:sz w:val="18"/>
                      <w:szCs w:val="18"/>
                    </w:rPr>
                    <w:t>地表水环境</w:t>
                  </w:r>
                </w:p>
              </w:tc>
              <w:tc>
                <w:tcPr>
                  <w:tcW w:w="4701" w:type="dxa"/>
                  <w:gridSpan w:val="7"/>
                  <w:vAlign w:val="center"/>
                </w:tcPr>
                <w:p w14:paraId="6E2221E6">
                  <w:pPr>
                    <w:spacing w:line="360" w:lineRule="exact"/>
                    <w:jc w:val="center"/>
                    <w:rPr>
                      <w:sz w:val="18"/>
                      <w:szCs w:val="18"/>
                    </w:rPr>
                  </w:pPr>
                  <w:r>
                    <w:rPr>
                      <w:rFonts w:hint="eastAsia"/>
                      <w:sz w:val="18"/>
                      <w:szCs w:val="18"/>
                    </w:rPr>
                    <w:t>杞麓湖</w:t>
                  </w:r>
                </w:p>
              </w:tc>
              <w:tc>
                <w:tcPr>
                  <w:tcW w:w="1394" w:type="dxa"/>
                  <w:vAlign w:val="center"/>
                </w:tcPr>
                <w:p w14:paraId="2E7B56DD">
                  <w:pPr>
                    <w:adjustRightInd w:val="0"/>
                    <w:snapToGrid w:val="0"/>
                    <w:jc w:val="center"/>
                    <w:rPr>
                      <w:sz w:val="18"/>
                      <w:szCs w:val="18"/>
                    </w:rPr>
                  </w:pPr>
                  <w:r>
                    <w:rPr>
                      <w:rFonts w:hint="eastAsia"/>
                      <w:sz w:val="18"/>
                      <w:szCs w:val="18"/>
                    </w:rPr>
                    <w:t>《地表水环境质量标准》（GB3838-2002）</w:t>
                  </w:r>
                  <w:r>
                    <w:rPr>
                      <w:rFonts w:hint="eastAsia" w:ascii="宋体" w:hAnsi="宋体" w:cs="宋体"/>
                      <w:bCs/>
                      <w:sz w:val="18"/>
                      <w:szCs w:val="18"/>
                    </w:rPr>
                    <w:t>Ⅲ</w:t>
                  </w:r>
                  <w:r>
                    <w:rPr>
                      <w:rFonts w:hint="eastAsia"/>
                      <w:sz w:val="18"/>
                      <w:szCs w:val="18"/>
                    </w:rPr>
                    <w:t>类</w:t>
                  </w:r>
                </w:p>
              </w:tc>
              <w:tc>
                <w:tcPr>
                  <w:tcW w:w="718" w:type="dxa"/>
                  <w:vAlign w:val="center"/>
                </w:tcPr>
                <w:p w14:paraId="4CC01BC0">
                  <w:pPr>
                    <w:spacing w:line="360" w:lineRule="exact"/>
                    <w:jc w:val="center"/>
                    <w:rPr>
                      <w:sz w:val="18"/>
                      <w:szCs w:val="18"/>
                    </w:rPr>
                  </w:pPr>
                  <w:r>
                    <w:rPr>
                      <w:rFonts w:hint="eastAsia"/>
                      <w:sz w:val="18"/>
                      <w:szCs w:val="18"/>
                    </w:rPr>
                    <w:t>南</w:t>
                  </w:r>
                </w:p>
              </w:tc>
              <w:tc>
                <w:tcPr>
                  <w:tcW w:w="900" w:type="dxa"/>
                  <w:vAlign w:val="center"/>
                </w:tcPr>
                <w:p w14:paraId="00F568D3">
                  <w:pPr>
                    <w:spacing w:line="360" w:lineRule="exact"/>
                    <w:jc w:val="center"/>
                    <w:rPr>
                      <w:sz w:val="18"/>
                      <w:szCs w:val="18"/>
                    </w:rPr>
                  </w:pPr>
                  <w:r>
                    <w:rPr>
                      <w:sz w:val="18"/>
                      <w:szCs w:val="18"/>
                    </w:rPr>
                    <w:t>2430</w:t>
                  </w:r>
                </w:p>
              </w:tc>
            </w:tr>
            <w:tr w14:paraId="43EA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1" w:hRule="atLeast"/>
                <w:jc w:val="center"/>
              </w:trPr>
              <w:tc>
                <w:tcPr>
                  <w:tcW w:w="870" w:type="dxa"/>
                  <w:vMerge w:val="restart"/>
                  <w:vAlign w:val="center"/>
                </w:tcPr>
                <w:p w14:paraId="13A902DB">
                  <w:pPr>
                    <w:spacing w:line="360" w:lineRule="exact"/>
                    <w:jc w:val="center"/>
                    <w:rPr>
                      <w:kern w:val="24"/>
                      <w:sz w:val="18"/>
                      <w:szCs w:val="18"/>
                    </w:rPr>
                  </w:pPr>
                  <w:r>
                    <w:rPr>
                      <w:rFonts w:hint="eastAsia"/>
                      <w:kern w:val="24"/>
                      <w:sz w:val="18"/>
                      <w:szCs w:val="18"/>
                    </w:rPr>
                    <w:t>地下水环境</w:t>
                  </w:r>
                </w:p>
              </w:tc>
              <w:tc>
                <w:tcPr>
                  <w:tcW w:w="1131" w:type="dxa"/>
                  <w:vAlign w:val="center"/>
                </w:tcPr>
                <w:p w14:paraId="55DF4866">
                  <w:pPr>
                    <w:spacing w:line="360" w:lineRule="exact"/>
                    <w:jc w:val="center"/>
                    <w:rPr>
                      <w:sz w:val="18"/>
                      <w:szCs w:val="18"/>
                    </w:rPr>
                  </w:pPr>
                  <w:r>
                    <w:rPr>
                      <w:rFonts w:hint="eastAsia"/>
                      <w:sz w:val="18"/>
                      <w:szCs w:val="18"/>
                    </w:rPr>
                    <w:t>古城村地下水井</w:t>
                  </w:r>
                </w:p>
              </w:tc>
              <w:tc>
                <w:tcPr>
                  <w:tcW w:w="980" w:type="dxa"/>
                  <w:vAlign w:val="center"/>
                </w:tcPr>
                <w:p w14:paraId="71E95DC6">
                  <w:pPr>
                    <w:spacing w:line="360" w:lineRule="exact"/>
                    <w:jc w:val="center"/>
                    <w:rPr>
                      <w:sz w:val="18"/>
                      <w:szCs w:val="18"/>
                    </w:rPr>
                  </w:pPr>
                  <w:r>
                    <w:rPr>
                      <w:sz w:val="18"/>
                      <w:szCs w:val="18"/>
                    </w:rPr>
                    <w:t>102°44'42.5194"</w:t>
                  </w:r>
                </w:p>
              </w:tc>
              <w:tc>
                <w:tcPr>
                  <w:tcW w:w="1008" w:type="dxa"/>
                  <w:gridSpan w:val="2"/>
                  <w:vAlign w:val="center"/>
                </w:tcPr>
                <w:p w14:paraId="20BF6446">
                  <w:pPr>
                    <w:spacing w:line="360" w:lineRule="exact"/>
                    <w:jc w:val="center"/>
                    <w:rPr>
                      <w:sz w:val="18"/>
                      <w:szCs w:val="18"/>
                    </w:rPr>
                  </w:pPr>
                  <w:r>
                    <w:rPr>
                      <w:sz w:val="18"/>
                      <w:szCs w:val="18"/>
                    </w:rPr>
                    <w:t>24°11'41.4990"</w:t>
                  </w:r>
                </w:p>
              </w:tc>
              <w:tc>
                <w:tcPr>
                  <w:tcW w:w="733" w:type="dxa"/>
                  <w:gridSpan w:val="2"/>
                  <w:vAlign w:val="center"/>
                </w:tcPr>
                <w:p w14:paraId="6976A845">
                  <w:pPr>
                    <w:spacing w:line="360" w:lineRule="exact"/>
                    <w:jc w:val="center"/>
                    <w:rPr>
                      <w:sz w:val="18"/>
                      <w:szCs w:val="18"/>
                    </w:rPr>
                  </w:pPr>
                  <w:r>
                    <w:rPr>
                      <w:rFonts w:hint="eastAsia"/>
                      <w:sz w:val="18"/>
                      <w:szCs w:val="18"/>
                    </w:rPr>
                    <w:t>村级集中式饮用水水源</w:t>
                  </w:r>
                </w:p>
              </w:tc>
              <w:tc>
                <w:tcPr>
                  <w:tcW w:w="849" w:type="dxa"/>
                  <w:vAlign w:val="center"/>
                </w:tcPr>
                <w:p w14:paraId="08224CEA">
                  <w:pPr>
                    <w:spacing w:line="360" w:lineRule="exact"/>
                    <w:jc w:val="center"/>
                    <w:rPr>
                      <w:sz w:val="18"/>
                      <w:szCs w:val="18"/>
                    </w:rPr>
                  </w:pPr>
                  <w:r>
                    <w:rPr>
                      <w:rFonts w:hint="eastAsia"/>
                      <w:sz w:val="18"/>
                      <w:szCs w:val="18"/>
                    </w:rPr>
                    <w:t>地下水型饮用水</w:t>
                  </w:r>
                </w:p>
              </w:tc>
              <w:tc>
                <w:tcPr>
                  <w:tcW w:w="1394" w:type="dxa"/>
                  <w:vAlign w:val="center"/>
                </w:tcPr>
                <w:p w14:paraId="26ED6B6D">
                  <w:pPr>
                    <w:adjustRightInd w:val="0"/>
                    <w:snapToGrid w:val="0"/>
                    <w:jc w:val="center"/>
                    <w:rPr>
                      <w:sz w:val="18"/>
                      <w:szCs w:val="18"/>
                    </w:rPr>
                  </w:pPr>
                  <w:r>
                    <w:rPr>
                      <w:rFonts w:hint="eastAsia"/>
                      <w:sz w:val="18"/>
                      <w:szCs w:val="18"/>
                    </w:rPr>
                    <w:t>《地下水质量标准》(GB/T14848-2017)Ⅲ类</w:t>
                  </w:r>
                </w:p>
              </w:tc>
              <w:tc>
                <w:tcPr>
                  <w:tcW w:w="718" w:type="dxa"/>
                  <w:vAlign w:val="center"/>
                </w:tcPr>
                <w:p w14:paraId="7D3EF3D5">
                  <w:pPr>
                    <w:spacing w:line="360" w:lineRule="exact"/>
                    <w:jc w:val="center"/>
                    <w:rPr>
                      <w:sz w:val="18"/>
                      <w:szCs w:val="18"/>
                    </w:rPr>
                  </w:pPr>
                  <w:r>
                    <w:rPr>
                      <w:rFonts w:hint="eastAsia"/>
                      <w:sz w:val="18"/>
                      <w:szCs w:val="18"/>
                    </w:rPr>
                    <w:t>东南</w:t>
                  </w:r>
                </w:p>
              </w:tc>
              <w:tc>
                <w:tcPr>
                  <w:tcW w:w="900" w:type="dxa"/>
                  <w:vAlign w:val="center"/>
                </w:tcPr>
                <w:p w14:paraId="731D3E44">
                  <w:pPr>
                    <w:spacing w:line="360" w:lineRule="exact"/>
                    <w:jc w:val="center"/>
                    <w:rPr>
                      <w:sz w:val="18"/>
                      <w:szCs w:val="18"/>
                    </w:rPr>
                  </w:pPr>
                  <w:r>
                    <w:rPr>
                      <w:sz w:val="18"/>
                      <w:szCs w:val="18"/>
                    </w:rPr>
                    <w:t>200</w:t>
                  </w:r>
                </w:p>
              </w:tc>
            </w:tr>
            <w:tr w14:paraId="75E0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1" w:hRule="atLeast"/>
                <w:jc w:val="center"/>
              </w:trPr>
              <w:tc>
                <w:tcPr>
                  <w:tcW w:w="870" w:type="dxa"/>
                  <w:vMerge w:val="continue"/>
                  <w:vAlign w:val="center"/>
                </w:tcPr>
                <w:p w14:paraId="1F2FABC1">
                  <w:pPr>
                    <w:spacing w:line="360" w:lineRule="exact"/>
                    <w:jc w:val="center"/>
                    <w:rPr>
                      <w:kern w:val="24"/>
                      <w:sz w:val="18"/>
                      <w:szCs w:val="18"/>
                    </w:rPr>
                  </w:pPr>
                </w:p>
              </w:tc>
              <w:tc>
                <w:tcPr>
                  <w:tcW w:w="1131" w:type="dxa"/>
                  <w:vAlign w:val="center"/>
                </w:tcPr>
                <w:p w14:paraId="02DCC9E8">
                  <w:pPr>
                    <w:spacing w:line="360" w:lineRule="exact"/>
                    <w:jc w:val="center"/>
                    <w:rPr>
                      <w:sz w:val="18"/>
                      <w:szCs w:val="18"/>
                    </w:rPr>
                  </w:pPr>
                  <w:r>
                    <w:rPr>
                      <w:rFonts w:hint="eastAsia"/>
                      <w:sz w:val="18"/>
                      <w:szCs w:val="18"/>
                    </w:rPr>
                    <w:t>二街村地下水井</w:t>
                  </w:r>
                </w:p>
              </w:tc>
              <w:tc>
                <w:tcPr>
                  <w:tcW w:w="980" w:type="dxa"/>
                  <w:vAlign w:val="center"/>
                </w:tcPr>
                <w:p w14:paraId="6B3A84FF">
                  <w:pPr>
                    <w:spacing w:line="360" w:lineRule="exact"/>
                    <w:jc w:val="center"/>
                    <w:rPr>
                      <w:sz w:val="18"/>
                      <w:szCs w:val="18"/>
                    </w:rPr>
                  </w:pPr>
                  <w:r>
                    <w:rPr>
                      <w:sz w:val="18"/>
                      <w:szCs w:val="18"/>
                    </w:rPr>
                    <w:t>102°44′47.89″</w:t>
                  </w:r>
                </w:p>
              </w:tc>
              <w:tc>
                <w:tcPr>
                  <w:tcW w:w="1008" w:type="dxa"/>
                  <w:gridSpan w:val="2"/>
                  <w:vAlign w:val="center"/>
                </w:tcPr>
                <w:p w14:paraId="3F0D21ED">
                  <w:pPr>
                    <w:spacing w:line="360" w:lineRule="exact"/>
                    <w:jc w:val="center"/>
                    <w:rPr>
                      <w:sz w:val="18"/>
                      <w:szCs w:val="18"/>
                    </w:rPr>
                  </w:pPr>
                  <w:r>
                    <w:rPr>
                      <w:sz w:val="18"/>
                      <w:szCs w:val="18"/>
                    </w:rPr>
                    <w:t>24°11′53.44″</w:t>
                  </w:r>
                </w:p>
              </w:tc>
              <w:tc>
                <w:tcPr>
                  <w:tcW w:w="733" w:type="dxa"/>
                  <w:gridSpan w:val="2"/>
                  <w:vAlign w:val="center"/>
                </w:tcPr>
                <w:p w14:paraId="75DB523E">
                  <w:pPr>
                    <w:spacing w:line="360" w:lineRule="exact"/>
                    <w:jc w:val="center"/>
                    <w:rPr>
                      <w:sz w:val="18"/>
                      <w:szCs w:val="18"/>
                    </w:rPr>
                  </w:pPr>
                  <w:r>
                    <w:rPr>
                      <w:rFonts w:hint="eastAsia"/>
                      <w:sz w:val="18"/>
                      <w:szCs w:val="18"/>
                    </w:rPr>
                    <w:t>村级集中式饮用水水源</w:t>
                  </w:r>
                </w:p>
              </w:tc>
              <w:tc>
                <w:tcPr>
                  <w:tcW w:w="849" w:type="dxa"/>
                  <w:vAlign w:val="center"/>
                </w:tcPr>
                <w:p w14:paraId="79EF09DC">
                  <w:pPr>
                    <w:spacing w:line="360" w:lineRule="exact"/>
                    <w:jc w:val="center"/>
                    <w:rPr>
                      <w:sz w:val="18"/>
                      <w:szCs w:val="18"/>
                    </w:rPr>
                  </w:pPr>
                  <w:r>
                    <w:rPr>
                      <w:rFonts w:hint="eastAsia"/>
                      <w:sz w:val="18"/>
                      <w:szCs w:val="18"/>
                    </w:rPr>
                    <w:t>地下水型饮用水</w:t>
                  </w:r>
                </w:p>
              </w:tc>
              <w:tc>
                <w:tcPr>
                  <w:tcW w:w="1394" w:type="dxa"/>
                  <w:vAlign w:val="center"/>
                </w:tcPr>
                <w:p w14:paraId="625A2824">
                  <w:pPr>
                    <w:adjustRightInd w:val="0"/>
                    <w:snapToGrid w:val="0"/>
                    <w:jc w:val="center"/>
                    <w:rPr>
                      <w:sz w:val="18"/>
                      <w:szCs w:val="18"/>
                    </w:rPr>
                  </w:pPr>
                  <w:r>
                    <w:rPr>
                      <w:rFonts w:hint="eastAsia"/>
                      <w:sz w:val="18"/>
                      <w:szCs w:val="18"/>
                    </w:rPr>
                    <w:t>《地下水质量标准》(GB/T14848-2017)Ⅲ类</w:t>
                  </w:r>
                </w:p>
              </w:tc>
              <w:tc>
                <w:tcPr>
                  <w:tcW w:w="718" w:type="dxa"/>
                  <w:vAlign w:val="center"/>
                </w:tcPr>
                <w:p w14:paraId="37C2EA95">
                  <w:pPr>
                    <w:spacing w:line="360" w:lineRule="exact"/>
                    <w:jc w:val="center"/>
                    <w:rPr>
                      <w:sz w:val="18"/>
                      <w:szCs w:val="18"/>
                    </w:rPr>
                  </w:pPr>
                  <w:r>
                    <w:rPr>
                      <w:rFonts w:hint="eastAsia"/>
                      <w:sz w:val="18"/>
                      <w:szCs w:val="18"/>
                    </w:rPr>
                    <w:t>东</w:t>
                  </w:r>
                </w:p>
              </w:tc>
              <w:tc>
                <w:tcPr>
                  <w:tcW w:w="900" w:type="dxa"/>
                  <w:vAlign w:val="center"/>
                </w:tcPr>
                <w:p w14:paraId="4BAE397C">
                  <w:pPr>
                    <w:spacing w:line="360" w:lineRule="exact"/>
                    <w:jc w:val="center"/>
                    <w:rPr>
                      <w:sz w:val="18"/>
                      <w:szCs w:val="18"/>
                    </w:rPr>
                  </w:pPr>
                  <w:r>
                    <w:rPr>
                      <w:rFonts w:hint="eastAsia"/>
                      <w:sz w:val="18"/>
                      <w:szCs w:val="18"/>
                    </w:rPr>
                    <w:t>4</w:t>
                  </w:r>
                  <w:r>
                    <w:rPr>
                      <w:sz w:val="18"/>
                      <w:szCs w:val="18"/>
                    </w:rPr>
                    <w:t>70</w:t>
                  </w:r>
                </w:p>
              </w:tc>
            </w:tr>
            <w:tr w14:paraId="5623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70" w:type="dxa"/>
                  <w:vAlign w:val="center"/>
                </w:tcPr>
                <w:p w14:paraId="31F8D6B5">
                  <w:pPr>
                    <w:spacing w:line="360" w:lineRule="exact"/>
                    <w:jc w:val="center"/>
                    <w:rPr>
                      <w:kern w:val="24"/>
                      <w:sz w:val="18"/>
                      <w:szCs w:val="18"/>
                    </w:rPr>
                  </w:pPr>
                  <w:r>
                    <w:rPr>
                      <w:rFonts w:hint="eastAsia"/>
                      <w:kern w:val="24"/>
                      <w:sz w:val="18"/>
                      <w:szCs w:val="18"/>
                    </w:rPr>
                    <w:t>生态</w:t>
                  </w:r>
                </w:p>
                <w:p w14:paraId="3251B532">
                  <w:pPr>
                    <w:spacing w:line="360" w:lineRule="exact"/>
                    <w:jc w:val="center"/>
                    <w:rPr>
                      <w:kern w:val="24"/>
                      <w:sz w:val="18"/>
                      <w:szCs w:val="18"/>
                    </w:rPr>
                  </w:pPr>
                  <w:r>
                    <w:rPr>
                      <w:rFonts w:hint="eastAsia"/>
                      <w:kern w:val="24"/>
                      <w:sz w:val="18"/>
                      <w:szCs w:val="18"/>
                    </w:rPr>
                    <w:t>环境</w:t>
                  </w:r>
                </w:p>
              </w:tc>
              <w:tc>
                <w:tcPr>
                  <w:tcW w:w="7713" w:type="dxa"/>
                  <w:gridSpan w:val="10"/>
                  <w:vAlign w:val="center"/>
                </w:tcPr>
                <w:p w14:paraId="03A11808">
                  <w:pPr>
                    <w:spacing w:line="360" w:lineRule="exact"/>
                    <w:jc w:val="center"/>
                    <w:rPr>
                      <w:sz w:val="18"/>
                      <w:szCs w:val="18"/>
                    </w:rPr>
                  </w:pPr>
                  <w:r>
                    <w:rPr>
                      <w:rFonts w:hint="eastAsia"/>
                      <w:sz w:val="18"/>
                      <w:szCs w:val="18"/>
                    </w:rPr>
                    <w:t>本项目利用现有项目已建工业场地，用地范围内无生态环境保护目标。</w:t>
                  </w:r>
                </w:p>
              </w:tc>
            </w:tr>
          </w:tbl>
          <w:p w14:paraId="2400F81B">
            <w:pPr>
              <w:pStyle w:val="58"/>
              <w:spacing w:line="360" w:lineRule="auto"/>
              <w:rPr>
                <w:rFonts w:ascii="Times New Roman" w:hAnsi="Times New Roman" w:cs="Times New Roman"/>
                <w:sz w:val="24"/>
                <w:lang w:val="en-US"/>
              </w:rPr>
            </w:pPr>
          </w:p>
          <w:p w14:paraId="16E000DA">
            <w:pPr>
              <w:pStyle w:val="58"/>
              <w:spacing w:line="360" w:lineRule="auto"/>
              <w:rPr>
                <w:rFonts w:ascii="Times New Roman" w:hAnsi="Times New Roman" w:cs="Times New Roman"/>
                <w:sz w:val="24"/>
                <w:lang w:val="en-US"/>
              </w:rPr>
            </w:pPr>
          </w:p>
          <w:p w14:paraId="1B37D0D3">
            <w:pPr>
              <w:pStyle w:val="58"/>
              <w:spacing w:line="360" w:lineRule="auto"/>
              <w:rPr>
                <w:rFonts w:ascii="Times New Roman" w:hAnsi="Times New Roman" w:cs="Times New Roman"/>
                <w:sz w:val="24"/>
                <w:lang w:val="en-US"/>
              </w:rPr>
            </w:pPr>
          </w:p>
        </w:tc>
      </w:tr>
      <w:tr w14:paraId="17281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30" w:type="dxa"/>
            <w:tcMar>
              <w:left w:w="28" w:type="dxa"/>
              <w:right w:w="28" w:type="dxa"/>
            </w:tcMar>
            <w:vAlign w:val="center"/>
          </w:tcPr>
          <w:p w14:paraId="549F7C4B">
            <w:pPr>
              <w:adjustRightInd w:val="0"/>
              <w:snapToGrid w:val="0"/>
              <w:jc w:val="center"/>
              <w:rPr>
                <w:kern w:val="0"/>
                <w:sz w:val="24"/>
              </w:rPr>
            </w:pPr>
            <w:r>
              <w:rPr>
                <w:rFonts w:hAnsi="宋体"/>
                <w:kern w:val="0"/>
                <w:sz w:val="24"/>
              </w:rPr>
              <w:t>污染</w:t>
            </w:r>
          </w:p>
          <w:p w14:paraId="05702D94">
            <w:pPr>
              <w:adjustRightInd w:val="0"/>
              <w:snapToGrid w:val="0"/>
              <w:jc w:val="center"/>
              <w:rPr>
                <w:kern w:val="0"/>
                <w:sz w:val="24"/>
              </w:rPr>
            </w:pPr>
            <w:r>
              <w:rPr>
                <w:rFonts w:hAnsi="宋体"/>
                <w:kern w:val="0"/>
                <w:sz w:val="24"/>
              </w:rPr>
              <w:t>物排</w:t>
            </w:r>
          </w:p>
          <w:p w14:paraId="3B91428F">
            <w:pPr>
              <w:adjustRightInd w:val="0"/>
              <w:snapToGrid w:val="0"/>
              <w:jc w:val="center"/>
              <w:rPr>
                <w:kern w:val="0"/>
                <w:sz w:val="24"/>
              </w:rPr>
            </w:pPr>
            <w:r>
              <w:rPr>
                <w:rFonts w:hAnsi="宋体"/>
                <w:kern w:val="0"/>
                <w:sz w:val="24"/>
              </w:rPr>
              <w:t>放控</w:t>
            </w:r>
          </w:p>
          <w:p w14:paraId="4EB33FD7">
            <w:pPr>
              <w:adjustRightInd w:val="0"/>
              <w:snapToGrid w:val="0"/>
              <w:jc w:val="center"/>
              <w:rPr>
                <w:kern w:val="0"/>
                <w:sz w:val="24"/>
              </w:rPr>
            </w:pPr>
            <w:r>
              <w:rPr>
                <w:rFonts w:hAnsi="宋体"/>
                <w:kern w:val="0"/>
                <w:sz w:val="24"/>
              </w:rPr>
              <w:t>制标</w:t>
            </w:r>
          </w:p>
          <w:p w14:paraId="4DA4F76B">
            <w:pPr>
              <w:adjustRightInd w:val="0"/>
              <w:snapToGrid w:val="0"/>
              <w:jc w:val="center"/>
              <w:rPr>
                <w:kern w:val="0"/>
                <w:sz w:val="24"/>
              </w:rPr>
            </w:pPr>
            <w:r>
              <w:rPr>
                <w:rFonts w:hAnsi="宋体"/>
                <w:kern w:val="0"/>
                <w:sz w:val="24"/>
              </w:rPr>
              <w:t>准</w:t>
            </w:r>
          </w:p>
        </w:tc>
        <w:tc>
          <w:tcPr>
            <w:tcW w:w="8809" w:type="dxa"/>
          </w:tcPr>
          <w:p w14:paraId="4CB49551">
            <w:pPr>
              <w:adjustRightInd w:val="0"/>
              <w:snapToGrid w:val="0"/>
              <w:spacing w:line="360" w:lineRule="auto"/>
              <w:rPr>
                <w:b/>
                <w:bCs/>
                <w:sz w:val="24"/>
              </w:rPr>
            </w:pPr>
            <w:r>
              <w:rPr>
                <w:b/>
                <w:bCs/>
                <w:sz w:val="24"/>
              </w:rPr>
              <w:t>1、大气污染物排放标准</w:t>
            </w:r>
          </w:p>
          <w:p w14:paraId="46D12F46">
            <w:pPr>
              <w:adjustRightInd w:val="0"/>
              <w:snapToGrid w:val="0"/>
              <w:spacing w:line="360" w:lineRule="auto"/>
              <w:ind w:firstLine="240" w:firstLineChars="100"/>
              <w:rPr>
                <w:sz w:val="24"/>
              </w:rPr>
            </w:pPr>
            <w:r>
              <w:rPr>
                <w:rFonts w:hint="eastAsia"/>
                <w:sz w:val="24"/>
              </w:rPr>
              <w:t>（1）</w:t>
            </w:r>
            <w:r>
              <w:rPr>
                <w:sz w:val="24"/>
              </w:rPr>
              <w:t>施工期：颗粒物排放执行《大气污染物综合排放标准》（GB 16297-1996）表2新污染源大气污染物无组织排放浓度限值，即周界外浓度最高点1.0mg/m</w:t>
            </w:r>
            <w:r>
              <w:rPr>
                <w:sz w:val="24"/>
                <w:vertAlign w:val="superscript"/>
              </w:rPr>
              <w:t>3</w:t>
            </w:r>
            <w:r>
              <w:rPr>
                <w:sz w:val="24"/>
              </w:rPr>
              <w:t>。</w:t>
            </w:r>
          </w:p>
          <w:p w14:paraId="620F6B04">
            <w:pPr>
              <w:tabs>
                <w:tab w:val="center" w:pos="3934"/>
                <w:tab w:val="left" w:pos="6495"/>
              </w:tabs>
              <w:snapToGrid w:val="0"/>
              <w:spacing w:line="360" w:lineRule="auto"/>
              <w:jc w:val="center"/>
              <w:rPr>
                <w:sz w:val="24"/>
              </w:rPr>
            </w:pPr>
            <w:r>
              <w:rPr>
                <w:b/>
                <w:sz w:val="24"/>
              </w:rPr>
              <w:t>表</w:t>
            </w:r>
            <w:r>
              <w:rPr>
                <w:rFonts w:hint="eastAsia"/>
                <w:b/>
                <w:sz w:val="24"/>
              </w:rPr>
              <w:t>3</w:t>
            </w:r>
            <w:r>
              <w:rPr>
                <w:b/>
                <w:sz w:val="24"/>
              </w:rPr>
              <w:t>-9</w:t>
            </w:r>
            <w:r>
              <w:rPr>
                <w:rFonts w:hint="eastAsia"/>
                <w:b/>
                <w:sz w:val="24"/>
              </w:rPr>
              <w:t xml:space="preserve">  </w:t>
            </w:r>
            <w:r>
              <w:rPr>
                <w:b/>
                <w:sz w:val="24"/>
              </w:rPr>
              <w:t>大气污染物排放</w:t>
            </w:r>
            <w:r>
              <w:rPr>
                <w:rFonts w:hint="eastAsia"/>
                <w:b/>
                <w:sz w:val="24"/>
              </w:rPr>
              <w:t>标准</w:t>
            </w:r>
            <w:r>
              <w:rPr>
                <w:b/>
                <w:sz w:val="24"/>
              </w:rPr>
              <w:t>单位：mg/m</w:t>
            </w:r>
            <w:r>
              <w:rPr>
                <w:b/>
                <w:sz w:val="24"/>
                <w:vertAlign w:val="superscript"/>
              </w:rPr>
              <w:t>3</w:t>
            </w:r>
          </w:p>
          <w:tbl>
            <w:tblPr>
              <w:tblStyle w:val="32"/>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606"/>
              <w:gridCol w:w="3055"/>
            </w:tblGrid>
            <w:tr w14:paraId="3F5A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922" w:type="dxa"/>
                  <w:vMerge w:val="restart"/>
                  <w:vAlign w:val="center"/>
                </w:tcPr>
                <w:p w14:paraId="04896973">
                  <w:pPr>
                    <w:pStyle w:val="69"/>
                    <w:jc w:val="center"/>
                    <w:rPr>
                      <w:rFonts w:ascii="Times New Roman" w:hAnsi="Times New Roman" w:cs="Times New Roman"/>
                    </w:rPr>
                  </w:pPr>
                  <w:r>
                    <w:rPr>
                      <w:rFonts w:ascii="Times New Roman" w:hAnsi="Times New Roman" w:cs="Times New Roman"/>
                    </w:rPr>
                    <w:t>污染</w:t>
                  </w:r>
                  <w:r>
                    <w:rPr>
                      <w:rFonts w:hint="eastAsia" w:ascii="Times New Roman" w:hAnsi="Times New Roman" w:cs="Times New Roman"/>
                    </w:rPr>
                    <w:t>物</w:t>
                  </w:r>
                </w:p>
              </w:tc>
              <w:tc>
                <w:tcPr>
                  <w:tcW w:w="6661" w:type="dxa"/>
                  <w:gridSpan w:val="2"/>
                  <w:vAlign w:val="center"/>
                </w:tcPr>
                <w:p w14:paraId="269F10F5">
                  <w:pPr>
                    <w:pStyle w:val="69"/>
                    <w:jc w:val="center"/>
                    <w:rPr>
                      <w:rFonts w:ascii="Times New Roman" w:hAnsi="Times New Roman" w:cs="Times New Roman"/>
                    </w:rPr>
                  </w:pPr>
                  <w:r>
                    <w:rPr>
                      <w:rFonts w:ascii="Times New Roman" w:hAnsi="Times New Roman" w:cs="Times New Roman"/>
                    </w:rPr>
                    <w:t>无组织排放监控浓度限值</w:t>
                  </w:r>
                </w:p>
              </w:tc>
            </w:tr>
            <w:tr w14:paraId="451B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922" w:type="dxa"/>
                  <w:vMerge w:val="continue"/>
                  <w:vAlign w:val="center"/>
                </w:tcPr>
                <w:p w14:paraId="08143DB9">
                  <w:pPr>
                    <w:jc w:val="center"/>
                    <w:rPr>
                      <w:kern w:val="0"/>
                    </w:rPr>
                  </w:pPr>
                </w:p>
              </w:tc>
              <w:tc>
                <w:tcPr>
                  <w:tcW w:w="3606" w:type="dxa"/>
                  <w:vAlign w:val="center"/>
                </w:tcPr>
                <w:p w14:paraId="0B909FF4">
                  <w:pPr>
                    <w:pStyle w:val="69"/>
                    <w:jc w:val="center"/>
                    <w:rPr>
                      <w:rFonts w:ascii="Times New Roman" w:hAnsi="Times New Roman" w:cs="Times New Roman"/>
                    </w:rPr>
                  </w:pPr>
                  <w:r>
                    <w:rPr>
                      <w:rFonts w:ascii="Times New Roman" w:hAnsi="Times New Roman" w:cs="Times New Roman"/>
                    </w:rPr>
                    <w:t>监控点</w:t>
                  </w:r>
                </w:p>
              </w:tc>
              <w:tc>
                <w:tcPr>
                  <w:tcW w:w="3055" w:type="dxa"/>
                  <w:vAlign w:val="center"/>
                </w:tcPr>
                <w:p w14:paraId="4654FA87">
                  <w:pPr>
                    <w:pStyle w:val="69"/>
                    <w:tabs>
                      <w:tab w:val="center" w:pos="1359"/>
                      <w:tab w:val="clear" w:pos="2040"/>
                    </w:tabs>
                    <w:jc w:val="center"/>
                    <w:rPr>
                      <w:rFonts w:ascii="Times New Roman" w:hAnsi="Times New Roman" w:cs="Times New Roman"/>
                    </w:rPr>
                  </w:pPr>
                  <w:r>
                    <w:rPr>
                      <w:rFonts w:ascii="Times New Roman" w:hAnsi="Times New Roman" w:cs="Times New Roman"/>
                    </w:rPr>
                    <w:t>浓度浓度</w:t>
                  </w:r>
                  <w:r>
                    <w:rPr>
                      <w:rFonts w:hint="eastAsia" w:ascii="Times New Roman" w:hAnsi="Times New Roman" w:cs="Times New Roman"/>
                    </w:rPr>
                    <w:t>（</w:t>
                  </w:r>
                  <w:r>
                    <w:rPr>
                      <w:rFonts w:ascii="Times New Roman" w:hAnsi="Times New Roman" w:cs="Times New Roman"/>
                    </w:rPr>
                    <w:t>mg/m</w:t>
                  </w:r>
                  <w:r>
                    <w:rPr>
                      <w:rFonts w:ascii="Times New Roman" w:hAnsi="Times New Roman" w:cs="Times New Roman"/>
                      <w:vertAlign w:val="superscript"/>
                    </w:rPr>
                    <w:t>3</w:t>
                  </w:r>
                  <w:r>
                    <w:rPr>
                      <w:rFonts w:hint="eastAsia" w:ascii="Times New Roman" w:hAnsi="Times New Roman" w:cs="Times New Roman"/>
                    </w:rPr>
                    <w:t>）</w:t>
                  </w:r>
                </w:p>
              </w:tc>
            </w:tr>
            <w:tr w14:paraId="5C95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922" w:type="dxa"/>
                  <w:vAlign w:val="center"/>
                </w:tcPr>
                <w:p w14:paraId="5C04CBCC">
                  <w:pPr>
                    <w:pStyle w:val="69"/>
                    <w:jc w:val="center"/>
                    <w:rPr>
                      <w:rFonts w:ascii="Times New Roman" w:hAnsi="Times New Roman" w:cs="Times New Roman"/>
                    </w:rPr>
                  </w:pPr>
                  <w:r>
                    <w:rPr>
                      <w:rFonts w:ascii="Times New Roman" w:hAnsi="Times New Roman" w:cs="Times New Roman"/>
                    </w:rPr>
                    <w:t>颗粒物</w:t>
                  </w:r>
                </w:p>
              </w:tc>
              <w:tc>
                <w:tcPr>
                  <w:tcW w:w="3606" w:type="dxa"/>
                  <w:vAlign w:val="center"/>
                </w:tcPr>
                <w:p w14:paraId="3F0B2D1F">
                  <w:pPr>
                    <w:pStyle w:val="69"/>
                    <w:jc w:val="center"/>
                    <w:rPr>
                      <w:rFonts w:ascii="Times New Roman" w:hAnsi="Times New Roman" w:cs="Times New Roman"/>
                    </w:rPr>
                  </w:pPr>
                  <w:r>
                    <w:rPr>
                      <w:rFonts w:ascii="Times New Roman" w:hAnsi="Times New Roman" w:cs="Times New Roman"/>
                    </w:rPr>
                    <w:t>周界外浓度最高点</w:t>
                  </w:r>
                </w:p>
              </w:tc>
              <w:tc>
                <w:tcPr>
                  <w:tcW w:w="3055" w:type="dxa"/>
                  <w:vAlign w:val="center"/>
                </w:tcPr>
                <w:p w14:paraId="2ACEDA33">
                  <w:pPr>
                    <w:pStyle w:val="69"/>
                    <w:jc w:val="center"/>
                    <w:rPr>
                      <w:rFonts w:ascii="Times New Roman" w:hAnsi="Times New Roman" w:cs="Times New Roman"/>
                    </w:rPr>
                  </w:pPr>
                  <w:r>
                    <w:rPr>
                      <w:rFonts w:ascii="Times New Roman" w:hAnsi="Times New Roman" w:cs="Times New Roman"/>
                    </w:rPr>
                    <w:t>1.0</w:t>
                  </w:r>
                </w:p>
              </w:tc>
            </w:tr>
          </w:tbl>
          <w:p w14:paraId="74E10039">
            <w:pPr>
              <w:adjustRightInd w:val="0"/>
              <w:snapToGrid w:val="0"/>
              <w:spacing w:line="360" w:lineRule="auto"/>
              <w:ind w:firstLine="240" w:firstLineChars="100"/>
              <w:rPr>
                <w:kern w:val="24"/>
                <w:sz w:val="24"/>
              </w:rPr>
            </w:pPr>
            <w:r>
              <w:rPr>
                <w:rFonts w:hint="eastAsia"/>
                <w:sz w:val="24"/>
              </w:rPr>
              <w:t>（2）</w:t>
            </w:r>
            <w:r>
              <w:rPr>
                <w:kern w:val="24"/>
                <w:sz w:val="24"/>
              </w:rPr>
              <w:t>运营期：</w:t>
            </w:r>
          </w:p>
          <w:p w14:paraId="04DEF48B">
            <w:pPr>
              <w:pStyle w:val="83"/>
              <w:ind w:firstLine="480"/>
            </w:pPr>
            <w:r>
              <w:t>本项目</w:t>
            </w:r>
            <w:r>
              <w:rPr>
                <w:rFonts w:hint="eastAsia"/>
              </w:rPr>
              <w:t>焊接烟尘执行《大气污染物综合排放标准》（GB 16297-1996）中表2新污染源大气污染物排放限值中二级排放限值。</w:t>
            </w:r>
          </w:p>
          <w:p w14:paraId="78582A52">
            <w:pPr>
              <w:pStyle w:val="83"/>
              <w:ind w:firstLine="480"/>
            </w:pPr>
            <w:r>
              <w:rPr>
                <w:rFonts w:hint="eastAsia"/>
              </w:rPr>
              <w:t>项目无组织废气执行《大气污染物综合排放标准》（GB16297-1996）表2中新污染源大气污染物</w:t>
            </w:r>
            <w:r>
              <w:t>无组织排放监控浓度限值</w:t>
            </w:r>
            <w:r>
              <w:rPr>
                <w:rFonts w:hint="eastAsia"/>
              </w:rPr>
              <w:t>。</w:t>
            </w:r>
          </w:p>
          <w:p w14:paraId="45EED56F">
            <w:pPr>
              <w:tabs>
                <w:tab w:val="center" w:pos="3934"/>
                <w:tab w:val="left" w:pos="6495"/>
              </w:tabs>
              <w:snapToGrid w:val="0"/>
              <w:spacing w:line="360" w:lineRule="auto"/>
              <w:jc w:val="center"/>
              <w:rPr>
                <w:b/>
                <w:sz w:val="24"/>
              </w:rPr>
            </w:pPr>
            <w:r>
              <w:rPr>
                <w:rFonts w:hint="eastAsia"/>
                <w:b/>
                <w:sz w:val="24"/>
              </w:rPr>
              <w:t>表</w:t>
            </w:r>
            <w:r>
              <w:rPr>
                <w:b/>
                <w:sz w:val="24"/>
              </w:rPr>
              <w:t>3-10  本项目运营期大气污染物排放浓度限值</w:t>
            </w:r>
          </w:p>
          <w:tbl>
            <w:tblPr>
              <w:tblStyle w:val="32"/>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666"/>
              <w:gridCol w:w="597"/>
              <w:gridCol w:w="1224"/>
              <w:gridCol w:w="1241"/>
              <w:gridCol w:w="543"/>
              <w:gridCol w:w="3056"/>
            </w:tblGrid>
            <w:tr w14:paraId="52CA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732" w:type="pct"/>
                  <w:vAlign w:val="center"/>
                </w:tcPr>
                <w:p w14:paraId="0FC8F96A">
                  <w:pPr>
                    <w:pStyle w:val="47"/>
                    <w:spacing w:beforeLines="0" w:afterLines="0" w:line="240" w:lineRule="auto"/>
                    <w:rPr>
                      <w:rFonts w:ascii="Times New Roman" w:eastAsiaTheme="minorEastAsia"/>
                    </w:rPr>
                  </w:pPr>
                  <w:r>
                    <w:rPr>
                      <w:rFonts w:hint="eastAsia" w:ascii="Times New Roman" w:eastAsiaTheme="minorEastAsia"/>
                    </w:rPr>
                    <w:t>污染源</w:t>
                  </w:r>
                </w:p>
              </w:tc>
              <w:tc>
                <w:tcPr>
                  <w:tcW w:w="736" w:type="pct"/>
                  <w:gridSpan w:val="2"/>
                  <w:vAlign w:val="center"/>
                </w:tcPr>
                <w:p w14:paraId="2C152450">
                  <w:pPr>
                    <w:pStyle w:val="47"/>
                    <w:spacing w:beforeLines="0" w:afterLines="0" w:line="240" w:lineRule="auto"/>
                    <w:rPr>
                      <w:rFonts w:ascii="Times New Roman"/>
                    </w:rPr>
                  </w:pPr>
                  <w:r>
                    <w:rPr>
                      <w:rFonts w:ascii="Times New Roman" w:eastAsiaTheme="minorEastAsia"/>
                    </w:rPr>
                    <w:t>污染物项目</w:t>
                  </w:r>
                </w:p>
              </w:tc>
              <w:tc>
                <w:tcPr>
                  <w:tcW w:w="713" w:type="pct"/>
                  <w:vAlign w:val="center"/>
                </w:tcPr>
                <w:p w14:paraId="421ECB82">
                  <w:pPr>
                    <w:pStyle w:val="47"/>
                    <w:spacing w:beforeLines="0" w:afterLines="0" w:line="240" w:lineRule="auto"/>
                    <w:rPr>
                      <w:rFonts w:ascii="Times New Roman" w:eastAsiaTheme="minorEastAsia"/>
                    </w:rPr>
                  </w:pPr>
                  <w:r>
                    <w:rPr>
                      <w:rFonts w:ascii="Times New Roman"/>
                    </w:rPr>
                    <w:t>最高允许排放浓度（mg/m</w:t>
                  </w:r>
                  <w:r>
                    <w:rPr>
                      <w:rFonts w:ascii="Times New Roman"/>
                      <w:vertAlign w:val="superscript"/>
                    </w:rPr>
                    <w:t>3</w:t>
                  </w:r>
                  <w:r>
                    <w:rPr>
                      <w:rFonts w:ascii="Times New Roman"/>
                    </w:rPr>
                    <w:t>）</w:t>
                  </w:r>
                </w:p>
              </w:tc>
              <w:tc>
                <w:tcPr>
                  <w:tcW w:w="723" w:type="pct"/>
                  <w:vAlign w:val="center"/>
                </w:tcPr>
                <w:p w14:paraId="327207C7">
                  <w:pPr>
                    <w:pStyle w:val="47"/>
                    <w:spacing w:beforeLines="0" w:afterLines="0" w:line="240" w:lineRule="auto"/>
                    <w:rPr>
                      <w:rFonts w:ascii="Times New Roman" w:eastAsiaTheme="minorEastAsia"/>
                    </w:rPr>
                  </w:pPr>
                  <w:r>
                    <w:rPr>
                      <w:rFonts w:ascii="Times New Roman"/>
                    </w:rPr>
                    <w:t>最高允许排放速率（kg/h）</w:t>
                  </w:r>
                </w:p>
              </w:tc>
              <w:tc>
                <w:tcPr>
                  <w:tcW w:w="2096" w:type="pct"/>
                  <w:gridSpan w:val="2"/>
                  <w:vAlign w:val="center"/>
                </w:tcPr>
                <w:p w14:paraId="5BA1370E">
                  <w:pPr>
                    <w:pStyle w:val="47"/>
                    <w:spacing w:beforeLines="0" w:afterLines="0" w:line="240" w:lineRule="auto"/>
                    <w:rPr>
                      <w:rFonts w:ascii="Times New Roman" w:eastAsiaTheme="minorEastAsia"/>
                    </w:rPr>
                  </w:pPr>
                  <w:r>
                    <w:rPr>
                      <w:rFonts w:ascii="Times New Roman" w:eastAsiaTheme="minorEastAsia"/>
                    </w:rPr>
                    <w:t>标准来源</w:t>
                  </w:r>
                </w:p>
              </w:tc>
            </w:tr>
            <w:tr w14:paraId="561D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32" w:type="pct"/>
                  <w:vAlign w:val="center"/>
                </w:tcPr>
                <w:p w14:paraId="2B3486AE">
                  <w:pPr>
                    <w:pStyle w:val="47"/>
                    <w:spacing w:beforeLines="0" w:afterLines="0" w:line="240" w:lineRule="auto"/>
                    <w:rPr>
                      <w:rFonts w:ascii="Times New Roman" w:eastAsiaTheme="minorEastAsia"/>
                    </w:rPr>
                  </w:pPr>
                  <w:r>
                    <w:rPr>
                      <w:rFonts w:hint="eastAsia"/>
                    </w:rPr>
                    <w:t>高频焊接</w:t>
                  </w:r>
                  <w:r>
                    <w:rPr>
                      <w:rFonts w:hint="eastAsia" w:ascii="Times New Roman" w:eastAsiaTheme="minorEastAsia"/>
                    </w:rPr>
                    <w:t>（DA00</w:t>
                  </w:r>
                  <w:r>
                    <w:rPr>
                      <w:rFonts w:ascii="Times New Roman" w:eastAsiaTheme="minorEastAsia"/>
                    </w:rPr>
                    <w:t>1~DA003</w:t>
                  </w:r>
                  <w:r>
                    <w:rPr>
                      <w:rFonts w:hint="eastAsia" w:ascii="Times New Roman" w:eastAsiaTheme="minorEastAsia"/>
                    </w:rPr>
                    <w:t>）</w:t>
                  </w:r>
                </w:p>
              </w:tc>
              <w:tc>
                <w:tcPr>
                  <w:tcW w:w="736" w:type="pct"/>
                  <w:gridSpan w:val="2"/>
                  <w:vAlign w:val="center"/>
                </w:tcPr>
                <w:p w14:paraId="191F8F10">
                  <w:pPr>
                    <w:pStyle w:val="47"/>
                    <w:spacing w:beforeLines="0" w:afterLines="0" w:line="240" w:lineRule="auto"/>
                    <w:rPr>
                      <w:rFonts w:ascii="Times New Roman"/>
                    </w:rPr>
                  </w:pPr>
                  <w:r>
                    <w:rPr>
                      <w:rFonts w:hint="eastAsia" w:ascii="Times New Roman"/>
                    </w:rPr>
                    <w:t>颗粒物</w:t>
                  </w:r>
                </w:p>
              </w:tc>
              <w:tc>
                <w:tcPr>
                  <w:tcW w:w="713" w:type="pct"/>
                  <w:vAlign w:val="center"/>
                </w:tcPr>
                <w:p w14:paraId="6AC02816">
                  <w:pPr>
                    <w:pStyle w:val="47"/>
                    <w:spacing w:beforeLines="0" w:afterLines="0" w:line="240" w:lineRule="auto"/>
                    <w:rPr>
                      <w:rFonts w:ascii="Times New Roman"/>
                    </w:rPr>
                  </w:pPr>
                  <w:r>
                    <w:rPr>
                      <w:rFonts w:ascii="Times New Roman"/>
                    </w:rPr>
                    <w:t>120</w:t>
                  </w:r>
                </w:p>
              </w:tc>
              <w:tc>
                <w:tcPr>
                  <w:tcW w:w="723" w:type="pct"/>
                  <w:vAlign w:val="center"/>
                </w:tcPr>
                <w:p w14:paraId="68CEB493">
                  <w:pPr>
                    <w:pStyle w:val="47"/>
                    <w:spacing w:beforeLines="0" w:afterLines="0" w:line="240" w:lineRule="auto"/>
                    <w:rPr>
                      <w:rFonts w:ascii="Times New Roman" w:eastAsiaTheme="minorEastAsia"/>
                    </w:rPr>
                  </w:pPr>
                  <w:r>
                    <w:rPr>
                      <w:rFonts w:ascii="Times New Roman" w:eastAsiaTheme="minorEastAsia"/>
                    </w:rPr>
                    <w:t>3.5</w:t>
                  </w:r>
                  <w:r>
                    <w:rPr>
                      <w:rFonts w:hint="eastAsia" w:ascii="Times New Roman" w:eastAsiaTheme="minorEastAsia"/>
                    </w:rPr>
                    <w:t>（</w:t>
                  </w:r>
                  <w:r>
                    <w:rPr>
                      <w:rFonts w:ascii="Times New Roman" w:eastAsiaTheme="minorEastAsia"/>
                    </w:rPr>
                    <w:t>15</w:t>
                  </w:r>
                  <w:r>
                    <w:rPr>
                      <w:rFonts w:hint="eastAsia" w:ascii="Times New Roman" w:eastAsiaTheme="minorEastAsia"/>
                    </w:rPr>
                    <w:t>m）</w:t>
                  </w:r>
                </w:p>
              </w:tc>
              <w:tc>
                <w:tcPr>
                  <w:tcW w:w="2096" w:type="pct"/>
                  <w:gridSpan w:val="2"/>
                  <w:vAlign w:val="center"/>
                </w:tcPr>
                <w:p w14:paraId="5CF24A69">
                  <w:pPr>
                    <w:pStyle w:val="47"/>
                    <w:spacing w:beforeLines="0" w:afterLines="0" w:line="240" w:lineRule="auto"/>
                    <w:rPr>
                      <w:rFonts w:ascii="Times New Roman" w:eastAsiaTheme="minorEastAsia"/>
                    </w:rPr>
                  </w:pPr>
                  <w:r>
                    <w:rPr>
                      <w:rFonts w:hint="eastAsia" w:ascii="Times New Roman" w:eastAsiaTheme="minorEastAsia"/>
                    </w:rPr>
                    <w:t>《大气污染物综合排放标准》（GB16297-1996）表2 中二级标准限值</w:t>
                  </w:r>
                </w:p>
              </w:tc>
            </w:tr>
            <w:tr w14:paraId="5C14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20" w:type="pct"/>
                  <w:gridSpan w:val="2"/>
                  <w:vMerge w:val="restart"/>
                  <w:vAlign w:val="center"/>
                </w:tcPr>
                <w:p w14:paraId="45683B02">
                  <w:pPr>
                    <w:pStyle w:val="69"/>
                    <w:adjustRightInd w:val="0"/>
                    <w:snapToGrid w:val="0"/>
                    <w:jc w:val="center"/>
                    <w:rPr>
                      <w:rFonts w:ascii="Times New Roman" w:hAnsi="Times New Roman" w:cs="Times New Roman"/>
                    </w:rPr>
                  </w:pPr>
                  <w:r>
                    <w:rPr>
                      <w:rFonts w:ascii="Times New Roman" w:hAnsi="Times New Roman" w:cs="Times New Roman"/>
                    </w:rPr>
                    <w:t>污染</w:t>
                  </w:r>
                  <w:r>
                    <w:rPr>
                      <w:rFonts w:hint="eastAsia" w:ascii="Times New Roman" w:hAnsi="Times New Roman" w:cs="Times New Roman"/>
                    </w:rPr>
                    <w:t>物</w:t>
                  </w:r>
                </w:p>
              </w:tc>
              <w:tc>
                <w:tcPr>
                  <w:tcW w:w="3880" w:type="pct"/>
                  <w:gridSpan w:val="5"/>
                  <w:vAlign w:val="center"/>
                </w:tcPr>
                <w:p w14:paraId="4AACA3CD">
                  <w:pPr>
                    <w:pStyle w:val="69"/>
                    <w:adjustRightInd w:val="0"/>
                    <w:snapToGrid w:val="0"/>
                    <w:jc w:val="center"/>
                    <w:rPr>
                      <w:rFonts w:ascii="Times New Roman" w:hAnsi="Times New Roman" w:cs="Times New Roman"/>
                    </w:rPr>
                  </w:pPr>
                  <w:r>
                    <w:rPr>
                      <w:rFonts w:ascii="Times New Roman" w:hAnsi="Times New Roman" w:cs="Times New Roman"/>
                    </w:rPr>
                    <w:t>无组织排放监控浓度限值</w:t>
                  </w:r>
                </w:p>
              </w:tc>
            </w:tr>
            <w:tr w14:paraId="726C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20" w:type="pct"/>
                  <w:gridSpan w:val="2"/>
                  <w:vMerge w:val="continue"/>
                  <w:vAlign w:val="center"/>
                </w:tcPr>
                <w:p w14:paraId="26339FF3">
                  <w:pPr>
                    <w:adjustRightInd w:val="0"/>
                    <w:snapToGrid w:val="0"/>
                    <w:jc w:val="center"/>
                    <w:rPr>
                      <w:kern w:val="0"/>
                    </w:rPr>
                  </w:pPr>
                </w:p>
              </w:tc>
              <w:tc>
                <w:tcPr>
                  <w:tcW w:w="2100" w:type="pct"/>
                  <w:gridSpan w:val="4"/>
                  <w:vAlign w:val="center"/>
                </w:tcPr>
                <w:p w14:paraId="258BF5F6">
                  <w:pPr>
                    <w:pStyle w:val="69"/>
                    <w:adjustRightInd w:val="0"/>
                    <w:snapToGrid w:val="0"/>
                    <w:jc w:val="center"/>
                    <w:rPr>
                      <w:rFonts w:ascii="Times New Roman" w:hAnsi="Times New Roman" w:cs="Times New Roman"/>
                    </w:rPr>
                  </w:pPr>
                  <w:r>
                    <w:rPr>
                      <w:rFonts w:ascii="Times New Roman" w:hAnsi="Times New Roman" w:cs="Times New Roman"/>
                    </w:rPr>
                    <w:t>监控点</w:t>
                  </w:r>
                </w:p>
              </w:tc>
              <w:tc>
                <w:tcPr>
                  <w:tcW w:w="1780" w:type="pct"/>
                  <w:vAlign w:val="center"/>
                </w:tcPr>
                <w:p w14:paraId="05679931">
                  <w:pPr>
                    <w:pStyle w:val="69"/>
                    <w:tabs>
                      <w:tab w:val="center" w:pos="1359"/>
                      <w:tab w:val="clear" w:pos="2040"/>
                    </w:tabs>
                    <w:adjustRightInd w:val="0"/>
                    <w:snapToGrid w:val="0"/>
                    <w:jc w:val="center"/>
                    <w:rPr>
                      <w:rFonts w:ascii="Times New Roman" w:hAnsi="Times New Roman" w:cs="Times New Roman"/>
                    </w:rPr>
                  </w:pPr>
                  <w:r>
                    <w:rPr>
                      <w:rFonts w:ascii="Times New Roman" w:hAnsi="Times New Roman" w:cs="Times New Roman"/>
                    </w:rPr>
                    <w:t>浓度浓度</w:t>
                  </w:r>
                  <w:r>
                    <w:rPr>
                      <w:rFonts w:hint="eastAsia" w:ascii="Times New Roman" w:hAnsi="Times New Roman" w:cs="Times New Roman"/>
                    </w:rPr>
                    <w:t>（</w:t>
                  </w:r>
                  <w:r>
                    <w:rPr>
                      <w:rFonts w:ascii="Times New Roman" w:hAnsi="Times New Roman" w:cs="Times New Roman"/>
                    </w:rPr>
                    <w:t>mg/m</w:t>
                  </w:r>
                  <w:r>
                    <w:rPr>
                      <w:rFonts w:ascii="Times New Roman" w:hAnsi="Times New Roman" w:cs="Times New Roman"/>
                      <w:vertAlign w:val="superscript"/>
                    </w:rPr>
                    <w:t>3</w:t>
                  </w:r>
                  <w:r>
                    <w:rPr>
                      <w:rFonts w:hint="eastAsia" w:ascii="Times New Roman" w:hAnsi="Times New Roman" w:cs="Times New Roman"/>
                    </w:rPr>
                    <w:t>）</w:t>
                  </w:r>
                </w:p>
              </w:tc>
            </w:tr>
            <w:tr w14:paraId="0B94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20" w:type="pct"/>
                  <w:gridSpan w:val="2"/>
                  <w:vAlign w:val="center"/>
                </w:tcPr>
                <w:p w14:paraId="49EF10C1">
                  <w:pPr>
                    <w:pStyle w:val="69"/>
                    <w:adjustRightInd w:val="0"/>
                    <w:snapToGrid w:val="0"/>
                    <w:jc w:val="center"/>
                    <w:rPr>
                      <w:rFonts w:ascii="Times New Roman" w:hAnsi="Times New Roman" w:cs="Times New Roman"/>
                    </w:rPr>
                  </w:pPr>
                  <w:r>
                    <w:rPr>
                      <w:rFonts w:ascii="Times New Roman" w:hAnsi="Times New Roman" w:cs="Times New Roman"/>
                    </w:rPr>
                    <w:t>颗粒物</w:t>
                  </w:r>
                </w:p>
              </w:tc>
              <w:tc>
                <w:tcPr>
                  <w:tcW w:w="2100" w:type="pct"/>
                  <w:gridSpan w:val="4"/>
                  <w:vAlign w:val="center"/>
                </w:tcPr>
                <w:p w14:paraId="736288C3">
                  <w:pPr>
                    <w:pStyle w:val="69"/>
                    <w:adjustRightInd w:val="0"/>
                    <w:snapToGrid w:val="0"/>
                    <w:jc w:val="center"/>
                    <w:rPr>
                      <w:rFonts w:ascii="Times New Roman" w:hAnsi="Times New Roman" w:cs="Times New Roman"/>
                    </w:rPr>
                  </w:pPr>
                  <w:r>
                    <w:rPr>
                      <w:rFonts w:ascii="Times New Roman" w:hAnsi="Times New Roman" w:cs="Times New Roman"/>
                    </w:rPr>
                    <w:t>周界外浓度最高点</w:t>
                  </w:r>
                </w:p>
              </w:tc>
              <w:tc>
                <w:tcPr>
                  <w:tcW w:w="1780" w:type="pct"/>
                  <w:vAlign w:val="center"/>
                </w:tcPr>
                <w:p w14:paraId="26259A13">
                  <w:pPr>
                    <w:pStyle w:val="69"/>
                    <w:adjustRightInd w:val="0"/>
                    <w:snapToGrid w:val="0"/>
                    <w:jc w:val="center"/>
                    <w:rPr>
                      <w:rFonts w:ascii="Times New Roman" w:hAnsi="Times New Roman" w:cs="Times New Roman"/>
                    </w:rPr>
                  </w:pPr>
                  <w:r>
                    <w:rPr>
                      <w:rFonts w:ascii="Times New Roman" w:hAnsi="Times New Roman" w:cs="Times New Roman"/>
                    </w:rPr>
                    <w:t>1.0</w:t>
                  </w:r>
                </w:p>
              </w:tc>
            </w:tr>
          </w:tbl>
          <w:p w14:paraId="316886F3">
            <w:pPr>
              <w:adjustRightInd w:val="0"/>
              <w:snapToGrid w:val="0"/>
              <w:spacing w:line="360" w:lineRule="auto"/>
              <w:ind w:firstLine="480" w:firstLineChars="200"/>
              <w:rPr>
                <w:sz w:val="24"/>
              </w:rPr>
            </w:pPr>
          </w:p>
          <w:p w14:paraId="3C456382">
            <w:pPr>
              <w:adjustRightInd w:val="0"/>
              <w:snapToGrid w:val="0"/>
              <w:spacing w:line="360" w:lineRule="auto"/>
              <w:rPr>
                <w:b/>
                <w:bCs/>
                <w:kern w:val="24"/>
                <w:sz w:val="24"/>
              </w:rPr>
            </w:pPr>
            <w:r>
              <w:rPr>
                <w:b/>
                <w:bCs/>
                <w:kern w:val="24"/>
                <w:sz w:val="24"/>
              </w:rPr>
              <w:t>2、水污染物排放标准</w:t>
            </w:r>
          </w:p>
          <w:p w14:paraId="4D074B17">
            <w:pPr>
              <w:adjustRightInd w:val="0"/>
              <w:snapToGrid w:val="0"/>
              <w:spacing w:line="360" w:lineRule="auto"/>
              <w:ind w:firstLine="480" w:firstLineChars="200"/>
              <w:rPr>
                <w:kern w:val="24"/>
                <w:sz w:val="24"/>
              </w:rPr>
            </w:pPr>
            <w:r>
              <w:rPr>
                <w:kern w:val="24"/>
                <w:sz w:val="24"/>
              </w:rPr>
              <w:t>（1）施工期：施工废水完全回用，不外排。</w:t>
            </w:r>
          </w:p>
          <w:p w14:paraId="3613538C">
            <w:pPr>
              <w:adjustRightInd w:val="0"/>
              <w:snapToGrid w:val="0"/>
              <w:spacing w:line="360" w:lineRule="auto"/>
              <w:ind w:firstLine="480" w:firstLineChars="200"/>
              <w:rPr>
                <w:kern w:val="24"/>
                <w:sz w:val="24"/>
              </w:rPr>
            </w:pPr>
            <w:r>
              <w:rPr>
                <w:kern w:val="24"/>
                <w:sz w:val="24"/>
              </w:rPr>
              <w:t>（2）运营期：</w:t>
            </w:r>
          </w:p>
          <w:p w14:paraId="6F7A1603">
            <w:pPr>
              <w:pStyle w:val="83"/>
              <w:ind w:firstLine="480"/>
            </w:pPr>
            <w:r>
              <w:rPr>
                <w:rFonts w:hint="eastAsia"/>
              </w:rPr>
              <w:t>项目生产废水主要为焊管生产车间设备冷却水和产品冷却水。焊管生产车间设备冷却水经焊管设备净循环水池冷却后循环使用，不外排；产品冷却水经焊管车间浊循环水池冷却后循环使用，不外排。</w:t>
            </w:r>
            <w:r>
              <w:t>生活污水依托现有隔油池、化粪池和</w:t>
            </w:r>
            <w:r>
              <w:rPr>
                <w:rFonts w:hint="eastAsia"/>
              </w:rPr>
              <w:t>生活污水处理站</w:t>
            </w:r>
            <w:r>
              <w:t>处理，</w:t>
            </w:r>
            <w:r>
              <w:rPr>
                <w:rFonts w:hint="eastAsia"/>
              </w:rPr>
              <w:t>项目食堂废水经隔油池处理后与其他污水经化粪池预处理后，再排入现有生活污水处理站处理</w:t>
            </w:r>
            <w:r>
              <w:rPr>
                <w:rFonts w:hint="eastAsia"/>
                <w:kern w:val="24"/>
              </w:rPr>
              <w:t>达标后用于直接冷却水的补充水，不外排。回用水执行</w:t>
            </w:r>
            <w:r>
              <w:rPr>
                <w:rFonts w:hint="eastAsia"/>
              </w:rPr>
              <w:t>《城市污水再生利用 工业用水水质》（GB/T 19923-2024）表1间冷开式循环冷却水补充水标准。</w:t>
            </w:r>
          </w:p>
          <w:p w14:paraId="1619F060">
            <w:pPr>
              <w:pStyle w:val="60"/>
              <w:snapToGrid w:val="0"/>
              <w:spacing w:line="360" w:lineRule="auto"/>
              <w:ind w:firstLine="0"/>
              <w:jc w:val="center"/>
              <w:textAlignment w:val="auto"/>
              <w:rPr>
                <w:b/>
                <w:bCs/>
                <w:szCs w:val="24"/>
              </w:rPr>
            </w:pPr>
            <w:r>
              <w:rPr>
                <w:b/>
                <w:bCs/>
                <w:szCs w:val="24"/>
              </w:rPr>
              <w:t>表</w:t>
            </w:r>
            <w:r>
              <w:rPr>
                <w:rFonts w:hint="eastAsia"/>
                <w:b/>
                <w:bCs/>
                <w:szCs w:val="24"/>
              </w:rPr>
              <w:t>3</w:t>
            </w:r>
            <w:r>
              <w:rPr>
                <w:b/>
                <w:bCs/>
                <w:szCs w:val="24"/>
              </w:rPr>
              <w:t xml:space="preserve">-11  </w:t>
            </w:r>
            <w:r>
              <w:rPr>
                <w:rFonts w:hint="eastAsia"/>
                <w:b/>
                <w:bCs/>
                <w:szCs w:val="24"/>
              </w:rPr>
              <w:t xml:space="preserve">城市污水再生利用 工业用水水质标准  </w:t>
            </w:r>
            <w:r>
              <w:rPr>
                <w:b/>
                <w:bCs/>
                <w:szCs w:val="24"/>
              </w:rPr>
              <w:t>单位：mg/L</w:t>
            </w:r>
          </w:p>
          <w:tbl>
            <w:tblPr>
              <w:tblStyle w:val="3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1"/>
              <w:gridCol w:w="3400"/>
              <w:gridCol w:w="4406"/>
            </w:tblGrid>
            <w:tr w14:paraId="0A2DE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 w:hRule="atLeast"/>
                <w:jc w:val="center"/>
              </w:trPr>
              <w:tc>
                <w:tcPr>
                  <w:tcW w:w="781" w:type="dxa"/>
                  <w:vAlign w:val="center"/>
                </w:tcPr>
                <w:p w14:paraId="7C2745E6">
                  <w:pPr>
                    <w:pStyle w:val="28"/>
                    <w:adjustRightInd w:val="0"/>
                    <w:snapToGrid w:val="0"/>
                    <w:spacing w:before="0" w:beforeAutospacing="0" w:after="0" w:afterAutospacing="0"/>
                    <w:jc w:val="center"/>
                    <w:rPr>
                      <w:rFonts w:ascii="Times New Roman" w:hAnsi="Times New Roman"/>
                      <w:sz w:val="21"/>
                      <w:szCs w:val="21"/>
                    </w:rPr>
                  </w:pPr>
                  <w:r>
                    <w:rPr>
                      <w:rFonts w:ascii="Times New Roman"/>
                      <w:sz w:val="21"/>
                      <w:szCs w:val="21"/>
                    </w:rPr>
                    <w:t>序号</w:t>
                  </w:r>
                </w:p>
              </w:tc>
              <w:tc>
                <w:tcPr>
                  <w:tcW w:w="3400" w:type="dxa"/>
                  <w:vAlign w:val="center"/>
                </w:tcPr>
                <w:p w14:paraId="791AC031">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sz w:val="21"/>
                      <w:szCs w:val="21"/>
                    </w:rPr>
                    <w:t>控制</w:t>
                  </w:r>
                  <w:r>
                    <w:rPr>
                      <w:rFonts w:ascii="Times New Roman"/>
                      <w:sz w:val="21"/>
                      <w:szCs w:val="21"/>
                    </w:rPr>
                    <w:t>指标</w:t>
                  </w:r>
                </w:p>
              </w:tc>
              <w:tc>
                <w:tcPr>
                  <w:tcW w:w="4406" w:type="dxa"/>
                  <w:vAlign w:val="center"/>
                </w:tcPr>
                <w:p w14:paraId="124C0A25">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sz w:val="21"/>
                      <w:szCs w:val="21"/>
                    </w:rPr>
                    <w:t>间冷开式循环冷却水补充水</w:t>
                  </w:r>
                </w:p>
              </w:tc>
            </w:tr>
            <w:tr w14:paraId="7C783E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1E2E5CA1">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1</w:t>
                  </w:r>
                </w:p>
              </w:tc>
              <w:tc>
                <w:tcPr>
                  <w:tcW w:w="3400" w:type="dxa"/>
                  <w:vAlign w:val="center"/>
                </w:tcPr>
                <w:p w14:paraId="73A459E3">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pH</w:t>
                  </w:r>
                </w:p>
              </w:tc>
              <w:tc>
                <w:tcPr>
                  <w:tcW w:w="4406" w:type="dxa"/>
                  <w:vAlign w:val="center"/>
                </w:tcPr>
                <w:p w14:paraId="03194BA9">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6.</w:t>
                  </w:r>
                  <w:r>
                    <w:rPr>
                      <w:rFonts w:hint="eastAsia" w:ascii="Times New Roman" w:hAnsi="Times New Roman"/>
                      <w:sz w:val="20"/>
                    </w:rPr>
                    <w:t>0</w:t>
                  </w:r>
                  <w:r>
                    <w:rPr>
                      <w:rFonts w:ascii="Times New Roman" w:hAnsi="Times New Roman"/>
                      <w:sz w:val="21"/>
                      <w:szCs w:val="21"/>
                    </w:rPr>
                    <w:t>~</w:t>
                  </w:r>
                  <w:r>
                    <w:rPr>
                      <w:rFonts w:hint="eastAsia" w:ascii="Times New Roman" w:hAnsi="Times New Roman"/>
                      <w:sz w:val="21"/>
                      <w:szCs w:val="21"/>
                    </w:rPr>
                    <w:t>9.0</w:t>
                  </w:r>
                </w:p>
              </w:tc>
            </w:tr>
            <w:tr w14:paraId="00EC13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2C14D996">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2</w:t>
                  </w:r>
                </w:p>
              </w:tc>
              <w:tc>
                <w:tcPr>
                  <w:tcW w:w="3400" w:type="dxa"/>
                  <w:vAlign w:val="center"/>
                </w:tcPr>
                <w:p w14:paraId="36EC151A">
                  <w:pPr>
                    <w:pStyle w:val="28"/>
                    <w:adjustRightInd w:val="0"/>
                    <w:snapToGrid w:val="0"/>
                    <w:spacing w:before="0" w:beforeAutospacing="0" w:after="0" w:afterAutospacing="0"/>
                    <w:jc w:val="center"/>
                    <w:rPr>
                      <w:rFonts w:ascii="Times New Roman" w:hAnsi="Times New Roman"/>
                      <w:sz w:val="21"/>
                      <w:szCs w:val="21"/>
                    </w:rPr>
                  </w:pPr>
                  <w:r>
                    <w:rPr>
                      <w:rFonts w:ascii="Times New Roman"/>
                      <w:sz w:val="21"/>
                      <w:szCs w:val="21"/>
                    </w:rPr>
                    <w:t>浊度</w:t>
                  </w:r>
                  <w:r>
                    <w:rPr>
                      <w:rFonts w:ascii="Times New Roman" w:hAnsi="Times New Roman"/>
                      <w:sz w:val="21"/>
                      <w:szCs w:val="21"/>
                    </w:rPr>
                    <w:t xml:space="preserve">/NTU  </w:t>
                  </w:r>
                </w:p>
              </w:tc>
              <w:tc>
                <w:tcPr>
                  <w:tcW w:w="4406" w:type="dxa"/>
                  <w:vAlign w:val="center"/>
                </w:tcPr>
                <w:p w14:paraId="19F25679">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5</w:t>
                  </w:r>
                </w:p>
              </w:tc>
            </w:tr>
            <w:tr w14:paraId="517C03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7BA6DB83">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3</w:t>
                  </w:r>
                </w:p>
              </w:tc>
              <w:tc>
                <w:tcPr>
                  <w:tcW w:w="3400" w:type="dxa"/>
                  <w:vAlign w:val="center"/>
                </w:tcPr>
                <w:p w14:paraId="4B401A77">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色度</w:t>
                  </w:r>
                  <w:r>
                    <w:rPr>
                      <w:rFonts w:hint="eastAsia" w:ascii="Times New Roman" w:hAnsi="Times New Roman"/>
                      <w:sz w:val="21"/>
                      <w:szCs w:val="21"/>
                    </w:rPr>
                    <w:t>（度）</w:t>
                  </w:r>
                </w:p>
              </w:tc>
              <w:tc>
                <w:tcPr>
                  <w:tcW w:w="4406" w:type="dxa"/>
                  <w:vAlign w:val="center"/>
                </w:tcPr>
                <w:p w14:paraId="75441F91">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20</w:t>
                  </w:r>
                </w:p>
              </w:tc>
            </w:tr>
            <w:tr w14:paraId="608F30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1DAA8858">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4</w:t>
                  </w:r>
                </w:p>
              </w:tc>
              <w:tc>
                <w:tcPr>
                  <w:tcW w:w="3400" w:type="dxa"/>
                  <w:vAlign w:val="center"/>
                </w:tcPr>
                <w:p w14:paraId="323D6CA4">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sz w:val="21"/>
                      <w:szCs w:val="21"/>
                    </w:rPr>
                    <w:t>五日</w:t>
                  </w:r>
                  <w:r>
                    <w:rPr>
                      <w:rFonts w:ascii="Times New Roman"/>
                      <w:sz w:val="21"/>
                      <w:szCs w:val="21"/>
                    </w:rPr>
                    <w:t>生化需氧量</w:t>
                  </w:r>
                  <w:r>
                    <w:rPr>
                      <w:rFonts w:ascii="Times New Roman" w:hAnsi="Times New Roman"/>
                      <w:sz w:val="21"/>
                      <w:szCs w:val="21"/>
                    </w:rPr>
                    <w:t>BOD</w:t>
                  </w:r>
                  <w:r>
                    <w:rPr>
                      <w:rFonts w:ascii="Times New Roman" w:hAnsi="Times New Roman"/>
                      <w:sz w:val="21"/>
                      <w:szCs w:val="21"/>
                      <w:vertAlign w:val="subscript"/>
                    </w:rPr>
                    <w:t>5</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797D8CCB">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10</w:t>
                  </w:r>
                </w:p>
              </w:tc>
            </w:tr>
            <w:tr w14:paraId="68444A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70558EA6">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5</w:t>
                  </w:r>
                </w:p>
              </w:tc>
              <w:tc>
                <w:tcPr>
                  <w:tcW w:w="3400" w:type="dxa"/>
                  <w:vAlign w:val="center"/>
                </w:tcPr>
                <w:p w14:paraId="1D4E753C">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sz w:val="21"/>
                      <w:szCs w:val="21"/>
                    </w:rPr>
                    <w:t>化学</w:t>
                  </w:r>
                  <w:r>
                    <w:rPr>
                      <w:rFonts w:ascii="Times New Roman"/>
                      <w:sz w:val="21"/>
                      <w:szCs w:val="21"/>
                    </w:rPr>
                    <w:t>需氧量</w:t>
                  </w:r>
                  <w:r>
                    <w:rPr>
                      <w:rFonts w:hint="eastAsia" w:ascii="Times New Roman" w:hAnsi="Times New Roman"/>
                      <w:sz w:val="21"/>
                      <w:szCs w:val="21"/>
                    </w:rPr>
                    <w:t>COD</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65F44D3F">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50</w:t>
                  </w:r>
                </w:p>
              </w:tc>
            </w:tr>
            <w:tr w14:paraId="6CE67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19117888">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6</w:t>
                  </w:r>
                </w:p>
              </w:tc>
              <w:tc>
                <w:tcPr>
                  <w:tcW w:w="3400" w:type="dxa"/>
                  <w:vAlign w:val="center"/>
                </w:tcPr>
                <w:p w14:paraId="4E49C934">
                  <w:pPr>
                    <w:pStyle w:val="28"/>
                    <w:adjustRightInd w:val="0"/>
                    <w:snapToGrid w:val="0"/>
                    <w:spacing w:before="0" w:beforeAutospacing="0" w:after="0" w:afterAutospacing="0"/>
                    <w:jc w:val="center"/>
                    <w:rPr>
                      <w:rFonts w:hint="eastAsia" w:ascii="Times New Roman"/>
                      <w:sz w:val="21"/>
                      <w:szCs w:val="21"/>
                    </w:rPr>
                  </w:pPr>
                  <w:r>
                    <w:rPr>
                      <w:rFonts w:ascii="Times New Roman"/>
                      <w:sz w:val="21"/>
                      <w:szCs w:val="21"/>
                    </w:rPr>
                    <w:t>氨氮</w:t>
                  </w:r>
                  <w:r>
                    <w:rPr>
                      <w:rFonts w:hint="eastAsia" w:ascii="Times New Roman"/>
                      <w:sz w:val="21"/>
                      <w:szCs w:val="21"/>
                    </w:rPr>
                    <w:t>（以N计）</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r>
                    <w:rPr>
                      <w:rFonts w:ascii="Times New Roman" w:hAnsi="Times New Roman"/>
                      <w:sz w:val="21"/>
                      <w:szCs w:val="21"/>
                    </w:rPr>
                    <w:t xml:space="preserve"> </w:t>
                  </w:r>
                </w:p>
              </w:tc>
              <w:tc>
                <w:tcPr>
                  <w:tcW w:w="4406" w:type="dxa"/>
                  <w:vAlign w:val="center"/>
                </w:tcPr>
                <w:p w14:paraId="7FB8BAE2">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5</w:t>
                  </w:r>
                </w:p>
              </w:tc>
            </w:tr>
            <w:tr w14:paraId="45FAD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451CFECB">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7</w:t>
                  </w:r>
                </w:p>
              </w:tc>
              <w:tc>
                <w:tcPr>
                  <w:tcW w:w="3400" w:type="dxa"/>
                  <w:vAlign w:val="center"/>
                </w:tcPr>
                <w:p w14:paraId="04679674">
                  <w:pPr>
                    <w:pStyle w:val="28"/>
                    <w:adjustRightInd w:val="0"/>
                    <w:snapToGrid w:val="0"/>
                    <w:spacing w:before="0" w:beforeAutospacing="0" w:after="0" w:afterAutospacing="0"/>
                    <w:jc w:val="center"/>
                    <w:rPr>
                      <w:rFonts w:hint="eastAsia" w:ascii="Times New Roman"/>
                      <w:sz w:val="21"/>
                      <w:szCs w:val="21"/>
                    </w:rPr>
                  </w:pPr>
                  <w:r>
                    <w:rPr>
                      <w:rFonts w:hint="eastAsia" w:ascii="Times New Roman"/>
                      <w:sz w:val="21"/>
                      <w:szCs w:val="21"/>
                    </w:rPr>
                    <w:t>总氮（以N计）</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r>
                    <w:rPr>
                      <w:rFonts w:ascii="Times New Roman" w:hAnsi="Times New Roman"/>
                      <w:sz w:val="21"/>
                      <w:szCs w:val="21"/>
                    </w:rPr>
                    <w:t xml:space="preserve"> </w:t>
                  </w:r>
                </w:p>
              </w:tc>
              <w:tc>
                <w:tcPr>
                  <w:tcW w:w="4406" w:type="dxa"/>
                  <w:vAlign w:val="center"/>
                </w:tcPr>
                <w:p w14:paraId="1503986A">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15</w:t>
                  </w:r>
                </w:p>
              </w:tc>
            </w:tr>
            <w:tr w14:paraId="4DD156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105E222C">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8</w:t>
                  </w:r>
                </w:p>
              </w:tc>
              <w:tc>
                <w:tcPr>
                  <w:tcW w:w="3400" w:type="dxa"/>
                  <w:vAlign w:val="center"/>
                </w:tcPr>
                <w:p w14:paraId="0651B5B9">
                  <w:pPr>
                    <w:pStyle w:val="28"/>
                    <w:adjustRightInd w:val="0"/>
                    <w:snapToGrid w:val="0"/>
                    <w:spacing w:before="0" w:beforeAutospacing="0" w:after="0" w:afterAutospacing="0"/>
                    <w:jc w:val="center"/>
                    <w:rPr>
                      <w:rFonts w:hint="eastAsia" w:ascii="Times New Roman"/>
                      <w:sz w:val="21"/>
                      <w:szCs w:val="21"/>
                    </w:rPr>
                  </w:pPr>
                  <w:r>
                    <w:rPr>
                      <w:rFonts w:ascii="Times New Roman"/>
                      <w:sz w:val="21"/>
                      <w:szCs w:val="21"/>
                    </w:rPr>
                    <w:t>总磷</w:t>
                  </w:r>
                  <w:r>
                    <w:rPr>
                      <w:rFonts w:hint="eastAsia" w:ascii="Times New Roman"/>
                      <w:sz w:val="21"/>
                      <w:szCs w:val="21"/>
                    </w:rPr>
                    <w:t>（以P计）</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r>
                    <w:rPr>
                      <w:rFonts w:ascii="Times New Roman" w:hAnsi="Times New Roman"/>
                      <w:sz w:val="21"/>
                      <w:szCs w:val="21"/>
                    </w:rPr>
                    <w:t xml:space="preserve"> </w:t>
                  </w:r>
                </w:p>
              </w:tc>
              <w:tc>
                <w:tcPr>
                  <w:tcW w:w="4406" w:type="dxa"/>
                  <w:vAlign w:val="center"/>
                </w:tcPr>
                <w:p w14:paraId="07B5357B">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0.5</w:t>
                  </w:r>
                </w:p>
              </w:tc>
            </w:tr>
            <w:tr w14:paraId="7AAC36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7320F249">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9</w:t>
                  </w:r>
                </w:p>
              </w:tc>
              <w:tc>
                <w:tcPr>
                  <w:tcW w:w="3400" w:type="dxa"/>
                  <w:vAlign w:val="center"/>
                </w:tcPr>
                <w:p w14:paraId="51FBBE8C">
                  <w:pPr>
                    <w:pStyle w:val="28"/>
                    <w:adjustRightInd w:val="0"/>
                    <w:snapToGrid w:val="0"/>
                    <w:spacing w:before="0" w:beforeAutospacing="0" w:after="0" w:afterAutospacing="0"/>
                    <w:jc w:val="center"/>
                    <w:rPr>
                      <w:rFonts w:hint="eastAsia" w:ascii="Times New Roman"/>
                      <w:sz w:val="21"/>
                      <w:szCs w:val="21"/>
                    </w:rPr>
                  </w:pPr>
                  <w:r>
                    <w:rPr>
                      <w:rFonts w:ascii="Times New Roman"/>
                      <w:sz w:val="21"/>
                      <w:szCs w:val="21"/>
                    </w:rPr>
                    <w:t>阴离子表面活性</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r>
                    <w:rPr>
                      <w:rFonts w:ascii="Times New Roman" w:hAnsi="Times New Roman"/>
                      <w:sz w:val="21"/>
                      <w:szCs w:val="21"/>
                    </w:rPr>
                    <w:t xml:space="preserve"> </w:t>
                  </w:r>
                </w:p>
              </w:tc>
              <w:tc>
                <w:tcPr>
                  <w:tcW w:w="4406" w:type="dxa"/>
                  <w:vAlign w:val="center"/>
                </w:tcPr>
                <w:p w14:paraId="41C9ED95">
                  <w:pPr>
                    <w:pStyle w:val="28"/>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0.5</w:t>
                  </w:r>
                </w:p>
              </w:tc>
            </w:tr>
            <w:tr w14:paraId="1797C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4D712708">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10</w:t>
                  </w:r>
                </w:p>
              </w:tc>
              <w:tc>
                <w:tcPr>
                  <w:tcW w:w="3400" w:type="dxa"/>
                  <w:vAlign w:val="center"/>
                </w:tcPr>
                <w:p w14:paraId="08F34ADB">
                  <w:pPr>
                    <w:pStyle w:val="28"/>
                    <w:adjustRightInd w:val="0"/>
                    <w:snapToGrid w:val="0"/>
                    <w:spacing w:before="0" w:beforeAutospacing="0" w:after="0" w:afterAutospacing="0"/>
                    <w:jc w:val="center"/>
                    <w:rPr>
                      <w:rFonts w:hint="eastAsia" w:ascii="Times New Roman"/>
                      <w:sz w:val="21"/>
                      <w:szCs w:val="21"/>
                    </w:rPr>
                  </w:pPr>
                  <w:r>
                    <w:rPr>
                      <w:rFonts w:ascii="Times New Roman"/>
                      <w:sz w:val="21"/>
                      <w:szCs w:val="21"/>
                    </w:rPr>
                    <w:t>石油类</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788B6B14">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1.0</w:t>
                  </w:r>
                </w:p>
              </w:tc>
            </w:tr>
            <w:tr w14:paraId="264B25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59177019">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11</w:t>
                  </w:r>
                </w:p>
              </w:tc>
              <w:tc>
                <w:tcPr>
                  <w:tcW w:w="3400" w:type="dxa"/>
                  <w:vAlign w:val="center"/>
                </w:tcPr>
                <w:p w14:paraId="73345D7C">
                  <w:pPr>
                    <w:pStyle w:val="28"/>
                    <w:adjustRightInd w:val="0"/>
                    <w:snapToGrid w:val="0"/>
                    <w:spacing w:before="0" w:beforeAutospacing="0" w:after="0" w:afterAutospacing="0"/>
                    <w:jc w:val="center"/>
                    <w:rPr>
                      <w:rFonts w:hint="eastAsia" w:ascii="Times New Roman"/>
                      <w:sz w:val="21"/>
                      <w:szCs w:val="21"/>
                    </w:rPr>
                  </w:pPr>
                  <w:r>
                    <w:rPr>
                      <w:rFonts w:hint="eastAsia" w:ascii="Times New Roman"/>
                      <w:sz w:val="21"/>
                      <w:szCs w:val="21"/>
                    </w:rPr>
                    <w:t>总碱度(以CaCO</w:t>
                  </w:r>
                  <w:r>
                    <w:rPr>
                      <w:rFonts w:hint="eastAsia" w:ascii="Times New Roman"/>
                      <w:sz w:val="21"/>
                      <w:szCs w:val="21"/>
                      <w:vertAlign w:val="subscript"/>
                    </w:rPr>
                    <w:t>3</w:t>
                  </w:r>
                  <w:r>
                    <w:rPr>
                      <w:rFonts w:hint="eastAsia" w:ascii="Times New Roman"/>
                      <w:sz w:val="21"/>
                      <w:szCs w:val="21"/>
                    </w:rPr>
                    <w:t>计)</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3AF363DF">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50</w:t>
                  </w:r>
                </w:p>
              </w:tc>
            </w:tr>
            <w:tr w14:paraId="1635B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3C987EFA">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12</w:t>
                  </w:r>
                </w:p>
              </w:tc>
              <w:tc>
                <w:tcPr>
                  <w:tcW w:w="3400" w:type="dxa"/>
                  <w:vAlign w:val="center"/>
                </w:tcPr>
                <w:p w14:paraId="414C0DE5">
                  <w:pPr>
                    <w:pStyle w:val="28"/>
                    <w:adjustRightInd w:val="0"/>
                    <w:snapToGrid w:val="0"/>
                    <w:spacing w:before="0" w:beforeAutospacing="0" w:after="0" w:afterAutospacing="0"/>
                    <w:jc w:val="center"/>
                    <w:rPr>
                      <w:rFonts w:hint="eastAsia" w:ascii="Times New Roman"/>
                      <w:sz w:val="21"/>
                      <w:szCs w:val="21"/>
                    </w:rPr>
                  </w:pPr>
                  <w:r>
                    <w:rPr>
                      <w:rFonts w:hint="eastAsia" w:ascii="Times New Roman"/>
                      <w:sz w:val="21"/>
                      <w:szCs w:val="21"/>
                    </w:rPr>
                    <w:t>总硬度(以CaCO</w:t>
                  </w:r>
                  <w:r>
                    <w:rPr>
                      <w:rFonts w:hint="eastAsia" w:ascii="Times New Roman"/>
                      <w:sz w:val="21"/>
                      <w:szCs w:val="21"/>
                      <w:vertAlign w:val="subscript"/>
                    </w:rPr>
                    <w:t>3</w:t>
                  </w:r>
                  <w:r>
                    <w:rPr>
                      <w:rFonts w:hint="eastAsia" w:ascii="Times New Roman"/>
                      <w:sz w:val="21"/>
                      <w:szCs w:val="21"/>
                    </w:rPr>
                    <w:t>计)</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1DBDD233">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450</w:t>
                  </w:r>
                </w:p>
              </w:tc>
            </w:tr>
            <w:tr w14:paraId="73484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0FFBBCAE">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13</w:t>
                  </w:r>
                </w:p>
              </w:tc>
              <w:tc>
                <w:tcPr>
                  <w:tcW w:w="3400" w:type="dxa"/>
                  <w:vAlign w:val="center"/>
                </w:tcPr>
                <w:p w14:paraId="47822844">
                  <w:pPr>
                    <w:pStyle w:val="28"/>
                    <w:adjustRightInd w:val="0"/>
                    <w:snapToGrid w:val="0"/>
                    <w:spacing w:before="0" w:beforeAutospacing="0" w:after="0" w:afterAutospacing="0"/>
                    <w:jc w:val="center"/>
                    <w:rPr>
                      <w:rFonts w:hint="eastAsia" w:ascii="Times New Roman"/>
                      <w:sz w:val="21"/>
                      <w:szCs w:val="21"/>
                    </w:rPr>
                  </w:pPr>
                  <w:r>
                    <w:rPr>
                      <w:rFonts w:ascii="Times New Roman"/>
                      <w:sz w:val="21"/>
                      <w:szCs w:val="21"/>
                    </w:rPr>
                    <w:t>溶解性总固体</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674F965D">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1000</w:t>
                  </w:r>
                </w:p>
              </w:tc>
            </w:tr>
            <w:tr w14:paraId="216F07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437E0811">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14</w:t>
                  </w:r>
                </w:p>
              </w:tc>
              <w:tc>
                <w:tcPr>
                  <w:tcW w:w="3400" w:type="dxa"/>
                  <w:vAlign w:val="center"/>
                </w:tcPr>
                <w:p w14:paraId="55084F83">
                  <w:pPr>
                    <w:pStyle w:val="28"/>
                    <w:adjustRightInd w:val="0"/>
                    <w:snapToGrid w:val="0"/>
                    <w:spacing w:before="0" w:beforeAutospacing="0" w:after="0" w:afterAutospacing="0"/>
                    <w:jc w:val="center"/>
                    <w:rPr>
                      <w:rFonts w:hint="eastAsia" w:ascii="Times New Roman"/>
                      <w:sz w:val="21"/>
                      <w:szCs w:val="21"/>
                    </w:rPr>
                  </w:pPr>
                  <w:r>
                    <w:rPr>
                      <w:rFonts w:hint="eastAsia" w:ascii="Times New Roman"/>
                      <w:sz w:val="21"/>
                      <w:szCs w:val="21"/>
                    </w:rPr>
                    <w:t>氯化物</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3ADF3E8A">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250</w:t>
                  </w:r>
                </w:p>
              </w:tc>
            </w:tr>
            <w:tr w14:paraId="05DCFB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3221F21C">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15</w:t>
                  </w:r>
                </w:p>
              </w:tc>
              <w:tc>
                <w:tcPr>
                  <w:tcW w:w="3400" w:type="dxa"/>
                  <w:vAlign w:val="center"/>
                </w:tcPr>
                <w:p w14:paraId="5B51EA3F">
                  <w:pPr>
                    <w:pStyle w:val="28"/>
                    <w:adjustRightInd w:val="0"/>
                    <w:snapToGrid w:val="0"/>
                    <w:spacing w:before="0" w:beforeAutospacing="0" w:after="0" w:afterAutospacing="0"/>
                    <w:jc w:val="center"/>
                    <w:rPr>
                      <w:rFonts w:hint="eastAsia" w:ascii="Times New Roman"/>
                      <w:sz w:val="21"/>
                      <w:szCs w:val="21"/>
                    </w:rPr>
                  </w:pPr>
                  <w:r>
                    <w:rPr>
                      <w:rFonts w:hint="eastAsia" w:ascii="Times New Roman"/>
                      <w:sz w:val="21"/>
                      <w:szCs w:val="21"/>
                    </w:rPr>
                    <w:t>硫酸盐(以SO</w:t>
                  </w:r>
                  <w:r>
                    <w:rPr>
                      <w:rFonts w:hint="eastAsia" w:ascii="Times New Roman"/>
                      <w:sz w:val="21"/>
                      <w:szCs w:val="21"/>
                      <w:vertAlign w:val="subscript"/>
                    </w:rPr>
                    <w:t>4</w:t>
                  </w:r>
                  <w:r>
                    <w:rPr>
                      <w:rFonts w:hint="eastAsia" w:ascii="Times New Roman"/>
                      <w:sz w:val="21"/>
                      <w:szCs w:val="21"/>
                      <w:vertAlign w:val="superscript"/>
                    </w:rPr>
                    <w:t>2-</w:t>
                  </w:r>
                  <w:r>
                    <w:rPr>
                      <w:rFonts w:hint="eastAsia" w:ascii="Times New Roman"/>
                      <w:sz w:val="21"/>
                      <w:szCs w:val="21"/>
                    </w:rPr>
                    <w:t>计)</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70945710">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250</w:t>
                  </w:r>
                </w:p>
              </w:tc>
            </w:tr>
            <w:tr w14:paraId="56BBFE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1EEC9C7A">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16</w:t>
                  </w:r>
                </w:p>
              </w:tc>
              <w:tc>
                <w:tcPr>
                  <w:tcW w:w="3400" w:type="dxa"/>
                  <w:vAlign w:val="center"/>
                </w:tcPr>
                <w:p w14:paraId="763BAFF6">
                  <w:pPr>
                    <w:pStyle w:val="28"/>
                    <w:adjustRightInd w:val="0"/>
                    <w:snapToGrid w:val="0"/>
                    <w:spacing w:before="0" w:beforeAutospacing="0" w:after="0" w:afterAutospacing="0"/>
                    <w:jc w:val="center"/>
                    <w:rPr>
                      <w:rFonts w:hint="eastAsia" w:ascii="Times New Roman"/>
                      <w:sz w:val="21"/>
                      <w:szCs w:val="21"/>
                    </w:rPr>
                  </w:pPr>
                  <w:r>
                    <w:rPr>
                      <w:rFonts w:ascii="Times New Roman"/>
                      <w:sz w:val="21"/>
                      <w:szCs w:val="21"/>
                    </w:rPr>
                    <w:t>铁</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6ADA60AF">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0.3</w:t>
                  </w:r>
                </w:p>
              </w:tc>
            </w:tr>
            <w:tr w14:paraId="5EBB2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0513E8A3">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17</w:t>
                  </w:r>
                </w:p>
              </w:tc>
              <w:tc>
                <w:tcPr>
                  <w:tcW w:w="3400" w:type="dxa"/>
                  <w:vAlign w:val="center"/>
                </w:tcPr>
                <w:p w14:paraId="67D05D39">
                  <w:pPr>
                    <w:pStyle w:val="28"/>
                    <w:adjustRightInd w:val="0"/>
                    <w:snapToGrid w:val="0"/>
                    <w:spacing w:before="0" w:beforeAutospacing="0" w:after="0" w:afterAutospacing="0"/>
                    <w:jc w:val="center"/>
                    <w:rPr>
                      <w:rFonts w:hint="eastAsia" w:ascii="Times New Roman"/>
                      <w:sz w:val="21"/>
                      <w:szCs w:val="21"/>
                    </w:rPr>
                  </w:pPr>
                  <w:r>
                    <w:rPr>
                      <w:rFonts w:ascii="Times New Roman"/>
                      <w:sz w:val="21"/>
                      <w:szCs w:val="21"/>
                    </w:rPr>
                    <w:t>锰</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3F9553C3">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0.1</w:t>
                  </w:r>
                </w:p>
              </w:tc>
            </w:tr>
            <w:tr w14:paraId="06E60C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037909B2">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18</w:t>
                  </w:r>
                </w:p>
              </w:tc>
              <w:tc>
                <w:tcPr>
                  <w:tcW w:w="3400" w:type="dxa"/>
                  <w:vAlign w:val="center"/>
                </w:tcPr>
                <w:p w14:paraId="55759CAC">
                  <w:pPr>
                    <w:pStyle w:val="28"/>
                    <w:adjustRightInd w:val="0"/>
                    <w:snapToGrid w:val="0"/>
                    <w:spacing w:before="0" w:beforeAutospacing="0" w:after="0" w:afterAutospacing="0"/>
                    <w:jc w:val="center"/>
                    <w:rPr>
                      <w:rFonts w:hint="eastAsia" w:ascii="Times New Roman"/>
                      <w:sz w:val="21"/>
                      <w:szCs w:val="21"/>
                    </w:rPr>
                  </w:pPr>
                  <w:r>
                    <w:rPr>
                      <w:rFonts w:ascii="Times New Roman"/>
                      <w:sz w:val="21"/>
                      <w:szCs w:val="21"/>
                    </w:rPr>
                    <w:t>二氧化硅</w:t>
                  </w:r>
                  <w:r>
                    <w:rPr>
                      <w:rFonts w:ascii="Times New Roman" w:hAnsi="Times New Roman"/>
                      <w:sz w:val="21"/>
                      <w:szCs w:val="21"/>
                    </w:rPr>
                    <w:t>/</w:t>
                  </w:r>
                  <w:r>
                    <w:rPr>
                      <w:rFonts w:ascii="Times New Roman"/>
                      <w:sz w:val="21"/>
                      <w:szCs w:val="21"/>
                    </w:rPr>
                    <w:t>（</w:t>
                  </w:r>
                  <w:r>
                    <w:rPr>
                      <w:rFonts w:ascii="Times New Roman" w:hAnsi="Times New Roman"/>
                      <w:sz w:val="21"/>
                      <w:szCs w:val="21"/>
                    </w:rPr>
                    <w:t>mg/L</w:t>
                  </w:r>
                  <w:r>
                    <w:rPr>
                      <w:rFonts w:ascii="Times New Roman"/>
                      <w:sz w:val="21"/>
                      <w:szCs w:val="21"/>
                    </w:rPr>
                    <w:t>）</w:t>
                  </w:r>
                </w:p>
              </w:tc>
              <w:tc>
                <w:tcPr>
                  <w:tcW w:w="4406" w:type="dxa"/>
                  <w:vAlign w:val="center"/>
                </w:tcPr>
                <w:p w14:paraId="1C08565E">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30</w:t>
                  </w:r>
                </w:p>
              </w:tc>
            </w:tr>
            <w:tr w14:paraId="7D923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81" w:type="dxa"/>
                  <w:vAlign w:val="center"/>
                </w:tcPr>
                <w:p w14:paraId="342B1ED8">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19</w:t>
                  </w:r>
                </w:p>
              </w:tc>
              <w:tc>
                <w:tcPr>
                  <w:tcW w:w="3400" w:type="dxa"/>
                  <w:vAlign w:val="center"/>
                </w:tcPr>
                <w:p w14:paraId="754B152A">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粪大肠菌群/（MPN/L）</w:t>
                  </w:r>
                </w:p>
              </w:tc>
              <w:tc>
                <w:tcPr>
                  <w:tcW w:w="4406" w:type="dxa"/>
                  <w:vAlign w:val="center"/>
                </w:tcPr>
                <w:p w14:paraId="5C77DE26">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1000</w:t>
                  </w:r>
                </w:p>
              </w:tc>
            </w:tr>
            <w:tr w14:paraId="10804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781" w:type="dxa"/>
                  <w:vAlign w:val="center"/>
                </w:tcPr>
                <w:p w14:paraId="6D115267">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20</w:t>
                  </w:r>
                </w:p>
              </w:tc>
              <w:tc>
                <w:tcPr>
                  <w:tcW w:w="3400" w:type="dxa"/>
                  <w:vAlign w:val="center"/>
                </w:tcPr>
                <w:p w14:paraId="4C933353">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总</w:t>
                  </w:r>
                  <w:r>
                    <w:rPr>
                      <w:rFonts w:ascii="Times New Roman" w:hAnsi="Times New Roman"/>
                      <w:sz w:val="21"/>
                      <w:szCs w:val="21"/>
                    </w:rPr>
                    <w:t>余氯/</w:t>
                  </w:r>
                  <w:r>
                    <w:rPr>
                      <w:rFonts w:ascii="Times New Roman"/>
                      <w:sz w:val="21"/>
                      <w:szCs w:val="21"/>
                    </w:rPr>
                    <w:t>（</w:t>
                  </w:r>
                  <w:r>
                    <w:rPr>
                      <w:rFonts w:ascii="Times New Roman" w:hAnsi="Times New Roman"/>
                      <w:sz w:val="21"/>
                      <w:szCs w:val="21"/>
                    </w:rPr>
                    <w:t>mg/L</w:t>
                  </w:r>
                  <w:r>
                    <w:rPr>
                      <w:rFonts w:ascii="Times New Roman"/>
                      <w:sz w:val="21"/>
                      <w:szCs w:val="21"/>
                    </w:rPr>
                    <w:t>）</w:t>
                  </w:r>
                  <w:r>
                    <w:rPr>
                      <w:rFonts w:ascii="Times New Roman" w:hAnsi="Times New Roman"/>
                      <w:sz w:val="21"/>
                      <w:szCs w:val="21"/>
                    </w:rPr>
                    <w:t xml:space="preserve"> </w:t>
                  </w:r>
                </w:p>
              </w:tc>
              <w:tc>
                <w:tcPr>
                  <w:tcW w:w="4406" w:type="dxa"/>
                  <w:vAlign w:val="center"/>
                </w:tcPr>
                <w:p w14:paraId="4624E55F">
                  <w:pPr>
                    <w:pStyle w:val="28"/>
                    <w:adjustRightInd w:val="0"/>
                    <w:snapToGrid w:val="0"/>
                    <w:spacing w:before="0" w:beforeAutospacing="0" w:after="0" w:afterAutospacing="0"/>
                    <w:jc w:val="center"/>
                    <w:rPr>
                      <w:rFonts w:ascii="Times New Roman" w:hAnsi="Times New Roman"/>
                      <w:sz w:val="21"/>
                      <w:szCs w:val="21"/>
                    </w:rPr>
                  </w:pPr>
                  <w:r>
                    <w:rPr>
                      <w:rFonts w:hint="eastAsia" w:ascii="Times New Roman" w:hAnsi="Times New Roman"/>
                      <w:sz w:val="21"/>
                      <w:szCs w:val="21"/>
                    </w:rPr>
                    <w:t>0.1~0.2</w:t>
                  </w:r>
                </w:p>
              </w:tc>
            </w:tr>
          </w:tbl>
          <w:p w14:paraId="328C8AE5">
            <w:pPr>
              <w:pStyle w:val="83"/>
              <w:ind w:firstLine="480"/>
            </w:pPr>
          </w:p>
          <w:p w14:paraId="7FAD60BE">
            <w:pPr>
              <w:adjustRightInd w:val="0"/>
              <w:snapToGrid w:val="0"/>
              <w:spacing w:line="360" w:lineRule="auto"/>
              <w:rPr>
                <w:b/>
                <w:kern w:val="24"/>
                <w:sz w:val="24"/>
              </w:rPr>
            </w:pPr>
            <w:r>
              <w:rPr>
                <w:b/>
                <w:kern w:val="24"/>
                <w:sz w:val="24"/>
              </w:rPr>
              <w:t>3、噪声排放标准</w:t>
            </w:r>
          </w:p>
          <w:p w14:paraId="396557A7">
            <w:pPr>
              <w:adjustRightInd w:val="0"/>
              <w:snapToGrid w:val="0"/>
              <w:spacing w:line="360" w:lineRule="auto"/>
              <w:ind w:firstLine="480" w:firstLineChars="200"/>
              <w:rPr>
                <w:kern w:val="24"/>
                <w:sz w:val="24"/>
              </w:rPr>
            </w:pPr>
            <w:r>
              <w:rPr>
                <w:rFonts w:asciiTheme="minorEastAsia" w:hAnsiTheme="minorEastAsia" w:eastAsiaTheme="minorEastAsia"/>
                <w:kern w:val="24"/>
                <w:sz w:val="24"/>
              </w:rPr>
              <w:t>①</w:t>
            </w:r>
            <w:r>
              <w:rPr>
                <w:kern w:val="24"/>
                <w:sz w:val="24"/>
              </w:rPr>
              <w:t>施工期：施工噪声执行《建筑施工场界环境噪声排放标准》（GB</w:t>
            </w:r>
            <w:r>
              <w:rPr>
                <w:rFonts w:hint="eastAsia"/>
                <w:kern w:val="24"/>
                <w:sz w:val="24"/>
              </w:rPr>
              <w:t xml:space="preserve"> </w:t>
            </w:r>
            <w:r>
              <w:rPr>
                <w:kern w:val="24"/>
                <w:sz w:val="24"/>
              </w:rPr>
              <w:t>12523-2011），具体限值详见表</w:t>
            </w:r>
            <w:r>
              <w:rPr>
                <w:rFonts w:hint="eastAsia"/>
                <w:kern w:val="24"/>
                <w:sz w:val="24"/>
              </w:rPr>
              <w:t>3</w:t>
            </w:r>
            <w:r>
              <w:rPr>
                <w:kern w:val="24"/>
                <w:sz w:val="24"/>
              </w:rPr>
              <w:t>-</w:t>
            </w:r>
            <w:r>
              <w:rPr>
                <w:rFonts w:hint="eastAsia"/>
                <w:kern w:val="24"/>
                <w:sz w:val="24"/>
              </w:rPr>
              <w:t>1</w:t>
            </w:r>
            <w:r>
              <w:rPr>
                <w:kern w:val="24"/>
                <w:sz w:val="24"/>
              </w:rPr>
              <w:t>2。</w:t>
            </w:r>
          </w:p>
          <w:p w14:paraId="7FE07A9B">
            <w:pPr>
              <w:pStyle w:val="60"/>
              <w:snapToGrid w:val="0"/>
              <w:spacing w:line="360" w:lineRule="auto"/>
              <w:ind w:firstLine="0"/>
              <w:jc w:val="center"/>
              <w:textAlignment w:val="auto"/>
              <w:rPr>
                <w:b/>
                <w:bCs/>
                <w:szCs w:val="24"/>
              </w:rPr>
            </w:pPr>
            <w:r>
              <w:rPr>
                <w:b/>
                <w:bCs/>
                <w:szCs w:val="24"/>
              </w:rPr>
              <w:t>表</w:t>
            </w:r>
            <w:r>
              <w:rPr>
                <w:rFonts w:hint="eastAsia"/>
                <w:b/>
                <w:bCs/>
                <w:szCs w:val="24"/>
              </w:rPr>
              <w:t>3</w:t>
            </w:r>
            <w:r>
              <w:rPr>
                <w:b/>
                <w:bCs/>
                <w:szCs w:val="24"/>
              </w:rPr>
              <w:t>-</w:t>
            </w:r>
            <w:r>
              <w:rPr>
                <w:rFonts w:hint="eastAsia"/>
                <w:b/>
                <w:bCs/>
                <w:szCs w:val="24"/>
              </w:rPr>
              <w:t>1</w:t>
            </w:r>
            <w:r>
              <w:rPr>
                <w:b/>
                <w:bCs/>
                <w:szCs w:val="24"/>
              </w:rPr>
              <w:t>2</w:t>
            </w:r>
            <w:r>
              <w:rPr>
                <w:rFonts w:hint="eastAsia"/>
                <w:b/>
                <w:bCs/>
                <w:szCs w:val="24"/>
              </w:rPr>
              <w:t xml:space="preserve">  </w:t>
            </w:r>
            <w:r>
              <w:rPr>
                <w:b/>
                <w:bCs/>
                <w:szCs w:val="24"/>
              </w:rPr>
              <w:t>建筑施工场界噪声排放限值</w:t>
            </w:r>
            <w:r>
              <w:rPr>
                <w:rFonts w:hint="eastAsia"/>
                <w:b/>
                <w:bCs/>
                <w:szCs w:val="24"/>
              </w:rPr>
              <w:t xml:space="preserve">   </w:t>
            </w:r>
            <w:r>
              <w:rPr>
                <w:b/>
                <w:bCs/>
                <w:szCs w:val="24"/>
              </w:rPr>
              <w:t>单位：dB(A)</w:t>
            </w:r>
          </w:p>
          <w:tbl>
            <w:tblPr>
              <w:tblStyle w:val="3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93"/>
              <w:gridCol w:w="4294"/>
            </w:tblGrid>
            <w:tr w14:paraId="72A53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4279" w:type="dxa"/>
                  <w:vAlign w:val="center"/>
                </w:tcPr>
                <w:p w14:paraId="61CC7D73">
                  <w:pPr>
                    <w:adjustRightInd w:val="0"/>
                    <w:snapToGrid w:val="0"/>
                    <w:spacing w:line="360" w:lineRule="exact"/>
                    <w:jc w:val="center"/>
                    <w:rPr>
                      <w:kern w:val="0"/>
                      <w:szCs w:val="21"/>
                    </w:rPr>
                  </w:pPr>
                  <w:r>
                    <w:rPr>
                      <w:caps/>
                      <w:szCs w:val="21"/>
                    </w:rPr>
                    <w:t>昼间</w:t>
                  </w:r>
                </w:p>
              </w:tc>
              <w:tc>
                <w:tcPr>
                  <w:tcW w:w="4280" w:type="dxa"/>
                  <w:vAlign w:val="center"/>
                </w:tcPr>
                <w:p w14:paraId="7CF58967">
                  <w:pPr>
                    <w:widowControl/>
                    <w:adjustRightInd w:val="0"/>
                    <w:snapToGrid w:val="0"/>
                    <w:spacing w:line="360" w:lineRule="exact"/>
                    <w:jc w:val="center"/>
                    <w:rPr>
                      <w:kern w:val="0"/>
                      <w:szCs w:val="21"/>
                    </w:rPr>
                  </w:pPr>
                  <w:r>
                    <w:rPr>
                      <w:caps/>
                      <w:szCs w:val="21"/>
                    </w:rPr>
                    <w:t>夜间</w:t>
                  </w:r>
                </w:p>
              </w:tc>
            </w:tr>
            <w:tr w14:paraId="747B18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jc w:val="center"/>
              </w:trPr>
              <w:tc>
                <w:tcPr>
                  <w:tcW w:w="4279" w:type="dxa"/>
                  <w:vAlign w:val="center"/>
                </w:tcPr>
                <w:p w14:paraId="468D2D55">
                  <w:pPr>
                    <w:adjustRightInd w:val="0"/>
                    <w:snapToGrid w:val="0"/>
                    <w:spacing w:line="360" w:lineRule="exact"/>
                    <w:jc w:val="center"/>
                    <w:rPr>
                      <w:kern w:val="0"/>
                      <w:szCs w:val="21"/>
                    </w:rPr>
                  </w:pPr>
                  <w:r>
                    <w:rPr>
                      <w:szCs w:val="21"/>
                    </w:rPr>
                    <w:t>70</w:t>
                  </w:r>
                </w:p>
              </w:tc>
              <w:tc>
                <w:tcPr>
                  <w:tcW w:w="4280" w:type="dxa"/>
                  <w:vAlign w:val="center"/>
                </w:tcPr>
                <w:p w14:paraId="311101B4">
                  <w:pPr>
                    <w:widowControl/>
                    <w:adjustRightInd w:val="0"/>
                    <w:snapToGrid w:val="0"/>
                    <w:spacing w:line="360" w:lineRule="exact"/>
                    <w:jc w:val="center"/>
                    <w:rPr>
                      <w:kern w:val="0"/>
                      <w:szCs w:val="21"/>
                    </w:rPr>
                  </w:pPr>
                  <w:r>
                    <w:rPr>
                      <w:szCs w:val="21"/>
                    </w:rPr>
                    <w:t>55</w:t>
                  </w:r>
                </w:p>
              </w:tc>
            </w:tr>
          </w:tbl>
          <w:p w14:paraId="52FCDAEF">
            <w:pPr>
              <w:adjustRightInd w:val="0"/>
              <w:snapToGrid w:val="0"/>
              <w:spacing w:line="360" w:lineRule="auto"/>
              <w:ind w:firstLine="480" w:firstLineChars="200"/>
              <w:rPr>
                <w:kern w:val="24"/>
                <w:sz w:val="24"/>
              </w:rPr>
            </w:pPr>
            <w:r>
              <w:rPr>
                <w:rFonts w:asciiTheme="minorEastAsia" w:hAnsiTheme="minorEastAsia" w:eastAsiaTheme="minorEastAsia"/>
                <w:kern w:val="24"/>
                <w:sz w:val="24"/>
              </w:rPr>
              <w:t>②</w:t>
            </w:r>
            <w:r>
              <w:rPr>
                <w:kern w:val="24"/>
                <w:sz w:val="24"/>
              </w:rPr>
              <w:t>运营期：</w:t>
            </w:r>
            <w:r>
              <w:rPr>
                <w:rFonts w:hint="eastAsia"/>
                <w:kern w:val="24"/>
                <w:sz w:val="24"/>
              </w:rPr>
              <w:t>项目东北侧、东南侧、西南侧</w:t>
            </w:r>
            <w:r>
              <w:rPr>
                <w:rFonts w:hAnsi="宋体"/>
                <w:sz w:val="24"/>
              </w:rPr>
              <w:t>厂界噪声排放限值</w:t>
            </w:r>
            <w:r>
              <w:rPr>
                <w:sz w:val="24"/>
              </w:rPr>
              <w:t>执行</w:t>
            </w:r>
            <w:r>
              <w:rPr>
                <w:kern w:val="24"/>
                <w:sz w:val="24"/>
              </w:rPr>
              <w:t>《工业企业厂界环境噪声排放标准》（GB12348-2008）2类标准。</w:t>
            </w:r>
            <w:r>
              <w:rPr>
                <w:rFonts w:hint="eastAsia"/>
                <w:kern w:val="24"/>
                <w:sz w:val="24"/>
              </w:rPr>
              <w:t>项目西北侧</w:t>
            </w:r>
            <w:r>
              <w:rPr>
                <w:rFonts w:hAnsi="宋体"/>
                <w:sz w:val="24"/>
              </w:rPr>
              <w:t>厂界噪声排放限值</w:t>
            </w:r>
            <w:r>
              <w:rPr>
                <w:sz w:val="24"/>
              </w:rPr>
              <w:t>执行</w:t>
            </w:r>
            <w:r>
              <w:rPr>
                <w:kern w:val="24"/>
                <w:sz w:val="24"/>
              </w:rPr>
              <w:t>《工业企业厂界环境噪声排放标准》（GB12348-2008）4类标准。</w:t>
            </w:r>
          </w:p>
          <w:p w14:paraId="2F4A25C9">
            <w:pPr>
              <w:pStyle w:val="60"/>
              <w:snapToGrid w:val="0"/>
              <w:spacing w:line="360" w:lineRule="auto"/>
              <w:ind w:firstLine="0"/>
              <w:jc w:val="center"/>
              <w:textAlignment w:val="auto"/>
              <w:rPr>
                <w:b/>
                <w:bCs/>
                <w:szCs w:val="24"/>
              </w:rPr>
            </w:pPr>
            <w:r>
              <w:rPr>
                <w:b/>
                <w:bCs/>
                <w:szCs w:val="24"/>
              </w:rPr>
              <w:t>表</w:t>
            </w:r>
            <w:r>
              <w:rPr>
                <w:rFonts w:hint="eastAsia"/>
                <w:b/>
                <w:bCs/>
                <w:szCs w:val="24"/>
              </w:rPr>
              <w:t>3</w:t>
            </w:r>
            <w:r>
              <w:rPr>
                <w:b/>
                <w:bCs/>
                <w:szCs w:val="24"/>
              </w:rPr>
              <w:t>-</w:t>
            </w:r>
            <w:r>
              <w:rPr>
                <w:rFonts w:hint="eastAsia"/>
                <w:b/>
                <w:bCs/>
                <w:szCs w:val="24"/>
              </w:rPr>
              <w:t>1</w:t>
            </w:r>
            <w:r>
              <w:rPr>
                <w:b/>
                <w:bCs/>
                <w:szCs w:val="24"/>
              </w:rPr>
              <w:t>3</w:t>
            </w:r>
            <w:r>
              <w:rPr>
                <w:rFonts w:hint="eastAsia"/>
                <w:b/>
                <w:bCs/>
                <w:szCs w:val="24"/>
              </w:rPr>
              <w:t xml:space="preserve"> </w:t>
            </w:r>
            <w:r>
              <w:rPr>
                <w:b/>
                <w:bCs/>
                <w:szCs w:val="24"/>
              </w:rPr>
              <w:t>工业企业厂界环境噪声排放标准</w:t>
            </w:r>
            <w:r>
              <w:rPr>
                <w:rFonts w:hint="eastAsia"/>
                <w:b/>
                <w:bCs/>
                <w:szCs w:val="24"/>
              </w:rPr>
              <w:t xml:space="preserve">   </w:t>
            </w:r>
            <w:r>
              <w:rPr>
                <w:b/>
                <w:bCs/>
                <w:szCs w:val="24"/>
              </w:rPr>
              <w:t>单位：dB(A)</w:t>
            </w:r>
          </w:p>
          <w:tbl>
            <w:tblPr>
              <w:tblStyle w:val="32"/>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2377"/>
              <w:gridCol w:w="2598"/>
            </w:tblGrid>
            <w:tr w14:paraId="526A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606" w:type="dxa"/>
                  <w:vMerge w:val="restart"/>
                  <w:vAlign w:val="center"/>
                </w:tcPr>
                <w:p w14:paraId="4A98667D">
                  <w:pPr>
                    <w:pStyle w:val="12"/>
                    <w:spacing w:after="0"/>
                    <w:jc w:val="center"/>
                    <w:rPr>
                      <w:sz w:val="21"/>
                      <w:szCs w:val="21"/>
                    </w:rPr>
                  </w:pPr>
                  <w:r>
                    <w:rPr>
                      <w:rFonts w:hint="eastAsia"/>
                      <w:sz w:val="21"/>
                      <w:szCs w:val="21"/>
                    </w:rPr>
                    <w:t>厂界外声环境功能区类别</w:t>
                  </w:r>
                </w:p>
              </w:tc>
              <w:tc>
                <w:tcPr>
                  <w:tcW w:w="4975" w:type="dxa"/>
                  <w:gridSpan w:val="2"/>
                  <w:vAlign w:val="center"/>
                </w:tcPr>
                <w:p w14:paraId="53A0946A">
                  <w:pPr>
                    <w:pStyle w:val="12"/>
                    <w:spacing w:after="0"/>
                    <w:jc w:val="center"/>
                    <w:rPr>
                      <w:sz w:val="21"/>
                      <w:szCs w:val="21"/>
                    </w:rPr>
                  </w:pPr>
                  <w:r>
                    <w:rPr>
                      <w:rFonts w:hint="eastAsia"/>
                      <w:sz w:val="21"/>
                      <w:szCs w:val="21"/>
                    </w:rPr>
                    <w:t>时段</w:t>
                  </w:r>
                </w:p>
              </w:tc>
            </w:tr>
            <w:tr w14:paraId="775E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606" w:type="dxa"/>
                  <w:vMerge w:val="continue"/>
                  <w:vAlign w:val="center"/>
                </w:tcPr>
                <w:p w14:paraId="59C513C5">
                  <w:pPr>
                    <w:pStyle w:val="12"/>
                    <w:spacing w:after="0"/>
                    <w:jc w:val="center"/>
                    <w:rPr>
                      <w:sz w:val="21"/>
                      <w:szCs w:val="21"/>
                    </w:rPr>
                  </w:pPr>
                </w:p>
              </w:tc>
              <w:tc>
                <w:tcPr>
                  <w:tcW w:w="2377" w:type="dxa"/>
                  <w:vAlign w:val="center"/>
                </w:tcPr>
                <w:p w14:paraId="789463B3">
                  <w:pPr>
                    <w:pStyle w:val="12"/>
                    <w:spacing w:after="0"/>
                    <w:jc w:val="center"/>
                    <w:rPr>
                      <w:sz w:val="21"/>
                      <w:szCs w:val="21"/>
                    </w:rPr>
                  </w:pPr>
                  <w:r>
                    <w:rPr>
                      <w:rFonts w:hint="eastAsia"/>
                      <w:sz w:val="21"/>
                      <w:szCs w:val="21"/>
                    </w:rPr>
                    <w:t>昼间</w:t>
                  </w:r>
                </w:p>
              </w:tc>
              <w:tc>
                <w:tcPr>
                  <w:tcW w:w="2598" w:type="dxa"/>
                  <w:vAlign w:val="center"/>
                </w:tcPr>
                <w:p w14:paraId="6FC1C2E2">
                  <w:pPr>
                    <w:pStyle w:val="12"/>
                    <w:spacing w:after="0"/>
                    <w:jc w:val="center"/>
                    <w:rPr>
                      <w:sz w:val="21"/>
                      <w:szCs w:val="21"/>
                    </w:rPr>
                  </w:pPr>
                  <w:r>
                    <w:rPr>
                      <w:rFonts w:hint="eastAsia"/>
                      <w:sz w:val="21"/>
                      <w:szCs w:val="21"/>
                    </w:rPr>
                    <w:t>夜间</w:t>
                  </w:r>
                </w:p>
              </w:tc>
            </w:tr>
            <w:tr w14:paraId="5472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606" w:type="dxa"/>
                  <w:vAlign w:val="center"/>
                </w:tcPr>
                <w:p w14:paraId="795D3ADB">
                  <w:pPr>
                    <w:pStyle w:val="12"/>
                    <w:spacing w:after="0"/>
                    <w:jc w:val="center"/>
                    <w:rPr>
                      <w:sz w:val="21"/>
                      <w:szCs w:val="21"/>
                    </w:rPr>
                  </w:pPr>
                  <w:r>
                    <w:rPr>
                      <w:sz w:val="21"/>
                      <w:szCs w:val="21"/>
                    </w:rPr>
                    <w:t>2</w:t>
                  </w:r>
                </w:p>
              </w:tc>
              <w:tc>
                <w:tcPr>
                  <w:tcW w:w="2377" w:type="dxa"/>
                  <w:vAlign w:val="center"/>
                </w:tcPr>
                <w:p w14:paraId="08A7DCB9">
                  <w:pPr>
                    <w:pStyle w:val="12"/>
                    <w:spacing w:after="0"/>
                    <w:jc w:val="center"/>
                    <w:rPr>
                      <w:sz w:val="21"/>
                      <w:szCs w:val="21"/>
                    </w:rPr>
                  </w:pPr>
                  <w:r>
                    <w:rPr>
                      <w:sz w:val="21"/>
                      <w:szCs w:val="21"/>
                    </w:rPr>
                    <w:t>60</w:t>
                  </w:r>
                </w:p>
              </w:tc>
              <w:tc>
                <w:tcPr>
                  <w:tcW w:w="2598" w:type="dxa"/>
                  <w:vAlign w:val="center"/>
                </w:tcPr>
                <w:p w14:paraId="2ACB4DBF">
                  <w:pPr>
                    <w:pStyle w:val="12"/>
                    <w:spacing w:after="0"/>
                    <w:jc w:val="center"/>
                    <w:rPr>
                      <w:sz w:val="21"/>
                      <w:szCs w:val="21"/>
                    </w:rPr>
                  </w:pPr>
                  <w:r>
                    <w:rPr>
                      <w:sz w:val="21"/>
                      <w:szCs w:val="21"/>
                    </w:rPr>
                    <w:t>50</w:t>
                  </w:r>
                </w:p>
              </w:tc>
            </w:tr>
            <w:tr w14:paraId="7C21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606" w:type="dxa"/>
                  <w:vAlign w:val="center"/>
                </w:tcPr>
                <w:p w14:paraId="63065606">
                  <w:pPr>
                    <w:pStyle w:val="12"/>
                    <w:spacing w:after="0"/>
                    <w:jc w:val="center"/>
                    <w:rPr>
                      <w:sz w:val="21"/>
                      <w:szCs w:val="21"/>
                    </w:rPr>
                  </w:pPr>
                  <w:r>
                    <w:rPr>
                      <w:rFonts w:hint="eastAsia"/>
                      <w:sz w:val="21"/>
                      <w:szCs w:val="21"/>
                    </w:rPr>
                    <w:t>4</w:t>
                  </w:r>
                </w:p>
              </w:tc>
              <w:tc>
                <w:tcPr>
                  <w:tcW w:w="2377" w:type="dxa"/>
                  <w:vAlign w:val="center"/>
                </w:tcPr>
                <w:p w14:paraId="051F1D45">
                  <w:pPr>
                    <w:pStyle w:val="12"/>
                    <w:spacing w:after="0"/>
                    <w:jc w:val="center"/>
                    <w:rPr>
                      <w:sz w:val="21"/>
                      <w:szCs w:val="21"/>
                    </w:rPr>
                  </w:pPr>
                  <w:r>
                    <w:rPr>
                      <w:rFonts w:hint="eastAsia"/>
                      <w:sz w:val="21"/>
                      <w:szCs w:val="21"/>
                    </w:rPr>
                    <w:t>7</w:t>
                  </w:r>
                  <w:r>
                    <w:rPr>
                      <w:sz w:val="21"/>
                      <w:szCs w:val="21"/>
                    </w:rPr>
                    <w:t>0</w:t>
                  </w:r>
                </w:p>
              </w:tc>
              <w:tc>
                <w:tcPr>
                  <w:tcW w:w="2598" w:type="dxa"/>
                  <w:vAlign w:val="center"/>
                </w:tcPr>
                <w:p w14:paraId="15B28190">
                  <w:pPr>
                    <w:pStyle w:val="12"/>
                    <w:spacing w:after="0"/>
                    <w:jc w:val="center"/>
                    <w:rPr>
                      <w:sz w:val="21"/>
                      <w:szCs w:val="21"/>
                    </w:rPr>
                  </w:pPr>
                  <w:r>
                    <w:rPr>
                      <w:rFonts w:hint="eastAsia"/>
                      <w:sz w:val="21"/>
                      <w:szCs w:val="21"/>
                    </w:rPr>
                    <w:t>5</w:t>
                  </w:r>
                  <w:r>
                    <w:rPr>
                      <w:sz w:val="21"/>
                      <w:szCs w:val="21"/>
                    </w:rPr>
                    <w:t>5</w:t>
                  </w:r>
                </w:p>
              </w:tc>
            </w:tr>
          </w:tbl>
          <w:p w14:paraId="66D52ABA">
            <w:pPr>
              <w:adjustRightInd w:val="0"/>
              <w:snapToGrid w:val="0"/>
              <w:spacing w:line="360" w:lineRule="auto"/>
              <w:rPr>
                <w:b/>
                <w:bCs/>
                <w:kern w:val="24"/>
                <w:sz w:val="24"/>
              </w:rPr>
            </w:pPr>
            <w:r>
              <w:rPr>
                <w:b/>
                <w:bCs/>
                <w:kern w:val="24"/>
                <w:sz w:val="24"/>
              </w:rPr>
              <w:t>4、固体废物</w:t>
            </w:r>
          </w:p>
          <w:p w14:paraId="1AD51FC1">
            <w:pPr>
              <w:adjustRightInd w:val="0"/>
              <w:snapToGrid w:val="0"/>
              <w:spacing w:line="360" w:lineRule="auto"/>
              <w:ind w:left="239" w:leftChars="114" w:firstLine="240" w:firstLineChars="100"/>
              <w:rPr>
                <w:kern w:val="24"/>
                <w:sz w:val="24"/>
              </w:rPr>
            </w:pPr>
            <w:r>
              <w:rPr>
                <w:rFonts w:hAnsi="宋体"/>
                <w:kern w:val="24"/>
                <w:sz w:val="24"/>
              </w:rPr>
              <w:t>①</w:t>
            </w:r>
            <w:r>
              <w:rPr>
                <w:kern w:val="24"/>
                <w:sz w:val="24"/>
              </w:rPr>
              <w:t>一般固废暂存及处置：</w:t>
            </w:r>
            <w:r>
              <w:rPr>
                <w:rFonts w:hint="eastAsia"/>
                <w:kern w:val="24"/>
                <w:sz w:val="24"/>
              </w:rPr>
              <w:t>《一般工业固体废物贮存和填埋污染控制标准》（GB 18599-2020）（2021年7月1日起实施）</w:t>
            </w:r>
            <w:r>
              <w:rPr>
                <w:kern w:val="24"/>
                <w:sz w:val="24"/>
              </w:rPr>
              <w:t>；</w:t>
            </w:r>
          </w:p>
          <w:p w14:paraId="22EA721A">
            <w:pPr>
              <w:pStyle w:val="58"/>
              <w:spacing w:line="360" w:lineRule="auto"/>
              <w:ind w:firstLine="480" w:firstLineChars="200"/>
              <w:rPr>
                <w:rFonts w:hint="eastAsia" w:ascii="Times New Roman" w:cs="Times New Roman"/>
                <w:kern w:val="24"/>
                <w:sz w:val="24"/>
              </w:rPr>
            </w:pPr>
            <w:r>
              <w:rPr>
                <w:rFonts w:hint="eastAsia" w:ascii="Times New Roman" w:cs="Times New Roman"/>
                <w:kern w:val="24"/>
                <w:sz w:val="24"/>
              </w:rPr>
              <w:t>②</w:t>
            </w:r>
            <w:r>
              <w:rPr>
                <w:rFonts w:ascii="Times New Roman" w:cs="Times New Roman"/>
                <w:kern w:val="24"/>
                <w:sz w:val="24"/>
              </w:rPr>
              <w:t>危险废物收集、暂存、转移及处置：危险废物按《国家危险废物名录（2025</w:t>
            </w:r>
            <w:r>
              <w:rPr>
                <w:rFonts w:hint="eastAsia" w:ascii="Times New Roman" w:cs="Times New Roman"/>
                <w:kern w:val="24"/>
                <w:sz w:val="24"/>
              </w:rPr>
              <w:t>年</w:t>
            </w:r>
            <w:r>
              <w:rPr>
                <w:rFonts w:ascii="Times New Roman" w:cs="Times New Roman"/>
                <w:kern w:val="24"/>
                <w:sz w:val="24"/>
              </w:rPr>
              <w:t>版）》进行分类收集；危险废物暂存及处置执行《危险废物贮存污染控制标准》</w:t>
            </w:r>
            <w:r>
              <w:rPr>
                <w:rFonts w:hint="eastAsia" w:ascii="Times New Roman" w:cs="Times New Roman"/>
                <w:kern w:val="24"/>
                <w:sz w:val="24"/>
              </w:rPr>
              <w:t>（</w:t>
            </w:r>
            <w:r>
              <w:rPr>
                <w:rFonts w:ascii="Times New Roman" w:hAnsi="Times New Roman" w:cs="Times New Roman"/>
                <w:kern w:val="24"/>
                <w:sz w:val="24"/>
              </w:rPr>
              <w:t>GB 18597-2023</w:t>
            </w:r>
            <w:r>
              <w:rPr>
                <w:rFonts w:hint="eastAsia" w:ascii="Times New Roman" w:cs="Times New Roman"/>
                <w:kern w:val="24"/>
                <w:sz w:val="24"/>
              </w:rPr>
              <w:t>）</w:t>
            </w:r>
            <w:r>
              <w:rPr>
                <w:rFonts w:ascii="Times New Roman" w:cs="Times New Roman"/>
                <w:kern w:val="24"/>
                <w:sz w:val="24"/>
              </w:rPr>
              <w:t>标准要求；危险废物的转移依照</w:t>
            </w:r>
            <w:r>
              <w:rPr>
                <w:rFonts w:hint="eastAsia" w:ascii="Times New Roman" w:cs="Times New Roman"/>
                <w:kern w:val="24"/>
                <w:sz w:val="24"/>
              </w:rPr>
              <w:t>《危险废物转移管理办法》（生态环境部、公安部、交通运输部令第23号）（2022年1月1日起施行）</w:t>
            </w:r>
            <w:r>
              <w:rPr>
                <w:rFonts w:ascii="Times New Roman" w:cs="Times New Roman"/>
                <w:kern w:val="24"/>
                <w:sz w:val="24"/>
              </w:rPr>
              <w:t>。</w:t>
            </w:r>
          </w:p>
        </w:tc>
      </w:tr>
      <w:tr w14:paraId="26A85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30" w:type="dxa"/>
            <w:vAlign w:val="center"/>
          </w:tcPr>
          <w:p w14:paraId="7926B9D0">
            <w:pPr>
              <w:adjustRightInd w:val="0"/>
              <w:snapToGrid w:val="0"/>
              <w:jc w:val="center"/>
              <w:rPr>
                <w:kern w:val="0"/>
                <w:sz w:val="24"/>
              </w:rPr>
            </w:pPr>
            <w:r>
              <w:rPr>
                <w:rFonts w:hAnsi="宋体"/>
                <w:kern w:val="0"/>
                <w:sz w:val="24"/>
              </w:rPr>
              <w:t>总量</w:t>
            </w:r>
          </w:p>
          <w:p w14:paraId="5DB34BEF">
            <w:pPr>
              <w:adjustRightInd w:val="0"/>
              <w:snapToGrid w:val="0"/>
              <w:jc w:val="center"/>
              <w:rPr>
                <w:kern w:val="0"/>
                <w:sz w:val="24"/>
              </w:rPr>
            </w:pPr>
            <w:r>
              <w:rPr>
                <w:rFonts w:hAnsi="宋体"/>
                <w:kern w:val="0"/>
                <w:sz w:val="24"/>
              </w:rPr>
              <w:t>控制</w:t>
            </w:r>
          </w:p>
          <w:p w14:paraId="4274F4E7">
            <w:pPr>
              <w:adjustRightInd w:val="0"/>
              <w:snapToGrid w:val="0"/>
              <w:jc w:val="center"/>
              <w:rPr>
                <w:kern w:val="0"/>
                <w:sz w:val="24"/>
              </w:rPr>
            </w:pPr>
            <w:r>
              <w:rPr>
                <w:rFonts w:hAnsi="宋体"/>
                <w:kern w:val="0"/>
                <w:sz w:val="24"/>
              </w:rPr>
              <w:t>指标</w:t>
            </w:r>
          </w:p>
        </w:tc>
        <w:tc>
          <w:tcPr>
            <w:tcW w:w="8809" w:type="dxa"/>
          </w:tcPr>
          <w:p w14:paraId="7B168783">
            <w:pPr>
              <w:adjustRightInd w:val="0"/>
              <w:snapToGrid w:val="0"/>
              <w:spacing w:line="360" w:lineRule="auto"/>
              <w:ind w:firstLine="480" w:firstLineChars="200"/>
              <w:rPr>
                <w:kern w:val="24"/>
                <w:sz w:val="24"/>
              </w:rPr>
            </w:pPr>
            <w:r>
              <w:rPr>
                <w:rFonts w:hint="eastAsia"/>
                <w:kern w:val="24"/>
                <w:sz w:val="24"/>
              </w:rPr>
              <w:t>本项目建议的总量控制指标为：</w:t>
            </w:r>
          </w:p>
          <w:p w14:paraId="4CFEDCCD">
            <w:pPr>
              <w:adjustRightInd w:val="0"/>
              <w:snapToGrid w:val="0"/>
              <w:spacing w:line="360" w:lineRule="auto"/>
              <w:ind w:firstLine="480" w:firstLineChars="200"/>
              <w:rPr>
                <w:kern w:val="24"/>
                <w:sz w:val="24"/>
              </w:rPr>
            </w:pPr>
            <w:r>
              <w:rPr>
                <w:rFonts w:hint="eastAsia"/>
                <w:kern w:val="24"/>
                <w:sz w:val="24"/>
              </w:rPr>
              <w:t>（</w:t>
            </w:r>
            <w:r>
              <w:rPr>
                <w:kern w:val="24"/>
                <w:sz w:val="24"/>
              </w:rPr>
              <w:t>1</w:t>
            </w:r>
            <w:r>
              <w:rPr>
                <w:rFonts w:hint="eastAsia"/>
                <w:kern w:val="24"/>
                <w:sz w:val="24"/>
              </w:rPr>
              <w:t>）废气：项目运行过程中排放的废气总量为：颗粒物：0.111</w:t>
            </w:r>
            <w:r>
              <w:rPr>
                <w:kern w:val="24"/>
                <w:sz w:val="24"/>
              </w:rPr>
              <w:t xml:space="preserve"> </w:t>
            </w:r>
            <w:r>
              <w:rPr>
                <w:rFonts w:hint="eastAsia"/>
                <w:kern w:val="24"/>
                <w:sz w:val="24"/>
              </w:rPr>
              <w:t>t/a，其中有组织排放量0.021</w:t>
            </w:r>
            <w:r>
              <w:rPr>
                <w:kern w:val="24"/>
                <w:sz w:val="24"/>
              </w:rPr>
              <w:t xml:space="preserve"> </w:t>
            </w:r>
            <w:r>
              <w:rPr>
                <w:rFonts w:hint="eastAsia"/>
                <w:kern w:val="24"/>
                <w:sz w:val="24"/>
              </w:rPr>
              <w:t>t/a，无组织排放量0.09</w:t>
            </w:r>
            <w:r>
              <w:rPr>
                <w:kern w:val="24"/>
                <w:sz w:val="24"/>
              </w:rPr>
              <w:t xml:space="preserve"> </w:t>
            </w:r>
            <w:r>
              <w:rPr>
                <w:rFonts w:hint="eastAsia"/>
                <w:kern w:val="24"/>
                <w:sz w:val="24"/>
              </w:rPr>
              <w:t>t/a。项目废气污染物主要为颗粒物，不涉及二氧化硫、氮氧化物及挥发性有机物，故不设废气总量控制指标。</w:t>
            </w:r>
          </w:p>
          <w:p w14:paraId="4ABA57A8">
            <w:pPr>
              <w:adjustRightInd w:val="0"/>
              <w:snapToGrid w:val="0"/>
              <w:spacing w:line="360" w:lineRule="auto"/>
              <w:ind w:firstLine="480" w:firstLineChars="200"/>
              <w:rPr>
                <w:kern w:val="24"/>
                <w:sz w:val="24"/>
              </w:rPr>
            </w:pPr>
            <w:r>
              <w:rPr>
                <w:rFonts w:hint="eastAsia"/>
                <w:kern w:val="24"/>
                <w:sz w:val="24"/>
              </w:rPr>
              <w:t>（2）本项目废水不外排，不设置总量。</w:t>
            </w:r>
          </w:p>
          <w:p w14:paraId="3B6A1483">
            <w:pPr>
              <w:adjustRightInd w:val="0"/>
              <w:snapToGrid w:val="0"/>
              <w:spacing w:line="360" w:lineRule="auto"/>
              <w:ind w:firstLine="480" w:firstLineChars="200"/>
              <w:rPr>
                <w:kern w:val="24"/>
                <w:sz w:val="24"/>
              </w:rPr>
            </w:pPr>
            <w:r>
              <w:rPr>
                <w:rFonts w:hint="eastAsia"/>
                <w:kern w:val="24"/>
                <w:sz w:val="24"/>
              </w:rPr>
              <w:t>（</w:t>
            </w:r>
            <w:r>
              <w:rPr>
                <w:kern w:val="24"/>
                <w:sz w:val="24"/>
              </w:rPr>
              <w:t>3</w:t>
            </w:r>
            <w:r>
              <w:rPr>
                <w:rFonts w:hint="eastAsia"/>
                <w:kern w:val="24"/>
                <w:sz w:val="24"/>
              </w:rPr>
              <w:t>）固废：处置率</w:t>
            </w:r>
            <w:r>
              <w:rPr>
                <w:kern w:val="24"/>
                <w:sz w:val="24"/>
              </w:rPr>
              <w:t>100%</w:t>
            </w:r>
            <w:r>
              <w:rPr>
                <w:rFonts w:hint="eastAsia"/>
                <w:kern w:val="24"/>
                <w:sz w:val="24"/>
              </w:rPr>
              <w:t>。</w:t>
            </w:r>
          </w:p>
          <w:p w14:paraId="478515FD">
            <w:pPr>
              <w:adjustRightInd w:val="0"/>
              <w:snapToGrid w:val="0"/>
              <w:spacing w:line="360" w:lineRule="auto"/>
              <w:ind w:firstLine="480" w:firstLineChars="200"/>
              <w:rPr>
                <w:kern w:val="24"/>
                <w:sz w:val="24"/>
              </w:rPr>
            </w:pPr>
          </w:p>
          <w:p w14:paraId="37D8DB4D">
            <w:pPr>
              <w:adjustRightInd w:val="0"/>
              <w:snapToGrid w:val="0"/>
              <w:spacing w:line="360" w:lineRule="auto"/>
              <w:ind w:firstLine="480" w:firstLineChars="200"/>
              <w:rPr>
                <w:kern w:val="24"/>
                <w:sz w:val="24"/>
              </w:rPr>
            </w:pPr>
          </w:p>
          <w:p w14:paraId="6A7BDDEC">
            <w:pPr>
              <w:adjustRightInd w:val="0"/>
              <w:snapToGrid w:val="0"/>
              <w:spacing w:line="360" w:lineRule="auto"/>
              <w:ind w:firstLine="480" w:firstLineChars="200"/>
              <w:rPr>
                <w:kern w:val="24"/>
                <w:sz w:val="24"/>
              </w:rPr>
            </w:pPr>
          </w:p>
          <w:p w14:paraId="15B00844">
            <w:pPr>
              <w:adjustRightInd w:val="0"/>
              <w:snapToGrid w:val="0"/>
              <w:spacing w:line="360" w:lineRule="auto"/>
              <w:ind w:firstLine="480" w:firstLineChars="200"/>
              <w:rPr>
                <w:kern w:val="24"/>
                <w:sz w:val="24"/>
              </w:rPr>
            </w:pPr>
          </w:p>
          <w:p w14:paraId="4D7D50D5">
            <w:pPr>
              <w:adjustRightInd w:val="0"/>
              <w:snapToGrid w:val="0"/>
              <w:spacing w:line="360" w:lineRule="auto"/>
              <w:ind w:firstLine="480" w:firstLineChars="200"/>
              <w:rPr>
                <w:kern w:val="24"/>
                <w:sz w:val="24"/>
              </w:rPr>
            </w:pPr>
          </w:p>
          <w:p w14:paraId="294FEAEF">
            <w:pPr>
              <w:adjustRightInd w:val="0"/>
              <w:snapToGrid w:val="0"/>
              <w:spacing w:line="360" w:lineRule="auto"/>
              <w:ind w:firstLine="480" w:firstLineChars="200"/>
              <w:rPr>
                <w:kern w:val="24"/>
                <w:sz w:val="24"/>
              </w:rPr>
            </w:pPr>
          </w:p>
          <w:p w14:paraId="37DEE678">
            <w:pPr>
              <w:adjustRightInd w:val="0"/>
              <w:snapToGrid w:val="0"/>
              <w:spacing w:line="360" w:lineRule="auto"/>
              <w:ind w:firstLine="480" w:firstLineChars="200"/>
              <w:rPr>
                <w:kern w:val="24"/>
                <w:sz w:val="24"/>
              </w:rPr>
            </w:pPr>
          </w:p>
          <w:p w14:paraId="0F71FA00">
            <w:pPr>
              <w:adjustRightInd w:val="0"/>
              <w:snapToGrid w:val="0"/>
              <w:spacing w:line="360" w:lineRule="auto"/>
              <w:ind w:firstLine="480" w:firstLineChars="200"/>
              <w:rPr>
                <w:kern w:val="24"/>
                <w:sz w:val="24"/>
              </w:rPr>
            </w:pPr>
          </w:p>
          <w:p w14:paraId="1FF84CFE">
            <w:pPr>
              <w:adjustRightInd w:val="0"/>
              <w:snapToGrid w:val="0"/>
              <w:spacing w:line="360" w:lineRule="auto"/>
              <w:ind w:firstLine="480" w:firstLineChars="200"/>
              <w:rPr>
                <w:kern w:val="24"/>
                <w:sz w:val="24"/>
              </w:rPr>
            </w:pPr>
          </w:p>
          <w:p w14:paraId="23FDD607">
            <w:pPr>
              <w:adjustRightInd w:val="0"/>
              <w:snapToGrid w:val="0"/>
              <w:spacing w:line="360" w:lineRule="auto"/>
              <w:ind w:firstLine="480" w:firstLineChars="200"/>
              <w:rPr>
                <w:kern w:val="24"/>
                <w:sz w:val="24"/>
              </w:rPr>
            </w:pPr>
          </w:p>
          <w:p w14:paraId="4EC5C13E">
            <w:pPr>
              <w:adjustRightInd w:val="0"/>
              <w:snapToGrid w:val="0"/>
              <w:spacing w:line="360" w:lineRule="auto"/>
              <w:ind w:firstLine="480" w:firstLineChars="200"/>
              <w:rPr>
                <w:kern w:val="24"/>
                <w:sz w:val="24"/>
              </w:rPr>
            </w:pPr>
          </w:p>
          <w:p w14:paraId="16307C94">
            <w:pPr>
              <w:adjustRightInd w:val="0"/>
              <w:snapToGrid w:val="0"/>
              <w:spacing w:line="360" w:lineRule="auto"/>
              <w:ind w:firstLine="480" w:firstLineChars="200"/>
              <w:rPr>
                <w:kern w:val="24"/>
                <w:sz w:val="24"/>
              </w:rPr>
            </w:pPr>
          </w:p>
          <w:p w14:paraId="5EDF3F8A">
            <w:pPr>
              <w:adjustRightInd w:val="0"/>
              <w:snapToGrid w:val="0"/>
              <w:spacing w:line="360" w:lineRule="auto"/>
              <w:ind w:firstLine="480" w:firstLineChars="200"/>
              <w:rPr>
                <w:kern w:val="24"/>
                <w:sz w:val="24"/>
              </w:rPr>
            </w:pPr>
          </w:p>
          <w:p w14:paraId="438E3D97">
            <w:pPr>
              <w:adjustRightInd w:val="0"/>
              <w:snapToGrid w:val="0"/>
              <w:spacing w:line="360" w:lineRule="auto"/>
              <w:ind w:firstLine="480" w:firstLineChars="200"/>
              <w:rPr>
                <w:kern w:val="24"/>
                <w:sz w:val="24"/>
              </w:rPr>
            </w:pPr>
          </w:p>
          <w:p w14:paraId="4848A9D6">
            <w:pPr>
              <w:adjustRightInd w:val="0"/>
              <w:snapToGrid w:val="0"/>
              <w:spacing w:line="360" w:lineRule="auto"/>
              <w:rPr>
                <w:kern w:val="24"/>
                <w:sz w:val="24"/>
              </w:rPr>
            </w:pPr>
          </w:p>
        </w:tc>
      </w:tr>
    </w:tbl>
    <w:p w14:paraId="229570E3">
      <w:pPr>
        <w:pStyle w:val="28"/>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bookmarkStart w:id="16" w:name="_Toc127436953"/>
      <w:r>
        <w:rPr>
          <w:rFonts w:ascii="Times New Roman" w:hAnsi="黑体" w:eastAsia="黑体"/>
          <w:snapToGrid w:val="0"/>
          <w:sz w:val="30"/>
          <w:szCs w:val="30"/>
        </w:rPr>
        <w:t>四、主要环境影响和保护措施</w:t>
      </w:r>
      <w:bookmarkEnd w:id="16"/>
    </w:p>
    <w:tbl>
      <w:tblPr>
        <w:tblStyle w:val="32"/>
        <w:tblW w:w="9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116"/>
      </w:tblGrid>
      <w:tr w14:paraId="612B4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523" w:type="dxa"/>
            <w:tcMar>
              <w:left w:w="28" w:type="dxa"/>
              <w:right w:w="28" w:type="dxa"/>
            </w:tcMar>
            <w:vAlign w:val="center"/>
          </w:tcPr>
          <w:p w14:paraId="5A188AB5">
            <w:pPr>
              <w:pStyle w:val="28"/>
              <w:adjustRightInd w:val="0"/>
              <w:snapToGrid w:val="0"/>
              <w:spacing w:before="0" w:beforeAutospacing="0" w:after="0" w:afterAutospacing="0"/>
              <w:jc w:val="center"/>
              <w:rPr>
                <w:rFonts w:ascii="Times New Roman" w:hAnsi="Times New Roman"/>
                <w:bCs/>
                <w:kern w:val="2"/>
                <w:szCs w:val="24"/>
              </w:rPr>
            </w:pPr>
            <w:r>
              <w:rPr>
                <w:rFonts w:ascii="Times New Roman"/>
                <w:kern w:val="2"/>
                <w:szCs w:val="24"/>
              </w:rPr>
              <w:t>施工期环境保护措施</w:t>
            </w:r>
          </w:p>
        </w:tc>
        <w:tc>
          <w:tcPr>
            <w:tcW w:w="9116" w:type="dxa"/>
          </w:tcPr>
          <w:p w14:paraId="362D969D">
            <w:pPr>
              <w:pStyle w:val="83"/>
              <w:ind w:firstLine="480"/>
            </w:pPr>
            <w:r>
              <w:rPr>
                <w:rFonts w:hint="eastAsia"/>
              </w:rPr>
              <w:t>根据现场勘查及调查，本项目利用通海华宇工贸有限责任公司现有闲置厂房进行改造，本项目施工期主要厂房修缮、旧设备拆除、新设备安装等。其中三车间、八车间的主体工程已建设完成，项目前期施工过程无环境遗留问题，也未受到相关环保问题的投诉。</w:t>
            </w:r>
          </w:p>
          <w:p w14:paraId="7A8E1E36">
            <w:pPr>
              <w:adjustRightInd w:val="0"/>
              <w:snapToGrid w:val="0"/>
              <w:spacing w:line="360" w:lineRule="auto"/>
              <w:rPr>
                <w:b/>
                <w:kern w:val="24"/>
                <w:sz w:val="24"/>
              </w:rPr>
            </w:pPr>
            <w:r>
              <w:rPr>
                <w:rFonts w:hint="eastAsia"/>
                <w:b/>
                <w:kern w:val="24"/>
                <w:sz w:val="24"/>
              </w:rPr>
              <w:t>1</w:t>
            </w:r>
            <w:r>
              <w:rPr>
                <w:b/>
                <w:kern w:val="24"/>
                <w:sz w:val="24"/>
              </w:rPr>
              <w:t>、</w:t>
            </w:r>
            <w:r>
              <w:rPr>
                <w:rFonts w:hint="eastAsia"/>
                <w:b/>
                <w:kern w:val="24"/>
                <w:sz w:val="24"/>
              </w:rPr>
              <w:t>施工期大气环境保护措施</w:t>
            </w:r>
          </w:p>
          <w:p w14:paraId="33064422">
            <w:pPr>
              <w:adjustRightInd w:val="0"/>
              <w:snapToGrid w:val="0"/>
              <w:spacing w:line="360" w:lineRule="auto"/>
              <w:ind w:firstLine="480" w:firstLineChars="200"/>
              <w:rPr>
                <w:kern w:val="24"/>
                <w:sz w:val="24"/>
              </w:rPr>
            </w:pPr>
            <w:r>
              <w:rPr>
                <w:kern w:val="24"/>
                <w:sz w:val="24"/>
              </w:rPr>
              <w:t>（1）</w:t>
            </w:r>
            <w:r>
              <w:rPr>
                <w:rFonts w:hint="eastAsia"/>
                <w:kern w:val="24"/>
                <w:sz w:val="24"/>
              </w:rPr>
              <w:t>施工场地设置围挡措施，并且每天定期洒水，以有效防止扬尘，在非雨天风大时，加大洒水量及洒水频次</w:t>
            </w:r>
            <w:r>
              <w:rPr>
                <w:kern w:val="24"/>
                <w:sz w:val="24"/>
              </w:rPr>
              <w:t>。</w:t>
            </w:r>
          </w:p>
          <w:p w14:paraId="2FE299AD">
            <w:pPr>
              <w:adjustRightInd w:val="0"/>
              <w:snapToGrid w:val="0"/>
              <w:spacing w:line="360" w:lineRule="auto"/>
              <w:ind w:firstLine="480" w:firstLineChars="200"/>
              <w:rPr>
                <w:kern w:val="24"/>
                <w:sz w:val="24"/>
              </w:rPr>
            </w:pPr>
            <w:r>
              <w:rPr>
                <w:rFonts w:hint="eastAsia"/>
                <w:kern w:val="24"/>
                <w:sz w:val="24"/>
              </w:rPr>
              <w:t>（2）施工场地内运输通道及时清扫和平整，以尽量减少运输车辆行驶产生的扬尘，并采取洒水抑尘等措施。</w:t>
            </w:r>
          </w:p>
          <w:p w14:paraId="44D39CDC">
            <w:pPr>
              <w:adjustRightInd w:val="0"/>
              <w:snapToGrid w:val="0"/>
              <w:spacing w:line="360" w:lineRule="auto"/>
              <w:ind w:firstLine="480" w:firstLineChars="200"/>
              <w:rPr>
                <w:kern w:val="24"/>
                <w:sz w:val="24"/>
              </w:rPr>
            </w:pPr>
            <w:r>
              <w:rPr>
                <w:rFonts w:hint="eastAsia"/>
                <w:kern w:val="24"/>
                <w:sz w:val="24"/>
              </w:rPr>
              <w:t>（3）运输车辆进入施工场地低速或限速行驶，减少产尘量。</w:t>
            </w:r>
          </w:p>
          <w:p w14:paraId="6F6B9BEA">
            <w:pPr>
              <w:adjustRightInd w:val="0"/>
              <w:snapToGrid w:val="0"/>
              <w:spacing w:line="360" w:lineRule="auto"/>
              <w:ind w:firstLine="480" w:firstLineChars="200"/>
              <w:rPr>
                <w:kern w:val="24"/>
                <w:sz w:val="24"/>
              </w:rPr>
            </w:pPr>
            <w:r>
              <w:rPr>
                <w:rFonts w:hint="eastAsia"/>
                <w:kern w:val="24"/>
                <w:sz w:val="24"/>
              </w:rPr>
              <w:t>（4）</w:t>
            </w:r>
            <w:r>
              <w:rPr>
                <w:kern w:val="24"/>
                <w:sz w:val="24"/>
              </w:rPr>
              <w:t>施工过程中使用水泥、石灰、砂石、涂料、铺装材料等易产生扬尘的建筑材料，采取密封存储、设置围挡或堆砌围墙、用防尘布苫盖等措施</w:t>
            </w:r>
            <w:r>
              <w:rPr>
                <w:rFonts w:hint="eastAsia"/>
                <w:kern w:val="24"/>
                <w:sz w:val="24"/>
              </w:rPr>
              <w:t>。</w:t>
            </w:r>
          </w:p>
          <w:p w14:paraId="756B872E">
            <w:pPr>
              <w:adjustRightInd w:val="0"/>
              <w:snapToGrid w:val="0"/>
              <w:spacing w:line="360" w:lineRule="auto"/>
              <w:ind w:firstLine="480" w:firstLineChars="200"/>
              <w:rPr>
                <w:kern w:val="24"/>
                <w:sz w:val="24"/>
              </w:rPr>
            </w:pPr>
            <w:r>
              <w:rPr>
                <w:rFonts w:hint="eastAsia"/>
                <w:kern w:val="24"/>
                <w:sz w:val="24"/>
              </w:rPr>
              <w:t>（5）</w:t>
            </w:r>
            <w:r>
              <w:rPr>
                <w:kern w:val="24"/>
                <w:sz w:val="24"/>
              </w:rPr>
              <w:t>施工过程中产生的弃土、弃料及其它建筑垃圾及时清运。</w:t>
            </w:r>
            <w:r>
              <w:rPr>
                <w:rFonts w:hint="eastAsia"/>
                <w:kern w:val="24"/>
                <w:sz w:val="24"/>
              </w:rPr>
              <w:t>临时堆存时</w:t>
            </w:r>
            <w:r>
              <w:rPr>
                <w:kern w:val="24"/>
                <w:sz w:val="24"/>
              </w:rPr>
              <w:t>采取覆盖防尘布、防尘网，定期喷水压尘等措施，防止风蚀起尘及水蚀迁移</w:t>
            </w:r>
            <w:r>
              <w:rPr>
                <w:rFonts w:hint="eastAsia"/>
                <w:kern w:val="24"/>
                <w:sz w:val="24"/>
              </w:rPr>
              <w:t>。</w:t>
            </w:r>
          </w:p>
          <w:p w14:paraId="3103A512">
            <w:pPr>
              <w:adjustRightInd w:val="0"/>
              <w:snapToGrid w:val="0"/>
              <w:spacing w:line="360" w:lineRule="auto"/>
              <w:ind w:firstLine="480" w:firstLineChars="200"/>
              <w:rPr>
                <w:kern w:val="24"/>
                <w:sz w:val="24"/>
              </w:rPr>
            </w:pPr>
            <w:r>
              <w:rPr>
                <w:rFonts w:hint="eastAsia"/>
                <w:kern w:val="24"/>
                <w:sz w:val="24"/>
              </w:rPr>
              <w:t>（6）</w:t>
            </w:r>
            <w:r>
              <w:rPr>
                <w:kern w:val="24"/>
                <w:sz w:val="24"/>
              </w:rPr>
              <w:t>施工期间，在物料、渣土及垃圾运输车辆的出口内侧设置洗车平台，车辆驶离工地前在洗车平台清洗轮胎及车身，不带泥上路。</w:t>
            </w:r>
          </w:p>
          <w:p w14:paraId="5E2AA12A">
            <w:pPr>
              <w:adjustRightInd w:val="0"/>
              <w:snapToGrid w:val="0"/>
              <w:spacing w:line="360" w:lineRule="auto"/>
              <w:ind w:firstLine="480" w:firstLineChars="200"/>
              <w:rPr>
                <w:kern w:val="24"/>
                <w:sz w:val="24"/>
              </w:rPr>
            </w:pPr>
            <w:r>
              <w:rPr>
                <w:rFonts w:hint="eastAsia"/>
                <w:kern w:val="24"/>
                <w:sz w:val="24"/>
              </w:rPr>
              <w:t>（7）</w:t>
            </w:r>
            <w:r>
              <w:rPr>
                <w:kern w:val="24"/>
                <w:sz w:val="24"/>
              </w:rPr>
              <w:t>进出工地的物料、渣土、垃圾运输车辆，</w:t>
            </w:r>
            <w:r>
              <w:rPr>
                <w:rFonts w:hint="eastAsia"/>
                <w:kern w:val="24"/>
                <w:sz w:val="24"/>
              </w:rPr>
              <w:t>大部分</w:t>
            </w:r>
            <w:r>
              <w:rPr>
                <w:kern w:val="24"/>
                <w:sz w:val="24"/>
              </w:rPr>
              <w:t>采用密闭车斗，并保证物料不遗撒外漏。无密闭车斗</w:t>
            </w:r>
            <w:r>
              <w:rPr>
                <w:rFonts w:hint="eastAsia"/>
                <w:kern w:val="24"/>
                <w:sz w:val="24"/>
              </w:rPr>
              <w:t>的运输车辆</w:t>
            </w:r>
            <w:r>
              <w:rPr>
                <w:kern w:val="24"/>
                <w:sz w:val="24"/>
              </w:rPr>
              <w:t>，物料、垃圾、渣土的装载高度</w:t>
            </w:r>
            <w:r>
              <w:rPr>
                <w:rFonts w:hint="eastAsia"/>
                <w:kern w:val="24"/>
                <w:sz w:val="24"/>
              </w:rPr>
              <w:t>不</w:t>
            </w:r>
            <w:r>
              <w:rPr>
                <w:kern w:val="24"/>
                <w:sz w:val="24"/>
              </w:rPr>
              <w:t>超过车辆槽帮上沿，车斗用苫布遮盖严实。</w:t>
            </w:r>
          </w:p>
          <w:p w14:paraId="4062CC9A">
            <w:pPr>
              <w:adjustRightInd w:val="0"/>
              <w:snapToGrid w:val="0"/>
              <w:spacing w:line="360" w:lineRule="auto"/>
              <w:rPr>
                <w:b/>
                <w:kern w:val="24"/>
                <w:sz w:val="24"/>
              </w:rPr>
            </w:pPr>
            <w:r>
              <w:rPr>
                <w:rFonts w:hint="eastAsia"/>
                <w:b/>
                <w:kern w:val="24"/>
                <w:sz w:val="24"/>
              </w:rPr>
              <w:t>2</w:t>
            </w:r>
            <w:r>
              <w:rPr>
                <w:b/>
                <w:kern w:val="24"/>
                <w:sz w:val="24"/>
              </w:rPr>
              <w:t>、</w:t>
            </w:r>
            <w:r>
              <w:rPr>
                <w:rFonts w:hint="eastAsia"/>
                <w:b/>
                <w:kern w:val="24"/>
                <w:sz w:val="24"/>
              </w:rPr>
              <w:t>施工期废水环境保护措施</w:t>
            </w:r>
          </w:p>
          <w:p w14:paraId="295004FE">
            <w:pPr>
              <w:spacing w:line="360" w:lineRule="auto"/>
              <w:ind w:firstLine="480" w:firstLineChars="200"/>
              <w:rPr>
                <w:sz w:val="24"/>
              </w:rPr>
            </w:pPr>
            <w:r>
              <w:rPr>
                <w:kern w:val="24"/>
                <w:sz w:val="24"/>
              </w:rPr>
              <w:t>（1）</w:t>
            </w:r>
            <w:r>
              <w:rPr>
                <w:rFonts w:hint="eastAsia" w:ascii="宋体" w:hAnsi="宋体" w:cs="宋体"/>
                <w:kern w:val="24"/>
                <w:sz w:val="24"/>
              </w:rPr>
              <w:t>运输车辆及机械冲洗水和建筑施工废水，设置临时沉淀池，经沉淀处理后回用于施工过程和场地、进场道路洒水抑尘，不外排。</w:t>
            </w:r>
          </w:p>
          <w:p w14:paraId="7DDC3DF7">
            <w:pPr>
              <w:adjustRightInd w:val="0"/>
              <w:snapToGrid w:val="0"/>
              <w:spacing w:line="360" w:lineRule="auto"/>
              <w:ind w:firstLine="480" w:firstLineChars="200"/>
              <w:rPr>
                <w:bCs/>
                <w:sz w:val="24"/>
              </w:rPr>
            </w:pPr>
            <w:r>
              <w:rPr>
                <w:kern w:val="24"/>
                <w:sz w:val="24"/>
              </w:rPr>
              <w:t>（</w:t>
            </w:r>
            <w:r>
              <w:rPr>
                <w:rFonts w:hint="eastAsia"/>
                <w:kern w:val="24"/>
                <w:sz w:val="24"/>
              </w:rPr>
              <w:t>2</w:t>
            </w:r>
            <w:r>
              <w:rPr>
                <w:kern w:val="24"/>
                <w:sz w:val="24"/>
              </w:rPr>
              <w:t>）</w:t>
            </w:r>
            <w:r>
              <w:rPr>
                <w:rFonts w:hint="eastAsia"/>
                <w:kern w:val="24"/>
                <w:sz w:val="24"/>
              </w:rPr>
              <w:t>施工期</w:t>
            </w:r>
            <w:r>
              <w:rPr>
                <w:rFonts w:hint="eastAsia"/>
                <w:bCs/>
                <w:sz w:val="24"/>
              </w:rPr>
              <w:t>生活污水依托现有项目化粪池、生活污水处理设施处</w:t>
            </w:r>
            <w:r>
              <w:rPr>
                <w:rFonts w:hint="eastAsia"/>
                <w:sz w:val="24"/>
              </w:rPr>
              <w:t>处理达标后</w:t>
            </w:r>
            <w:r>
              <w:rPr>
                <w:rFonts w:hint="eastAsia"/>
                <w:bCs/>
                <w:sz w:val="24"/>
              </w:rPr>
              <w:t>回用于冷却水的补充。</w:t>
            </w:r>
          </w:p>
          <w:p w14:paraId="5C09330D">
            <w:pPr>
              <w:adjustRightInd w:val="0"/>
              <w:snapToGrid w:val="0"/>
              <w:spacing w:line="360" w:lineRule="auto"/>
              <w:rPr>
                <w:b/>
                <w:kern w:val="24"/>
                <w:sz w:val="24"/>
              </w:rPr>
            </w:pPr>
            <w:r>
              <w:rPr>
                <w:rFonts w:hint="eastAsia"/>
                <w:b/>
                <w:kern w:val="24"/>
                <w:sz w:val="24"/>
              </w:rPr>
              <w:t>3</w:t>
            </w:r>
            <w:r>
              <w:rPr>
                <w:b/>
                <w:kern w:val="24"/>
                <w:sz w:val="24"/>
              </w:rPr>
              <w:t>、</w:t>
            </w:r>
            <w:r>
              <w:rPr>
                <w:rFonts w:hint="eastAsia"/>
                <w:b/>
                <w:kern w:val="24"/>
                <w:sz w:val="24"/>
              </w:rPr>
              <w:t>施工期噪声环境保护措施</w:t>
            </w:r>
          </w:p>
          <w:p w14:paraId="3B26904D">
            <w:pPr>
              <w:adjustRightInd w:val="0"/>
              <w:snapToGrid w:val="0"/>
              <w:spacing w:line="360" w:lineRule="auto"/>
              <w:ind w:firstLine="480" w:firstLineChars="200"/>
              <w:rPr>
                <w:kern w:val="24"/>
                <w:sz w:val="24"/>
              </w:rPr>
            </w:pPr>
            <w:r>
              <w:rPr>
                <w:kern w:val="24"/>
                <w:sz w:val="24"/>
              </w:rPr>
              <w:t>（1）合理布局施工机械设备，并进行一定的隔声及减振处理。选用低噪声的施工机械和工艺，振动较大的固定机械设备加装减振机座，同时加强各类施工设备的维护和保养，保持其良好的运转，降低噪声源强</w:t>
            </w:r>
            <w:r>
              <w:rPr>
                <w:rFonts w:hint="eastAsia"/>
                <w:kern w:val="24"/>
                <w:sz w:val="24"/>
              </w:rPr>
              <w:t>。</w:t>
            </w:r>
          </w:p>
          <w:p w14:paraId="517ABEC0">
            <w:pPr>
              <w:adjustRightInd w:val="0"/>
              <w:snapToGrid w:val="0"/>
              <w:spacing w:line="360" w:lineRule="auto"/>
              <w:ind w:firstLine="480" w:firstLineChars="200"/>
              <w:rPr>
                <w:kern w:val="24"/>
                <w:sz w:val="24"/>
              </w:rPr>
            </w:pPr>
            <w:r>
              <w:rPr>
                <w:kern w:val="24"/>
                <w:sz w:val="24"/>
              </w:rPr>
              <w:t>（</w:t>
            </w:r>
            <w:r>
              <w:rPr>
                <w:rFonts w:hint="eastAsia"/>
                <w:kern w:val="24"/>
                <w:sz w:val="24"/>
              </w:rPr>
              <w:t>2</w:t>
            </w:r>
            <w:r>
              <w:rPr>
                <w:kern w:val="24"/>
                <w:sz w:val="24"/>
              </w:rPr>
              <w:t>）合理地安排施工步骤，采取诸如分段浇筑等方式，减短噪声持续排放的时间。</w:t>
            </w:r>
          </w:p>
          <w:p w14:paraId="6CF4B15A">
            <w:pPr>
              <w:adjustRightInd w:val="0"/>
              <w:snapToGrid w:val="0"/>
              <w:spacing w:line="360" w:lineRule="auto"/>
              <w:ind w:firstLine="480" w:firstLineChars="200"/>
              <w:rPr>
                <w:kern w:val="24"/>
                <w:sz w:val="24"/>
              </w:rPr>
            </w:pPr>
            <w:r>
              <w:rPr>
                <w:kern w:val="24"/>
                <w:sz w:val="24"/>
              </w:rPr>
              <w:t>（</w:t>
            </w:r>
            <w:r>
              <w:rPr>
                <w:rFonts w:hint="eastAsia"/>
                <w:kern w:val="24"/>
                <w:sz w:val="24"/>
              </w:rPr>
              <w:t>3</w:t>
            </w:r>
            <w:r>
              <w:rPr>
                <w:kern w:val="24"/>
                <w:sz w:val="24"/>
              </w:rPr>
              <w:t>）施工期运输车辆</w:t>
            </w:r>
            <w:r>
              <w:rPr>
                <w:rFonts w:hint="eastAsia"/>
                <w:kern w:val="24"/>
                <w:sz w:val="24"/>
              </w:rPr>
              <w:t>、</w:t>
            </w:r>
            <w:r>
              <w:rPr>
                <w:kern w:val="24"/>
                <w:sz w:val="24"/>
              </w:rPr>
              <w:t>施工车辆出入现场时低速、禁鸣，减小载重汽车噪声对环境的影响。</w:t>
            </w:r>
          </w:p>
          <w:p w14:paraId="48280BE9">
            <w:pPr>
              <w:adjustRightInd w:val="0"/>
              <w:snapToGrid w:val="0"/>
              <w:spacing w:line="360" w:lineRule="auto"/>
              <w:rPr>
                <w:b/>
                <w:kern w:val="24"/>
                <w:sz w:val="24"/>
              </w:rPr>
            </w:pPr>
            <w:r>
              <w:rPr>
                <w:rFonts w:hint="eastAsia"/>
                <w:b/>
                <w:kern w:val="24"/>
                <w:sz w:val="24"/>
              </w:rPr>
              <w:t>4</w:t>
            </w:r>
            <w:r>
              <w:rPr>
                <w:b/>
                <w:kern w:val="24"/>
                <w:sz w:val="24"/>
              </w:rPr>
              <w:t>、</w:t>
            </w:r>
            <w:r>
              <w:rPr>
                <w:rFonts w:hint="eastAsia"/>
                <w:b/>
                <w:kern w:val="24"/>
                <w:sz w:val="24"/>
              </w:rPr>
              <w:t>施工期固体废物环境保护措施</w:t>
            </w:r>
          </w:p>
          <w:p w14:paraId="5B131786">
            <w:pPr>
              <w:adjustRightInd w:val="0"/>
              <w:snapToGrid w:val="0"/>
              <w:spacing w:line="360" w:lineRule="auto"/>
              <w:ind w:firstLine="480" w:firstLineChars="200"/>
              <w:rPr>
                <w:kern w:val="24"/>
                <w:sz w:val="24"/>
              </w:rPr>
            </w:pPr>
            <w:r>
              <w:rPr>
                <w:kern w:val="24"/>
                <w:sz w:val="24"/>
              </w:rPr>
              <w:t>（1）施工单位加强管理，禁止随意堆弃垃圾</w:t>
            </w:r>
            <w:r>
              <w:rPr>
                <w:rFonts w:hint="eastAsia"/>
                <w:kern w:val="24"/>
                <w:sz w:val="24"/>
              </w:rPr>
              <w:t>。</w:t>
            </w:r>
          </w:p>
          <w:p w14:paraId="067A4B2C">
            <w:pPr>
              <w:adjustRightInd w:val="0"/>
              <w:snapToGrid w:val="0"/>
              <w:spacing w:line="360" w:lineRule="auto"/>
              <w:ind w:firstLine="480" w:firstLineChars="200"/>
              <w:rPr>
                <w:kern w:val="24"/>
                <w:sz w:val="24"/>
              </w:rPr>
            </w:pPr>
            <w:r>
              <w:rPr>
                <w:kern w:val="24"/>
                <w:sz w:val="24"/>
              </w:rPr>
              <w:t>（2）负责渣土清运的单位申请并领取运送、处置建材、渣土”资质证”后，方可从事建材、渣土清运处置工作；在运输过程中严格管理，杜绝沿途抛洒，造成二次污染</w:t>
            </w:r>
            <w:r>
              <w:rPr>
                <w:rFonts w:hint="eastAsia"/>
                <w:kern w:val="24"/>
                <w:sz w:val="24"/>
              </w:rPr>
              <w:t>。</w:t>
            </w:r>
          </w:p>
          <w:p w14:paraId="1CA28225">
            <w:pPr>
              <w:adjustRightInd w:val="0"/>
              <w:snapToGrid w:val="0"/>
              <w:spacing w:line="360" w:lineRule="auto"/>
              <w:ind w:firstLine="480" w:firstLineChars="200"/>
              <w:rPr>
                <w:kern w:val="24"/>
                <w:sz w:val="24"/>
              </w:rPr>
            </w:pPr>
            <w:r>
              <w:rPr>
                <w:kern w:val="24"/>
                <w:sz w:val="24"/>
              </w:rPr>
              <w:t>（3）车辆运输散体物和废弃物时，运输车辆必须做到装载适量，加盖遮布，出工地前做好外部清洗，沿途不漏泥土、不飞扬</w:t>
            </w:r>
            <w:r>
              <w:rPr>
                <w:rFonts w:hint="eastAsia"/>
                <w:kern w:val="24"/>
                <w:sz w:val="24"/>
              </w:rPr>
              <w:t>。</w:t>
            </w:r>
          </w:p>
          <w:p w14:paraId="216790E5">
            <w:pPr>
              <w:adjustRightInd w:val="0"/>
              <w:snapToGrid w:val="0"/>
              <w:spacing w:line="360" w:lineRule="auto"/>
              <w:ind w:firstLine="480" w:firstLineChars="200"/>
              <w:rPr>
                <w:kern w:val="24"/>
                <w:sz w:val="24"/>
              </w:rPr>
            </w:pPr>
            <w:r>
              <w:rPr>
                <w:kern w:val="24"/>
                <w:sz w:val="24"/>
              </w:rPr>
              <w:t>（4）本项目废弃的建筑垃圾，严格按照中华人民共和国建设部第139号令《城市建筑垃圾管理规定》中相关规定，集中处理，分类收集并尽可能的回收再利用，不能回收利用的部分及时清运至住建部门指定点堆放</w:t>
            </w:r>
            <w:r>
              <w:rPr>
                <w:rFonts w:hint="eastAsia"/>
                <w:kern w:val="24"/>
                <w:sz w:val="24"/>
              </w:rPr>
              <w:t>，</w:t>
            </w:r>
            <w:r>
              <w:rPr>
                <w:kern w:val="24"/>
                <w:sz w:val="24"/>
              </w:rPr>
              <w:t>委托有资质的单位按照相应规定进行清运、处置</w:t>
            </w:r>
            <w:r>
              <w:rPr>
                <w:rFonts w:hint="eastAsia"/>
                <w:kern w:val="24"/>
                <w:sz w:val="24"/>
              </w:rPr>
              <w:t>。</w:t>
            </w:r>
          </w:p>
          <w:p w14:paraId="1D2E77A9">
            <w:pPr>
              <w:adjustRightInd w:val="0"/>
              <w:snapToGrid w:val="0"/>
              <w:spacing w:line="360" w:lineRule="auto"/>
              <w:ind w:firstLine="480" w:firstLineChars="200"/>
              <w:rPr>
                <w:kern w:val="24"/>
                <w:sz w:val="24"/>
              </w:rPr>
            </w:pPr>
            <w:r>
              <w:rPr>
                <w:kern w:val="24"/>
                <w:sz w:val="24"/>
              </w:rPr>
              <w:t>（5）生活垃圾</w:t>
            </w:r>
            <w:r>
              <w:rPr>
                <w:rFonts w:hint="eastAsia"/>
                <w:kern w:val="24"/>
                <w:sz w:val="24"/>
              </w:rPr>
              <w:t>依托现有项目垃圾桶，</w:t>
            </w:r>
            <w:r>
              <w:rPr>
                <w:kern w:val="24"/>
                <w:sz w:val="24"/>
              </w:rPr>
              <w:t>集中收集委托环卫部门清运处置。</w:t>
            </w:r>
          </w:p>
          <w:p w14:paraId="3F636955">
            <w:pPr>
              <w:adjustRightInd w:val="0"/>
              <w:snapToGrid w:val="0"/>
              <w:spacing w:line="360" w:lineRule="auto"/>
              <w:ind w:firstLine="480" w:firstLineChars="200"/>
              <w:rPr>
                <w:kern w:val="24"/>
                <w:sz w:val="24"/>
              </w:rPr>
            </w:pPr>
          </w:p>
          <w:p w14:paraId="63CCABFB">
            <w:pPr>
              <w:adjustRightInd w:val="0"/>
              <w:snapToGrid w:val="0"/>
              <w:spacing w:line="360" w:lineRule="auto"/>
              <w:ind w:firstLine="480" w:firstLineChars="200"/>
              <w:rPr>
                <w:kern w:val="24"/>
                <w:sz w:val="24"/>
              </w:rPr>
            </w:pPr>
          </w:p>
          <w:p w14:paraId="3DEEAEAD">
            <w:pPr>
              <w:adjustRightInd w:val="0"/>
              <w:snapToGrid w:val="0"/>
              <w:spacing w:line="360" w:lineRule="auto"/>
              <w:ind w:firstLine="480" w:firstLineChars="200"/>
              <w:rPr>
                <w:kern w:val="24"/>
                <w:sz w:val="24"/>
              </w:rPr>
            </w:pPr>
          </w:p>
          <w:p w14:paraId="08AFEB4F">
            <w:pPr>
              <w:adjustRightInd w:val="0"/>
              <w:snapToGrid w:val="0"/>
              <w:spacing w:line="360" w:lineRule="auto"/>
              <w:ind w:firstLine="480" w:firstLineChars="200"/>
              <w:rPr>
                <w:kern w:val="24"/>
                <w:sz w:val="24"/>
              </w:rPr>
            </w:pPr>
          </w:p>
          <w:p w14:paraId="5FE2DB9C">
            <w:pPr>
              <w:adjustRightInd w:val="0"/>
              <w:snapToGrid w:val="0"/>
              <w:spacing w:line="360" w:lineRule="auto"/>
              <w:ind w:firstLine="480" w:firstLineChars="200"/>
              <w:rPr>
                <w:kern w:val="24"/>
                <w:sz w:val="24"/>
              </w:rPr>
            </w:pPr>
          </w:p>
          <w:p w14:paraId="1D0FEC6E">
            <w:pPr>
              <w:adjustRightInd w:val="0"/>
              <w:snapToGrid w:val="0"/>
              <w:spacing w:line="360" w:lineRule="auto"/>
              <w:ind w:firstLine="480" w:firstLineChars="200"/>
              <w:rPr>
                <w:kern w:val="24"/>
                <w:sz w:val="24"/>
              </w:rPr>
            </w:pPr>
          </w:p>
          <w:p w14:paraId="06EDFC00">
            <w:pPr>
              <w:adjustRightInd w:val="0"/>
              <w:snapToGrid w:val="0"/>
              <w:spacing w:line="360" w:lineRule="auto"/>
              <w:ind w:firstLine="480" w:firstLineChars="200"/>
              <w:rPr>
                <w:kern w:val="24"/>
                <w:sz w:val="24"/>
              </w:rPr>
            </w:pPr>
          </w:p>
          <w:p w14:paraId="72E93CC7">
            <w:pPr>
              <w:adjustRightInd w:val="0"/>
              <w:snapToGrid w:val="0"/>
              <w:spacing w:line="360" w:lineRule="auto"/>
              <w:ind w:firstLine="480" w:firstLineChars="200"/>
              <w:rPr>
                <w:kern w:val="24"/>
                <w:sz w:val="24"/>
              </w:rPr>
            </w:pPr>
          </w:p>
          <w:p w14:paraId="78CD81A5">
            <w:pPr>
              <w:adjustRightInd w:val="0"/>
              <w:snapToGrid w:val="0"/>
              <w:spacing w:line="360" w:lineRule="auto"/>
              <w:ind w:firstLine="480" w:firstLineChars="200"/>
              <w:rPr>
                <w:kern w:val="24"/>
                <w:sz w:val="24"/>
              </w:rPr>
            </w:pPr>
          </w:p>
          <w:p w14:paraId="3549CD77">
            <w:pPr>
              <w:adjustRightInd w:val="0"/>
              <w:snapToGrid w:val="0"/>
              <w:spacing w:line="360" w:lineRule="auto"/>
              <w:ind w:firstLine="480" w:firstLineChars="200"/>
              <w:rPr>
                <w:kern w:val="24"/>
                <w:sz w:val="24"/>
              </w:rPr>
            </w:pPr>
          </w:p>
          <w:p w14:paraId="4671EF21">
            <w:pPr>
              <w:adjustRightInd w:val="0"/>
              <w:snapToGrid w:val="0"/>
              <w:spacing w:line="360" w:lineRule="auto"/>
              <w:ind w:firstLine="480" w:firstLineChars="200"/>
              <w:rPr>
                <w:kern w:val="24"/>
                <w:sz w:val="24"/>
              </w:rPr>
            </w:pPr>
          </w:p>
          <w:p w14:paraId="48935B73">
            <w:pPr>
              <w:adjustRightInd w:val="0"/>
              <w:snapToGrid w:val="0"/>
              <w:spacing w:line="360" w:lineRule="auto"/>
              <w:rPr>
                <w:kern w:val="24"/>
                <w:sz w:val="24"/>
              </w:rPr>
            </w:pPr>
          </w:p>
          <w:p w14:paraId="7EF391BF">
            <w:pPr>
              <w:adjustRightInd w:val="0"/>
              <w:snapToGrid w:val="0"/>
              <w:spacing w:line="360" w:lineRule="auto"/>
              <w:rPr>
                <w:kern w:val="24"/>
                <w:sz w:val="24"/>
              </w:rPr>
            </w:pPr>
          </w:p>
        </w:tc>
      </w:tr>
      <w:tr w14:paraId="13B9D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23" w:type="dxa"/>
            <w:tcMar>
              <w:left w:w="28" w:type="dxa"/>
              <w:right w:w="28" w:type="dxa"/>
            </w:tcMar>
            <w:vAlign w:val="center"/>
          </w:tcPr>
          <w:p w14:paraId="537CA1BE">
            <w:pPr>
              <w:adjustRightInd w:val="0"/>
              <w:snapToGrid w:val="0"/>
              <w:jc w:val="center"/>
              <w:rPr>
                <w:bCs/>
                <w:sz w:val="24"/>
              </w:rPr>
            </w:pPr>
            <w:r>
              <w:rPr>
                <w:rFonts w:hAnsi="宋体"/>
                <w:bCs/>
                <w:sz w:val="24"/>
              </w:rPr>
              <w:t>运营期环境影响和保护措施</w:t>
            </w:r>
          </w:p>
        </w:tc>
        <w:tc>
          <w:tcPr>
            <w:tcW w:w="9116" w:type="dxa"/>
          </w:tcPr>
          <w:p w14:paraId="6F55D27B">
            <w:pPr>
              <w:adjustRightInd w:val="0"/>
              <w:snapToGrid w:val="0"/>
              <w:spacing w:line="360" w:lineRule="auto"/>
              <w:jc w:val="left"/>
              <w:rPr>
                <w:b/>
                <w:bCs/>
                <w:sz w:val="24"/>
              </w:rPr>
            </w:pPr>
            <w:r>
              <w:rPr>
                <w:rFonts w:hint="eastAsia"/>
                <w:b/>
                <w:bCs/>
                <w:sz w:val="24"/>
              </w:rPr>
              <w:t>1、运营期废气环境影响和保护措施</w:t>
            </w:r>
          </w:p>
          <w:p w14:paraId="4A78BE6E">
            <w:pPr>
              <w:adjustRightInd w:val="0"/>
              <w:snapToGrid w:val="0"/>
              <w:spacing w:line="360" w:lineRule="auto"/>
              <w:jc w:val="left"/>
              <w:rPr>
                <w:b/>
                <w:bCs/>
                <w:sz w:val="24"/>
              </w:rPr>
            </w:pPr>
            <w:bookmarkStart w:id="17" w:name="_Hlk157699154"/>
            <w:r>
              <w:rPr>
                <w:rFonts w:hint="eastAsia"/>
                <w:b/>
                <w:bCs/>
                <w:sz w:val="24"/>
              </w:rPr>
              <w:t>1.1污染源源强核算及达标排放情况</w:t>
            </w:r>
          </w:p>
          <w:p w14:paraId="717A175B">
            <w:pPr>
              <w:pStyle w:val="83"/>
              <w:ind w:firstLine="480"/>
              <w:rPr>
                <w:lang w:bidi="en-US"/>
              </w:rPr>
            </w:pPr>
            <w:r>
              <w:rPr>
                <w:rFonts w:hint="eastAsia"/>
                <w:lang w:bidi="en-US"/>
              </w:rPr>
              <w:t>项目运营期的废气主要为</w:t>
            </w:r>
            <w:r>
              <w:rPr>
                <w:rFonts w:hint="eastAsia"/>
                <w:szCs w:val="21"/>
              </w:rPr>
              <w:t>高频焊接工序产生的焊接烟尘</w:t>
            </w:r>
            <w:r>
              <w:rPr>
                <w:rFonts w:hint="eastAsia"/>
                <w:lang w:bidi="en-US"/>
              </w:rPr>
              <w:t>。</w:t>
            </w:r>
          </w:p>
          <w:p w14:paraId="2FD7C9E3">
            <w:pPr>
              <w:adjustRightInd w:val="0"/>
              <w:snapToGrid w:val="0"/>
              <w:spacing w:line="360" w:lineRule="auto"/>
              <w:ind w:firstLine="480" w:firstLineChars="200"/>
              <w:rPr>
                <w:kern w:val="24"/>
                <w:sz w:val="24"/>
              </w:rPr>
            </w:pPr>
            <w:r>
              <w:rPr>
                <w:rFonts w:hint="eastAsia"/>
                <w:kern w:val="24"/>
                <w:sz w:val="24"/>
              </w:rPr>
              <w:t>项目大气污染物产生量排放量汇总详见表4-1。</w:t>
            </w:r>
          </w:p>
          <w:p w14:paraId="0468C8EF">
            <w:pPr>
              <w:adjustRightInd w:val="0"/>
              <w:snapToGrid w:val="0"/>
              <w:spacing w:line="360" w:lineRule="auto"/>
              <w:ind w:firstLine="482" w:firstLineChars="200"/>
              <w:jc w:val="center"/>
              <w:rPr>
                <w:kern w:val="24"/>
                <w:sz w:val="24"/>
              </w:rPr>
            </w:pPr>
            <w:bookmarkStart w:id="18" w:name="_Hlk197958719"/>
            <w:r>
              <w:rPr>
                <w:rFonts w:hint="eastAsia"/>
                <w:b/>
                <w:kern w:val="24"/>
                <w:sz w:val="24"/>
              </w:rPr>
              <w:t>表4-1  项目大气污染物产生量排放量一览表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137"/>
              <w:gridCol w:w="1428"/>
              <w:gridCol w:w="1639"/>
              <w:gridCol w:w="1562"/>
              <w:gridCol w:w="1562"/>
              <w:gridCol w:w="1562"/>
            </w:tblGrid>
            <w:tr w14:paraId="2C2D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65" w:type="dxa"/>
                  <w:gridSpan w:val="2"/>
                  <w:vAlign w:val="center"/>
                </w:tcPr>
                <w:p w14:paraId="42F12688">
                  <w:pPr>
                    <w:adjustRightInd w:val="0"/>
                    <w:snapToGrid w:val="0"/>
                    <w:jc w:val="center"/>
                    <w:rPr>
                      <w:kern w:val="24"/>
                      <w:szCs w:val="21"/>
                    </w:rPr>
                  </w:pPr>
                  <w:r>
                    <w:rPr>
                      <w:rFonts w:hint="eastAsia"/>
                      <w:kern w:val="24"/>
                      <w:szCs w:val="21"/>
                    </w:rPr>
                    <w:t>产排污环节</w:t>
                  </w:r>
                </w:p>
              </w:tc>
              <w:tc>
                <w:tcPr>
                  <w:tcW w:w="1639" w:type="dxa"/>
                  <w:vAlign w:val="center"/>
                </w:tcPr>
                <w:p w14:paraId="0802C9D0">
                  <w:pPr>
                    <w:adjustRightInd w:val="0"/>
                    <w:snapToGrid w:val="0"/>
                    <w:jc w:val="center"/>
                    <w:rPr>
                      <w:kern w:val="24"/>
                      <w:szCs w:val="21"/>
                    </w:rPr>
                  </w:pPr>
                  <w:r>
                    <w:rPr>
                      <w:rFonts w:hint="eastAsia"/>
                      <w:kern w:val="24"/>
                      <w:szCs w:val="21"/>
                    </w:rPr>
                    <w:t>三车间、四车间高频焊接(DA001)</w:t>
                  </w:r>
                </w:p>
              </w:tc>
              <w:tc>
                <w:tcPr>
                  <w:tcW w:w="1562" w:type="dxa"/>
                  <w:vAlign w:val="center"/>
                </w:tcPr>
                <w:p w14:paraId="1ABB4613">
                  <w:pPr>
                    <w:adjustRightInd w:val="0"/>
                    <w:snapToGrid w:val="0"/>
                    <w:jc w:val="center"/>
                    <w:rPr>
                      <w:kern w:val="24"/>
                      <w:szCs w:val="21"/>
                    </w:rPr>
                  </w:pPr>
                  <w:r>
                    <w:rPr>
                      <w:rFonts w:hint="eastAsia"/>
                      <w:kern w:val="24"/>
                      <w:szCs w:val="21"/>
                    </w:rPr>
                    <w:t>七车间高频焊接(DA002)</w:t>
                  </w:r>
                </w:p>
              </w:tc>
              <w:tc>
                <w:tcPr>
                  <w:tcW w:w="1562" w:type="dxa"/>
                  <w:vAlign w:val="center"/>
                </w:tcPr>
                <w:p w14:paraId="537BE921">
                  <w:pPr>
                    <w:adjustRightInd w:val="0"/>
                    <w:snapToGrid w:val="0"/>
                    <w:jc w:val="center"/>
                    <w:rPr>
                      <w:kern w:val="24"/>
                      <w:szCs w:val="21"/>
                    </w:rPr>
                  </w:pPr>
                  <w:r>
                    <w:rPr>
                      <w:rFonts w:hint="eastAsia"/>
                      <w:kern w:val="24"/>
                      <w:szCs w:val="21"/>
                    </w:rPr>
                    <w:t>八车间高频焊接(DA003)</w:t>
                  </w:r>
                </w:p>
              </w:tc>
              <w:tc>
                <w:tcPr>
                  <w:tcW w:w="1562" w:type="dxa"/>
                  <w:vAlign w:val="center"/>
                </w:tcPr>
                <w:p w14:paraId="0F98A8A6">
                  <w:pPr>
                    <w:adjustRightInd w:val="0"/>
                    <w:snapToGrid w:val="0"/>
                    <w:jc w:val="center"/>
                    <w:rPr>
                      <w:kern w:val="24"/>
                      <w:szCs w:val="21"/>
                    </w:rPr>
                  </w:pPr>
                  <w:r>
                    <w:rPr>
                      <w:rFonts w:hint="eastAsia"/>
                      <w:kern w:val="24"/>
                      <w:szCs w:val="21"/>
                    </w:rPr>
                    <w:t>项目车间未收集焊接烟尘</w:t>
                  </w:r>
                </w:p>
              </w:tc>
            </w:tr>
            <w:tr w14:paraId="1940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65" w:type="dxa"/>
                  <w:gridSpan w:val="2"/>
                  <w:vAlign w:val="center"/>
                </w:tcPr>
                <w:p w14:paraId="6AEC7A6A">
                  <w:pPr>
                    <w:adjustRightInd w:val="0"/>
                    <w:snapToGrid w:val="0"/>
                    <w:jc w:val="center"/>
                    <w:rPr>
                      <w:kern w:val="24"/>
                      <w:szCs w:val="21"/>
                    </w:rPr>
                  </w:pPr>
                  <w:r>
                    <w:rPr>
                      <w:rFonts w:hint="eastAsia"/>
                      <w:kern w:val="24"/>
                      <w:szCs w:val="21"/>
                    </w:rPr>
                    <w:t>污染物种类</w:t>
                  </w:r>
                </w:p>
              </w:tc>
              <w:tc>
                <w:tcPr>
                  <w:tcW w:w="1639" w:type="dxa"/>
                  <w:vAlign w:val="center"/>
                </w:tcPr>
                <w:p w14:paraId="7067D4EB">
                  <w:pPr>
                    <w:adjustRightInd w:val="0"/>
                    <w:snapToGrid w:val="0"/>
                    <w:jc w:val="center"/>
                    <w:rPr>
                      <w:kern w:val="24"/>
                      <w:szCs w:val="21"/>
                    </w:rPr>
                  </w:pPr>
                  <w:r>
                    <w:rPr>
                      <w:rFonts w:hint="eastAsia"/>
                      <w:kern w:val="24"/>
                      <w:szCs w:val="21"/>
                    </w:rPr>
                    <w:t>颗粒物</w:t>
                  </w:r>
                </w:p>
              </w:tc>
              <w:tc>
                <w:tcPr>
                  <w:tcW w:w="1562" w:type="dxa"/>
                  <w:vAlign w:val="center"/>
                </w:tcPr>
                <w:p w14:paraId="3C2F3FA6">
                  <w:pPr>
                    <w:adjustRightInd w:val="0"/>
                    <w:snapToGrid w:val="0"/>
                    <w:jc w:val="center"/>
                    <w:rPr>
                      <w:kern w:val="24"/>
                      <w:szCs w:val="21"/>
                    </w:rPr>
                  </w:pPr>
                  <w:r>
                    <w:rPr>
                      <w:rFonts w:hint="eastAsia"/>
                      <w:kern w:val="24"/>
                      <w:szCs w:val="21"/>
                    </w:rPr>
                    <w:t>颗粒物</w:t>
                  </w:r>
                </w:p>
              </w:tc>
              <w:tc>
                <w:tcPr>
                  <w:tcW w:w="1562" w:type="dxa"/>
                  <w:vAlign w:val="center"/>
                </w:tcPr>
                <w:p w14:paraId="74591812">
                  <w:pPr>
                    <w:adjustRightInd w:val="0"/>
                    <w:snapToGrid w:val="0"/>
                    <w:jc w:val="center"/>
                    <w:rPr>
                      <w:kern w:val="24"/>
                      <w:szCs w:val="21"/>
                    </w:rPr>
                  </w:pPr>
                  <w:r>
                    <w:rPr>
                      <w:rFonts w:hint="eastAsia"/>
                      <w:kern w:val="24"/>
                      <w:szCs w:val="21"/>
                    </w:rPr>
                    <w:t>颗粒物</w:t>
                  </w:r>
                </w:p>
              </w:tc>
              <w:tc>
                <w:tcPr>
                  <w:tcW w:w="1562" w:type="dxa"/>
                  <w:vAlign w:val="center"/>
                </w:tcPr>
                <w:p w14:paraId="577E37B9">
                  <w:pPr>
                    <w:adjustRightInd w:val="0"/>
                    <w:snapToGrid w:val="0"/>
                    <w:jc w:val="center"/>
                    <w:rPr>
                      <w:kern w:val="24"/>
                      <w:szCs w:val="21"/>
                    </w:rPr>
                  </w:pPr>
                  <w:r>
                    <w:rPr>
                      <w:rFonts w:hint="eastAsia"/>
                      <w:kern w:val="24"/>
                      <w:szCs w:val="21"/>
                    </w:rPr>
                    <w:t>颗粒物</w:t>
                  </w:r>
                </w:p>
              </w:tc>
            </w:tr>
            <w:tr w14:paraId="3A03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65" w:type="dxa"/>
                  <w:gridSpan w:val="2"/>
                  <w:vAlign w:val="center"/>
                </w:tcPr>
                <w:p w14:paraId="6A9FC6E3">
                  <w:pPr>
                    <w:adjustRightInd w:val="0"/>
                    <w:snapToGrid w:val="0"/>
                    <w:jc w:val="center"/>
                    <w:rPr>
                      <w:kern w:val="24"/>
                      <w:szCs w:val="21"/>
                    </w:rPr>
                  </w:pPr>
                  <w:r>
                    <w:rPr>
                      <w:rFonts w:hint="eastAsia"/>
                      <w:kern w:val="24"/>
                      <w:szCs w:val="21"/>
                    </w:rPr>
                    <w:t>污染物产生量(t/a)</w:t>
                  </w:r>
                </w:p>
              </w:tc>
              <w:tc>
                <w:tcPr>
                  <w:tcW w:w="1639" w:type="dxa"/>
                  <w:vAlign w:val="center"/>
                </w:tcPr>
                <w:p w14:paraId="0495E10C">
                  <w:pPr>
                    <w:adjustRightInd w:val="0"/>
                    <w:snapToGrid w:val="0"/>
                    <w:jc w:val="center"/>
                    <w:rPr>
                      <w:kern w:val="24"/>
                      <w:szCs w:val="21"/>
                    </w:rPr>
                  </w:pPr>
                  <w:r>
                    <w:t>0.37</w:t>
                  </w:r>
                </w:p>
              </w:tc>
              <w:tc>
                <w:tcPr>
                  <w:tcW w:w="1562" w:type="dxa"/>
                  <w:vAlign w:val="center"/>
                </w:tcPr>
                <w:p w14:paraId="317D8E77">
                  <w:pPr>
                    <w:adjustRightInd w:val="0"/>
                    <w:snapToGrid w:val="0"/>
                    <w:jc w:val="center"/>
                  </w:pPr>
                  <w:r>
                    <w:t>1.12</w:t>
                  </w:r>
                </w:p>
              </w:tc>
              <w:tc>
                <w:tcPr>
                  <w:tcW w:w="1562" w:type="dxa"/>
                  <w:vAlign w:val="center"/>
                </w:tcPr>
                <w:p w14:paraId="4C1776CE">
                  <w:pPr>
                    <w:adjustRightInd w:val="0"/>
                    <w:snapToGrid w:val="0"/>
                    <w:jc w:val="center"/>
                  </w:pPr>
                  <w:r>
                    <w:t>0.75</w:t>
                  </w:r>
                </w:p>
              </w:tc>
              <w:tc>
                <w:tcPr>
                  <w:tcW w:w="1562" w:type="dxa"/>
                  <w:vAlign w:val="center"/>
                </w:tcPr>
                <w:p w14:paraId="678EBCD3">
                  <w:pPr>
                    <w:adjustRightInd w:val="0"/>
                    <w:snapToGrid w:val="0"/>
                    <w:jc w:val="center"/>
                    <w:rPr>
                      <w:kern w:val="24"/>
                      <w:szCs w:val="21"/>
                    </w:rPr>
                  </w:pPr>
                  <w:r>
                    <w:t>0.22</w:t>
                  </w:r>
                </w:p>
              </w:tc>
            </w:tr>
            <w:tr w14:paraId="5A5A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65" w:type="dxa"/>
                  <w:gridSpan w:val="2"/>
                  <w:vAlign w:val="center"/>
                </w:tcPr>
                <w:p w14:paraId="65DEEF55">
                  <w:pPr>
                    <w:adjustRightInd w:val="0"/>
                    <w:snapToGrid w:val="0"/>
                    <w:jc w:val="center"/>
                    <w:rPr>
                      <w:kern w:val="24"/>
                      <w:szCs w:val="21"/>
                    </w:rPr>
                  </w:pPr>
                  <w:r>
                    <w:rPr>
                      <w:rFonts w:hint="eastAsia"/>
                      <w:kern w:val="24"/>
                      <w:szCs w:val="21"/>
                    </w:rPr>
                    <w:t>污染物产生速率(</w:t>
                  </w:r>
                  <w:r>
                    <w:rPr>
                      <w:kern w:val="24"/>
                      <w:szCs w:val="21"/>
                    </w:rPr>
                    <w:t>kg/h</w:t>
                  </w:r>
                  <w:r>
                    <w:rPr>
                      <w:rFonts w:hint="eastAsia"/>
                      <w:kern w:val="24"/>
                      <w:szCs w:val="21"/>
                    </w:rPr>
                    <w:t>)</w:t>
                  </w:r>
                </w:p>
              </w:tc>
              <w:tc>
                <w:tcPr>
                  <w:tcW w:w="1639" w:type="dxa"/>
                  <w:vAlign w:val="center"/>
                </w:tcPr>
                <w:p w14:paraId="34906AC5">
                  <w:pPr>
                    <w:adjustRightInd w:val="0"/>
                    <w:snapToGrid w:val="0"/>
                    <w:jc w:val="center"/>
                    <w:rPr>
                      <w:szCs w:val="21"/>
                    </w:rPr>
                  </w:pPr>
                  <w:r>
                    <w:rPr>
                      <w:rFonts w:hint="eastAsia"/>
                    </w:rPr>
                    <w:t>0.06</w:t>
                  </w:r>
                </w:p>
              </w:tc>
              <w:tc>
                <w:tcPr>
                  <w:tcW w:w="1562" w:type="dxa"/>
                  <w:vAlign w:val="center"/>
                </w:tcPr>
                <w:p w14:paraId="7FC535CC">
                  <w:pPr>
                    <w:adjustRightInd w:val="0"/>
                    <w:snapToGrid w:val="0"/>
                    <w:jc w:val="center"/>
                    <w:rPr>
                      <w:kern w:val="24"/>
                      <w:szCs w:val="21"/>
                    </w:rPr>
                  </w:pPr>
                  <w:r>
                    <w:rPr>
                      <w:kern w:val="24"/>
                      <w:szCs w:val="21"/>
                    </w:rPr>
                    <w:t>0.18</w:t>
                  </w:r>
                </w:p>
              </w:tc>
              <w:tc>
                <w:tcPr>
                  <w:tcW w:w="1562" w:type="dxa"/>
                  <w:vAlign w:val="center"/>
                </w:tcPr>
                <w:p w14:paraId="0FB7757C">
                  <w:pPr>
                    <w:adjustRightInd w:val="0"/>
                    <w:snapToGrid w:val="0"/>
                    <w:jc w:val="center"/>
                    <w:rPr>
                      <w:kern w:val="24"/>
                      <w:szCs w:val="21"/>
                    </w:rPr>
                  </w:pPr>
                  <w:r>
                    <w:rPr>
                      <w:kern w:val="24"/>
                      <w:szCs w:val="21"/>
                    </w:rPr>
                    <w:t>0.12</w:t>
                  </w:r>
                </w:p>
              </w:tc>
              <w:tc>
                <w:tcPr>
                  <w:tcW w:w="1562" w:type="dxa"/>
                  <w:vAlign w:val="center"/>
                </w:tcPr>
                <w:p w14:paraId="235CC7B5">
                  <w:pPr>
                    <w:adjustRightInd w:val="0"/>
                    <w:snapToGrid w:val="0"/>
                    <w:jc w:val="center"/>
                    <w:rPr>
                      <w:kern w:val="24"/>
                      <w:szCs w:val="21"/>
                    </w:rPr>
                  </w:pPr>
                  <w:r>
                    <w:rPr>
                      <w:rFonts w:hint="eastAsia"/>
                      <w:kern w:val="24"/>
                      <w:szCs w:val="21"/>
                    </w:rPr>
                    <w:t>/</w:t>
                  </w:r>
                </w:p>
              </w:tc>
            </w:tr>
            <w:tr w14:paraId="6FF2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65" w:type="dxa"/>
                  <w:gridSpan w:val="2"/>
                  <w:vAlign w:val="center"/>
                </w:tcPr>
                <w:p w14:paraId="22E692B3">
                  <w:pPr>
                    <w:adjustRightInd w:val="0"/>
                    <w:snapToGrid w:val="0"/>
                    <w:jc w:val="center"/>
                    <w:rPr>
                      <w:kern w:val="24"/>
                      <w:szCs w:val="21"/>
                    </w:rPr>
                  </w:pPr>
                  <w:r>
                    <w:rPr>
                      <w:rFonts w:hint="eastAsia"/>
                      <w:kern w:val="24"/>
                      <w:szCs w:val="21"/>
                    </w:rPr>
                    <w:t>污染物产生浓度(mg/m</w:t>
                  </w:r>
                  <w:r>
                    <w:rPr>
                      <w:rFonts w:hint="eastAsia"/>
                      <w:kern w:val="24"/>
                      <w:szCs w:val="21"/>
                      <w:vertAlign w:val="superscript"/>
                    </w:rPr>
                    <w:t>3</w:t>
                  </w:r>
                  <w:r>
                    <w:rPr>
                      <w:rFonts w:hint="eastAsia"/>
                      <w:kern w:val="24"/>
                      <w:szCs w:val="21"/>
                    </w:rPr>
                    <w:t>)</w:t>
                  </w:r>
                </w:p>
              </w:tc>
              <w:tc>
                <w:tcPr>
                  <w:tcW w:w="1639" w:type="dxa"/>
                  <w:vAlign w:val="center"/>
                </w:tcPr>
                <w:p w14:paraId="6A3FFC56">
                  <w:pPr>
                    <w:adjustRightInd w:val="0"/>
                    <w:snapToGrid w:val="0"/>
                    <w:jc w:val="center"/>
                    <w:rPr>
                      <w:kern w:val="24"/>
                      <w:szCs w:val="21"/>
                    </w:rPr>
                  </w:pPr>
                  <w:r>
                    <w:rPr>
                      <w:rFonts w:hint="eastAsia"/>
                      <w:kern w:val="24"/>
                      <w:szCs w:val="21"/>
                    </w:rPr>
                    <w:t>12</w:t>
                  </w:r>
                </w:p>
              </w:tc>
              <w:tc>
                <w:tcPr>
                  <w:tcW w:w="1562" w:type="dxa"/>
                  <w:vAlign w:val="center"/>
                </w:tcPr>
                <w:p w14:paraId="66E6B1ED">
                  <w:pPr>
                    <w:adjustRightInd w:val="0"/>
                    <w:snapToGrid w:val="0"/>
                    <w:jc w:val="center"/>
                    <w:rPr>
                      <w:kern w:val="24"/>
                      <w:szCs w:val="21"/>
                    </w:rPr>
                  </w:pPr>
                  <w:r>
                    <w:rPr>
                      <w:kern w:val="24"/>
                      <w:szCs w:val="21"/>
                    </w:rPr>
                    <w:t>12.67</w:t>
                  </w:r>
                </w:p>
              </w:tc>
              <w:tc>
                <w:tcPr>
                  <w:tcW w:w="1562" w:type="dxa"/>
                  <w:vAlign w:val="center"/>
                </w:tcPr>
                <w:p w14:paraId="2BFEDDD9">
                  <w:pPr>
                    <w:adjustRightInd w:val="0"/>
                    <w:snapToGrid w:val="0"/>
                    <w:jc w:val="center"/>
                    <w:rPr>
                      <w:kern w:val="24"/>
                      <w:szCs w:val="21"/>
                    </w:rPr>
                  </w:pPr>
                  <w:r>
                    <w:rPr>
                      <w:kern w:val="24"/>
                      <w:szCs w:val="21"/>
                    </w:rPr>
                    <w:t>12</w:t>
                  </w:r>
                </w:p>
              </w:tc>
              <w:tc>
                <w:tcPr>
                  <w:tcW w:w="1562" w:type="dxa"/>
                  <w:vAlign w:val="center"/>
                </w:tcPr>
                <w:p w14:paraId="09A4140D">
                  <w:pPr>
                    <w:adjustRightInd w:val="0"/>
                    <w:snapToGrid w:val="0"/>
                    <w:jc w:val="center"/>
                    <w:rPr>
                      <w:kern w:val="24"/>
                      <w:szCs w:val="21"/>
                    </w:rPr>
                  </w:pPr>
                  <w:r>
                    <w:rPr>
                      <w:rFonts w:hint="eastAsia"/>
                      <w:kern w:val="24"/>
                      <w:szCs w:val="21"/>
                    </w:rPr>
                    <w:t>/</w:t>
                  </w:r>
                </w:p>
              </w:tc>
            </w:tr>
            <w:tr w14:paraId="254E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65" w:type="dxa"/>
                  <w:gridSpan w:val="2"/>
                  <w:vAlign w:val="center"/>
                </w:tcPr>
                <w:p w14:paraId="54D214AA">
                  <w:pPr>
                    <w:adjustRightInd w:val="0"/>
                    <w:snapToGrid w:val="0"/>
                    <w:jc w:val="center"/>
                    <w:rPr>
                      <w:kern w:val="24"/>
                      <w:szCs w:val="21"/>
                    </w:rPr>
                  </w:pPr>
                  <w:r>
                    <w:rPr>
                      <w:rFonts w:hint="eastAsia"/>
                      <w:kern w:val="24"/>
                      <w:szCs w:val="21"/>
                    </w:rPr>
                    <w:t>排放形式</w:t>
                  </w:r>
                </w:p>
              </w:tc>
              <w:tc>
                <w:tcPr>
                  <w:tcW w:w="1639" w:type="dxa"/>
                  <w:vAlign w:val="center"/>
                </w:tcPr>
                <w:p w14:paraId="48FD38E3">
                  <w:pPr>
                    <w:adjustRightInd w:val="0"/>
                    <w:snapToGrid w:val="0"/>
                    <w:jc w:val="center"/>
                    <w:rPr>
                      <w:kern w:val="24"/>
                      <w:szCs w:val="21"/>
                    </w:rPr>
                  </w:pPr>
                  <w:r>
                    <w:rPr>
                      <w:rFonts w:hint="eastAsia"/>
                      <w:kern w:val="24"/>
                      <w:szCs w:val="21"/>
                    </w:rPr>
                    <w:t>有组织</w:t>
                  </w:r>
                </w:p>
              </w:tc>
              <w:tc>
                <w:tcPr>
                  <w:tcW w:w="1562" w:type="dxa"/>
                  <w:vAlign w:val="center"/>
                </w:tcPr>
                <w:p w14:paraId="59D0AC23">
                  <w:pPr>
                    <w:adjustRightInd w:val="0"/>
                    <w:snapToGrid w:val="0"/>
                    <w:jc w:val="center"/>
                    <w:rPr>
                      <w:kern w:val="24"/>
                      <w:szCs w:val="21"/>
                    </w:rPr>
                  </w:pPr>
                  <w:r>
                    <w:rPr>
                      <w:rFonts w:hint="eastAsia"/>
                      <w:kern w:val="24"/>
                      <w:szCs w:val="21"/>
                    </w:rPr>
                    <w:t>有组织</w:t>
                  </w:r>
                </w:p>
              </w:tc>
              <w:tc>
                <w:tcPr>
                  <w:tcW w:w="1562" w:type="dxa"/>
                  <w:vAlign w:val="center"/>
                </w:tcPr>
                <w:p w14:paraId="4A1D0E39">
                  <w:pPr>
                    <w:adjustRightInd w:val="0"/>
                    <w:snapToGrid w:val="0"/>
                    <w:jc w:val="center"/>
                    <w:rPr>
                      <w:kern w:val="24"/>
                      <w:szCs w:val="21"/>
                    </w:rPr>
                  </w:pPr>
                  <w:r>
                    <w:rPr>
                      <w:rFonts w:hint="eastAsia"/>
                      <w:kern w:val="24"/>
                      <w:szCs w:val="21"/>
                    </w:rPr>
                    <w:t>有组织</w:t>
                  </w:r>
                </w:p>
              </w:tc>
              <w:tc>
                <w:tcPr>
                  <w:tcW w:w="1562" w:type="dxa"/>
                  <w:vAlign w:val="center"/>
                </w:tcPr>
                <w:p w14:paraId="3BEA807A">
                  <w:pPr>
                    <w:adjustRightInd w:val="0"/>
                    <w:snapToGrid w:val="0"/>
                    <w:jc w:val="center"/>
                    <w:rPr>
                      <w:kern w:val="24"/>
                      <w:szCs w:val="21"/>
                    </w:rPr>
                  </w:pPr>
                  <w:r>
                    <w:rPr>
                      <w:rFonts w:hint="eastAsia"/>
                      <w:kern w:val="24"/>
                      <w:szCs w:val="21"/>
                    </w:rPr>
                    <w:t>无组织</w:t>
                  </w:r>
                </w:p>
              </w:tc>
            </w:tr>
            <w:tr w14:paraId="5C9D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37" w:type="dxa"/>
                  <w:vMerge w:val="restart"/>
                  <w:vAlign w:val="center"/>
                </w:tcPr>
                <w:p w14:paraId="56728402">
                  <w:pPr>
                    <w:adjustRightInd w:val="0"/>
                    <w:snapToGrid w:val="0"/>
                    <w:jc w:val="center"/>
                    <w:rPr>
                      <w:kern w:val="24"/>
                      <w:szCs w:val="21"/>
                    </w:rPr>
                  </w:pPr>
                  <w:r>
                    <w:rPr>
                      <w:rFonts w:hint="eastAsia"/>
                      <w:kern w:val="24"/>
                      <w:szCs w:val="21"/>
                    </w:rPr>
                    <w:t>治理设施</w:t>
                  </w:r>
                </w:p>
              </w:tc>
              <w:tc>
                <w:tcPr>
                  <w:tcW w:w="1428" w:type="dxa"/>
                  <w:vAlign w:val="center"/>
                </w:tcPr>
                <w:p w14:paraId="023F1BB2">
                  <w:pPr>
                    <w:adjustRightInd w:val="0"/>
                    <w:snapToGrid w:val="0"/>
                    <w:jc w:val="center"/>
                    <w:rPr>
                      <w:kern w:val="24"/>
                      <w:szCs w:val="21"/>
                    </w:rPr>
                  </w:pPr>
                  <w:r>
                    <w:rPr>
                      <w:rFonts w:hint="eastAsia"/>
                      <w:kern w:val="24"/>
                      <w:szCs w:val="21"/>
                    </w:rPr>
                    <w:t>治理工艺</w:t>
                  </w:r>
                </w:p>
              </w:tc>
              <w:tc>
                <w:tcPr>
                  <w:tcW w:w="1639" w:type="dxa"/>
                  <w:vAlign w:val="center"/>
                </w:tcPr>
                <w:p w14:paraId="4D4CAA15">
                  <w:pPr>
                    <w:adjustRightInd w:val="0"/>
                    <w:snapToGrid w:val="0"/>
                    <w:jc w:val="center"/>
                    <w:rPr>
                      <w:kern w:val="24"/>
                      <w:szCs w:val="21"/>
                    </w:rPr>
                  </w:pPr>
                  <w:r>
                    <w:rPr>
                      <w:rFonts w:hint="eastAsia"/>
                      <w:kern w:val="24"/>
                      <w:szCs w:val="21"/>
                    </w:rPr>
                    <w:t>1套集气罩(</w:t>
                  </w:r>
                  <w:r>
                    <w:rPr>
                      <w:rFonts w:hint="eastAsia"/>
                      <w:szCs w:val="21"/>
                    </w:rPr>
                    <w:t>四周设置软帘</w:t>
                  </w:r>
                  <w:r>
                    <w:rPr>
                      <w:kern w:val="24"/>
                      <w:szCs w:val="21"/>
                    </w:rPr>
                    <w:t>)</w:t>
                  </w:r>
                  <w:r>
                    <w:rPr>
                      <w:rFonts w:hint="eastAsia"/>
                      <w:kern w:val="24"/>
                      <w:szCs w:val="21"/>
                    </w:rPr>
                    <w:t>+袋式除尘器（TA001）</w:t>
                  </w:r>
                </w:p>
              </w:tc>
              <w:tc>
                <w:tcPr>
                  <w:tcW w:w="1562" w:type="dxa"/>
                  <w:vAlign w:val="center"/>
                </w:tcPr>
                <w:p w14:paraId="077404A2">
                  <w:pPr>
                    <w:adjustRightInd w:val="0"/>
                    <w:snapToGrid w:val="0"/>
                    <w:jc w:val="center"/>
                    <w:rPr>
                      <w:kern w:val="24"/>
                      <w:szCs w:val="21"/>
                    </w:rPr>
                  </w:pPr>
                  <w:r>
                    <w:rPr>
                      <w:rFonts w:hint="eastAsia"/>
                      <w:kern w:val="24"/>
                      <w:szCs w:val="21"/>
                    </w:rPr>
                    <w:t>3套集气罩(四周设置软帘)+布袋除尘器（TA002、TA003、TA004）</w:t>
                  </w:r>
                </w:p>
              </w:tc>
              <w:tc>
                <w:tcPr>
                  <w:tcW w:w="1562" w:type="dxa"/>
                  <w:vAlign w:val="center"/>
                </w:tcPr>
                <w:p w14:paraId="33866E4F">
                  <w:pPr>
                    <w:adjustRightInd w:val="0"/>
                    <w:snapToGrid w:val="0"/>
                    <w:jc w:val="center"/>
                    <w:rPr>
                      <w:kern w:val="24"/>
                      <w:szCs w:val="21"/>
                    </w:rPr>
                  </w:pPr>
                  <w:r>
                    <w:rPr>
                      <w:rFonts w:hint="eastAsia"/>
                      <w:kern w:val="24"/>
                      <w:szCs w:val="21"/>
                    </w:rPr>
                    <w:t>2套集气罩(四周设置软帘)+布袋除尘器（TA005、TA006）</w:t>
                  </w:r>
                </w:p>
              </w:tc>
              <w:tc>
                <w:tcPr>
                  <w:tcW w:w="1562" w:type="dxa"/>
                  <w:vAlign w:val="center"/>
                </w:tcPr>
                <w:p w14:paraId="3F49595C">
                  <w:pPr>
                    <w:adjustRightInd w:val="0"/>
                    <w:snapToGrid w:val="0"/>
                    <w:jc w:val="center"/>
                    <w:rPr>
                      <w:kern w:val="24"/>
                      <w:szCs w:val="21"/>
                    </w:rPr>
                  </w:pPr>
                  <w:r>
                    <w:rPr>
                      <w:rFonts w:hint="eastAsia"/>
                      <w:kern w:val="24"/>
                      <w:szCs w:val="21"/>
                    </w:rPr>
                    <w:t>封闭式厂房，重力沉降</w:t>
                  </w:r>
                </w:p>
              </w:tc>
            </w:tr>
            <w:tr w14:paraId="62D3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37" w:type="dxa"/>
                  <w:vMerge w:val="continue"/>
                  <w:vAlign w:val="center"/>
                </w:tcPr>
                <w:p w14:paraId="21A184DD">
                  <w:pPr>
                    <w:adjustRightInd w:val="0"/>
                    <w:snapToGrid w:val="0"/>
                    <w:jc w:val="center"/>
                    <w:rPr>
                      <w:kern w:val="24"/>
                      <w:szCs w:val="21"/>
                    </w:rPr>
                  </w:pPr>
                </w:p>
              </w:tc>
              <w:tc>
                <w:tcPr>
                  <w:tcW w:w="1428" w:type="dxa"/>
                  <w:vAlign w:val="center"/>
                </w:tcPr>
                <w:p w14:paraId="4C72D007">
                  <w:pPr>
                    <w:adjustRightInd w:val="0"/>
                    <w:snapToGrid w:val="0"/>
                    <w:jc w:val="center"/>
                    <w:rPr>
                      <w:kern w:val="24"/>
                      <w:szCs w:val="21"/>
                    </w:rPr>
                  </w:pPr>
                  <w:r>
                    <w:rPr>
                      <w:rFonts w:hint="eastAsia"/>
                      <w:kern w:val="24"/>
                      <w:szCs w:val="21"/>
                    </w:rPr>
                    <w:t>处理能力(m</w:t>
                  </w:r>
                  <w:r>
                    <w:rPr>
                      <w:rFonts w:hint="eastAsia"/>
                      <w:kern w:val="24"/>
                      <w:szCs w:val="21"/>
                      <w:vertAlign w:val="superscript"/>
                    </w:rPr>
                    <w:t>3</w:t>
                  </w:r>
                  <w:r>
                    <w:rPr>
                      <w:rFonts w:hint="eastAsia"/>
                      <w:kern w:val="24"/>
                      <w:szCs w:val="21"/>
                    </w:rPr>
                    <w:t>/h)</w:t>
                  </w:r>
                </w:p>
              </w:tc>
              <w:tc>
                <w:tcPr>
                  <w:tcW w:w="1639" w:type="dxa"/>
                  <w:vAlign w:val="center"/>
                </w:tcPr>
                <w:p w14:paraId="771E74FF">
                  <w:pPr>
                    <w:adjustRightInd w:val="0"/>
                    <w:snapToGrid w:val="0"/>
                    <w:jc w:val="center"/>
                    <w:rPr>
                      <w:kern w:val="24"/>
                      <w:szCs w:val="21"/>
                    </w:rPr>
                  </w:pPr>
                  <w:r>
                    <w:rPr>
                      <w:szCs w:val="21"/>
                    </w:rPr>
                    <w:t>5000</w:t>
                  </w:r>
                </w:p>
              </w:tc>
              <w:tc>
                <w:tcPr>
                  <w:tcW w:w="1562" w:type="dxa"/>
                  <w:vAlign w:val="center"/>
                </w:tcPr>
                <w:p w14:paraId="725336D0">
                  <w:pPr>
                    <w:adjustRightInd w:val="0"/>
                    <w:snapToGrid w:val="0"/>
                    <w:jc w:val="center"/>
                    <w:rPr>
                      <w:kern w:val="24"/>
                      <w:szCs w:val="21"/>
                    </w:rPr>
                  </w:pPr>
                  <w:r>
                    <w:rPr>
                      <w:rFonts w:hint="eastAsia"/>
                      <w:kern w:val="24"/>
                      <w:szCs w:val="21"/>
                    </w:rPr>
                    <w:t>15000</w:t>
                  </w:r>
                </w:p>
              </w:tc>
              <w:tc>
                <w:tcPr>
                  <w:tcW w:w="1562" w:type="dxa"/>
                  <w:vAlign w:val="center"/>
                </w:tcPr>
                <w:p w14:paraId="6385C798">
                  <w:pPr>
                    <w:adjustRightInd w:val="0"/>
                    <w:snapToGrid w:val="0"/>
                    <w:jc w:val="center"/>
                    <w:rPr>
                      <w:kern w:val="24"/>
                      <w:szCs w:val="21"/>
                    </w:rPr>
                  </w:pPr>
                  <w:r>
                    <w:rPr>
                      <w:rFonts w:hint="eastAsia"/>
                      <w:kern w:val="24"/>
                      <w:szCs w:val="21"/>
                    </w:rPr>
                    <w:t>10000</w:t>
                  </w:r>
                </w:p>
              </w:tc>
              <w:tc>
                <w:tcPr>
                  <w:tcW w:w="1562" w:type="dxa"/>
                  <w:vAlign w:val="center"/>
                </w:tcPr>
                <w:p w14:paraId="27F1209D">
                  <w:pPr>
                    <w:adjustRightInd w:val="0"/>
                    <w:snapToGrid w:val="0"/>
                    <w:jc w:val="center"/>
                    <w:rPr>
                      <w:kern w:val="24"/>
                      <w:szCs w:val="21"/>
                    </w:rPr>
                  </w:pPr>
                  <w:r>
                    <w:rPr>
                      <w:rFonts w:hint="eastAsia"/>
                      <w:kern w:val="24"/>
                      <w:szCs w:val="21"/>
                    </w:rPr>
                    <w:t>/</w:t>
                  </w:r>
                </w:p>
              </w:tc>
            </w:tr>
            <w:tr w14:paraId="3693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37" w:type="dxa"/>
                  <w:vMerge w:val="continue"/>
                  <w:vAlign w:val="center"/>
                </w:tcPr>
                <w:p w14:paraId="5807E36A">
                  <w:pPr>
                    <w:adjustRightInd w:val="0"/>
                    <w:snapToGrid w:val="0"/>
                    <w:jc w:val="center"/>
                    <w:rPr>
                      <w:kern w:val="24"/>
                      <w:szCs w:val="21"/>
                    </w:rPr>
                  </w:pPr>
                </w:p>
              </w:tc>
              <w:tc>
                <w:tcPr>
                  <w:tcW w:w="1428" w:type="dxa"/>
                  <w:vAlign w:val="center"/>
                </w:tcPr>
                <w:p w14:paraId="41AC4721">
                  <w:pPr>
                    <w:adjustRightInd w:val="0"/>
                    <w:snapToGrid w:val="0"/>
                    <w:jc w:val="center"/>
                    <w:rPr>
                      <w:kern w:val="24"/>
                      <w:szCs w:val="21"/>
                    </w:rPr>
                  </w:pPr>
                  <w:r>
                    <w:rPr>
                      <w:rFonts w:hint="eastAsia"/>
                      <w:kern w:val="24"/>
                      <w:szCs w:val="21"/>
                    </w:rPr>
                    <w:t>收集效率(%)</w:t>
                  </w:r>
                </w:p>
              </w:tc>
              <w:tc>
                <w:tcPr>
                  <w:tcW w:w="1639" w:type="dxa"/>
                  <w:vAlign w:val="center"/>
                </w:tcPr>
                <w:p w14:paraId="4CF5C5E3">
                  <w:pPr>
                    <w:adjustRightInd w:val="0"/>
                    <w:snapToGrid w:val="0"/>
                    <w:jc w:val="center"/>
                    <w:rPr>
                      <w:kern w:val="24"/>
                      <w:szCs w:val="21"/>
                    </w:rPr>
                  </w:pPr>
                  <w:r>
                    <w:rPr>
                      <w:kern w:val="24"/>
                      <w:szCs w:val="21"/>
                    </w:rPr>
                    <w:t>90</w:t>
                  </w:r>
                </w:p>
              </w:tc>
              <w:tc>
                <w:tcPr>
                  <w:tcW w:w="1562" w:type="dxa"/>
                  <w:vAlign w:val="center"/>
                </w:tcPr>
                <w:p w14:paraId="0404DEF4">
                  <w:pPr>
                    <w:adjustRightInd w:val="0"/>
                    <w:snapToGrid w:val="0"/>
                    <w:jc w:val="center"/>
                    <w:rPr>
                      <w:kern w:val="24"/>
                      <w:szCs w:val="21"/>
                    </w:rPr>
                  </w:pPr>
                  <w:r>
                    <w:rPr>
                      <w:kern w:val="24"/>
                      <w:szCs w:val="21"/>
                    </w:rPr>
                    <w:t>90</w:t>
                  </w:r>
                </w:p>
              </w:tc>
              <w:tc>
                <w:tcPr>
                  <w:tcW w:w="1562" w:type="dxa"/>
                  <w:vAlign w:val="center"/>
                </w:tcPr>
                <w:p w14:paraId="26A35608">
                  <w:pPr>
                    <w:adjustRightInd w:val="0"/>
                    <w:snapToGrid w:val="0"/>
                    <w:jc w:val="center"/>
                    <w:rPr>
                      <w:kern w:val="24"/>
                      <w:szCs w:val="21"/>
                    </w:rPr>
                  </w:pPr>
                  <w:r>
                    <w:rPr>
                      <w:kern w:val="24"/>
                      <w:szCs w:val="21"/>
                    </w:rPr>
                    <w:t>90</w:t>
                  </w:r>
                </w:p>
              </w:tc>
              <w:tc>
                <w:tcPr>
                  <w:tcW w:w="1562" w:type="dxa"/>
                  <w:vAlign w:val="center"/>
                </w:tcPr>
                <w:p w14:paraId="1DDF6B53">
                  <w:pPr>
                    <w:adjustRightInd w:val="0"/>
                    <w:snapToGrid w:val="0"/>
                    <w:jc w:val="center"/>
                    <w:rPr>
                      <w:kern w:val="24"/>
                      <w:szCs w:val="21"/>
                    </w:rPr>
                  </w:pPr>
                  <w:r>
                    <w:rPr>
                      <w:rFonts w:hint="eastAsia"/>
                      <w:kern w:val="24"/>
                      <w:szCs w:val="21"/>
                    </w:rPr>
                    <w:t>/</w:t>
                  </w:r>
                </w:p>
              </w:tc>
            </w:tr>
            <w:tr w14:paraId="71FD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37" w:type="dxa"/>
                  <w:vMerge w:val="continue"/>
                  <w:vAlign w:val="center"/>
                </w:tcPr>
                <w:p w14:paraId="47682206">
                  <w:pPr>
                    <w:adjustRightInd w:val="0"/>
                    <w:snapToGrid w:val="0"/>
                    <w:jc w:val="center"/>
                    <w:rPr>
                      <w:kern w:val="24"/>
                      <w:szCs w:val="21"/>
                    </w:rPr>
                  </w:pPr>
                </w:p>
              </w:tc>
              <w:tc>
                <w:tcPr>
                  <w:tcW w:w="1428" w:type="dxa"/>
                  <w:vAlign w:val="center"/>
                </w:tcPr>
                <w:p w14:paraId="00EE1CA5">
                  <w:pPr>
                    <w:adjustRightInd w:val="0"/>
                    <w:snapToGrid w:val="0"/>
                    <w:jc w:val="center"/>
                    <w:rPr>
                      <w:kern w:val="24"/>
                      <w:szCs w:val="21"/>
                    </w:rPr>
                  </w:pPr>
                  <w:r>
                    <w:rPr>
                      <w:rFonts w:hint="eastAsia"/>
                      <w:kern w:val="24"/>
                      <w:szCs w:val="21"/>
                    </w:rPr>
                    <w:t>去除率(%)</w:t>
                  </w:r>
                </w:p>
              </w:tc>
              <w:tc>
                <w:tcPr>
                  <w:tcW w:w="1639" w:type="dxa"/>
                  <w:vAlign w:val="center"/>
                </w:tcPr>
                <w:p w14:paraId="705825F9">
                  <w:pPr>
                    <w:adjustRightInd w:val="0"/>
                    <w:snapToGrid w:val="0"/>
                    <w:jc w:val="center"/>
                    <w:rPr>
                      <w:kern w:val="24"/>
                      <w:szCs w:val="21"/>
                    </w:rPr>
                  </w:pPr>
                  <w:r>
                    <w:rPr>
                      <w:rFonts w:hint="eastAsia"/>
                      <w:kern w:val="24"/>
                      <w:szCs w:val="21"/>
                    </w:rPr>
                    <w:t>9</w:t>
                  </w:r>
                  <w:r>
                    <w:rPr>
                      <w:kern w:val="24"/>
                      <w:szCs w:val="21"/>
                    </w:rPr>
                    <w:t>9</w:t>
                  </w:r>
                </w:p>
              </w:tc>
              <w:tc>
                <w:tcPr>
                  <w:tcW w:w="1562" w:type="dxa"/>
                  <w:vAlign w:val="center"/>
                </w:tcPr>
                <w:p w14:paraId="2C6E6217">
                  <w:pPr>
                    <w:adjustRightInd w:val="0"/>
                    <w:snapToGrid w:val="0"/>
                    <w:jc w:val="center"/>
                    <w:rPr>
                      <w:kern w:val="24"/>
                      <w:szCs w:val="21"/>
                    </w:rPr>
                  </w:pPr>
                  <w:r>
                    <w:rPr>
                      <w:rFonts w:hint="eastAsia"/>
                      <w:kern w:val="24"/>
                      <w:szCs w:val="21"/>
                    </w:rPr>
                    <w:t>9</w:t>
                  </w:r>
                  <w:r>
                    <w:rPr>
                      <w:kern w:val="24"/>
                      <w:szCs w:val="21"/>
                    </w:rPr>
                    <w:t>9</w:t>
                  </w:r>
                </w:p>
              </w:tc>
              <w:tc>
                <w:tcPr>
                  <w:tcW w:w="1562" w:type="dxa"/>
                  <w:vAlign w:val="center"/>
                </w:tcPr>
                <w:p w14:paraId="17560646">
                  <w:pPr>
                    <w:adjustRightInd w:val="0"/>
                    <w:snapToGrid w:val="0"/>
                    <w:jc w:val="center"/>
                    <w:rPr>
                      <w:kern w:val="24"/>
                      <w:szCs w:val="21"/>
                    </w:rPr>
                  </w:pPr>
                  <w:r>
                    <w:rPr>
                      <w:rFonts w:hint="eastAsia"/>
                      <w:kern w:val="24"/>
                      <w:szCs w:val="21"/>
                    </w:rPr>
                    <w:t>9</w:t>
                  </w:r>
                  <w:r>
                    <w:rPr>
                      <w:kern w:val="24"/>
                      <w:szCs w:val="21"/>
                    </w:rPr>
                    <w:t>9</w:t>
                  </w:r>
                </w:p>
              </w:tc>
              <w:tc>
                <w:tcPr>
                  <w:tcW w:w="1562" w:type="dxa"/>
                  <w:vAlign w:val="center"/>
                </w:tcPr>
                <w:p w14:paraId="6ED932FF">
                  <w:pPr>
                    <w:adjustRightInd w:val="0"/>
                    <w:snapToGrid w:val="0"/>
                    <w:jc w:val="center"/>
                    <w:rPr>
                      <w:kern w:val="24"/>
                      <w:szCs w:val="21"/>
                    </w:rPr>
                  </w:pPr>
                  <w:r>
                    <w:rPr>
                      <w:kern w:val="24"/>
                      <w:szCs w:val="21"/>
                    </w:rPr>
                    <w:t>60</w:t>
                  </w:r>
                </w:p>
              </w:tc>
            </w:tr>
            <w:tr w14:paraId="2D19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37" w:type="dxa"/>
                  <w:vMerge w:val="continue"/>
                  <w:vAlign w:val="center"/>
                </w:tcPr>
                <w:p w14:paraId="12610A74">
                  <w:pPr>
                    <w:adjustRightInd w:val="0"/>
                    <w:snapToGrid w:val="0"/>
                    <w:jc w:val="center"/>
                    <w:rPr>
                      <w:kern w:val="24"/>
                      <w:szCs w:val="21"/>
                    </w:rPr>
                  </w:pPr>
                </w:p>
              </w:tc>
              <w:tc>
                <w:tcPr>
                  <w:tcW w:w="1428" w:type="dxa"/>
                  <w:vAlign w:val="center"/>
                </w:tcPr>
                <w:p w14:paraId="2FDABC6A">
                  <w:pPr>
                    <w:adjustRightInd w:val="0"/>
                    <w:snapToGrid w:val="0"/>
                    <w:jc w:val="center"/>
                    <w:rPr>
                      <w:kern w:val="24"/>
                      <w:szCs w:val="21"/>
                    </w:rPr>
                  </w:pPr>
                  <w:r>
                    <w:rPr>
                      <w:rFonts w:hint="eastAsia"/>
                      <w:kern w:val="24"/>
                      <w:szCs w:val="21"/>
                    </w:rPr>
                    <w:t>是否可行技术</w:t>
                  </w:r>
                </w:p>
              </w:tc>
              <w:tc>
                <w:tcPr>
                  <w:tcW w:w="1639" w:type="dxa"/>
                  <w:vAlign w:val="center"/>
                </w:tcPr>
                <w:p w14:paraId="089AD6EF">
                  <w:pPr>
                    <w:adjustRightInd w:val="0"/>
                    <w:snapToGrid w:val="0"/>
                    <w:jc w:val="center"/>
                    <w:rPr>
                      <w:kern w:val="24"/>
                      <w:szCs w:val="21"/>
                    </w:rPr>
                  </w:pPr>
                  <w:r>
                    <w:rPr>
                      <w:rFonts w:hint="eastAsia"/>
                      <w:kern w:val="24"/>
                      <w:szCs w:val="21"/>
                    </w:rPr>
                    <w:t>是</w:t>
                  </w:r>
                </w:p>
              </w:tc>
              <w:tc>
                <w:tcPr>
                  <w:tcW w:w="1562" w:type="dxa"/>
                  <w:vAlign w:val="center"/>
                </w:tcPr>
                <w:p w14:paraId="599AA5DA">
                  <w:pPr>
                    <w:adjustRightInd w:val="0"/>
                    <w:snapToGrid w:val="0"/>
                    <w:jc w:val="center"/>
                    <w:rPr>
                      <w:kern w:val="24"/>
                      <w:szCs w:val="21"/>
                    </w:rPr>
                  </w:pPr>
                  <w:r>
                    <w:rPr>
                      <w:rFonts w:hint="eastAsia"/>
                      <w:kern w:val="24"/>
                      <w:szCs w:val="21"/>
                    </w:rPr>
                    <w:t>是</w:t>
                  </w:r>
                </w:p>
              </w:tc>
              <w:tc>
                <w:tcPr>
                  <w:tcW w:w="1562" w:type="dxa"/>
                  <w:vAlign w:val="center"/>
                </w:tcPr>
                <w:p w14:paraId="35BCD909">
                  <w:pPr>
                    <w:adjustRightInd w:val="0"/>
                    <w:snapToGrid w:val="0"/>
                    <w:jc w:val="center"/>
                    <w:rPr>
                      <w:kern w:val="24"/>
                      <w:szCs w:val="21"/>
                    </w:rPr>
                  </w:pPr>
                  <w:r>
                    <w:rPr>
                      <w:rFonts w:hint="eastAsia"/>
                      <w:kern w:val="24"/>
                      <w:szCs w:val="21"/>
                    </w:rPr>
                    <w:t>是</w:t>
                  </w:r>
                </w:p>
              </w:tc>
              <w:tc>
                <w:tcPr>
                  <w:tcW w:w="1562" w:type="dxa"/>
                  <w:vAlign w:val="center"/>
                </w:tcPr>
                <w:p w14:paraId="44698A71">
                  <w:pPr>
                    <w:adjustRightInd w:val="0"/>
                    <w:snapToGrid w:val="0"/>
                    <w:jc w:val="center"/>
                    <w:rPr>
                      <w:kern w:val="24"/>
                      <w:szCs w:val="21"/>
                    </w:rPr>
                  </w:pPr>
                  <w:r>
                    <w:rPr>
                      <w:rFonts w:hint="eastAsia"/>
                      <w:kern w:val="24"/>
                      <w:szCs w:val="21"/>
                    </w:rPr>
                    <w:t>是</w:t>
                  </w:r>
                </w:p>
              </w:tc>
            </w:tr>
            <w:tr w14:paraId="116D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65" w:type="dxa"/>
                  <w:gridSpan w:val="2"/>
                  <w:vAlign w:val="center"/>
                </w:tcPr>
                <w:p w14:paraId="5759AEA6">
                  <w:pPr>
                    <w:adjustRightInd w:val="0"/>
                    <w:snapToGrid w:val="0"/>
                    <w:jc w:val="center"/>
                    <w:rPr>
                      <w:kern w:val="24"/>
                      <w:szCs w:val="21"/>
                    </w:rPr>
                  </w:pPr>
                  <w:r>
                    <w:rPr>
                      <w:rFonts w:hint="eastAsia"/>
                      <w:kern w:val="24"/>
                      <w:szCs w:val="21"/>
                    </w:rPr>
                    <w:t>污染物排放浓度(mg/m</w:t>
                  </w:r>
                  <w:r>
                    <w:rPr>
                      <w:rFonts w:hint="eastAsia"/>
                      <w:kern w:val="24"/>
                      <w:szCs w:val="21"/>
                      <w:vertAlign w:val="superscript"/>
                    </w:rPr>
                    <w:t>3</w:t>
                  </w:r>
                  <w:r>
                    <w:rPr>
                      <w:rFonts w:hint="eastAsia"/>
                      <w:kern w:val="24"/>
                      <w:szCs w:val="21"/>
                    </w:rPr>
                    <w:t>)</w:t>
                  </w:r>
                </w:p>
              </w:tc>
              <w:tc>
                <w:tcPr>
                  <w:tcW w:w="1639" w:type="dxa"/>
                  <w:vAlign w:val="center"/>
                </w:tcPr>
                <w:p w14:paraId="2FFA5954">
                  <w:pPr>
                    <w:adjustRightInd w:val="0"/>
                    <w:snapToGrid w:val="0"/>
                    <w:jc w:val="center"/>
                    <w:rPr>
                      <w:kern w:val="24"/>
                      <w:szCs w:val="21"/>
                    </w:rPr>
                  </w:pPr>
                  <w:r>
                    <w:rPr>
                      <w:kern w:val="24"/>
                      <w:szCs w:val="21"/>
                    </w:rPr>
                    <w:t>0.2</w:t>
                  </w:r>
                </w:p>
              </w:tc>
              <w:tc>
                <w:tcPr>
                  <w:tcW w:w="1562" w:type="dxa"/>
                  <w:vAlign w:val="center"/>
                </w:tcPr>
                <w:p w14:paraId="614C5E01">
                  <w:pPr>
                    <w:adjustRightInd w:val="0"/>
                    <w:snapToGrid w:val="0"/>
                    <w:jc w:val="center"/>
                    <w:rPr>
                      <w:kern w:val="24"/>
                      <w:szCs w:val="21"/>
                    </w:rPr>
                  </w:pPr>
                  <w:r>
                    <w:rPr>
                      <w:kern w:val="24"/>
                      <w:szCs w:val="21"/>
                    </w:rPr>
                    <w:t>0.13</w:t>
                  </w:r>
                </w:p>
              </w:tc>
              <w:tc>
                <w:tcPr>
                  <w:tcW w:w="1562" w:type="dxa"/>
                  <w:vAlign w:val="center"/>
                </w:tcPr>
                <w:p w14:paraId="0F2FECE2">
                  <w:pPr>
                    <w:adjustRightInd w:val="0"/>
                    <w:snapToGrid w:val="0"/>
                    <w:jc w:val="center"/>
                    <w:rPr>
                      <w:kern w:val="24"/>
                      <w:szCs w:val="21"/>
                    </w:rPr>
                  </w:pPr>
                  <w:r>
                    <w:rPr>
                      <w:kern w:val="24"/>
                      <w:szCs w:val="21"/>
                    </w:rPr>
                    <w:t>0.1</w:t>
                  </w:r>
                </w:p>
              </w:tc>
              <w:tc>
                <w:tcPr>
                  <w:tcW w:w="1562" w:type="dxa"/>
                  <w:vAlign w:val="center"/>
                </w:tcPr>
                <w:p w14:paraId="79D18E97">
                  <w:pPr>
                    <w:adjustRightInd w:val="0"/>
                    <w:snapToGrid w:val="0"/>
                    <w:jc w:val="center"/>
                    <w:rPr>
                      <w:kern w:val="24"/>
                      <w:szCs w:val="21"/>
                    </w:rPr>
                  </w:pPr>
                  <w:r>
                    <w:rPr>
                      <w:rFonts w:hint="eastAsia"/>
                      <w:kern w:val="24"/>
                      <w:szCs w:val="21"/>
                    </w:rPr>
                    <w:t>/</w:t>
                  </w:r>
                </w:p>
              </w:tc>
            </w:tr>
            <w:tr w14:paraId="7B83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65" w:type="dxa"/>
                  <w:gridSpan w:val="2"/>
                  <w:vAlign w:val="center"/>
                </w:tcPr>
                <w:p w14:paraId="2C8EA4AD">
                  <w:pPr>
                    <w:adjustRightInd w:val="0"/>
                    <w:snapToGrid w:val="0"/>
                    <w:jc w:val="center"/>
                    <w:rPr>
                      <w:kern w:val="24"/>
                      <w:szCs w:val="21"/>
                    </w:rPr>
                  </w:pPr>
                  <w:r>
                    <w:rPr>
                      <w:rFonts w:hint="eastAsia"/>
                      <w:kern w:val="24"/>
                      <w:szCs w:val="21"/>
                    </w:rPr>
                    <w:t>污染物排放速率(kg/h)</w:t>
                  </w:r>
                </w:p>
              </w:tc>
              <w:tc>
                <w:tcPr>
                  <w:tcW w:w="1639" w:type="dxa"/>
                  <w:vAlign w:val="center"/>
                </w:tcPr>
                <w:p w14:paraId="60B6C37A">
                  <w:pPr>
                    <w:widowControl/>
                    <w:jc w:val="center"/>
                    <w:rPr>
                      <w:kern w:val="0"/>
                      <w:szCs w:val="21"/>
                    </w:rPr>
                  </w:pPr>
                  <w:r>
                    <w:t>0.001</w:t>
                  </w:r>
                </w:p>
              </w:tc>
              <w:tc>
                <w:tcPr>
                  <w:tcW w:w="1562" w:type="dxa"/>
                  <w:vAlign w:val="center"/>
                </w:tcPr>
                <w:p w14:paraId="47069518">
                  <w:pPr>
                    <w:adjustRightInd w:val="0"/>
                    <w:snapToGrid w:val="0"/>
                    <w:jc w:val="center"/>
                    <w:rPr>
                      <w:kern w:val="24"/>
                      <w:szCs w:val="21"/>
                    </w:rPr>
                  </w:pPr>
                  <w:r>
                    <w:rPr>
                      <w:kern w:val="24"/>
                      <w:szCs w:val="21"/>
                    </w:rPr>
                    <w:t>0.002</w:t>
                  </w:r>
                </w:p>
              </w:tc>
              <w:tc>
                <w:tcPr>
                  <w:tcW w:w="1562" w:type="dxa"/>
                  <w:vAlign w:val="center"/>
                </w:tcPr>
                <w:p w14:paraId="458FC286">
                  <w:pPr>
                    <w:adjustRightInd w:val="0"/>
                    <w:snapToGrid w:val="0"/>
                    <w:jc w:val="center"/>
                    <w:rPr>
                      <w:kern w:val="24"/>
                      <w:szCs w:val="21"/>
                    </w:rPr>
                  </w:pPr>
                  <w:r>
                    <w:rPr>
                      <w:kern w:val="24"/>
                      <w:szCs w:val="21"/>
                    </w:rPr>
                    <w:t>0.001</w:t>
                  </w:r>
                </w:p>
              </w:tc>
              <w:tc>
                <w:tcPr>
                  <w:tcW w:w="1562" w:type="dxa"/>
                  <w:vAlign w:val="center"/>
                </w:tcPr>
                <w:p w14:paraId="0CFA7AFF">
                  <w:pPr>
                    <w:adjustRightInd w:val="0"/>
                    <w:snapToGrid w:val="0"/>
                    <w:jc w:val="center"/>
                    <w:rPr>
                      <w:kern w:val="24"/>
                      <w:szCs w:val="21"/>
                    </w:rPr>
                  </w:pPr>
                  <w:r>
                    <w:rPr>
                      <w:rFonts w:hint="eastAsia"/>
                      <w:kern w:val="24"/>
                      <w:szCs w:val="21"/>
                    </w:rPr>
                    <w:t>/</w:t>
                  </w:r>
                </w:p>
              </w:tc>
            </w:tr>
            <w:tr w14:paraId="53AA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65" w:type="dxa"/>
                  <w:gridSpan w:val="2"/>
                  <w:vAlign w:val="center"/>
                </w:tcPr>
                <w:p w14:paraId="794055F2">
                  <w:pPr>
                    <w:adjustRightInd w:val="0"/>
                    <w:snapToGrid w:val="0"/>
                    <w:jc w:val="center"/>
                    <w:rPr>
                      <w:kern w:val="24"/>
                      <w:szCs w:val="21"/>
                    </w:rPr>
                  </w:pPr>
                  <w:r>
                    <w:rPr>
                      <w:rFonts w:hint="eastAsia"/>
                      <w:kern w:val="24"/>
                      <w:szCs w:val="21"/>
                    </w:rPr>
                    <w:t>污染物排放量(t/a)</w:t>
                  </w:r>
                </w:p>
              </w:tc>
              <w:tc>
                <w:tcPr>
                  <w:tcW w:w="1639" w:type="dxa"/>
                  <w:vAlign w:val="center"/>
                </w:tcPr>
                <w:p w14:paraId="2AA97F6E">
                  <w:pPr>
                    <w:adjustRightInd w:val="0"/>
                    <w:snapToGrid w:val="0"/>
                    <w:jc w:val="center"/>
                    <w:rPr>
                      <w:kern w:val="24"/>
                      <w:szCs w:val="21"/>
                    </w:rPr>
                  </w:pPr>
                  <w:r>
                    <w:t>0.004</w:t>
                  </w:r>
                </w:p>
              </w:tc>
              <w:tc>
                <w:tcPr>
                  <w:tcW w:w="1562" w:type="dxa"/>
                  <w:vAlign w:val="center"/>
                </w:tcPr>
                <w:p w14:paraId="2D199C47">
                  <w:pPr>
                    <w:adjustRightInd w:val="0"/>
                    <w:snapToGrid w:val="0"/>
                    <w:jc w:val="center"/>
                    <w:rPr>
                      <w:kern w:val="24"/>
                      <w:szCs w:val="21"/>
                    </w:rPr>
                  </w:pPr>
                  <w:r>
                    <w:rPr>
                      <w:kern w:val="24"/>
                      <w:szCs w:val="21"/>
                    </w:rPr>
                    <w:t>0.01</w:t>
                  </w:r>
                </w:p>
              </w:tc>
              <w:tc>
                <w:tcPr>
                  <w:tcW w:w="1562" w:type="dxa"/>
                  <w:vAlign w:val="center"/>
                </w:tcPr>
                <w:p w14:paraId="59A0EFAC">
                  <w:pPr>
                    <w:adjustRightInd w:val="0"/>
                    <w:snapToGrid w:val="0"/>
                    <w:jc w:val="center"/>
                    <w:rPr>
                      <w:kern w:val="24"/>
                      <w:szCs w:val="21"/>
                    </w:rPr>
                  </w:pPr>
                  <w:r>
                    <w:rPr>
                      <w:kern w:val="24"/>
                      <w:szCs w:val="21"/>
                    </w:rPr>
                    <w:t>0.007</w:t>
                  </w:r>
                </w:p>
              </w:tc>
              <w:tc>
                <w:tcPr>
                  <w:tcW w:w="1562" w:type="dxa"/>
                  <w:vAlign w:val="center"/>
                </w:tcPr>
                <w:p w14:paraId="3001DF72">
                  <w:pPr>
                    <w:adjustRightInd w:val="0"/>
                    <w:snapToGrid w:val="0"/>
                    <w:jc w:val="center"/>
                    <w:rPr>
                      <w:kern w:val="24"/>
                      <w:szCs w:val="21"/>
                    </w:rPr>
                  </w:pPr>
                  <w:r>
                    <w:rPr>
                      <w:rFonts w:hint="eastAsia"/>
                      <w:kern w:val="24"/>
                      <w:szCs w:val="21"/>
                    </w:rPr>
                    <w:t>0</w:t>
                  </w:r>
                  <w:r>
                    <w:rPr>
                      <w:kern w:val="24"/>
                      <w:szCs w:val="21"/>
                    </w:rPr>
                    <w:t>.</w:t>
                  </w:r>
                  <w:r>
                    <w:rPr>
                      <w:rFonts w:hint="eastAsia"/>
                      <w:kern w:val="24"/>
                      <w:szCs w:val="21"/>
                    </w:rPr>
                    <w:t>09</w:t>
                  </w:r>
                </w:p>
              </w:tc>
            </w:tr>
            <w:bookmarkEnd w:id="18"/>
          </w:tbl>
          <w:p w14:paraId="725374BF">
            <w:pPr>
              <w:adjustRightInd w:val="0"/>
              <w:snapToGrid w:val="0"/>
              <w:spacing w:line="360" w:lineRule="auto"/>
              <w:ind w:firstLine="480" w:firstLineChars="200"/>
              <w:rPr>
                <w:kern w:val="24"/>
                <w:sz w:val="24"/>
              </w:rPr>
            </w:pPr>
          </w:p>
          <w:p w14:paraId="72D2B90C">
            <w:pPr>
              <w:pStyle w:val="83"/>
              <w:ind w:firstLine="480"/>
              <w:rPr>
                <w:kern w:val="24"/>
              </w:rPr>
            </w:pPr>
            <w:r>
              <w:rPr>
                <w:rFonts w:hint="eastAsia"/>
                <w:kern w:val="24"/>
              </w:rPr>
              <w:t>根据《排污许可证申请与核发技术规范 总则》(HJ942-2018)、《排污许可申请与核发技术规范 钢铁工业》（HJ846-2017），本项目</w:t>
            </w:r>
            <w:r>
              <w:rPr>
                <w:kern w:val="24"/>
              </w:rPr>
              <w:t>主要废气污染源排放</w:t>
            </w:r>
            <w:r>
              <w:rPr>
                <w:rFonts w:hint="eastAsia"/>
                <w:kern w:val="24"/>
              </w:rPr>
              <w:t>口为一般排放口。</w:t>
            </w:r>
          </w:p>
          <w:p w14:paraId="1911F8B9">
            <w:pPr>
              <w:adjustRightInd w:val="0"/>
              <w:snapToGrid w:val="0"/>
              <w:spacing w:line="360" w:lineRule="auto"/>
              <w:ind w:firstLine="480" w:firstLineChars="200"/>
              <w:rPr>
                <w:kern w:val="24"/>
                <w:sz w:val="24"/>
              </w:rPr>
            </w:pPr>
            <w:r>
              <w:rPr>
                <w:kern w:val="24"/>
                <w:sz w:val="24"/>
              </w:rPr>
              <w:t>主要废气污染源</w:t>
            </w:r>
            <w:r>
              <w:rPr>
                <w:rFonts w:hint="eastAsia"/>
                <w:kern w:val="24"/>
                <w:sz w:val="24"/>
              </w:rPr>
              <w:t>废气排放口基本情况</w:t>
            </w:r>
            <w:r>
              <w:rPr>
                <w:kern w:val="24"/>
                <w:sz w:val="24"/>
              </w:rPr>
              <w:t>见下表：</w:t>
            </w:r>
          </w:p>
          <w:p w14:paraId="617F9251">
            <w:pPr>
              <w:adjustRightInd w:val="0"/>
              <w:snapToGrid w:val="0"/>
              <w:spacing w:line="360" w:lineRule="auto"/>
              <w:ind w:firstLine="480" w:firstLineChars="200"/>
              <w:rPr>
                <w:kern w:val="24"/>
                <w:sz w:val="24"/>
              </w:rPr>
            </w:pPr>
          </w:p>
          <w:p w14:paraId="11F2D531">
            <w:pPr>
              <w:adjustRightInd w:val="0"/>
              <w:snapToGrid w:val="0"/>
              <w:spacing w:line="360" w:lineRule="auto"/>
              <w:ind w:firstLine="480" w:firstLineChars="200"/>
              <w:rPr>
                <w:kern w:val="24"/>
                <w:sz w:val="24"/>
              </w:rPr>
            </w:pPr>
          </w:p>
          <w:p w14:paraId="354D6D12">
            <w:pPr>
              <w:adjustRightInd w:val="0"/>
              <w:snapToGrid w:val="0"/>
              <w:spacing w:line="360" w:lineRule="auto"/>
              <w:ind w:firstLine="480" w:firstLineChars="200"/>
              <w:rPr>
                <w:kern w:val="24"/>
                <w:sz w:val="24"/>
              </w:rPr>
            </w:pPr>
          </w:p>
          <w:p w14:paraId="761D27B5">
            <w:pPr>
              <w:adjustRightInd w:val="0"/>
              <w:snapToGrid w:val="0"/>
              <w:spacing w:line="360" w:lineRule="auto"/>
              <w:ind w:firstLine="482" w:firstLineChars="200"/>
              <w:jc w:val="center"/>
              <w:rPr>
                <w:b/>
                <w:bCs/>
                <w:kern w:val="24"/>
                <w:sz w:val="24"/>
              </w:rPr>
            </w:pPr>
            <w:r>
              <w:rPr>
                <w:rFonts w:hint="eastAsia"/>
                <w:b/>
                <w:bCs/>
                <w:kern w:val="24"/>
                <w:sz w:val="24"/>
              </w:rPr>
              <w:t>表4-2  主要废气污染源排放口基本情况表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5"/>
              <w:gridCol w:w="1126"/>
              <w:gridCol w:w="1127"/>
              <w:gridCol w:w="1304"/>
              <w:gridCol w:w="1273"/>
              <w:gridCol w:w="994"/>
              <w:gridCol w:w="993"/>
              <w:gridCol w:w="908"/>
            </w:tblGrid>
            <w:tr w14:paraId="2747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 w:hRule="atLeast"/>
              </w:trPr>
              <w:tc>
                <w:tcPr>
                  <w:tcW w:w="1165" w:type="dxa"/>
                  <w:vMerge w:val="restart"/>
                  <w:vAlign w:val="center"/>
                </w:tcPr>
                <w:p w14:paraId="57893560">
                  <w:pPr>
                    <w:adjustRightInd w:val="0"/>
                    <w:snapToGrid w:val="0"/>
                    <w:jc w:val="center"/>
                    <w:rPr>
                      <w:szCs w:val="21"/>
                    </w:rPr>
                  </w:pPr>
                  <w:r>
                    <w:rPr>
                      <w:szCs w:val="21"/>
                    </w:rPr>
                    <w:t>排放口编号</w:t>
                  </w:r>
                </w:p>
              </w:tc>
              <w:tc>
                <w:tcPr>
                  <w:tcW w:w="1126" w:type="dxa"/>
                  <w:vMerge w:val="restart"/>
                  <w:vAlign w:val="center"/>
                </w:tcPr>
                <w:p w14:paraId="45D18FFF">
                  <w:pPr>
                    <w:adjustRightInd w:val="0"/>
                    <w:snapToGrid w:val="0"/>
                    <w:jc w:val="center"/>
                    <w:rPr>
                      <w:szCs w:val="21"/>
                    </w:rPr>
                  </w:pPr>
                  <w:r>
                    <w:rPr>
                      <w:szCs w:val="21"/>
                    </w:rPr>
                    <w:t>排放口名称</w:t>
                  </w:r>
                </w:p>
              </w:tc>
              <w:tc>
                <w:tcPr>
                  <w:tcW w:w="1127" w:type="dxa"/>
                  <w:vMerge w:val="restart"/>
                  <w:vAlign w:val="center"/>
                </w:tcPr>
                <w:p w14:paraId="138E079A">
                  <w:pPr>
                    <w:adjustRightInd w:val="0"/>
                    <w:snapToGrid w:val="0"/>
                    <w:jc w:val="center"/>
                    <w:rPr>
                      <w:szCs w:val="21"/>
                    </w:rPr>
                  </w:pPr>
                  <w:r>
                    <w:rPr>
                      <w:szCs w:val="21"/>
                    </w:rPr>
                    <w:t>排放口</w:t>
                  </w:r>
                  <w:r>
                    <w:rPr>
                      <w:rFonts w:hint="eastAsia"/>
                      <w:szCs w:val="21"/>
                    </w:rPr>
                    <w:t>类型</w:t>
                  </w:r>
                </w:p>
              </w:tc>
              <w:tc>
                <w:tcPr>
                  <w:tcW w:w="2577" w:type="dxa"/>
                  <w:gridSpan w:val="2"/>
                  <w:vAlign w:val="center"/>
                </w:tcPr>
                <w:p w14:paraId="4AC649E1">
                  <w:pPr>
                    <w:adjustRightInd w:val="0"/>
                    <w:snapToGrid w:val="0"/>
                    <w:jc w:val="center"/>
                    <w:rPr>
                      <w:szCs w:val="21"/>
                    </w:rPr>
                  </w:pPr>
                  <w:r>
                    <w:rPr>
                      <w:rFonts w:hint="eastAsia"/>
                      <w:szCs w:val="21"/>
                    </w:rPr>
                    <w:t>地理</w:t>
                  </w:r>
                  <w:r>
                    <w:rPr>
                      <w:szCs w:val="21"/>
                    </w:rPr>
                    <w:t>坐标</w:t>
                  </w:r>
                </w:p>
              </w:tc>
              <w:tc>
                <w:tcPr>
                  <w:tcW w:w="994" w:type="dxa"/>
                  <w:vMerge w:val="restart"/>
                  <w:vAlign w:val="center"/>
                </w:tcPr>
                <w:p w14:paraId="340D19A7">
                  <w:pPr>
                    <w:adjustRightInd w:val="0"/>
                    <w:snapToGrid w:val="0"/>
                    <w:jc w:val="center"/>
                    <w:rPr>
                      <w:szCs w:val="21"/>
                    </w:rPr>
                  </w:pPr>
                  <w:r>
                    <w:rPr>
                      <w:rFonts w:hint="eastAsia"/>
                      <w:szCs w:val="21"/>
                    </w:rPr>
                    <w:t>高度/m</w:t>
                  </w:r>
                </w:p>
              </w:tc>
              <w:tc>
                <w:tcPr>
                  <w:tcW w:w="993" w:type="dxa"/>
                  <w:vMerge w:val="restart"/>
                  <w:vAlign w:val="center"/>
                </w:tcPr>
                <w:p w14:paraId="759DD822">
                  <w:pPr>
                    <w:adjustRightInd w:val="0"/>
                    <w:snapToGrid w:val="0"/>
                    <w:jc w:val="center"/>
                    <w:rPr>
                      <w:szCs w:val="21"/>
                    </w:rPr>
                  </w:pPr>
                  <w:r>
                    <w:rPr>
                      <w:rFonts w:hint="eastAsia"/>
                      <w:szCs w:val="21"/>
                    </w:rPr>
                    <w:t>内径/m</w:t>
                  </w:r>
                </w:p>
              </w:tc>
              <w:tc>
                <w:tcPr>
                  <w:tcW w:w="908" w:type="dxa"/>
                  <w:vMerge w:val="restart"/>
                  <w:vAlign w:val="center"/>
                </w:tcPr>
                <w:p w14:paraId="43798098">
                  <w:pPr>
                    <w:adjustRightInd w:val="0"/>
                    <w:snapToGrid w:val="0"/>
                    <w:jc w:val="center"/>
                    <w:rPr>
                      <w:szCs w:val="21"/>
                    </w:rPr>
                  </w:pPr>
                  <w:r>
                    <w:rPr>
                      <w:rFonts w:hint="eastAsia"/>
                      <w:szCs w:val="21"/>
                    </w:rPr>
                    <w:t>温度/℃</w:t>
                  </w:r>
                </w:p>
              </w:tc>
            </w:tr>
            <w:tr w14:paraId="691C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65" w:type="dxa"/>
                  <w:vMerge w:val="continue"/>
                  <w:vAlign w:val="center"/>
                </w:tcPr>
                <w:p w14:paraId="6F618765">
                  <w:pPr>
                    <w:adjustRightInd w:val="0"/>
                    <w:snapToGrid w:val="0"/>
                    <w:jc w:val="center"/>
                    <w:rPr>
                      <w:szCs w:val="21"/>
                    </w:rPr>
                  </w:pPr>
                </w:p>
              </w:tc>
              <w:tc>
                <w:tcPr>
                  <w:tcW w:w="1126" w:type="dxa"/>
                  <w:vMerge w:val="continue"/>
                  <w:vAlign w:val="center"/>
                </w:tcPr>
                <w:p w14:paraId="0B9416F8">
                  <w:pPr>
                    <w:adjustRightInd w:val="0"/>
                    <w:snapToGrid w:val="0"/>
                    <w:jc w:val="center"/>
                    <w:rPr>
                      <w:szCs w:val="21"/>
                    </w:rPr>
                  </w:pPr>
                </w:p>
              </w:tc>
              <w:tc>
                <w:tcPr>
                  <w:tcW w:w="1127" w:type="dxa"/>
                  <w:vMerge w:val="continue"/>
                  <w:vAlign w:val="center"/>
                </w:tcPr>
                <w:p w14:paraId="4B41E383">
                  <w:pPr>
                    <w:adjustRightInd w:val="0"/>
                    <w:snapToGrid w:val="0"/>
                    <w:jc w:val="center"/>
                    <w:rPr>
                      <w:szCs w:val="21"/>
                    </w:rPr>
                  </w:pPr>
                </w:p>
              </w:tc>
              <w:tc>
                <w:tcPr>
                  <w:tcW w:w="1304" w:type="dxa"/>
                  <w:vAlign w:val="center"/>
                </w:tcPr>
                <w:p w14:paraId="39C1F401">
                  <w:pPr>
                    <w:adjustRightInd w:val="0"/>
                    <w:snapToGrid w:val="0"/>
                    <w:jc w:val="center"/>
                    <w:rPr>
                      <w:szCs w:val="21"/>
                    </w:rPr>
                  </w:pPr>
                  <w:r>
                    <w:rPr>
                      <w:szCs w:val="21"/>
                    </w:rPr>
                    <w:t>经度</w:t>
                  </w:r>
                </w:p>
              </w:tc>
              <w:tc>
                <w:tcPr>
                  <w:tcW w:w="1273" w:type="dxa"/>
                  <w:vAlign w:val="center"/>
                </w:tcPr>
                <w:p w14:paraId="60BA94EA">
                  <w:pPr>
                    <w:adjustRightInd w:val="0"/>
                    <w:snapToGrid w:val="0"/>
                    <w:jc w:val="center"/>
                    <w:rPr>
                      <w:szCs w:val="21"/>
                    </w:rPr>
                  </w:pPr>
                  <w:r>
                    <w:rPr>
                      <w:szCs w:val="21"/>
                    </w:rPr>
                    <w:t>纬度</w:t>
                  </w:r>
                </w:p>
              </w:tc>
              <w:tc>
                <w:tcPr>
                  <w:tcW w:w="994" w:type="dxa"/>
                  <w:vMerge w:val="continue"/>
                  <w:vAlign w:val="center"/>
                </w:tcPr>
                <w:p w14:paraId="70EFCAF1">
                  <w:pPr>
                    <w:adjustRightInd w:val="0"/>
                    <w:snapToGrid w:val="0"/>
                    <w:jc w:val="center"/>
                    <w:rPr>
                      <w:szCs w:val="21"/>
                    </w:rPr>
                  </w:pPr>
                </w:p>
              </w:tc>
              <w:tc>
                <w:tcPr>
                  <w:tcW w:w="993" w:type="dxa"/>
                  <w:vMerge w:val="continue"/>
                  <w:vAlign w:val="center"/>
                </w:tcPr>
                <w:p w14:paraId="3A497C02">
                  <w:pPr>
                    <w:adjustRightInd w:val="0"/>
                    <w:snapToGrid w:val="0"/>
                    <w:jc w:val="center"/>
                    <w:rPr>
                      <w:szCs w:val="21"/>
                    </w:rPr>
                  </w:pPr>
                </w:p>
              </w:tc>
              <w:tc>
                <w:tcPr>
                  <w:tcW w:w="908" w:type="dxa"/>
                  <w:vMerge w:val="continue"/>
                  <w:vAlign w:val="center"/>
                </w:tcPr>
                <w:p w14:paraId="30272754">
                  <w:pPr>
                    <w:adjustRightInd w:val="0"/>
                    <w:snapToGrid w:val="0"/>
                    <w:jc w:val="center"/>
                    <w:rPr>
                      <w:szCs w:val="21"/>
                    </w:rPr>
                  </w:pPr>
                </w:p>
              </w:tc>
            </w:tr>
            <w:tr w14:paraId="3D65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1165" w:type="dxa"/>
                  <w:vAlign w:val="center"/>
                </w:tcPr>
                <w:p w14:paraId="06DD4220">
                  <w:pPr>
                    <w:adjustRightInd w:val="0"/>
                    <w:snapToGrid w:val="0"/>
                    <w:jc w:val="center"/>
                    <w:rPr>
                      <w:szCs w:val="21"/>
                    </w:rPr>
                  </w:pPr>
                  <w:r>
                    <w:rPr>
                      <w:rFonts w:hint="eastAsia"/>
                      <w:szCs w:val="21"/>
                    </w:rPr>
                    <w:t>DA001</w:t>
                  </w:r>
                </w:p>
              </w:tc>
              <w:tc>
                <w:tcPr>
                  <w:tcW w:w="1126" w:type="dxa"/>
                  <w:vAlign w:val="center"/>
                </w:tcPr>
                <w:p w14:paraId="713E8204">
                  <w:pPr>
                    <w:adjustRightInd w:val="0"/>
                    <w:snapToGrid w:val="0"/>
                    <w:jc w:val="center"/>
                    <w:rPr>
                      <w:szCs w:val="21"/>
                    </w:rPr>
                  </w:pPr>
                  <w:r>
                    <w:rPr>
                      <w:rFonts w:hint="eastAsia"/>
                      <w:szCs w:val="21"/>
                    </w:rPr>
                    <w:t>三车间、四车间高频焊接</w:t>
                  </w:r>
                </w:p>
              </w:tc>
              <w:tc>
                <w:tcPr>
                  <w:tcW w:w="1127" w:type="dxa"/>
                  <w:vAlign w:val="center"/>
                </w:tcPr>
                <w:p w14:paraId="060EBCBB">
                  <w:pPr>
                    <w:adjustRightInd w:val="0"/>
                    <w:snapToGrid w:val="0"/>
                    <w:jc w:val="center"/>
                    <w:rPr>
                      <w:szCs w:val="21"/>
                    </w:rPr>
                  </w:pPr>
                  <w:r>
                    <w:rPr>
                      <w:rFonts w:hint="eastAsia"/>
                      <w:szCs w:val="21"/>
                    </w:rPr>
                    <w:t>一般排放口</w:t>
                  </w:r>
                </w:p>
              </w:tc>
              <w:tc>
                <w:tcPr>
                  <w:tcW w:w="1304" w:type="dxa"/>
                  <w:vAlign w:val="center"/>
                </w:tcPr>
                <w:p w14:paraId="7E6B0D59">
                  <w:pPr>
                    <w:adjustRightInd w:val="0"/>
                    <w:snapToGrid w:val="0"/>
                    <w:jc w:val="center"/>
                    <w:rPr>
                      <w:szCs w:val="21"/>
                    </w:rPr>
                  </w:pPr>
                  <w:r>
                    <w:rPr>
                      <w:szCs w:val="21"/>
                    </w:rPr>
                    <w:t>102.74167031</w:t>
                  </w:r>
                </w:p>
              </w:tc>
              <w:tc>
                <w:tcPr>
                  <w:tcW w:w="1273" w:type="dxa"/>
                  <w:vAlign w:val="center"/>
                </w:tcPr>
                <w:p w14:paraId="6BEC111B">
                  <w:pPr>
                    <w:adjustRightInd w:val="0"/>
                    <w:snapToGrid w:val="0"/>
                    <w:jc w:val="center"/>
                    <w:rPr>
                      <w:szCs w:val="21"/>
                    </w:rPr>
                  </w:pPr>
                  <w:r>
                    <w:rPr>
                      <w:szCs w:val="21"/>
                    </w:rPr>
                    <w:t>24.19874786</w:t>
                  </w:r>
                </w:p>
              </w:tc>
              <w:tc>
                <w:tcPr>
                  <w:tcW w:w="994" w:type="dxa"/>
                  <w:vAlign w:val="center"/>
                </w:tcPr>
                <w:p w14:paraId="5A5929B9">
                  <w:pPr>
                    <w:adjustRightInd w:val="0"/>
                    <w:snapToGrid w:val="0"/>
                    <w:jc w:val="center"/>
                    <w:rPr>
                      <w:szCs w:val="21"/>
                    </w:rPr>
                  </w:pPr>
                  <w:r>
                    <w:rPr>
                      <w:rFonts w:hint="eastAsia"/>
                      <w:szCs w:val="21"/>
                    </w:rPr>
                    <w:t>1</w:t>
                  </w:r>
                  <w:r>
                    <w:rPr>
                      <w:szCs w:val="21"/>
                    </w:rPr>
                    <w:t>5</w:t>
                  </w:r>
                </w:p>
              </w:tc>
              <w:tc>
                <w:tcPr>
                  <w:tcW w:w="993" w:type="dxa"/>
                  <w:vAlign w:val="center"/>
                </w:tcPr>
                <w:p w14:paraId="29A29439">
                  <w:pPr>
                    <w:adjustRightInd w:val="0"/>
                    <w:snapToGrid w:val="0"/>
                    <w:jc w:val="center"/>
                    <w:rPr>
                      <w:szCs w:val="21"/>
                    </w:rPr>
                  </w:pPr>
                  <w:r>
                    <w:rPr>
                      <w:rFonts w:hint="eastAsia"/>
                      <w:szCs w:val="21"/>
                    </w:rPr>
                    <w:t>0</w:t>
                  </w:r>
                  <w:r>
                    <w:rPr>
                      <w:szCs w:val="21"/>
                    </w:rPr>
                    <w:t>.3</w:t>
                  </w:r>
                </w:p>
              </w:tc>
              <w:tc>
                <w:tcPr>
                  <w:tcW w:w="908" w:type="dxa"/>
                  <w:vAlign w:val="center"/>
                </w:tcPr>
                <w:p w14:paraId="5D1D0567">
                  <w:pPr>
                    <w:adjustRightInd w:val="0"/>
                    <w:snapToGrid w:val="0"/>
                    <w:jc w:val="center"/>
                    <w:rPr>
                      <w:szCs w:val="21"/>
                    </w:rPr>
                  </w:pPr>
                  <w:r>
                    <w:rPr>
                      <w:rFonts w:hint="eastAsia"/>
                      <w:szCs w:val="21"/>
                    </w:rPr>
                    <w:t>25</w:t>
                  </w:r>
                </w:p>
              </w:tc>
            </w:tr>
            <w:tr w14:paraId="0F84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1165" w:type="dxa"/>
                  <w:vAlign w:val="center"/>
                </w:tcPr>
                <w:p w14:paraId="6E1CC012">
                  <w:pPr>
                    <w:adjustRightInd w:val="0"/>
                    <w:snapToGrid w:val="0"/>
                    <w:jc w:val="center"/>
                    <w:rPr>
                      <w:szCs w:val="21"/>
                    </w:rPr>
                  </w:pPr>
                  <w:r>
                    <w:rPr>
                      <w:rFonts w:hint="eastAsia"/>
                      <w:szCs w:val="21"/>
                    </w:rPr>
                    <w:t>DA002</w:t>
                  </w:r>
                </w:p>
              </w:tc>
              <w:tc>
                <w:tcPr>
                  <w:tcW w:w="1126" w:type="dxa"/>
                  <w:vAlign w:val="center"/>
                </w:tcPr>
                <w:p w14:paraId="6001773C">
                  <w:pPr>
                    <w:adjustRightInd w:val="0"/>
                    <w:snapToGrid w:val="0"/>
                    <w:jc w:val="center"/>
                    <w:rPr>
                      <w:szCs w:val="21"/>
                    </w:rPr>
                  </w:pPr>
                  <w:r>
                    <w:rPr>
                      <w:rFonts w:hint="eastAsia"/>
                      <w:szCs w:val="21"/>
                    </w:rPr>
                    <w:t>七车间高频焊接</w:t>
                  </w:r>
                </w:p>
              </w:tc>
              <w:tc>
                <w:tcPr>
                  <w:tcW w:w="1127" w:type="dxa"/>
                  <w:vAlign w:val="center"/>
                </w:tcPr>
                <w:p w14:paraId="33482D03">
                  <w:pPr>
                    <w:adjustRightInd w:val="0"/>
                    <w:snapToGrid w:val="0"/>
                    <w:jc w:val="center"/>
                    <w:rPr>
                      <w:szCs w:val="21"/>
                    </w:rPr>
                  </w:pPr>
                  <w:r>
                    <w:rPr>
                      <w:rFonts w:hint="eastAsia"/>
                      <w:szCs w:val="21"/>
                    </w:rPr>
                    <w:t>一般排放口</w:t>
                  </w:r>
                </w:p>
              </w:tc>
              <w:tc>
                <w:tcPr>
                  <w:tcW w:w="1304" w:type="dxa"/>
                  <w:vAlign w:val="center"/>
                </w:tcPr>
                <w:p w14:paraId="72F39B5C">
                  <w:pPr>
                    <w:adjustRightInd w:val="0"/>
                    <w:snapToGrid w:val="0"/>
                    <w:jc w:val="center"/>
                    <w:rPr>
                      <w:szCs w:val="21"/>
                    </w:rPr>
                  </w:pPr>
                  <w:r>
                    <w:rPr>
                      <w:szCs w:val="21"/>
                    </w:rPr>
                    <w:t>102.74112314</w:t>
                  </w:r>
                </w:p>
              </w:tc>
              <w:tc>
                <w:tcPr>
                  <w:tcW w:w="1273" w:type="dxa"/>
                  <w:vAlign w:val="center"/>
                </w:tcPr>
                <w:p w14:paraId="069C1F5F">
                  <w:pPr>
                    <w:adjustRightInd w:val="0"/>
                    <w:snapToGrid w:val="0"/>
                    <w:jc w:val="center"/>
                    <w:rPr>
                      <w:szCs w:val="21"/>
                    </w:rPr>
                  </w:pPr>
                  <w:r>
                    <w:rPr>
                      <w:szCs w:val="21"/>
                    </w:rPr>
                    <w:t>24.19847385</w:t>
                  </w:r>
                </w:p>
              </w:tc>
              <w:tc>
                <w:tcPr>
                  <w:tcW w:w="994" w:type="dxa"/>
                  <w:vAlign w:val="center"/>
                </w:tcPr>
                <w:p w14:paraId="2E6C383C">
                  <w:pPr>
                    <w:adjustRightInd w:val="0"/>
                    <w:snapToGrid w:val="0"/>
                    <w:jc w:val="center"/>
                    <w:rPr>
                      <w:szCs w:val="21"/>
                    </w:rPr>
                  </w:pPr>
                  <w:r>
                    <w:rPr>
                      <w:rFonts w:hint="eastAsia"/>
                      <w:szCs w:val="21"/>
                    </w:rPr>
                    <w:t>1</w:t>
                  </w:r>
                  <w:r>
                    <w:rPr>
                      <w:szCs w:val="21"/>
                    </w:rPr>
                    <w:t>5</w:t>
                  </w:r>
                </w:p>
              </w:tc>
              <w:tc>
                <w:tcPr>
                  <w:tcW w:w="993" w:type="dxa"/>
                  <w:vAlign w:val="center"/>
                </w:tcPr>
                <w:p w14:paraId="08B61C88">
                  <w:pPr>
                    <w:adjustRightInd w:val="0"/>
                    <w:snapToGrid w:val="0"/>
                    <w:jc w:val="center"/>
                    <w:rPr>
                      <w:szCs w:val="21"/>
                    </w:rPr>
                  </w:pPr>
                  <w:r>
                    <w:rPr>
                      <w:rFonts w:hint="eastAsia"/>
                      <w:szCs w:val="21"/>
                    </w:rPr>
                    <w:t>0</w:t>
                  </w:r>
                  <w:r>
                    <w:rPr>
                      <w:szCs w:val="21"/>
                    </w:rPr>
                    <w:t>.3</w:t>
                  </w:r>
                </w:p>
              </w:tc>
              <w:tc>
                <w:tcPr>
                  <w:tcW w:w="908" w:type="dxa"/>
                  <w:vAlign w:val="center"/>
                </w:tcPr>
                <w:p w14:paraId="4D7152DD">
                  <w:pPr>
                    <w:adjustRightInd w:val="0"/>
                    <w:snapToGrid w:val="0"/>
                    <w:jc w:val="center"/>
                    <w:rPr>
                      <w:szCs w:val="21"/>
                    </w:rPr>
                  </w:pPr>
                  <w:r>
                    <w:rPr>
                      <w:rFonts w:hint="eastAsia"/>
                      <w:szCs w:val="21"/>
                    </w:rPr>
                    <w:t>25</w:t>
                  </w:r>
                </w:p>
              </w:tc>
            </w:tr>
            <w:tr w14:paraId="2BAD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1165" w:type="dxa"/>
                  <w:vAlign w:val="center"/>
                </w:tcPr>
                <w:p w14:paraId="75489E13">
                  <w:pPr>
                    <w:adjustRightInd w:val="0"/>
                    <w:snapToGrid w:val="0"/>
                    <w:jc w:val="center"/>
                    <w:rPr>
                      <w:szCs w:val="21"/>
                    </w:rPr>
                  </w:pPr>
                  <w:r>
                    <w:rPr>
                      <w:rFonts w:hint="eastAsia"/>
                      <w:szCs w:val="21"/>
                    </w:rPr>
                    <w:t>DA00</w:t>
                  </w:r>
                  <w:r>
                    <w:rPr>
                      <w:szCs w:val="21"/>
                    </w:rPr>
                    <w:t>3</w:t>
                  </w:r>
                </w:p>
              </w:tc>
              <w:tc>
                <w:tcPr>
                  <w:tcW w:w="1126" w:type="dxa"/>
                  <w:vAlign w:val="center"/>
                </w:tcPr>
                <w:p w14:paraId="7DE540AD">
                  <w:pPr>
                    <w:adjustRightInd w:val="0"/>
                    <w:snapToGrid w:val="0"/>
                    <w:jc w:val="center"/>
                    <w:rPr>
                      <w:szCs w:val="21"/>
                    </w:rPr>
                  </w:pPr>
                  <w:r>
                    <w:rPr>
                      <w:rFonts w:hint="eastAsia" w:eastAsiaTheme="minorEastAsia"/>
                    </w:rPr>
                    <w:t>八车间高频焊接</w:t>
                  </w:r>
                </w:p>
              </w:tc>
              <w:tc>
                <w:tcPr>
                  <w:tcW w:w="1127" w:type="dxa"/>
                  <w:vAlign w:val="center"/>
                </w:tcPr>
                <w:p w14:paraId="5EEF1DC3">
                  <w:pPr>
                    <w:adjustRightInd w:val="0"/>
                    <w:snapToGrid w:val="0"/>
                    <w:jc w:val="center"/>
                    <w:rPr>
                      <w:szCs w:val="21"/>
                    </w:rPr>
                  </w:pPr>
                  <w:r>
                    <w:rPr>
                      <w:rFonts w:hint="eastAsia"/>
                      <w:szCs w:val="21"/>
                    </w:rPr>
                    <w:t>一般排放口</w:t>
                  </w:r>
                </w:p>
              </w:tc>
              <w:tc>
                <w:tcPr>
                  <w:tcW w:w="1304" w:type="dxa"/>
                  <w:vAlign w:val="center"/>
                </w:tcPr>
                <w:p w14:paraId="1655B7DB">
                  <w:pPr>
                    <w:adjustRightInd w:val="0"/>
                    <w:snapToGrid w:val="0"/>
                    <w:jc w:val="center"/>
                    <w:rPr>
                      <w:szCs w:val="21"/>
                    </w:rPr>
                  </w:pPr>
                  <w:r>
                    <w:rPr>
                      <w:szCs w:val="21"/>
                    </w:rPr>
                    <w:t>102.74002880</w:t>
                  </w:r>
                </w:p>
              </w:tc>
              <w:tc>
                <w:tcPr>
                  <w:tcW w:w="1273" w:type="dxa"/>
                  <w:vAlign w:val="center"/>
                </w:tcPr>
                <w:p w14:paraId="717B0341">
                  <w:pPr>
                    <w:adjustRightInd w:val="0"/>
                    <w:snapToGrid w:val="0"/>
                    <w:jc w:val="center"/>
                    <w:rPr>
                      <w:szCs w:val="21"/>
                    </w:rPr>
                  </w:pPr>
                  <w:r>
                    <w:rPr>
                      <w:szCs w:val="21"/>
                    </w:rPr>
                    <w:t>24.19796987</w:t>
                  </w:r>
                </w:p>
              </w:tc>
              <w:tc>
                <w:tcPr>
                  <w:tcW w:w="994" w:type="dxa"/>
                  <w:vAlign w:val="center"/>
                </w:tcPr>
                <w:p w14:paraId="1738C562">
                  <w:pPr>
                    <w:adjustRightInd w:val="0"/>
                    <w:snapToGrid w:val="0"/>
                    <w:jc w:val="center"/>
                    <w:rPr>
                      <w:szCs w:val="21"/>
                    </w:rPr>
                  </w:pPr>
                  <w:r>
                    <w:rPr>
                      <w:rFonts w:hint="eastAsia"/>
                      <w:szCs w:val="21"/>
                    </w:rPr>
                    <w:t>1</w:t>
                  </w:r>
                  <w:r>
                    <w:rPr>
                      <w:szCs w:val="21"/>
                    </w:rPr>
                    <w:t>5</w:t>
                  </w:r>
                </w:p>
              </w:tc>
              <w:tc>
                <w:tcPr>
                  <w:tcW w:w="993" w:type="dxa"/>
                  <w:vAlign w:val="center"/>
                </w:tcPr>
                <w:p w14:paraId="77F90250">
                  <w:pPr>
                    <w:adjustRightInd w:val="0"/>
                    <w:snapToGrid w:val="0"/>
                    <w:jc w:val="center"/>
                    <w:rPr>
                      <w:szCs w:val="21"/>
                    </w:rPr>
                  </w:pPr>
                  <w:r>
                    <w:rPr>
                      <w:rFonts w:hint="eastAsia"/>
                      <w:szCs w:val="21"/>
                    </w:rPr>
                    <w:t>0</w:t>
                  </w:r>
                  <w:r>
                    <w:rPr>
                      <w:szCs w:val="21"/>
                    </w:rPr>
                    <w:t>.3</w:t>
                  </w:r>
                </w:p>
              </w:tc>
              <w:tc>
                <w:tcPr>
                  <w:tcW w:w="908" w:type="dxa"/>
                  <w:vAlign w:val="center"/>
                </w:tcPr>
                <w:p w14:paraId="26DA9C5E">
                  <w:pPr>
                    <w:adjustRightInd w:val="0"/>
                    <w:snapToGrid w:val="0"/>
                    <w:jc w:val="center"/>
                    <w:rPr>
                      <w:szCs w:val="21"/>
                    </w:rPr>
                  </w:pPr>
                  <w:r>
                    <w:rPr>
                      <w:rFonts w:hint="eastAsia"/>
                      <w:szCs w:val="21"/>
                    </w:rPr>
                    <w:t>25</w:t>
                  </w:r>
                </w:p>
              </w:tc>
            </w:tr>
          </w:tbl>
          <w:p w14:paraId="2C813252">
            <w:pPr>
              <w:pStyle w:val="83"/>
              <w:ind w:firstLine="480"/>
              <w:rPr>
                <w:lang w:bidi="en-US"/>
              </w:rPr>
            </w:pPr>
          </w:p>
          <w:p w14:paraId="73743679">
            <w:pPr>
              <w:pStyle w:val="31"/>
              <w:spacing w:line="360" w:lineRule="auto"/>
              <w:ind w:left="0" w:leftChars="0" w:firstLine="480"/>
              <w:rPr>
                <w:kern w:val="24"/>
                <w:sz w:val="24"/>
              </w:rPr>
            </w:pPr>
            <w:r>
              <w:rPr>
                <w:rFonts w:hint="eastAsia"/>
                <w:kern w:val="24"/>
                <w:sz w:val="24"/>
              </w:rPr>
              <w:t>本项目运营后，主要污染物有组织和无组织排放量核算见下表。</w:t>
            </w:r>
          </w:p>
          <w:p w14:paraId="4C5AB31F">
            <w:pPr>
              <w:adjustRightInd w:val="0"/>
              <w:snapToGrid w:val="0"/>
              <w:spacing w:line="360" w:lineRule="auto"/>
              <w:ind w:firstLine="482" w:firstLineChars="200"/>
              <w:jc w:val="center"/>
              <w:rPr>
                <w:b/>
                <w:bCs/>
                <w:kern w:val="24"/>
                <w:sz w:val="24"/>
              </w:rPr>
            </w:pPr>
            <w:r>
              <w:rPr>
                <w:rFonts w:hint="eastAsia"/>
                <w:b/>
                <w:bCs/>
                <w:kern w:val="24"/>
                <w:sz w:val="24"/>
              </w:rPr>
              <w:t>表4-3  大气污染物有组织排放量核算表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99"/>
              <w:gridCol w:w="1555"/>
              <w:gridCol w:w="1590"/>
              <w:gridCol w:w="1728"/>
              <w:gridCol w:w="1764"/>
              <w:gridCol w:w="1654"/>
            </w:tblGrid>
            <w:tr w14:paraId="0D17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599" w:type="dxa"/>
                  <w:vAlign w:val="center"/>
                </w:tcPr>
                <w:p w14:paraId="4E968D25">
                  <w:pPr>
                    <w:adjustRightInd w:val="0"/>
                    <w:snapToGrid w:val="0"/>
                    <w:jc w:val="center"/>
                    <w:rPr>
                      <w:szCs w:val="21"/>
                    </w:rPr>
                  </w:pPr>
                  <w:r>
                    <w:rPr>
                      <w:szCs w:val="21"/>
                    </w:rPr>
                    <w:t>序号</w:t>
                  </w:r>
                </w:p>
              </w:tc>
              <w:tc>
                <w:tcPr>
                  <w:tcW w:w="1555" w:type="dxa"/>
                  <w:vAlign w:val="center"/>
                </w:tcPr>
                <w:p w14:paraId="00B198F7">
                  <w:pPr>
                    <w:adjustRightInd w:val="0"/>
                    <w:snapToGrid w:val="0"/>
                    <w:jc w:val="center"/>
                    <w:rPr>
                      <w:szCs w:val="21"/>
                    </w:rPr>
                  </w:pPr>
                  <w:r>
                    <w:rPr>
                      <w:szCs w:val="21"/>
                    </w:rPr>
                    <w:t>排放口编号</w:t>
                  </w:r>
                </w:p>
              </w:tc>
              <w:tc>
                <w:tcPr>
                  <w:tcW w:w="1590" w:type="dxa"/>
                  <w:vAlign w:val="center"/>
                </w:tcPr>
                <w:p w14:paraId="3845EB03">
                  <w:pPr>
                    <w:adjustRightInd w:val="0"/>
                    <w:snapToGrid w:val="0"/>
                    <w:jc w:val="center"/>
                    <w:rPr>
                      <w:szCs w:val="21"/>
                    </w:rPr>
                  </w:pPr>
                  <w:r>
                    <w:rPr>
                      <w:szCs w:val="21"/>
                    </w:rPr>
                    <w:t>污染物</w:t>
                  </w:r>
                </w:p>
              </w:tc>
              <w:tc>
                <w:tcPr>
                  <w:tcW w:w="1728" w:type="dxa"/>
                  <w:vAlign w:val="center"/>
                </w:tcPr>
                <w:p w14:paraId="6D559D2B">
                  <w:pPr>
                    <w:adjustRightInd w:val="0"/>
                    <w:snapToGrid w:val="0"/>
                    <w:jc w:val="center"/>
                    <w:rPr>
                      <w:szCs w:val="21"/>
                    </w:rPr>
                  </w:pPr>
                  <w:r>
                    <w:rPr>
                      <w:szCs w:val="21"/>
                    </w:rPr>
                    <w:t>核算排放浓度/</w:t>
                  </w:r>
                </w:p>
                <w:p w14:paraId="087B6014">
                  <w:pPr>
                    <w:adjustRightInd w:val="0"/>
                    <w:snapToGrid w:val="0"/>
                    <w:jc w:val="center"/>
                    <w:rPr>
                      <w:szCs w:val="21"/>
                    </w:rPr>
                  </w:pPr>
                  <w:r>
                    <w:rPr>
                      <w:szCs w:val="21"/>
                    </w:rPr>
                    <w:t>(</w:t>
                  </w:r>
                  <w:r>
                    <w:rPr>
                      <w:rFonts w:hint="eastAsia"/>
                      <w:szCs w:val="21"/>
                    </w:rPr>
                    <w:t>m</w:t>
                  </w:r>
                  <w:r>
                    <w:rPr>
                      <w:szCs w:val="21"/>
                    </w:rPr>
                    <w:t>g/m</w:t>
                  </w:r>
                  <w:r>
                    <w:rPr>
                      <w:szCs w:val="21"/>
                      <w:vertAlign w:val="superscript"/>
                    </w:rPr>
                    <w:t>3</w:t>
                  </w:r>
                  <w:r>
                    <w:rPr>
                      <w:szCs w:val="21"/>
                    </w:rPr>
                    <w:t>)</w:t>
                  </w:r>
                </w:p>
              </w:tc>
              <w:tc>
                <w:tcPr>
                  <w:tcW w:w="1764" w:type="dxa"/>
                  <w:vAlign w:val="center"/>
                </w:tcPr>
                <w:p w14:paraId="002190A6">
                  <w:pPr>
                    <w:adjustRightInd w:val="0"/>
                    <w:snapToGrid w:val="0"/>
                    <w:jc w:val="center"/>
                    <w:rPr>
                      <w:szCs w:val="21"/>
                    </w:rPr>
                  </w:pPr>
                  <w:r>
                    <w:rPr>
                      <w:szCs w:val="21"/>
                    </w:rPr>
                    <w:t>核算排放速率/</w:t>
                  </w:r>
                </w:p>
                <w:p w14:paraId="22B6D852">
                  <w:pPr>
                    <w:adjustRightInd w:val="0"/>
                    <w:snapToGrid w:val="0"/>
                    <w:jc w:val="center"/>
                    <w:rPr>
                      <w:szCs w:val="21"/>
                    </w:rPr>
                  </w:pPr>
                  <w:r>
                    <w:rPr>
                      <w:szCs w:val="21"/>
                    </w:rPr>
                    <w:t>(kg/h)</w:t>
                  </w:r>
                </w:p>
              </w:tc>
              <w:tc>
                <w:tcPr>
                  <w:tcW w:w="1654" w:type="dxa"/>
                  <w:vAlign w:val="center"/>
                </w:tcPr>
                <w:p w14:paraId="5B95751D">
                  <w:pPr>
                    <w:adjustRightInd w:val="0"/>
                    <w:snapToGrid w:val="0"/>
                    <w:jc w:val="center"/>
                    <w:rPr>
                      <w:szCs w:val="21"/>
                    </w:rPr>
                  </w:pPr>
                  <w:r>
                    <w:rPr>
                      <w:szCs w:val="21"/>
                    </w:rPr>
                    <w:t>核算年排放量/</w:t>
                  </w:r>
                </w:p>
                <w:p w14:paraId="0FBAD206">
                  <w:pPr>
                    <w:adjustRightInd w:val="0"/>
                    <w:snapToGrid w:val="0"/>
                    <w:jc w:val="center"/>
                    <w:rPr>
                      <w:szCs w:val="21"/>
                    </w:rPr>
                  </w:pPr>
                  <w:r>
                    <w:rPr>
                      <w:szCs w:val="21"/>
                    </w:rPr>
                    <w:t>(t/a)</w:t>
                  </w:r>
                </w:p>
              </w:tc>
            </w:tr>
            <w:tr w14:paraId="1E01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8890" w:type="dxa"/>
                  <w:gridSpan w:val="6"/>
                  <w:vAlign w:val="center"/>
                </w:tcPr>
                <w:p w14:paraId="68F87087">
                  <w:pPr>
                    <w:adjustRightInd w:val="0"/>
                    <w:snapToGrid w:val="0"/>
                    <w:jc w:val="center"/>
                    <w:rPr>
                      <w:szCs w:val="21"/>
                    </w:rPr>
                  </w:pPr>
                  <w:r>
                    <w:rPr>
                      <w:rFonts w:hint="eastAsia"/>
                      <w:szCs w:val="21"/>
                    </w:rPr>
                    <w:t>一般排放口</w:t>
                  </w:r>
                </w:p>
              </w:tc>
            </w:tr>
            <w:tr w14:paraId="511C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0" w:hRule="atLeast"/>
              </w:trPr>
              <w:tc>
                <w:tcPr>
                  <w:tcW w:w="599" w:type="dxa"/>
                  <w:vAlign w:val="center"/>
                </w:tcPr>
                <w:p w14:paraId="48E475FE">
                  <w:pPr>
                    <w:adjustRightInd w:val="0"/>
                    <w:snapToGrid w:val="0"/>
                    <w:jc w:val="center"/>
                    <w:rPr>
                      <w:szCs w:val="21"/>
                    </w:rPr>
                  </w:pPr>
                  <w:r>
                    <w:rPr>
                      <w:szCs w:val="21"/>
                    </w:rPr>
                    <w:t>1</w:t>
                  </w:r>
                </w:p>
              </w:tc>
              <w:tc>
                <w:tcPr>
                  <w:tcW w:w="1555" w:type="dxa"/>
                  <w:vAlign w:val="center"/>
                </w:tcPr>
                <w:p w14:paraId="7F8F699C">
                  <w:pPr>
                    <w:adjustRightInd w:val="0"/>
                    <w:snapToGrid w:val="0"/>
                    <w:jc w:val="center"/>
                    <w:rPr>
                      <w:szCs w:val="21"/>
                    </w:rPr>
                  </w:pPr>
                  <w:r>
                    <w:rPr>
                      <w:rFonts w:hint="eastAsia"/>
                      <w:szCs w:val="21"/>
                    </w:rPr>
                    <w:t>DA001</w:t>
                  </w:r>
                </w:p>
              </w:tc>
              <w:tc>
                <w:tcPr>
                  <w:tcW w:w="1590" w:type="dxa"/>
                  <w:vAlign w:val="center"/>
                </w:tcPr>
                <w:p w14:paraId="3BD38BCB">
                  <w:pPr>
                    <w:adjustRightInd w:val="0"/>
                    <w:snapToGrid w:val="0"/>
                    <w:jc w:val="center"/>
                    <w:rPr>
                      <w:szCs w:val="21"/>
                    </w:rPr>
                  </w:pPr>
                  <w:r>
                    <w:rPr>
                      <w:rFonts w:hint="eastAsia"/>
                      <w:szCs w:val="21"/>
                    </w:rPr>
                    <w:t>颗粒物</w:t>
                  </w:r>
                </w:p>
              </w:tc>
              <w:tc>
                <w:tcPr>
                  <w:tcW w:w="1728" w:type="dxa"/>
                  <w:vAlign w:val="center"/>
                </w:tcPr>
                <w:p w14:paraId="3DA6C9FB">
                  <w:pPr>
                    <w:adjustRightInd w:val="0"/>
                    <w:snapToGrid w:val="0"/>
                    <w:jc w:val="center"/>
                    <w:rPr>
                      <w:szCs w:val="21"/>
                    </w:rPr>
                  </w:pPr>
                  <w:r>
                    <w:rPr>
                      <w:kern w:val="24"/>
                      <w:szCs w:val="21"/>
                    </w:rPr>
                    <w:t>0.2</w:t>
                  </w:r>
                </w:p>
              </w:tc>
              <w:tc>
                <w:tcPr>
                  <w:tcW w:w="1764" w:type="dxa"/>
                  <w:vAlign w:val="center"/>
                </w:tcPr>
                <w:p w14:paraId="429F76DA">
                  <w:pPr>
                    <w:adjustRightInd w:val="0"/>
                    <w:snapToGrid w:val="0"/>
                    <w:jc w:val="center"/>
                    <w:rPr>
                      <w:szCs w:val="21"/>
                    </w:rPr>
                  </w:pPr>
                  <w:r>
                    <w:t>0.001</w:t>
                  </w:r>
                </w:p>
              </w:tc>
              <w:tc>
                <w:tcPr>
                  <w:tcW w:w="1654" w:type="dxa"/>
                  <w:vAlign w:val="center"/>
                </w:tcPr>
                <w:p w14:paraId="7A9F6CC6">
                  <w:pPr>
                    <w:adjustRightInd w:val="0"/>
                    <w:snapToGrid w:val="0"/>
                    <w:jc w:val="center"/>
                    <w:rPr>
                      <w:szCs w:val="21"/>
                    </w:rPr>
                  </w:pPr>
                  <w:r>
                    <w:t>0.004</w:t>
                  </w:r>
                </w:p>
              </w:tc>
            </w:tr>
            <w:tr w14:paraId="4018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8" w:hRule="atLeast"/>
              </w:trPr>
              <w:tc>
                <w:tcPr>
                  <w:tcW w:w="599" w:type="dxa"/>
                  <w:vAlign w:val="center"/>
                </w:tcPr>
                <w:p w14:paraId="3587CE2C">
                  <w:pPr>
                    <w:adjustRightInd w:val="0"/>
                    <w:snapToGrid w:val="0"/>
                    <w:jc w:val="center"/>
                    <w:rPr>
                      <w:szCs w:val="21"/>
                    </w:rPr>
                  </w:pPr>
                  <w:r>
                    <w:rPr>
                      <w:rFonts w:hint="eastAsia"/>
                      <w:szCs w:val="21"/>
                    </w:rPr>
                    <w:t>2</w:t>
                  </w:r>
                </w:p>
              </w:tc>
              <w:tc>
                <w:tcPr>
                  <w:tcW w:w="1555" w:type="dxa"/>
                  <w:vAlign w:val="center"/>
                </w:tcPr>
                <w:p w14:paraId="35FD3AB6">
                  <w:pPr>
                    <w:adjustRightInd w:val="0"/>
                    <w:snapToGrid w:val="0"/>
                    <w:jc w:val="center"/>
                    <w:rPr>
                      <w:szCs w:val="21"/>
                    </w:rPr>
                  </w:pPr>
                  <w:r>
                    <w:rPr>
                      <w:rFonts w:hint="eastAsia"/>
                      <w:szCs w:val="21"/>
                    </w:rPr>
                    <w:t>DA002</w:t>
                  </w:r>
                </w:p>
              </w:tc>
              <w:tc>
                <w:tcPr>
                  <w:tcW w:w="1590" w:type="dxa"/>
                  <w:vAlign w:val="center"/>
                </w:tcPr>
                <w:p w14:paraId="4EC231F5">
                  <w:pPr>
                    <w:adjustRightInd w:val="0"/>
                    <w:snapToGrid w:val="0"/>
                    <w:jc w:val="center"/>
                    <w:rPr>
                      <w:szCs w:val="21"/>
                    </w:rPr>
                  </w:pPr>
                  <w:r>
                    <w:rPr>
                      <w:rFonts w:hint="eastAsia"/>
                      <w:szCs w:val="21"/>
                    </w:rPr>
                    <w:t>颗粒物</w:t>
                  </w:r>
                </w:p>
              </w:tc>
              <w:tc>
                <w:tcPr>
                  <w:tcW w:w="1728" w:type="dxa"/>
                  <w:vAlign w:val="center"/>
                </w:tcPr>
                <w:p w14:paraId="0B0355AE">
                  <w:pPr>
                    <w:widowControl/>
                    <w:jc w:val="center"/>
                    <w:textAlignment w:val="center"/>
                    <w:rPr>
                      <w:szCs w:val="21"/>
                    </w:rPr>
                  </w:pPr>
                  <w:r>
                    <w:rPr>
                      <w:kern w:val="24"/>
                      <w:szCs w:val="21"/>
                    </w:rPr>
                    <w:t>0.13</w:t>
                  </w:r>
                </w:p>
              </w:tc>
              <w:tc>
                <w:tcPr>
                  <w:tcW w:w="1764" w:type="dxa"/>
                  <w:vAlign w:val="center"/>
                </w:tcPr>
                <w:p w14:paraId="19FAA73D">
                  <w:pPr>
                    <w:widowControl/>
                    <w:jc w:val="center"/>
                    <w:textAlignment w:val="center"/>
                    <w:rPr>
                      <w:szCs w:val="21"/>
                    </w:rPr>
                  </w:pPr>
                  <w:r>
                    <w:rPr>
                      <w:kern w:val="24"/>
                      <w:szCs w:val="21"/>
                    </w:rPr>
                    <w:t>0.002</w:t>
                  </w:r>
                </w:p>
              </w:tc>
              <w:tc>
                <w:tcPr>
                  <w:tcW w:w="1654" w:type="dxa"/>
                  <w:vAlign w:val="center"/>
                </w:tcPr>
                <w:p w14:paraId="3FEE9D63">
                  <w:pPr>
                    <w:widowControl/>
                    <w:jc w:val="center"/>
                    <w:textAlignment w:val="center"/>
                    <w:rPr>
                      <w:szCs w:val="21"/>
                    </w:rPr>
                  </w:pPr>
                  <w:r>
                    <w:rPr>
                      <w:kern w:val="24"/>
                      <w:szCs w:val="21"/>
                    </w:rPr>
                    <w:t>0.01</w:t>
                  </w:r>
                </w:p>
              </w:tc>
            </w:tr>
            <w:tr w14:paraId="70C2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599" w:type="dxa"/>
                  <w:vAlign w:val="center"/>
                </w:tcPr>
                <w:p w14:paraId="0D5A20D3">
                  <w:pPr>
                    <w:adjustRightInd w:val="0"/>
                    <w:snapToGrid w:val="0"/>
                    <w:jc w:val="center"/>
                    <w:rPr>
                      <w:szCs w:val="21"/>
                    </w:rPr>
                  </w:pPr>
                  <w:r>
                    <w:rPr>
                      <w:rFonts w:hint="eastAsia"/>
                      <w:szCs w:val="21"/>
                    </w:rPr>
                    <w:t>3</w:t>
                  </w:r>
                </w:p>
              </w:tc>
              <w:tc>
                <w:tcPr>
                  <w:tcW w:w="1555" w:type="dxa"/>
                  <w:vAlign w:val="center"/>
                </w:tcPr>
                <w:p w14:paraId="55A9F92C">
                  <w:pPr>
                    <w:adjustRightInd w:val="0"/>
                    <w:snapToGrid w:val="0"/>
                    <w:jc w:val="center"/>
                    <w:rPr>
                      <w:szCs w:val="21"/>
                    </w:rPr>
                  </w:pPr>
                  <w:r>
                    <w:rPr>
                      <w:rFonts w:hint="eastAsia"/>
                      <w:szCs w:val="21"/>
                    </w:rPr>
                    <w:t>DA00</w:t>
                  </w:r>
                  <w:r>
                    <w:rPr>
                      <w:szCs w:val="21"/>
                    </w:rPr>
                    <w:t>3</w:t>
                  </w:r>
                </w:p>
              </w:tc>
              <w:tc>
                <w:tcPr>
                  <w:tcW w:w="1590" w:type="dxa"/>
                  <w:vAlign w:val="center"/>
                </w:tcPr>
                <w:p w14:paraId="74C8E180">
                  <w:pPr>
                    <w:adjustRightInd w:val="0"/>
                    <w:snapToGrid w:val="0"/>
                    <w:jc w:val="center"/>
                    <w:rPr>
                      <w:szCs w:val="21"/>
                    </w:rPr>
                  </w:pPr>
                  <w:r>
                    <w:rPr>
                      <w:rFonts w:hint="eastAsia"/>
                      <w:szCs w:val="21"/>
                    </w:rPr>
                    <w:t>颗粒物</w:t>
                  </w:r>
                </w:p>
              </w:tc>
              <w:tc>
                <w:tcPr>
                  <w:tcW w:w="1728" w:type="dxa"/>
                  <w:vAlign w:val="center"/>
                </w:tcPr>
                <w:p w14:paraId="597FE781">
                  <w:pPr>
                    <w:widowControl/>
                    <w:jc w:val="center"/>
                    <w:textAlignment w:val="center"/>
                    <w:rPr>
                      <w:szCs w:val="21"/>
                    </w:rPr>
                  </w:pPr>
                  <w:r>
                    <w:rPr>
                      <w:kern w:val="24"/>
                      <w:szCs w:val="21"/>
                    </w:rPr>
                    <w:t>0.1</w:t>
                  </w:r>
                </w:p>
              </w:tc>
              <w:tc>
                <w:tcPr>
                  <w:tcW w:w="1764" w:type="dxa"/>
                  <w:vAlign w:val="center"/>
                </w:tcPr>
                <w:p w14:paraId="1AE13162">
                  <w:pPr>
                    <w:widowControl/>
                    <w:jc w:val="center"/>
                    <w:textAlignment w:val="center"/>
                    <w:rPr>
                      <w:szCs w:val="21"/>
                    </w:rPr>
                  </w:pPr>
                  <w:r>
                    <w:rPr>
                      <w:kern w:val="24"/>
                      <w:szCs w:val="21"/>
                    </w:rPr>
                    <w:t>0.001</w:t>
                  </w:r>
                </w:p>
              </w:tc>
              <w:tc>
                <w:tcPr>
                  <w:tcW w:w="1654" w:type="dxa"/>
                  <w:vAlign w:val="center"/>
                </w:tcPr>
                <w:p w14:paraId="4C303732">
                  <w:pPr>
                    <w:widowControl/>
                    <w:jc w:val="center"/>
                    <w:textAlignment w:val="center"/>
                    <w:rPr>
                      <w:szCs w:val="21"/>
                    </w:rPr>
                  </w:pPr>
                  <w:r>
                    <w:rPr>
                      <w:kern w:val="24"/>
                      <w:szCs w:val="21"/>
                    </w:rPr>
                    <w:t>0.007</w:t>
                  </w:r>
                </w:p>
              </w:tc>
            </w:tr>
            <w:tr w14:paraId="50C1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8" w:hRule="atLeast"/>
              </w:trPr>
              <w:tc>
                <w:tcPr>
                  <w:tcW w:w="2154" w:type="dxa"/>
                  <w:gridSpan w:val="2"/>
                  <w:vAlign w:val="center"/>
                </w:tcPr>
                <w:p w14:paraId="669FFA47">
                  <w:pPr>
                    <w:adjustRightInd w:val="0"/>
                    <w:snapToGrid w:val="0"/>
                    <w:jc w:val="center"/>
                    <w:rPr>
                      <w:szCs w:val="21"/>
                    </w:rPr>
                  </w:pPr>
                  <w:r>
                    <w:rPr>
                      <w:rFonts w:hint="eastAsia"/>
                      <w:szCs w:val="21"/>
                    </w:rPr>
                    <w:t>一般排放口合计</w:t>
                  </w:r>
                </w:p>
              </w:tc>
              <w:tc>
                <w:tcPr>
                  <w:tcW w:w="5082" w:type="dxa"/>
                  <w:gridSpan w:val="3"/>
                  <w:vAlign w:val="center"/>
                </w:tcPr>
                <w:p w14:paraId="225171CD">
                  <w:pPr>
                    <w:widowControl/>
                    <w:jc w:val="center"/>
                    <w:textAlignment w:val="center"/>
                    <w:rPr>
                      <w:szCs w:val="21"/>
                    </w:rPr>
                  </w:pPr>
                  <w:r>
                    <w:rPr>
                      <w:rFonts w:hint="eastAsia"/>
                      <w:szCs w:val="21"/>
                    </w:rPr>
                    <w:t>颗粒物</w:t>
                  </w:r>
                </w:p>
              </w:tc>
              <w:tc>
                <w:tcPr>
                  <w:tcW w:w="1654" w:type="dxa"/>
                  <w:vAlign w:val="center"/>
                </w:tcPr>
                <w:p w14:paraId="2987908D">
                  <w:pPr>
                    <w:widowControl/>
                    <w:jc w:val="center"/>
                    <w:textAlignment w:val="center"/>
                    <w:rPr>
                      <w:szCs w:val="21"/>
                    </w:rPr>
                  </w:pPr>
                  <w:r>
                    <w:rPr>
                      <w:rFonts w:hint="eastAsia"/>
                      <w:szCs w:val="21"/>
                    </w:rPr>
                    <w:t>0.021</w:t>
                  </w:r>
                </w:p>
              </w:tc>
            </w:tr>
            <w:tr w14:paraId="4611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8" w:hRule="atLeast"/>
              </w:trPr>
              <w:tc>
                <w:tcPr>
                  <w:tcW w:w="8890" w:type="dxa"/>
                  <w:gridSpan w:val="6"/>
                  <w:vAlign w:val="center"/>
                </w:tcPr>
                <w:p w14:paraId="3E791471">
                  <w:pPr>
                    <w:widowControl/>
                    <w:jc w:val="center"/>
                    <w:textAlignment w:val="center"/>
                    <w:rPr>
                      <w:szCs w:val="21"/>
                    </w:rPr>
                  </w:pPr>
                  <w:r>
                    <w:rPr>
                      <w:rFonts w:hint="eastAsia"/>
                      <w:szCs w:val="21"/>
                    </w:rPr>
                    <w:t>有组织排放总计</w:t>
                  </w:r>
                </w:p>
              </w:tc>
            </w:tr>
            <w:tr w14:paraId="4244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8" w:hRule="atLeast"/>
              </w:trPr>
              <w:tc>
                <w:tcPr>
                  <w:tcW w:w="2154" w:type="dxa"/>
                  <w:gridSpan w:val="2"/>
                  <w:vAlign w:val="center"/>
                </w:tcPr>
                <w:p w14:paraId="3A26FF4C">
                  <w:pPr>
                    <w:adjustRightInd w:val="0"/>
                    <w:snapToGrid w:val="0"/>
                    <w:jc w:val="center"/>
                    <w:rPr>
                      <w:szCs w:val="21"/>
                    </w:rPr>
                  </w:pPr>
                  <w:r>
                    <w:rPr>
                      <w:rFonts w:hint="eastAsia"/>
                      <w:szCs w:val="21"/>
                    </w:rPr>
                    <w:t>有组织排放总计</w:t>
                  </w:r>
                </w:p>
              </w:tc>
              <w:tc>
                <w:tcPr>
                  <w:tcW w:w="5082" w:type="dxa"/>
                  <w:gridSpan w:val="3"/>
                  <w:vAlign w:val="center"/>
                </w:tcPr>
                <w:p w14:paraId="051CE8B2">
                  <w:pPr>
                    <w:widowControl/>
                    <w:jc w:val="center"/>
                    <w:textAlignment w:val="center"/>
                    <w:rPr>
                      <w:szCs w:val="21"/>
                    </w:rPr>
                  </w:pPr>
                  <w:r>
                    <w:rPr>
                      <w:rFonts w:hint="eastAsia"/>
                      <w:szCs w:val="21"/>
                    </w:rPr>
                    <w:t>颗粒物</w:t>
                  </w:r>
                </w:p>
              </w:tc>
              <w:tc>
                <w:tcPr>
                  <w:tcW w:w="1654" w:type="dxa"/>
                  <w:vAlign w:val="center"/>
                </w:tcPr>
                <w:p w14:paraId="41179F39">
                  <w:pPr>
                    <w:widowControl/>
                    <w:jc w:val="center"/>
                    <w:textAlignment w:val="center"/>
                    <w:rPr>
                      <w:szCs w:val="21"/>
                    </w:rPr>
                  </w:pPr>
                  <w:r>
                    <w:rPr>
                      <w:rFonts w:hint="eastAsia"/>
                      <w:szCs w:val="21"/>
                    </w:rPr>
                    <w:t>0.021</w:t>
                  </w:r>
                </w:p>
              </w:tc>
            </w:tr>
          </w:tbl>
          <w:p w14:paraId="5C730DDF">
            <w:pPr>
              <w:adjustRightInd w:val="0"/>
              <w:snapToGrid w:val="0"/>
              <w:spacing w:line="360" w:lineRule="auto"/>
              <w:ind w:firstLine="482" w:firstLineChars="200"/>
              <w:jc w:val="center"/>
              <w:rPr>
                <w:b/>
                <w:bCs/>
                <w:kern w:val="24"/>
                <w:sz w:val="24"/>
              </w:rPr>
            </w:pPr>
          </w:p>
          <w:p w14:paraId="11319033">
            <w:pPr>
              <w:adjustRightInd w:val="0"/>
              <w:snapToGrid w:val="0"/>
              <w:spacing w:line="360" w:lineRule="auto"/>
              <w:ind w:firstLine="482" w:firstLineChars="200"/>
              <w:jc w:val="center"/>
              <w:rPr>
                <w:b/>
                <w:bCs/>
                <w:kern w:val="24"/>
                <w:sz w:val="24"/>
              </w:rPr>
            </w:pPr>
            <w:r>
              <w:rPr>
                <w:rFonts w:hint="eastAsia"/>
                <w:b/>
                <w:bCs/>
                <w:kern w:val="24"/>
                <w:sz w:val="24"/>
              </w:rPr>
              <w:t>表4-4  大气污染物无组织排放量核算表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1"/>
              <w:gridCol w:w="1552"/>
              <w:gridCol w:w="1122"/>
              <w:gridCol w:w="1566"/>
              <w:gridCol w:w="1373"/>
              <w:gridCol w:w="1373"/>
              <w:gridCol w:w="1373"/>
            </w:tblGrid>
            <w:tr w14:paraId="3CF4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299" w:type="pct"/>
                  <w:vMerge w:val="restart"/>
                  <w:vAlign w:val="center"/>
                </w:tcPr>
                <w:p w14:paraId="3575A621">
                  <w:pPr>
                    <w:adjustRightInd w:val="0"/>
                    <w:snapToGrid w:val="0"/>
                    <w:jc w:val="center"/>
                    <w:rPr>
                      <w:szCs w:val="21"/>
                    </w:rPr>
                  </w:pPr>
                  <w:r>
                    <w:rPr>
                      <w:szCs w:val="21"/>
                    </w:rPr>
                    <w:t>序号</w:t>
                  </w:r>
                </w:p>
              </w:tc>
              <w:tc>
                <w:tcPr>
                  <w:tcW w:w="873" w:type="pct"/>
                  <w:vMerge w:val="restart"/>
                  <w:vAlign w:val="center"/>
                </w:tcPr>
                <w:p w14:paraId="7D732344">
                  <w:pPr>
                    <w:adjustRightInd w:val="0"/>
                    <w:snapToGrid w:val="0"/>
                    <w:jc w:val="center"/>
                    <w:rPr>
                      <w:szCs w:val="21"/>
                    </w:rPr>
                  </w:pPr>
                  <w:r>
                    <w:rPr>
                      <w:szCs w:val="21"/>
                    </w:rPr>
                    <w:t>产污环节</w:t>
                  </w:r>
                </w:p>
              </w:tc>
              <w:tc>
                <w:tcPr>
                  <w:tcW w:w="631" w:type="pct"/>
                  <w:vMerge w:val="restart"/>
                  <w:vAlign w:val="center"/>
                </w:tcPr>
                <w:p w14:paraId="451CDB64">
                  <w:pPr>
                    <w:adjustRightInd w:val="0"/>
                    <w:snapToGrid w:val="0"/>
                    <w:jc w:val="center"/>
                    <w:rPr>
                      <w:szCs w:val="21"/>
                    </w:rPr>
                  </w:pPr>
                  <w:r>
                    <w:rPr>
                      <w:szCs w:val="21"/>
                    </w:rPr>
                    <w:t>污染物</w:t>
                  </w:r>
                </w:p>
              </w:tc>
              <w:tc>
                <w:tcPr>
                  <w:tcW w:w="881" w:type="pct"/>
                  <w:vMerge w:val="restart"/>
                  <w:vAlign w:val="center"/>
                </w:tcPr>
                <w:p w14:paraId="7F19768C">
                  <w:pPr>
                    <w:adjustRightInd w:val="0"/>
                    <w:snapToGrid w:val="0"/>
                    <w:jc w:val="center"/>
                    <w:rPr>
                      <w:szCs w:val="21"/>
                    </w:rPr>
                  </w:pPr>
                  <w:r>
                    <w:rPr>
                      <w:szCs w:val="21"/>
                    </w:rPr>
                    <w:t>主要污染防治措施</w:t>
                  </w:r>
                </w:p>
              </w:tc>
              <w:tc>
                <w:tcPr>
                  <w:tcW w:w="1544" w:type="pct"/>
                  <w:gridSpan w:val="2"/>
                  <w:vAlign w:val="center"/>
                </w:tcPr>
                <w:p w14:paraId="0EE5D64B">
                  <w:pPr>
                    <w:adjustRightInd w:val="0"/>
                    <w:snapToGrid w:val="0"/>
                    <w:jc w:val="center"/>
                    <w:rPr>
                      <w:szCs w:val="21"/>
                    </w:rPr>
                  </w:pPr>
                  <w:r>
                    <w:rPr>
                      <w:rFonts w:hint="eastAsia"/>
                      <w:szCs w:val="21"/>
                    </w:rPr>
                    <w:t>国家或地方污染物排放标准</w:t>
                  </w:r>
                </w:p>
              </w:tc>
              <w:tc>
                <w:tcPr>
                  <w:tcW w:w="772" w:type="pct"/>
                  <w:vMerge w:val="restart"/>
                  <w:vAlign w:val="center"/>
                </w:tcPr>
                <w:p w14:paraId="225AB16C">
                  <w:pPr>
                    <w:adjustRightInd w:val="0"/>
                    <w:snapToGrid w:val="0"/>
                    <w:jc w:val="center"/>
                    <w:rPr>
                      <w:szCs w:val="21"/>
                    </w:rPr>
                  </w:pPr>
                  <w:r>
                    <w:rPr>
                      <w:rFonts w:hint="eastAsia"/>
                      <w:szCs w:val="21"/>
                    </w:rPr>
                    <w:t>年排放量/</w:t>
                  </w:r>
                </w:p>
                <w:p w14:paraId="0C553C3A">
                  <w:pPr>
                    <w:adjustRightInd w:val="0"/>
                    <w:snapToGrid w:val="0"/>
                    <w:jc w:val="center"/>
                    <w:rPr>
                      <w:szCs w:val="21"/>
                    </w:rPr>
                  </w:pPr>
                  <w:r>
                    <w:rPr>
                      <w:rFonts w:hint="eastAsia"/>
                      <w:szCs w:val="21"/>
                    </w:rPr>
                    <w:t>(t/a)</w:t>
                  </w:r>
                </w:p>
              </w:tc>
            </w:tr>
            <w:tr w14:paraId="577F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299" w:type="pct"/>
                  <w:vMerge w:val="continue"/>
                  <w:vAlign w:val="center"/>
                </w:tcPr>
                <w:p w14:paraId="7FA97482">
                  <w:pPr>
                    <w:adjustRightInd w:val="0"/>
                    <w:snapToGrid w:val="0"/>
                    <w:jc w:val="center"/>
                    <w:rPr>
                      <w:szCs w:val="21"/>
                    </w:rPr>
                  </w:pPr>
                </w:p>
              </w:tc>
              <w:tc>
                <w:tcPr>
                  <w:tcW w:w="873" w:type="pct"/>
                  <w:vMerge w:val="continue"/>
                  <w:vAlign w:val="center"/>
                </w:tcPr>
                <w:p w14:paraId="22E7AC05">
                  <w:pPr>
                    <w:adjustRightInd w:val="0"/>
                    <w:snapToGrid w:val="0"/>
                    <w:jc w:val="center"/>
                    <w:rPr>
                      <w:szCs w:val="21"/>
                    </w:rPr>
                  </w:pPr>
                </w:p>
              </w:tc>
              <w:tc>
                <w:tcPr>
                  <w:tcW w:w="631" w:type="pct"/>
                  <w:vMerge w:val="continue"/>
                  <w:vAlign w:val="center"/>
                </w:tcPr>
                <w:p w14:paraId="2CBEFAFC">
                  <w:pPr>
                    <w:adjustRightInd w:val="0"/>
                    <w:snapToGrid w:val="0"/>
                    <w:jc w:val="center"/>
                    <w:rPr>
                      <w:szCs w:val="21"/>
                    </w:rPr>
                  </w:pPr>
                </w:p>
              </w:tc>
              <w:tc>
                <w:tcPr>
                  <w:tcW w:w="881" w:type="pct"/>
                  <w:vMerge w:val="continue"/>
                  <w:vAlign w:val="center"/>
                </w:tcPr>
                <w:p w14:paraId="35AF4DBE">
                  <w:pPr>
                    <w:adjustRightInd w:val="0"/>
                    <w:snapToGrid w:val="0"/>
                    <w:jc w:val="center"/>
                    <w:rPr>
                      <w:szCs w:val="21"/>
                    </w:rPr>
                  </w:pPr>
                </w:p>
              </w:tc>
              <w:tc>
                <w:tcPr>
                  <w:tcW w:w="772" w:type="pct"/>
                  <w:vAlign w:val="center"/>
                </w:tcPr>
                <w:p w14:paraId="214654B5">
                  <w:pPr>
                    <w:adjustRightInd w:val="0"/>
                    <w:snapToGrid w:val="0"/>
                    <w:jc w:val="center"/>
                    <w:rPr>
                      <w:szCs w:val="21"/>
                    </w:rPr>
                  </w:pPr>
                  <w:r>
                    <w:rPr>
                      <w:rFonts w:hint="eastAsia"/>
                      <w:szCs w:val="21"/>
                    </w:rPr>
                    <w:t>浓度限值/</w:t>
                  </w:r>
                </w:p>
                <w:p w14:paraId="222C5FB3">
                  <w:pPr>
                    <w:adjustRightInd w:val="0"/>
                    <w:snapToGrid w:val="0"/>
                    <w:jc w:val="center"/>
                    <w:rPr>
                      <w:szCs w:val="21"/>
                    </w:rPr>
                  </w:pPr>
                  <w:r>
                    <w:rPr>
                      <w:rFonts w:hint="eastAsia"/>
                      <w:szCs w:val="21"/>
                    </w:rPr>
                    <w:t>(m</w:t>
                  </w:r>
                  <w:r>
                    <w:rPr>
                      <w:szCs w:val="21"/>
                    </w:rPr>
                    <w:t>g/m</w:t>
                  </w:r>
                  <w:r>
                    <w:rPr>
                      <w:szCs w:val="21"/>
                      <w:vertAlign w:val="superscript"/>
                    </w:rPr>
                    <w:t>3</w:t>
                  </w:r>
                  <w:r>
                    <w:rPr>
                      <w:rFonts w:hint="eastAsia"/>
                      <w:szCs w:val="21"/>
                    </w:rPr>
                    <w:t>)</w:t>
                  </w:r>
                </w:p>
              </w:tc>
              <w:tc>
                <w:tcPr>
                  <w:tcW w:w="772" w:type="pct"/>
                  <w:vAlign w:val="center"/>
                </w:tcPr>
                <w:p w14:paraId="1B60157F">
                  <w:pPr>
                    <w:adjustRightInd w:val="0"/>
                    <w:snapToGrid w:val="0"/>
                    <w:jc w:val="center"/>
                    <w:rPr>
                      <w:szCs w:val="21"/>
                    </w:rPr>
                  </w:pPr>
                  <w:r>
                    <w:rPr>
                      <w:rFonts w:hint="eastAsia"/>
                      <w:szCs w:val="21"/>
                    </w:rPr>
                    <w:t>浓度限值/</w:t>
                  </w:r>
                </w:p>
                <w:p w14:paraId="502556D8">
                  <w:pPr>
                    <w:adjustRightInd w:val="0"/>
                    <w:snapToGrid w:val="0"/>
                    <w:jc w:val="center"/>
                    <w:rPr>
                      <w:szCs w:val="21"/>
                    </w:rPr>
                  </w:pPr>
                  <w:r>
                    <w:rPr>
                      <w:rFonts w:hint="eastAsia"/>
                      <w:szCs w:val="21"/>
                    </w:rPr>
                    <w:t>(m</w:t>
                  </w:r>
                  <w:r>
                    <w:rPr>
                      <w:szCs w:val="21"/>
                    </w:rPr>
                    <w:t>g/m</w:t>
                  </w:r>
                  <w:r>
                    <w:rPr>
                      <w:szCs w:val="21"/>
                      <w:vertAlign w:val="superscript"/>
                    </w:rPr>
                    <w:t>3</w:t>
                  </w:r>
                  <w:r>
                    <w:rPr>
                      <w:rFonts w:hint="eastAsia"/>
                      <w:szCs w:val="21"/>
                    </w:rPr>
                    <w:t>)</w:t>
                  </w:r>
                </w:p>
              </w:tc>
              <w:tc>
                <w:tcPr>
                  <w:tcW w:w="772" w:type="pct"/>
                  <w:vMerge w:val="continue"/>
                  <w:vAlign w:val="center"/>
                </w:tcPr>
                <w:p w14:paraId="43816EAA">
                  <w:pPr>
                    <w:adjustRightInd w:val="0"/>
                    <w:snapToGrid w:val="0"/>
                    <w:jc w:val="center"/>
                    <w:rPr>
                      <w:szCs w:val="21"/>
                    </w:rPr>
                  </w:pPr>
                </w:p>
              </w:tc>
            </w:tr>
            <w:tr w14:paraId="20A5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2" w:hRule="atLeast"/>
              </w:trPr>
              <w:tc>
                <w:tcPr>
                  <w:tcW w:w="299" w:type="pct"/>
                  <w:vAlign w:val="center"/>
                </w:tcPr>
                <w:p w14:paraId="4AB5930E">
                  <w:pPr>
                    <w:adjustRightInd w:val="0"/>
                    <w:snapToGrid w:val="0"/>
                    <w:jc w:val="center"/>
                    <w:rPr>
                      <w:szCs w:val="21"/>
                    </w:rPr>
                  </w:pPr>
                  <w:r>
                    <w:rPr>
                      <w:szCs w:val="21"/>
                    </w:rPr>
                    <w:t>1</w:t>
                  </w:r>
                </w:p>
              </w:tc>
              <w:tc>
                <w:tcPr>
                  <w:tcW w:w="873" w:type="pct"/>
                  <w:vAlign w:val="center"/>
                </w:tcPr>
                <w:p w14:paraId="32D74E76">
                  <w:pPr>
                    <w:adjustRightInd w:val="0"/>
                    <w:snapToGrid w:val="0"/>
                    <w:jc w:val="center"/>
                    <w:rPr>
                      <w:szCs w:val="21"/>
                    </w:rPr>
                  </w:pPr>
                  <w:r>
                    <w:rPr>
                      <w:rFonts w:hint="eastAsia"/>
                      <w:kern w:val="24"/>
                      <w:szCs w:val="21"/>
                    </w:rPr>
                    <w:t>项目车间未收集焊接烟尘</w:t>
                  </w:r>
                </w:p>
              </w:tc>
              <w:tc>
                <w:tcPr>
                  <w:tcW w:w="631" w:type="pct"/>
                  <w:vAlign w:val="center"/>
                </w:tcPr>
                <w:p w14:paraId="08E9DE8F">
                  <w:pPr>
                    <w:adjustRightInd w:val="0"/>
                    <w:snapToGrid w:val="0"/>
                    <w:jc w:val="center"/>
                    <w:rPr>
                      <w:szCs w:val="21"/>
                    </w:rPr>
                  </w:pPr>
                  <w:r>
                    <w:rPr>
                      <w:rFonts w:hint="eastAsia"/>
                      <w:szCs w:val="21"/>
                    </w:rPr>
                    <w:t>颗粒物</w:t>
                  </w:r>
                </w:p>
              </w:tc>
              <w:tc>
                <w:tcPr>
                  <w:tcW w:w="881" w:type="pct"/>
                  <w:vAlign w:val="center"/>
                </w:tcPr>
                <w:p w14:paraId="0F0BD7B0">
                  <w:pPr>
                    <w:adjustRightInd w:val="0"/>
                    <w:snapToGrid w:val="0"/>
                    <w:jc w:val="center"/>
                    <w:rPr>
                      <w:szCs w:val="21"/>
                    </w:rPr>
                  </w:pPr>
                  <w:r>
                    <w:rPr>
                      <w:rFonts w:hint="eastAsia"/>
                      <w:szCs w:val="21"/>
                    </w:rPr>
                    <w:t>封闭车间自然沉降</w:t>
                  </w:r>
                </w:p>
              </w:tc>
              <w:tc>
                <w:tcPr>
                  <w:tcW w:w="772" w:type="pct"/>
                  <w:vAlign w:val="center"/>
                </w:tcPr>
                <w:p w14:paraId="545E3634">
                  <w:pPr>
                    <w:widowControl/>
                    <w:jc w:val="center"/>
                    <w:textAlignment w:val="center"/>
                    <w:rPr>
                      <w:szCs w:val="21"/>
                    </w:rPr>
                  </w:pPr>
                  <w:r>
                    <w:rPr>
                      <w:rFonts w:hint="eastAsia"/>
                      <w:szCs w:val="21"/>
                    </w:rPr>
                    <w:t>《大气污染物综合排放标准》（GB16297-1996）</w:t>
                  </w:r>
                </w:p>
              </w:tc>
              <w:tc>
                <w:tcPr>
                  <w:tcW w:w="772" w:type="pct"/>
                  <w:vAlign w:val="center"/>
                </w:tcPr>
                <w:p w14:paraId="3D525CBB">
                  <w:pPr>
                    <w:widowControl/>
                    <w:jc w:val="center"/>
                    <w:textAlignment w:val="center"/>
                    <w:rPr>
                      <w:szCs w:val="21"/>
                    </w:rPr>
                  </w:pPr>
                  <w:r>
                    <w:rPr>
                      <w:rFonts w:hint="eastAsia"/>
                      <w:szCs w:val="21"/>
                    </w:rPr>
                    <w:t>1.0</w:t>
                  </w:r>
                </w:p>
              </w:tc>
              <w:tc>
                <w:tcPr>
                  <w:tcW w:w="772" w:type="pct"/>
                  <w:vAlign w:val="center"/>
                </w:tcPr>
                <w:p w14:paraId="1BBC44BB">
                  <w:pPr>
                    <w:widowControl/>
                    <w:jc w:val="center"/>
                    <w:textAlignment w:val="center"/>
                    <w:rPr>
                      <w:szCs w:val="21"/>
                    </w:rPr>
                  </w:pPr>
                  <w:r>
                    <w:rPr>
                      <w:rFonts w:hint="eastAsia"/>
                      <w:szCs w:val="21"/>
                    </w:rPr>
                    <w:t>0.09</w:t>
                  </w:r>
                </w:p>
              </w:tc>
            </w:tr>
            <w:tr w14:paraId="0ACB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 w:hRule="atLeast"/>
              </w:trPr>
              <w:tc>
                <w:tcPr>
                  <w:tcW w:w="5000" w:type="pct"/>
                  <w:gridSpan w:val="7"/>
                  <w:vAlign w:val="center"/>
                </w:tcPr>
                <w:p w14:paraId="48DE14A8">
                  <w:pPr>
                    <w:widowControl/>
                    <w:jc w:val="center"/>
                    <w:textAlignment w:val="center"/>
                    <w:rPr>
                      <w:szCs w:val="21"/>
                    </w:rPr>
                  </w:pPr>
                  <w:r>
                    <w:rPr>
                      <w:rFonts w:hint="eastAsia"/>
                      <w:szCs w:val="21"/>
                    </w:rPr>
                    <w:t>无组织排放总计</w:t>
                  </w:r>
                </w:p>
              </w:tc>
            </w:tr>
            <w:tr w14:paraId="2863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2" w:hRule="atLeast"/>
              </w:trPr>
              <w:tc>
                <w:tcPr>
                  <w:tcW w:w="1803" w:type="pct"/>
                  <w:gridSpan w:val="3"/>
                  <w:vAlign w:val="center"/>
                </w:tcPr>
                <w:p w14:paraId="34549B10">
                  <w:pPr>
                    <w:adjustRightInd w:val="0"/>
                    <w:snapToGrid w:val="0"/>
                    <w:jc w:val="center"/>
                    <w:rPr>
                      <w:szCs w:val="21"/>
                    </w:rPr>
                  </w:pPr>
                  <w:r>
                    <w:rPr>
                      <w:rFonts w:hint="eastAsia"/>
                      <w:szCs w:val="21"/>
                    </w:rPr>
                    <w:t>无组织排放总计</w:t>
                  </w:r>
                </w:p>
              </w:tc>
              <w:tc>
                <w:tcPr>
                  <w:tcW w:w="2425" w:type="pct"/>
                  <w:gridSpan w:val="3"/>
                  <w:vAlign w:val="center"/>
                </w:tcPr>
                <w:p w14:paraId="2CCD8DE7">
                  <w:pPr>
                    <w:widowControl/>
                    <w:jc w:val="center"/>
                    <w:textAlignment w:val="center"/>
                    <w:rPr>
                      <w:szCs w:val="21"/>
                    </w:rPr>
                  </w:pPr>
                  <w:r>
                    <w:rPr>
                      <w:rFonts w:hint="eastAsia"/>
                      <w:szCs w:val="21"/>
                    </w:rPr>
                    <w:t>颗粒物</w:t>
                  </w:r>
                </w:p>
              </w:tc>
              <w:tc>
                <w:tcPr>
                  <w:tcW w:w="772" w:type="pct"/>
                  <w:vAlign w:val="center"/>
                </w:tcPr>
                <w:p w14:paraId="64C9AFA2">
                  <w:pPr>
                    <w:widowControl/>
                    <w:jc w:val="center"/>
                    <w:textAlignment w:val="center"/>
                    <w:rPr>
                      <w:szCs w:val="21"/>
                    </w:rPr>
                  </w:pPr>
                  <w:r>
                    <w:rPr>
                      <w:rFonts w:hint="eastAsia"/>
                      <w:szCs w:val="21"/>
                    </w:rPr>
                    <w:t>0.09</w:t>
                  </w:r>
                </w:p>
              </w:tc>
            </w:tr>
          </w:tbl>
          <w:p w14:paraId="144D5AD6">
            <w:pPr>
              <w:pStyle w:val="31"/>
              <w:spacing w:line="360" w:lineRule="auto"/>
              <w:ind w:firstLine="480"/>
              <w:rPr>
                <w:kern w:val="24"/>
                <w:sz w:val="24"/>
              </w:rPr>
            </w:pPr>
            <w:r>
              <w:rPr>
                <w:rFonts w:hint="eastAsia"/>
                <w:kern w:val="24"/>
                <w:sz w:val="24"/>
              </w:rPr>
              <w:t>项目主要大气污染物年排放量核算详见下表。</w:t>
            </w:r>
          </w:p>
          <w:p w14:paraId="76A28C58">
            <w:pPr>
              <w:adjustRightInd w:val="0"/>
              <w:snapToGrid w:val="0"/>
              <w:spacing w:line="360" w:lineRule="auto"/>
              <w:ind w:firstLine="482" w:firstLineChars="200"/>
              <w:jc w:val="center"/>
              <w:rPr>
                <w:b/>
                <w:bCs/>
                <w:kern w:val="24"/>
                <w:sz w:val="24"/>
              </w:rPr>
            </w:pPr>
            <w:r>
              <w:rPr>
                <w:rFonts w:hint="eastAsia"/>
                <w:b/>
                <w:bCs/>
                <w:kern w:val="24"/>
                <w:sz w:val="24"/>
              </w:rPr>
              <w:t>表4-5  大气污染物年排放量核算表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2947"/>
              <w:gridCol w:w="2998"/>
            </w:tblGrid>
            <w:tr w14:paraId="691C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56" w:type="pct"/>
                  <w:vAlign w:val="center"/>
                </w:tcPr>
                <w:p w14:paraId="54EF0C8B">
                  <w:pPr>
                    <w:adjustRightInd w:val="0"/>
                    <w:snapToGrid w:val="0"/>
                    <w:jc w:val="center"/>
                    <w:rPr>
                      <w:szCs w:val="21"/>
                    </w:rPr>
                  </w:pPr>
                  <w:r>
                    <w:rPr>
                      <w:szCs w:val="21"/>
                    </w:rPr>
                    <w:t>序号</w:t>
                  </w:r>
                </w:p>
              </w:tc>
              <w:tc>
                <w:tcPr>
                  <w:tcW w:w="1657" w:type="pct"/>
                  <w:vAlign w:val="center"/>
                </w:tcPr>
                <w:p w14:paraId="71C12502">
                  <w:pPr>
                    <w:adjustRightInd w:val="0"/>
                    <w:snapToGrid w:val="0"/>
                    <w:jc w:val="center"/>
                    <w:rPr>
                      <w:szCs w:val="21"/>
                    </w:rPr>
                  </w:pPr>
                  <w:r>
                    <w:rPr>
                      <w:szCs w:val="21"/>
                    </w:rPr>
                    <w:t>污染物</w:t>
                  </w:r>
                </w:p>
              </w:tc>
              <w:tc>
                <w:tcPr>
                  <w:tcW w:w="1686" w:type="pct"/>
                  <w:vAlign w:val="center"/>
                </w:tcPr>
                <w:p w14:paraId="19B5A8E0">
                  <w:pPr>
                    <w:adjustRightInd w:val="0"/>
                    <w:snapToGrid w:val="0"/>
                    <w:jc w:val="center"/>
                    <w:rPr>
                      <w:szCs w:val="21"/>
                    </w:rPr>
                  </w:pPr>
                  <w:r>
                    <w:rPr>
                      <w:szCs w:val="21"/>
                    </w:rPr>
                    <w:t>年排放量/(t/a)</w:t>
                  </w:r>
                </w:p>
              </w:tc>
            </w:tr>
            <w:tr w14:paraId="3CDD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56" w:type="pct"/>
                  <w:vAlign w:val="center"/>
                </w:tcPr>
                <w:p w14:paraId="020CE736">
                  <w:pPr>
                    <w:adjustRightInd w:val="0"/>
                    <w:snapToGrid w:val="0"/>
                    <w:jc w:val="center"/>
                    <w:rPr>
                      <w:szCs w:val="21"/>
                    </w:rPr>
                  </w:pPr>
                  <w:r>
                    <w:rPr>
                      <w:szCs w:val="21"/>
                    </w:rPr>
                    <w:t>1</w:t>
                  </w:r>
                </w:p>
              </w:tc>
              <w:tc>
                <w:tcPr>
                  <w:tcW w:w="1657" w:type="pct"/>
                  <w:vAlign w:val="center"/>
                </w:tcPr>
                <w:p w14:paraId="440EAC0D">
                  <w:pPr>
                    <w:adjustRightInd w:val="0"/>
                    <w:snapToGrid w:val="0"/>
                    <w:jc w:val="center"/>
                    <w:rPr>
                      <w:szCs w:val="21"/>
                    </w:rPr>
                  </w:pPr>
                  <w:r>
                    <w:rPr>
                      <w:rFonts w:hint="eastAsia"/>
                      <w:szCs w:val="21"/>
                    </w:rPr>
                    <w:t>颗粒物</w:t>
                  </w:r>
                </w:p>
              </w:tc>
              <w:tc>
                <w:tcPr>
                  <w:tcW w:w="1686" w:type="pct"/>
                  <w:vAlign w:val="center"/>
                </w:tcPr>
                <w:p w14:paraId="01EB59BA">
                  <w:pPr>
                    <w:adjustRightInd w:val="0"/>
                    <w:snapToGrid w:val="0"/>
                    <w:jc w:val="center"/>
                    <w:rPr>
                      <w:szCs w:val="21"/>
                    </w:rPr>
                  </w:pPr>
                  <w:r>
                    <w:rPr>
                      <w:rFonts w:hint="eastAsia"/>
                      <w:szCs w:val="21"/>
                    </w:rPr>
                    <w:t>0.111</w:t>
                  </w:r>
                </w:p>
              </w:tc>
            </w:tr>
          </w:tbl>
          <w:p w14:paraId="460CC447">
            <w:pPr>
              <w:adjustRightInd w:val="0"/>
              <w:snapToGrid w:val="0"/>
              <w:spacing w:line="360" w:lineRule="auto"/>
              <w:ind w:firstLine="480" w:firstLineChars="200"/>
              <w:rPr>
                <w:kern w:val="24"/>
                <w:sz w:val="24"/>
              </w:rPr>
            </w:pPr>
          </w:p>
          <w:p w14:paraId="7B112259">
            <w:pPr>
              <w:adjustRightInd w:val="0"/>
              <w:snapToGrid w:val="0"/>
              <w:spacing w:line="360" w:lineRule="auto"/>
              <w:ind w:firstLine="480" w:firstLineChars="200"/>
              <w:rPr>
                <w:kern w:val="24"/>
                <w:sz w:val="24"/>
              </w:rPr>
            </w:pPr>
            <w:r>
              <w:rPr>
                <w:rFonts w:hint="eastAsia"/>
                <w:kern w:val="24"/>
                <w:sz w:val="24"/>
              </w:rPr>
              <w:t>（1）焊接烟尘</w:t>
            </w:r>
          </w:p>
          <w:p w14:paraId="3A360D05">
            <w:pPr>
              <w:pStyle w:val="83"/>
              <w:ind w:firstLine="480"/>
              <w:rPr>
                <w:lang w:bidi="en-US"/>
              </w:rPr>
            </w:pPr>
            <w:r>
              <w:rPr>
                <w:rFonts w:hint="eastAsia"/>
              </w:rPr>
              <w:t>本项目废气主要为</w:t>
            </w:r>
            <w:r>
              <w:rPr>
                <w:rFonts w:hint="eastAsia"/>
                <w:szCs w:val="21"/>
              </w:rPr>
              <w:t>高频焊接工序产生的焊接烟尘</w:t>
            </w:r>
            <w:r>
              <w:rPr>
                <w:rFonts w:hint="eastAsia"/>
              </w:rPr>
              <w:t>。</w:t>
            </w:r>
            <w:r>
              <w:rPr>
                <w:lang w:bidi="en-US"/>
              </w:rPr>
              <w:t>污染物源强核算参照《排放源统计调查产排污核算方法和系数手册》（2021.6.11）中</w:t>
            </w:r>
            <w:r>
              <w:rPr>
                <w:rFonts w:hint="eastAsia"/>
                <w:lang w:bidi="en-US"/>
              </w:rPr>
              <w:t>“3130钢压延加工行业系数手册”中焊接钢管-带钢-高频焊法工艺产污系数</w:t>
            </w:r>
            <w:r>
              <w:rPr>
                <w:lang w:bidi="en-US"/>
              </w:rPr>
              <w:t>。</w:t>
            </w:r>
          </w:p>
          <w:p w14:paraId="469E57C0">
            <w:pPr>
              <w:adjustRightInd w:val="0"/>
              <w:snapToGrid w:val="0"/>
              <w:spacing w:line="360" w:lineRule="auto"/>
              <w:ind w:firstLine="482" w:firstLineChars="200"/>
              <w:jc w:val="center"/>
              <w:rPr>
                <w:b/>
                <w:bCs/>
                <w:kern w:val="24"/>
                <w:sz w:val="24"/>
              </w:rPr>
            </w:pPr>
            <w:r>
              <w:rPr>
                <w:b/>
                <w:bCs/>
                <w:kern w:val="24"/>
                <w:sz w:val="24"/>
              </w:rPr>
              <w:t>表4-</w:t>
            </w:r>
            <w:r>
              <w:rPr>
                <w:rFonts w:hint="eastAsia"/>
                <w:b/>
                <w:bCs/>
                <w:kern w:val="24"/>
                <w:sz w:val="24"/>
              </w:rPr>
              <w:t>6</w:t>
            </w:r>
            <w:r>
              <w:rPr>
                <w:b/>
                <w:bCs/>
                <w:kern w:val="24"/>
                <w:sz w:val="24"/>
              </w:rPr>
              <w:t xml:space="preserve">  </w:t>
            </w:r>
            <w:r>
              <w:rPr>
                <w:rFonts w:hint="eastAsia"/>
                <w:b/>
                <w:bCs/>
                <w:kern w:val="24"/>
                <w:sz w:val="24"/>
              </w:rPr>
              <w:t>钢压延加工行业</w:t>
            </w:r>
            <w:r>
              <w:rPr>
                <w:b/>
                <w:bCs/>
                <w:kern w:val="24"/>
                <w:sz w:val="24"/>
              </w:rPr>
              <w:t>系数表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09"/>
              <w:gridCol w:w="708"/>
              <w:gridCol w:w="851"/>
              <w:gridCol w:w="992"/>
              <w:gridCol w:w="1418"/>
              <w:gridCol w:w="1275"/>
              <w:gridCol w:w="1126"/>
              <w:gridCol w:w="1036"/>
            </w:tblGrid>
            <w:tr w14:paraId="154E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489566AB">
                  <w:pPr>
                    <w:jc w:val="center"/>
                    <w:rPr>
                      <w:szCs w:val="16"/>
                      <w:lang w:bidi="en-US"/>
                    </w:rPr>
                  </w:pPr>
                  <w:r>
                    <w:rPr>
                      <w:szCs w:val="16"/>
                      <w:lang w:bidi="en-US"/>
                    </w:rPr>
                    <w:t>产品</w:t>
                  </w:r>
                </w:p>
                <w:p w14:paraId="269096F3">
                  <w:pPr>
                    <w:jc w:val="center"/>
                    <w:rPr>
                      <w:szCs w:val="16"/>
                      <w:lang w:bidi="en-US"/>
                    </w:rPr>
                  </w:pPr>
                  <w:r>
                    <w:rPr>
                      <w:szCs w:val="16"/>
                      <w:lang w:bidi="en-US"/>
                    </w:rPr>
                    <w:t>名称</w:t>
                  </w:r>
                </w:p>
              </w:tc>
              <w:tc>
                <w:tcPr>
                  <w:tcW w:w="709" w:type="dxa"/>
                  <w:vAlign w:val="center"/>
                </w:tcPr>
                <w:p w14:paraId="13FBA02D">
                  <w:pPr>
                    <w:jc w:val="center"/>
                    <w:rPr>
                      <w:szCs w:val="16"/>
                      <w:lang w:bidi="en-US"/>
                    </w:rPr>
                  </w:pPr>
                  <w:r>
                    <w:rPr>
                      <w:szCs w:val="16"/>
                      <w:lang w:bidi="en-US"/>
                    </w:rPr>
                    <w:t>原料名称</w:t>
                  </w:r>
                </w:p>
              </w:tc>
              <w:tc>
                <w:tcPr>
                  <w:tcW w:w="708" w:type="dxa"/>
                  <w:vAlign w:val="center"/>
                </w:tcPr>
                <w:p w14:paraId="373CA528">
                  <w:pPr>
                    <w:jc w:val="center"/>
                    <w:rPr>
                      <w:szCs w:val="16"/>
                      <w:lang w:bidi="en-US"/>
                    </w:rPr>
                  </w:pPr>
                  <w:r>
                    <w:rPr>
                      <w:szCs w:val="16"/>
                      <w:lang w:bidi="en-US"/>
                    </w:rPr>
                    <w:t>工艺名称</w:t>
                  </w:r>
                </w:p>
              </w:tc>
              <w:tc>
                <w:tcPr>
                  <w:tcW w:w="851" w:type="dxa"/>
                  <w:vAlign w:val="center"/>
                </w:tcPr>
                <w:p w14:paraId="2C98BBF6">
                  <w:pPr>
                    <w:jc w:val="center"/>
                    <w:rPr>
                      <w:szCs w:val="16"/>
                      <w:lang w:bidi="en-US"/>
                    </w:rPr>
                  </w:pPr>
                  <w:r>
                    <w:rPr>
                      <w:szCs w:val="16"/>
                      <w:lang w:bidi="en-US"/>
                    </w:rPr>
                    <w:t>规模</w:t>
                  </w:r>
                </w:p>
                <w:p w14:paraId="7A6F8A54">
                  <w:pPr>
                    <w:jc w:val="center"/>
                    <w:rPr>
                      <w:szCs w:val="16"/>
                      <w:lang w:bidi="en-US"/>
                    </w:rPr>
                  </w:pPr>
                  <w:r>
                    <w:rPr>
                      <w:szCs w:val="16"/>
                      <w:lang w:bidi="en-US"/>
                    </w:rPr>
                    <w:t>等级</w:t>
                  </w:r>
                </w:p>
              </w:tc>
              <w:tc>
                <w:tcPr>
                  <w:tcW w:w="992" w:type="dxa"/>
                  <w:vAlign w:val="center"/>
                </w:tcPr>
                <w:p w14:paraId="241AC109">
                  <w:pPr>
                    <w:jc w:val="center"/>
                    <w:rPr>
                      <w:szCs w:val="16"/>
                      <w:lang w:bidi="en-US"/>
                    </w:rPr>
                  </w:pPr>
                  <w:r>
                    <w:rPr>
                      <w:szCs w:val="16"/>
                      <w:lang w:bidi="en-US"/>
                    </w:rPr>
                    <w:t>污染物指标</w:t>
                  </w:r>
                </w:p>
              </w:tc>
              <w:tc>
                <w:tcPr>
                  <w:tcW w:w="1418" w:type="dxa"/>
                  <w:vAlign w:val="center"/>
                </w:tcPr>
                <w:p w14:paraId="316C4E50">
                  <w:pPr>
                    <w:jc w:val="center"/>
                    <w:rPr>
                      <w:szCs w:val="16"/>
                      <w:lang w:bidi="en-US"/>
                    </w:rPr>
                  </w:pPr>
                  <w:r>
                    <w:rPr>
                      <w:szCs w:val="16"/>
                      <w:lang w:bidi="en-US"/>
                    </w:rPr>
                    <w:t>单位</w:t>
                  </w:r>
                </w:p>
              </w:tc>
              <w:tc>
                <w:tcPr>
                  <w:tcW w:w="1275" w:type="dxa"/>
                  <w:vAlign w:val="center"/>
                </w:tcPr>
                <w:p w14:paraId="230516F3">
                  <w:pPr>
                    <w:jc w:val="center"/>
                    <w:rPr>
                      <w:szCs w:val="16"/>
                      <w:lang w:bidi="en-US"/>
                    </w:rPr>
                  </w:pPr>
                  <w:r>
                    <w:rPr>
                      <w:rFonts w:hint="eastAsia"/>
                      <w:szCs w:val="16"/>
                      <w:lang w:bidi="en-US"/>
                    </w:rPr>
                    <w:t>产污</w:t>
                  </w:r>
                  <w:r>
                    <w:rPr>
                      <w:szCs w:val="16"/>
                      <w:lang w:bidi="en-US"/>
                    </w:rPr>
                    <w:t>系数</w:t>
                  </w:r>
                </w:p>
              </w:tc>
              <w:tc>
                <w:tcPr>
                  <w:tcW w:w="1126" w:type="dxa"/>
                  <w:vAlign w:val="center"/>
                </w:tcPr>
                <w:p w14:paraId="0D599176">
                  <w:pPr>
                    <w:jc w:val="center"/>
                    <w:rPr>
                      <w:szCs w:val="16"/>
                      <w:lang w:bidi="en-US"/>
                    </w:rPr>
                  </w:pPr>
                  <w:r>
                    <w:rPr>
                      <w:rFonts w:hint="eastAsia"/>
                      <w:szCs w:val="16"/>
                      <w:lang w:bidi="en-US"/>
                    </w:rPr>
                    <w:t>末端治理技术</w:t>
                  </w:r>
                </w:p>
              </w:tc>
              <w:tc>
                <w:tcPr>
                  <w:tcW w:w="1036" w:type="dxa"/>
                  <w:vAlign w:val="center"/>
                </w:tcPr>
                <w:p w14:paraId="4EF3809E">
                  <w:pPr>
                    <w:jc w:val="center"/>
                    <w:rPr>
                      <w:szCs w:val="16"/>
                      <w:lang w:bidi="en-US"/>
                    </w:rPr>
                  </w:pPr>
                  <w:r>
                    <w:rPr>
                      <w:rFonts w:hint="eastAsia"/>
                      <w:szCs w:val="16"/>
                      <w:lang w:bidi="en-US"/>
                    </w:rPr>
                    <w:t>平均去除效率</w:t>
                  </w:r>
                </w:p>
              </w:tc>
            </w:tr>
            <w:tr w14:paraId="71CF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6EE8693F">
                  <w:pPr>
                    <w:jc w:val="center"/>
                    <w:rPr>
                      <w:szCs w:val="16"/>
                      <w:lang w:bidi="en-US"/>
                    </w:rPr>
                  </w:pPr>
                  <w:r>
                    <w:rPr>
                      <w:rFonts w:hint="eastAsia"/>
                      <w:lang w:bidi="en-US"/>
                    </w:rPr>
                    <w:t>焊接钢管</w:t>
                  </w:r>
                </w:p>
              </w:tc>
              <w:tc>
                <w:tcPr>
                  <w:tcW w:w="709" w:type="dxa"/>
                  <w:vAlign w:val="center"/>
                </w:tcPr>
                <w:p w14:paraId="651A7724">
                  <w:pPr>
                    <w:jc w:val="center"/>
                    <w:rPr>
                      <w:szCs w:val="16"/>
                      <w:lang w:bidi="en-US"/>
                    </w:rPr>
                  </w:pPr>
                  <w:r>
                    <w:rPr>
                      <w:rFonts w:hint="eastAsia"/>
                      <w:lang w:bidi="en-US"/>
                    </w:rPr>
                    <w:t>带钢</w:t>
                  </w:r>
                </w:p>
              </w:tc>
              <w:tc>
                <w:tcPr>
                  <w:tcW w:w="708" w:type="dxa"/>
                  <w:vAlign w:val="center"/>
                </w:tcPr>
                <w:p w14:paraId="43599797">
                  <w:pPr>
                    <w:jc w:val="center"/>
                    <w:rPr>
                      <w:szCs w:val="16"/>
                      <w:lang w:bidi="en-US"/>
                    </w:rPr>
                  </w:pPr>
                  <w:r>
                    <w:rPr>
                      <w:rFonts w:hint="eastAsia"/>
                      <w:lang w:bidi="en-US"/>
                    </w:rPr>
                    <w:t>高频焊法</w:t>
                  </w:r>
                </w:p>
              </w:tc>
              <w:tc>
                <w:tcPr>
                  <w:tcW w:w="851" w:type="dxa"/>
                  <w:vAlign w:val="center"/>
                </w:tcPr>
                <w:p w14:paraId="5F194AD4">
                  <w:pPr>
                    <w:jc w:val="center"/>
                    <w:rPr>
                      <w:szCs w:val="16"/>
                      <w:lang w:bidi="en-US"/>
                    </w:rPr>
                  </w:pPr>
                  <w:r>
                    <w:rPr>
                      <w:szCs w:val="16"/>
                      <w:lang w:bidi="en-US"/>
                    </w:rPr>
                    <w:t>所有</w:t>
                  </w:r>
                </w:p>
                <w:p w14:paraId="68589216">
                  <w:pPr>
                    <w:jc w:val="center"/>
                    <w:rPr>
                      <w:szCs w:val="16"/>
                      <w:lang w:bidi="en-US"/>
                    </w:rPr>
                  </w:pPr>
                  <w:r>
                    <w:rPr>
                      <w:szCs w:val="16"/>
                      <w:lang w:bidi="en-US"/>
                    </w:rPr>
                    <w:t>规模</w:t>
                  </w:r>
                </w:p>
              </w:tc>
              <w:tc>
                <w:tcPr>
                  <w:tcW w:w="992" w:type="dxa"/>
                  <w:vAlign w:val="center"/>
                </w:tcPr>
                <w:p w14:paraId="28E9457D">
                  <w:pPr>
                    <w:jc w:val="center"/>
                    <w:rPr>
                      <w:szCs w:val="16"/>
                      <w:lang w:bidi="en-US"/>
                    </w:rPr>
                  </w:pPr>
                  <w:r>
                    <w:rPr>
                      <w:szCs w:val="16"/>
                      <w:lang w:bidi="en-US"/>
                    </w:rPr>
                    <w:t>颗粒物</w:t>
                  </w:r>
                </w:p>
              </w:tc>
              <w:tc>
                <w:tcPr>
                  <w:tcW w:w="1418" w:type="dxa"/>
                  <w:vAlign w:val="center"/>
                </w:tcPr>
                <w:p w14:paraId="181B8AAE">
                  <w:pPr>
                    <w:jc w:val="center"/>
                    <w:rPr>
                      <w:szCs w:val="16"/>
                      <w:lang w:bidi="en-US"/>
                    </w:rPr>
                  </w:pPr>
                  <w:r>
                    <w:rPr>
                      <w:rFonts w:hint="eastAsia"/>
                      <w:szCs w:val="16"/>
                      <w:lang w:bidi="en-US"/>
                    </w:rPr>
                    <w:t>千克/吨-钢材</w:t>
                  </w:r>
                </w:p>
              </w:tc>
              <w:tc>
                <w:tcPr>
                  <w:tcW w:w="1275" w:type="dxa"/>
                  <w:vAlign w:val="center"/>
                </w:tcPr>
                <w:p w14:paraId="73A3E683">
                  <w:pPr>
                    <w:jc w:val="center"/>
                    <w:rPr>
                      <w:szCs w:val="16"/>
                      <w:lang w:bidi="en-US"/>
                    </w:rPr>
                  </w:pPr>
                  <w:r>
                    <w:rPr>
                      <w:szCs w:val="16"/>
                      <w:lang w:bidi="en-US"/>
                    </w:rPr>
                    <w:t>0.011</w:t>
                  </w:r>
                </w:p>
              </w:tc>
              <w:tc>
                <w:tcPr>
                  <w:tcW w:w="1126" w:type="dxa"/>
                  <w:vAlign w:val="center"/>
                </w:tcPr>
                <w:p w14:paraId="42D8AB97">
                  <w:pPr>
                    <w:jc w:val="center"/>
                    <w:rPr>
                      <w:szCs w:val="16"/>
                      <w:lang w:bidi="en-US"/>
                    </w:rPr>
                  </w:pPr>
                  <w:r>
                    <w:rPr>
                      <w:rFonts w:hint="eastAsia"/>
                      <w:szCs w:val="16"/>
                      <w:lang w:bidi="en-US"/>
                    </w:rPr>
                    <w:t>袋式除尘</w:t>
                  </w:r>
                </w:p>
              </w:tc>
              <w:tc>
                <w:tcPr>
                  <w:tcW w:w="1036" w:type="dxa"/>
                  <w:vAlign w:val="center"/>
                </w:tcPr>
                <w:p w14:paraId="2462745D">
                  <w:pPr>
                    <w:jc w:val="center"/>
                    <w:rPr>
                      <w:szCs w:val="16"/>
                      <w:lang w:bidi="en-US"/>
                    </w:rPr>
                  </w:pPr>
                  <w:r>
                    <w:rPr>
                      <w:rFonts w:hint="eastAsia"/>
                      <w:szCs w:val="16"/>
                      <w:lang w:bidi="en-US"/>
                    </w:rPr>
                    <w:t>9</w:t>
                  </w:r>
                  <w:r>
                    <w:rPr>
                      <w:szCs w:val="16"/>
                      <w:lang w:bidi="en-US"/>
                    </w:rPr>
                    <w:t>9%</w:t>
                  </w:r>
                </w:p>
              </w:tc>
            </w:tr>
          </w:tbl>
          <w:p w14:paraId="4364C0DC">
            <w:pPr>
              <w:jc w:val="center"/>
              <w:rPr>
                <w:szCs w:val="16"/>
                <w:lang w:bidi="en-US"/>
              </w:rPr>
            </w:pPr>
          </w:p>
          <w:p w14:paraId="019737F7">
            <w:pPr>
              <w:pStyle w:val="83"/>
              <w:ind w:firstLine="480"/>
            </w:pPr>
            <w:r>
              <w:t>项目</w:t>
            </w:r>
            <w:r>
              <w:rPr>
                <w:rFonts w:hint="eastAsia"/>
                <w:kern w:val="24"/>
              </w:rPr>
              <w:t>原料带钢年用量为</w:t>
            </w:r>
            <w:r>
              <w:rPr>
                <w:rFonts w:hint="eastAsia"/>
              </w:rPr>
              <w:t>2</w:t>
            </w:r>
            <w:r>
              <w:t>0</w:t>
            </w:r>
            <w:r>
              <w:rPr>
                <w:kern w:val="24"/>
              </w:rPr>
              <w:t>.4</w:t>
            </w:r>
            <w:r>
              <w:t>万吨</w:t>
            </w:r>
            <w:r>
              <w:rPr>
                <w:rFonts w:hint="eastAsia"/>
              </w:rPr>
              <w:t>，产污系数为</w:t>
            </w:r>
            <w:r>
              <w:t>0.011</w:t>
            </w:r>
            <w:r>
              <w:rPr>
                <w:rFonts w:hint="eastAsia"/>
              </w:rPr>
              <w:t>千克/吨-钢材，则</w:t>
            </w:r>
            <w:r>
              <w:rPr>
                <w:rFonts w:hint="eastAsia"/>
                <w:szCs w:val="21"/>
              </w:rPr>
              <w:t>高频焊接工序的</w:t>
            </w:r>
            <w:r>
              <w:rPr>
                <w:rFonts w:hint="eastAsia"/>
              </w:rPr>
              <w:t>颗粒物产生量为</w:t>
            </w:r>
            <w:r>
              <w:t>2.24 t/a</w:t>
            </w:r>
            <w:r>
              <w:rPr>
                <w:rFonts w:hint="eastAsia"/>
              </w:rPr>
              <w:t>（</w:t>
            </w:r>
            <w:r>
              <w:t>0.37 kg/h</w:t>
            </w:r>
            <w:r>
              <w:rPr>
                <w:rFonts w:hint="eastAsia"/>
              </w:rPr>
              <w:t>）。</w:t>
            </w:r>
          </w:p>
          <w:p w14:paraId="40408587">
            <w:pPr>
              <w:pStyle w:val="83"/>
              <w:ind w:firstLine="480"/>
              <w:rPr>
                <w:szCs w:val="21"/>
              </w:rPr>
            </w:pPr>
            <w:r>
              <w:rPr>
                <w:rFonts w:hint="eastAsia" w:eastAsiaTheme="minorEastAsia"/>
                <w:szCs w:val="21"/>
              </w:rPr>
              <w:t>本项目采用在每台焊管机上方设置集气罩，</w:t>
            </w:r>
            <w:r>
              <w:rPr>
                <w:rFonts w:hint="eastAsia"/>
                <w:szCs w:val="21"/>
              </w:rPr>
              <w:t>经每条生产线焊接工段配套的布袋除尘器收集处理。</w:t>
            </w:r>
          </w:p>
          <w:p w14:paraId="4107FA5F">
            <w:pPr>
              <w:pStyle w:val="83"/>
              <w:ind w:firstLine="480"/>
            </w:pPr>
            <w:r>
              <w:rPr>
                <w:rFonts w:hint="eastAsia"/>
                <w:szCs w:val="21"/>
              </w:rPr>
              <w:t>本项目共设置</w:t>
            </w:r>
            <w:r>
              <w:rPr>
                <w:szCs w:val="21"/>
              </w:rPr>
              <w:t>6</w:t>
            </w:r>
            <w:r>
              <w:rPr>
                <w:rFonts w:hint="eastAsia"/>
                <w:szCs w:val="21"/>
              </w:rPr>
              <w:t>套</w:t>
            </w:r>
            <w:r>
              <w:t>集气罩</w:t>
            </w:r>
            <w:r>
              <w:rPr>
                <w:rFonts w:hint="eastAsia"/>
              </w:rPr>
              <w:t>+</w:t>
            </w:r>
            <w:r>
              <w:rPr>
                <w:rFonts w:hint="eastAsia"/>
                <w:szCs w:val="21"/>
              </w:rPr>
              <w:t>布袋除尘器。每个</w:t>
            </w:r>
            <w:r>
              <w:t>集气罩</w:t>
            </w:r>
            <w:r>
              <w:rPr>
                <w:rFonts w:hint="eastAsia"/>
              </w:rPr>
              <w:t>四周设置软帘，控制风速不小于0</w:t>
            </w:r>
            <w:r>
              <w:t>.5m/s</w:t>
            </w:r>
            <w:r>
              <w:rPr>
                <w:rFonts w:hint="eastAsia"/>
              </w:rPr>
              <w:t>，</w:t>
            </w:r>
            <w:r>
              <w:t>收集效率以90%计</w:t>
            </w:r>
            <w:r>
              <w:rPr>
                <w:rFonts w:hint="eastAsia"/>
              </w:rPr>
              <w:t>。</w:t>
            </w:r>
            <w:r>
              <w:t>袋式除尘器除尘效率</w:t>
            </w:r>
            <w:r>
              <w:rPr>
                <w:rFonts w:hint="eastAsia"/>
              </w:rPr>
              <w:t>按</w:t>
            </w:r>
            <w:r>
              <w:t>99%</w:t>
            </w:r>
            <w:r>
              <w:rPr>
                <w:rFonts w:hint="eastAsia"/>
              </w:rPr>
              <w:t>计。</w:t>
            </w:r>
          </w:p>
          <w:p w14:paraId="6A1CE8A6">
            <w:pPr>
              <w:pStyle w:val="83"/>
              <w:ind w:firstLine="480"/>
              <w:rPr>
                <w:rFonts w:eastAsiaTheme="minorEastAsia"/>
                <w:szCs w:val="21"/>
              </w:rPr>
            </w:pPr>
            <w:r>
              <w:rPr>
                <w:rFonts w:hint="eastAsia"/>
              </w:rPr>
              <w:t>根据本项目生产设备实际情况，每台焊接机面积约为2</w:t>
            </w:r>
            <w:r>
              <w:t>m×</w:t>
            </w:r>
            <w:r>
              <w:rPr>
                <w:rFonts w:hint="eastAsia" w:ascii="宋体" w:hAnsi="宋体"/>
              </w:rPr>
              <w:t>1</w:t>
            </w:r>
            <w:r>
              <w:t>m</w:t>
            </w:r>
            <w:r>
              <w:rPr>
                <w:rFonts w:ascii="宋体" w:hAnsi="宋体"/>
              </w:rPr>
              <w:t>,</w:t>
            </w:r>
            <w:r>
              <w:rPr>
                <w:rFonts w:hint="eastAsia"/>
              </w:rPr>
              <w:t>集气罩投影面积按</w:t>
            </w:r>
            <w:r>
              <w:t>2</w:t>
            </w:r>
            <w:r>
              <w:rPr>
                <w:rFonts w:hint="eastAsia"/>
              </w:rPr>
              <w:t>m</w:t>
            </w:r>
            <w:r>
              <w:rPr>
                <w:rFonts w:hint="eastAsia"/>
                <w:vertAlign w:val="superscript"/>
              </w:rPr>
              <w:t>2</w:t>
            </w:r>
            <w:r>
              <w:rPr>
                <w:rFonts w:hint="eastAsia"/>
              </w:rPr>
              <w:t>计，则每个集气罩风量应不低于</w:t>
            </w:r>
            <w:r>
              <w:t>3600</w:t>
            </w:r>
            <w:r>
              <w:rPr>
                <w:rFonts w:hint="eastAsia"/>
              </w:rPr>
              <w:t xml:space="preserve"> m</w:t>
            </w:r>
            <w:r>
              <w:rPr>
                <w:rFonts w:hint="eastAsia"/>
                <w:vertAlign w:val="superscript"/>
              </w:rPr>
              <w:t>3</w:t>
            </w:r>
            <w:r>
              <w:rPr>
                <w:rFonts w:hint="eastAsia"/>
              </w:rPr>
              <w:t>/h。本项目每台</w:t>
            </w:r>
            <w:r>
              <w:rPr>
                <w:rFonts w:hint="eastAsia" w:eastAsiaTheme="minorEastAsia"/>
                <w:szCs w:val="21"/>
              </w:rPr>
              <w:t>袋式除尘器</w:t>
            </w:r>
            <w:r>
              <w:rPr>
                <w:rFonts w:hint="eastAsia"/>
              </w:rPr>
              <w:t>设计</w:t>
            </w:r>
            <w:r>
              <w:t>风量为5000 m</w:t>
            </w:r>
            <w:r>
              <w:rPr>
                <w:vertAlign w:val="superscript"/>
              </w:rPr>
              <w:t>3</w:t>
            </w:r>
            <w:r>
              <w:t>/h</w:t>
            </w:r>
            <w:r>
              <w:rPr>
                <w:rFonts w:hint="eastAsia"/>
              </w:rPr>
              <w:t>，满足控制风速要求</w:t>
            </w:r>
            <w:r>
              <w:rPr>
                <w:rFonts w:hint="eastAsia" w:eastAsiaTheme="minorEastAsia"/>
                <w:szCs w:val="21"/>
              </w:rPr>
              <w:t>。</w:t>
            </w:r>
          </w:p>
          <w:p w14:paraId="7C09BE0F">
            <w:pPr>
              <w:pStyle w:val="83"/>
              <w:ind w:firstLine="480"/>
              <w:rPr>
                <w:szCs w:val="21"/>
              </w:rPr>
            </w:pPr>
            <w:r>
              <w:rPr>
                <w:rFonts w:hint="eastAsia"/>
              </w:rPr>
              <w:t>根据项目原料用量，本项目</w:t>
            </w:r>
            <w:r>
              <w:rPr>
                <w:rFonts w:hint="eastAsia"/>
                <w:szCs w:val="21"/>
              </w:rPr>
              <w:t>高频焊接工序的颗粒物总产生量为2.244t/a，有组织产生量为2.02t/a，无组织排放量为0.22t/a。每套</w:t>
            </w:r>
            <w:r>
              <w:t>集气罩</w:t>
            </w:r>
            <w:r>
              <w:rPr>
                <w:rFonts w:hint="eastAsia"/>
              </w:rPr>
              <w:t>+</w:t>
            </w:r>
            <w:r>
              <w:rPr>
                <w:rFonts w:hint="eastAsia"/>
                <w:szCs w:val="21"/>
              </w:rPr>
              <w:t>布袋除尘器</w:t>
            </w:r>
            <w:r>
              <w:rPr>
                <w:rFonts w:hint="eastAsia"/>
              </w:rPr>
              <w:t>颗粒物收集量为0.37</w:t>
            </w:r>
            <w:r>
              <w:t xml:space="preserve"> t/a</w:t>
            </w:r>
            <w:r>
              <w:rPr>
                <w:rFonts w:hint="eastAsia"/>
              </w:rPr>
              <w:t>（</w:t>
            </w:r>
            <w:r>
              <w:t>0.</w:t>
            </w:r>
            <w:r>
              <w:rPr>
                <w:rFonts w:hint="eastAsia"/>
              </w:rPr>
              <w:t>06</w:t>
            </w:r>
            <w:r>
              <w:t xml:space="preserve"> kg/h</w:t>
            </w:r>
            <w:r>
              <w:rPr>
                <w:rFonts w:hint="eastAsia"/>
              </w:rPr>
              <w:t>）。</w:t>
            </w:r>
          </w:p>
          <w:p w14:paraId="6F6E792E">
            <w:pPr>
              <w:pStyle w:val="83"/>
              <w:ind w:firstLine="480"/>
              <w:rPr>
                <w:szCs w:val="21"/>
              </w:rPr>
            </w:pPr>
            <w:r>
              <w:rPr>
                <w:rFonts w:hint="eastAsia"/>
                <w:szCs w:val="21"/>
              </w:rPr>
              <w:t>项目三车间、四车间高频焊接产生焊接烟尘，经1条生产线焊接工段配套的1套集气罩+布袋除尘器（TA001）收集处理后，通过1根15m高排气筒排放（DA001）。排气筒总风量为5000</w:t>
            </w:r>
            <w:r>
              <w:t xml:space="preserve"> m</w:t>
            </w:r>
            <w:r>
              <w:rPr>
                <w:vertAlign w:val="superscript"/>
              </w:rPr>
              <w:t>3</w:t>
            </w:r>
            <w:r>
              <w:t>/h</w:t>
            </w:r>
            <w:r>
              <w:rPr>
                <w:rFonts w:hint="eastAsia"/>
              </w:rPr>
              <w:t>。</w:t>
            </w:r>
            <w:r>
              <w:rPr>
                <w:rFonts w:hint="eastAsia"/>
                <w:szCs w:val="21"/>
              </w:rPr>
              <w:t>则DA001排气筒颗粒物产生量为</w:t>
            </w:r>
            <w:r>
              <w:rPr>
                <w:rFonts w:hint="eastAsia"/>
              </w:rPr>
              <w:t>0.37</w:t>
            </w:r>
            <w:r>
              <w:t xml:space="preserve"> t/a</w:t>
            </w:r>
            <w:r>
              <w:rPr>
                <w:rFonts w:hint="eastAsia"/>
              </w:rPr>
              <w:t>（</w:t>
            </w:r>
            <w:r>
              <w:t>0.</w:t>
            </w:r>
            <w:r>
              <w:rPr>
                <w:rFonts w:hint="eastAsia"/>
              </w:rPr>
              <w:t>06</w:t>
            </w:r>
            <w:r>
              <w:t xml:space="preserve"> kg/h</w:t>
            </w:r>
            <w:r>
              <w:rPr>
                <w:rFonts w:hint="eastAsia"/>
              </w:rPr>
              <w:t>），产生浓度为12</w:t>
            </w:r>
            <w:r>
              <w:t xml:space="preserve"> </w:t>
            </w:r>
            <w:r>
              <w:rPr>
                <w:rFonts w:hint="eastAsia"/>
              </w:rPr>
              <w:t>m</w:t>
            </w:r>
            <w:r>
              <w:t>g/m</w:t>
            </w:r>
            <w:r>
              <w:rPr>
                <w:vertAlign w:val="superscript"/>
              </w:rPr>
              <w:t>3</w:t>
            </w:r>
            <w:r>
              <w:rPr>
                <w:rFonts w:hint="eastAsia"/>
                <w:szCs w:val="21"/>
              </w:rPr>
              <w:t>；排放量为</w:t>
            </w:r>
            <w:r>
              <w:rPr>
                <w:rFonts w:hint="eastAsia"/>
              </w:rPr>
              <w:t>0.004</w:t>
            </w:r>
            <w:r>
              <w:t xml:space="preserve"> t/a</w:t>
            </w:r>
            <w:r>
              <w:rPr>
                <w:rFonts w:hint="eastAsia"/>
              </w:rPr>
              <w:t>（</w:t>
            </w:r>
            <w:r>
              <w:t>0.</w:t>
            </w:r>
            <w:r>
              <w:rPr>
                <w:rFonts w:hint="eastAsia"/>
              </w:rPr>
              <w:t>001</w:t>
            </w:r>
            <w:r>
              <w:t xml:space="preserve"> kg/h</w:t>
            </w:r>
            <w:r>
              <w:rPr>
                <w:rFonts w:hint="eastAsia"/>
              </w:rPr>
              <w:t>）</w:t>
            </w:r>
            <w:r>
              <w:rPr>
                <w:rFonts w:hint="eastAsia"/>
                <w:szCs w:val="21"/>
              </w:rPr>
              <w:t>，排放浓度为</w:t>
            </w:r>
            <w:r>
              <w:t>0.</w:t>
            </w:r>
            <w:r>
              <w:rPr>
                <w:rFonts w:hint="eastAsia"/>
              </w:rPr>
              <w:t>2</w:t>
            </w:r>
            <w:r>
              <w:t xml:space="preserve"> </w:t>
            </w:r>
            <w:r>
              <w:rPr>
                <w:rFonts w:hint="eastAsia"/>
              </w:rPr>
              <w:t>m</w:t>
            </w:r>
            <w:r>
              <w:t>g/m</w:t>
            </w:r>
            <w:r>
              <w:rPr>
                <w:vertAlign w:val="superscript"/>
              </w:rPr>
              <w:t>3</w:t>
            </w:r>
            <w:r>
              <w:rPr>
                <w:rFonts w:hint="eastAsia"/>
              </w:rPr>
              <w:t>。</w:t>
            </w:r>
          </w:p>
          <w:p w14:paraId="7C2BBF16">
            <w:pPr>
              <w:pStyle w:val="83"/>
              <w:ind w:firstLine="480"/>
              <w:rPr>
                <w:szCs w:val="21"/>
              </w:rPr>
            </w:pPr>
            <w:r>
              <w:rPr>
                <w:rFonts w:hint="eastAsia"/>
                <w:szCs w:val="21"/>
              </w:rPr>
              <w:t>项目七车间高频焊接产生焊接烟尘，经3条生产线焊接工段配套的3套集气罩+布袋除尘器（TA002、TA003、TA004）收集处理后，经管道引入1根15m高排气筒排放（DA002）。排气筒总风量为15000</w:t>
            </w:r>
            <w:r>
              <w:t xml:space="preserve"> m</w:t>
            </w:r>
            <w:r>
              <w:rPr>
                <w:vertAlign w:val="superscript"/>
              </w:rPr>
              <w:t>3</w:t>
            </w:r>
            <w:r>
              <w:t>/h</w:t>
            </w:r>
            <w:r>
              <w:rPr>
                <w:rFonts w:hint="eastAsia"/>
              </w:rPr>
              <w:t>。</w:t>
            </w:r>
            <w:r>
              <w:rPr>
                <w:rFonts w:hint="eastAsia"/>
                <w:szCs w:val="21"/>
              </w:rPr>
              <w:t>则DA002排气筒颗粒物产生量为</w:t>
            </w:r>
            <w:r>
              <w:rPr>
                <w:rFonts w:hint="eastAsia"/>
              </w:rPr>
              <w:t>1.12</w:t>
            </w:r>
            <w:r>
              <w:t xml:space="preserve"> t/a</w:t>
            </w:r>
            <w:r>
              <w:rPr>
                <w:rFonts w:hint="eastAsia"/>
              </w:rPr>
              <w:t>（0.18</w:t>
            </w:r>
            <w:r>
              <w:t xml:space="preserve"> kg/h</w:t>
            </w:r>
            <w:r>
              <w:rPr>
                <w:rFonts w:hint="eastAsia"/>
              </w:rPr>
              <w:t>），产生浓度为12.67</w:t>
            </w:r>
            <w:r>
              <w:t xml:space="preserve"> </w:t>
            </w:r>
            <w:r>
              <w:rPr>
                <w:rFonts w:hint="eastAsia"/>
              </w:rPr>
              <w:t>m</w:t>
            </w:r>
            <w:r>
              <w:t>g/m</w:t>
            </w:r>
            <w:r>
              <w:rPr>
                <w:vertAlign w:val="superscript"/>
              </w:rPr>
              <w:t>3</w:t>
            </w:r>
            <w:r>
              <w:rPr>
                <w:rFonts w:hint="eastAsia"/>
                <w:szCs w:val="21"/>
              </w:rPr>
              <w:t>；排放量为</w:t>
            </w:r>
            <w:r>
              <w:rPr>
                <w:rFonts w:hint="eastAsia"/>
              </w:rPr>
              <w:t>0.01</w:t>
            </w:r>
            <w:r>
              <w:t>t/a</w:t>
            </w:r>
            <w:r>
              <w:rPr>
                <w:rFonts w:hint="eastAsia"/>
              </w:rPr>
              <w:t>（</w:t>
            </w:r>
            <w:r>
              <w:t>0.</w:t>
            </w:r>
            <w:r>
              <w:rPr>
                <w:rFonts w:hint="eastAsia"/>
              </w:rPr>
              <w:t>002</w:t>
            </w:r>
            <w:r>
              <w:t xml:space="preserve"> kg/h</w:t>
            </w:r>
            <w:r>
              <w:rPr>
                <w:rFonts w:hint="eastAsia"/>
              </w:rPr>
              <w:t>）</w:t>
            </w:r>
            <w:r>
              <w:rPr>
                <w:rFonts w:hint="eastAsia"/>
                <w:szCs w:val="21"/>
              </w:rPr>
              <w:t>，排放浓度为</w:t>
            </w:r>
            <w:r>
              <w:t>0.</w:t>
            </w:r>
            <w:r>
              <w:rPr>
                <w:rFonts w:hint="eastAsia"/>
              </w:rPr>
              <w:t>13</w:t>
            </w:r>
            <w:r>
              <w:t xml:space="preserve"> </w:t>
            </w:r>
            <w:r>
              <w:rPr>
                <w:rFonts w:hint="eastAsia"/>
              </w:rPr>
              <w:t>m</w:t>
            </w:r>
            <w:r>
              <w:t>g/m</w:t>
            </w:r>
            <w:r>
              <w:rPr>
                <w:vertAlign w:val="superscript"/>
              </w:rPr>
              <w:t>3</w:t>
            </w:r>
            <w:r>
              <w:rPr>
                <w:rFonts w:hint="eastAsia"/>
              </w:rPr>
              <w:t>。</w:t>
            </w:r>
          </w:p>
          <w:p w14:paraId="1E16559E">
            <w:pPr>
              <w:pStyle w:val="83"/>
              <w:ind w:firstLine="480"/>
              <w:rPr>
                <w:szCs w:val="21"/>
              </w:rPr>
            </w:pPr>
            <w:r>
              <w:rPr>
                <w:rFonts w:hint="eastAsia"/>
                <w:szCs w:val="21"/>
              </w:rPr>
              <w:t>项目八车间高频焊接产生焊接烟尘，经2条生产线焊接工段配套的2套集气罩+布袋除尘器（TA005、TA006）收集处理后，经管道引入1根15m高排气筒排放（DA003）。排气筒总风量为10000</w:t>
            </w:r>
            <w:r>
              <w:t xml:space="preserve"> m</w:t>
            </w:r>
            <w:r>
              <w:rPr>
                <w:vertAlign w:val="superscript"/>
              </w:rPr>
              <w:t>3</w:t>
            </w:r>
            <w:r>
              <w:t>/h</w:t>
            </w:r>
            <w:r>
              <w:rPr>
                <w:rFonts w:hint="eastAsia"/>
              </w:rPr>
              <w:t>。</w:t>
            </w:r>
            <w:r>
              <w:rPr>
                <w:rFonts w:hint="eastAsia"/>
                <w:szCs w:val="21"/>
              </w:rPr>
              <w:t>则DA003排气筒颗粒物产生量为</w:t>
            </w:r>
            <w:r>
              <w:rPr>
                <w:rFonts w:hint="eastAsia"/>
              </w:rPr>
              <w:t>0.75</w:t>
            </w:r>
            <w:r>
              <w:t xml:space="preserve"> t/a</w:t>
            </w:r>
            <w:r>
              <w:rPr>
                <w:rFonts w:hint="eastAsia"/>
              </w:rPr>
              <w:t>（0.12</w:t>
            </w:r>
            <w:r>
              <w:t xml:space="preserve"> kg/h</w:t>
            </w:r>
            <w:r>
              <w:rPr>
                <w:rFonts w:hint="eastAsia"/>
              </w:rPr>
              <w:t>），产生浓度为12 m</w:t>
            </w:r>
            <w:r>
              <w:t>g/m</w:t>
            </w:r>
            <w:r>
              <w:rPr>
                <w:vertAlign w:val="superscript"/>
              </w:rPr>
              <w:t>3</w:t>
            </w:r>
            <w:r>
              <w:rPr>
                <w:rFonts w:hint="eastAsia"/>
                <w:szCs w:val="21"/>
              </w:rPr>
              <w:t>；排放量为</w:t>
            </w:r>
            <w:r>
              <w:rPr>
                <w:rFonts w:hint="eastAsia"/>
              </w:rPr>
              <w:t>0.007</w:t>
            </w:r>
            <w:r>
              <w:t>t/a</w:t>
            </w:r>
            <w:r>
              <w:rPr>
                <w:rFonts w:hint="eastAsia"/>
              </w:rPr>
              <w:t>（</w:t>
            </w:r>
            <w:r>
              <w:t>0.</w:t>
            </w:r>
            <w:r>
              <w:rPr>
                <w:rFonts w:hint="eastAsia"/>
              </w:rPr>
              <w:t>001</w:t>
            </w:r>
            <w:r>
              <w:t xml:space="preserve"> kg/h</w:t>
            </w:r>
            <w:r>
              <w:rPr>
                <w:rFonts w:hint="eastAsia"/>
              </w:rPr>
              <w:t>）</w:t>
            </w:r>
            <w:r>
              <w:rPr>
                <w:rFonts w:hint="eastAsia"/>
                <w:szCs w:val="21"/>
              </w:rPr>
              <w:t>，排放浓度为</w:t>
            </w:r>
            <w:r>
              <w:t>0.</w:t>
            </w:r>
            <w:r>
              <w:rPr>
                <w:rFonts w:hint="eastAsia"/>
              </w:rPr>
              <w:t>1</w:t>
            </w:r>
            <w:r>
              <w:t xml:space="preserve"> </w:t>
            </w:r>
            <w:r>
              <w:rPr>
                <w:rFonts w:hint="eastAsia"/>
              </w:rPr>
              <w:t>m</w:t>
            </w:r>
            <w:r>
              <w:t>g/m</w:t>
            </w:r>
            <w:r>
              <w:rPr>
                <w:vertAlign w:val="superscript"/>
              </w:rPr>
              <w:t>3</w:t>
            </w:r>
            <w:r>
              <w:rPr>
                <w:rFonts w:hint="eastAsia"/>
              </w:rPr>
              <w:t>。</w:t>
            </w:r>
          </w:p>
          <w:p w14:paraId="06EC6CC6">
            <w:pPr>
              <w:pStyle w:val="83"/>
              <w:ind w:firstLine="480"/>
            </w:pPr>
            <w:r>
              <w:rPr>
                <w:rFonts w:hint="eastAsia"/>
                <w:szCs w:val="21"/>
              </w:rPr>
              <w:t>高频焊接工序的</w:t>
            </w:r>
            <w:r>
              <w:rPr>
                <w:rFonts w:hint="eastAsia"/>
              </w:rPr>
              <w:t>未收集无组织颗粒物产生量</w:t>
            </w:r>
            <w:r>
              <w:t>0.</w:t>
            </w:r>
            <w:r>
              <w:rPr>
                <w:rFonts w:hint="eastAsia"/>
              </w:rPr>
              <w:t>22 t/a。未收集无组织颗粒物通过设置封闭式厂房，重力沉降后，参考相关粉尘控制措施效率资料，无组织颗粒物控制效率取</w:t>
            </w:r>
            <w:r>
              <w:t>60</w:t>
            </w:r>
            <w:r>
              <w:rPr>
                <w:rFonts w:hint="eastAsia"/>
              </w:rPr>
              <w:t>%，则本项目车间内无组织颗粒物排放总量为</w:t>
            </w:r>
            <w:r>
              <w:t>0.</w:t>
            </w:r>
            <w:r>
              <w:rPr>
                <w:rFonts w:hint="eastAsia"/>
              </w:rPr>
              <w:t>09 t/a。</w:t>
            </w:r>
          </w:p>
          <w:p w14:paraId="626CF924">
            <w:pPr>
              <w:adjustRightInd w:val="0"/>
              <w:snapToGrid w:val="0"/>
              <w:spacing w:line="360" w:lineRule="auto"/>
              <w:ind w:firstLine="480" w:firstLineChars="200"/>
              <w:rPr>
                <w:kern w:val="24"/>
                <w:sz w:val="24"/>
              </w:rPr>
            </w:pPr>
            <w:r>
              <w:rPr>
                <w:rFonts w:hint="eastAsia"/>
                <w:kern w:val="24"/>
                <w:sz w:val="24"/>
              </w:rPr>
              <w:t>三、非正常排放</w:t>
            </w:r>
          </w:p>
          <w:p w14:paraId="099EB4AC">
            <w:pPr>
              <w:adjustRightInd w:val="0"/>
              <w:snapToGrid w:val="0"/>
              <w:spacing w:line="360" w:lineRule="auto"/>
              <w:ind w:firstLine="480" w:firstLineChars="200"/>
              <w:rPr>
                <w:kern w:val="24"/>
                <w:sz w:val="24"/>
              </w:rPr>
            </w:pPr>
            <w:r>
              <w:rPr>
                <w:rFonts w:hint="eastAsia"/>
                <w:kern w:val="24"/>
                <w:sz w:val="24"/>
              </w:rPr>
              <w:t>本项目非正常排放主要产生于废气处理设施发生故障时，出现非正常排放。本次评价非正常排放情况设定为单台袋式除尘器布袋破损后，无法立即更换的情况，除尘效率下降至0，完全失效。则污染源非正常排放统计见下表。</w:t>
            </w:r>
          </w:p>
          <w:p w14:paraId="2885CEC0">
            <w:pPr>
              <w:adjustRightInd w:val="0"/>
              <w:snapToGrid w:val="0"/>
              <w:spacing w:line="360" w:lineRule="auto"/>
              <w:ind w:firstLine="482" w:firstLineChars="200"/>
              <w:jc w:val="center"/>
              <w:rPr>
                <w:b/>
                <w:kern w:val="24"/>
                <w:sz w:val="24"/>
              </w:rPr>
            </w:pPr>
            <w:r>
              <w:rPr>
                <w:rFonts w:hint="eastAsia"/>
                <w:b/>
                <w:kern w:val="24"/>
                <w:sz w:val="24"/>
              </w:rPr>
              <w:t>表4-7   污染源非正常排放量核算表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45"/>
              <w:gridCol w:w="943"/>
              <w:gridCol w:w="1113"/>
              <w:gridCol w:w="1101"/>
              <w:gridCol w:w="847"/>
              <w:gridCol w:w="876"/>
              <w:gridCol w:w="1758"/>
            </w:tblGrid>
            <w:tr w14:paraId="1472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Align w:val="center"/>
                </w:tcPr>
                <w:p w14:paraId="3059724B">
                  <w:pPr>
                    <w:adjustRightInd w:val="0"/>
                    <w:snapToGrid w:val="0"/>
                    <w:spacing w:line="320" w:lineRule="exact"/>
                    <w:jc w:val="center"/>
                    <w:rPr>
                      <w:kern w:val="24"/>
                      <w:szCs w:val="21"/>
                    </w:rPr>
                  </w:pPr>
                  <w:r>
                    <w:rPr>
                      <w:rFonts w:hint="eastAsia"/>
                      <w:kern w:val="24"/>
                      <w:szCs w:val="21"/>
                    </w:rPr>
                    <w:t>污染源</w:t>
                  </w:r>
                </w:p>
              </w:tc>
              <w:tc>
                <w:tcPr>
                  <w:tcW w:w="1145" w:type="dxa"/>
                  <w:vAlign w:val="center"/>
                </w:tcPr>
                <w:p w14:paraId="72827937">
                  <w:pPr>
                    <w:adjustRightInd w:val="0"/>
                    <w:snapToGrid w:val="0"/>
                    <w:spacing w:line="320" w:lineRule="exact"/>
                    <w:jc w:val="center"/>
                    <w:rPr>
                      <w:kern w:val="24"/>
                      <w:szCs w:val="21"/>
                    </w:rPr>
                  </w:pPr>
                  <w:r>
                    <w:rPr>
                      <w:rFonts w:hint="eastAsia"/>
                      <w:kern w:val="24"/>
                      <w:szCs w:val="21"/>
                    </w:rPr>
                    <w:t>非正常排放原因</w:t>
                  </w:r>
                </w:p>
              </w:tc>
              <w:tc>
                <w:tcPr>
                  <w:tcW w:w="943" w:type="dxa"/>
                  <w:vAlign w:val="center"/>
                </w:tcPr>
                <w:p w14:paraId="1271283F">
                  <w:pPr>
                    <w:adjustRightInd w:val="0"/>
                    <w:snapToGrid w:val="0"/>
                    <w:spacing w:line="320" w:lineRule="exact"/>
                    <w:jc w:val="center"/>
                    <w:rPr>
                      <w:kern w:val="24"/>
                      <w:szCs w:val="21"/>
                    </w:rPr>
                  </w:pPr>
                  <w:r>
                    <w:rPr>
                      <w:rFonts w:hint="eastAsia"/>
                      <w:kern w:val="24"/>
                      <w:szCs w:val="21"/>
                    </w:rPr>
                    <w:t>污染物</w:t>
                  </w:r>
                </w:p>
              </w:tc>
              <w:tc>
                <w:tcPr>
                  <w:tcW w:w="1113" w:type="dxa"/>
                  <w:vAlign w:val="center"/>
                </w:tcPr>
                <w:p w14:paraId="1A21B6B5">
                  <w:pPr>
                    <w:adjustRightInd w:val="0"/>
                    <w:snapToGrid w:val="0"/>
                    <w:spacing w:line="320" w:lineRule="exact"/>
                    <w:jc w:val="center"/>
                    <w:rPr>
                      <w:kern w:val="24"/>
                      <w:szCs w:val="21"/>
                    </w:rPr>
                  </w:pPr>
                  <w:r>
                    <w:rPr>
                      <w:rFonts w:hint="eastAsia"/>
                      <w:kern w:val="24"/>
                      <w:szCs w:val="21"/>
                    </w:rPr>
                    <w:t>非正常排放浓度</w:t>
                  </w:r>
                  <w:r>
                    <w:rPr>
                      <w:kern w:val="24"/>
                      <w:szCs w:val="21"/>
                    </w:rPr>
                    <w:t>（</w:t>
                  </w:r>
                  <w:r>
                    <w:rPr>
                      <w:rFonts w:hint="eastAsia"/>
                      <w:kern w:val="24"/>
                      <w:szCs w:val="21"/>
                    </w:rPr>
                    <w:t>mg/m</w:t>
                  </w:r>
                  <w:r>
                    <w:rPr>
                      <w:rFonts w:hint="eastAsia"/>
                      <w:kern w:val="24"/>
                      <w:szCs w:val="21"/>
                      <w:vertAlign w:val="superscript"/>
                    </w:rPr>
                    <w:t>3</w:t>
                  </w:r>
                  <w:r>
                    <w:rPr>
                      <w:kern w:val="24"/>
                      <w:szCs w:val="21"/>
                    </w:rPr>
                    <w:t>）</w:t>
                  </w:r>
                </w:p>
              </w:tc>
              <w:tc>
                <w:tcPr>
                  <w:tcW w:w="1101" w:type="dxa"/>
                  <w:vAlign w:val="center"/>
                </w:tcPr>
                <w:p w14:paraId="1A6AEB9D">
                  <w:pPr>
                    <w:adjustRightInd w:val="0"/>
                    <w:snapToGrid w:val="0"/>
                    <w:spacing w:line="320" w:lineRule="exact"/>
                    <w:jc w:val="center"/>
                    <w:rPr>
                      <w:kern w:val="24"/>
                      <w:szCs w:val="21"/>
                    </w:rPr>
                  </w:pPr>
                  <w:r>
                    <w:rPr>
                      <w:rFonts w:hint="eastAsia"/>
                      <w:kern w:val="24"/>
                      <w:szCs w:val="21"/>
                    </w:rPr>
                    <w:t>非正常排放速率（kg/h）</w:t>
                  </w:r>
                </w:p>
              </w:tc>
              <w:tc>
                <w:tcPr>
                  <w:tcW w:w="847" w:type="dxa"/>
                  <w:vAlign w:val="center"/>
                </w:tcPr>
                <w:p w14:paraId="12DD9FCF">
                  <w:pPr>
                    <w:adjustRightInd w:val="0"/>
                    <w:snapToGrid w:val="0"/>
                    <w:spacing w:line="320" w:lineRule="exact"/>
                    <w:jc w:val="center"/>
                    <w:rPr>
                      <w:kern w:val="24"/>
                      <w:szCs w:val="21"/>
                    </w:rPr>
                  </w:pPr>
                  <w:r>
                    <w:rPr>
                      <w:rFonts w:hint="eastAsia"/>
                      <w:kern w:val="24"/>
                      <w:szCs w:val="21"/>
                    </w:rPr>
                    <w:t>单次持续时间/h</w:t>
                  </w:r>
                </w:p>
              </w:tc>
              <w:tc>
                <w:tcPr>
                  <w:tcW w:w="876" w:type="dxa"/>
                  <w:vAlign w:val="center"/>
                </w:tcPr>
                <w:p w14:paraId="5B487D66">
                  <w:pPr>
                    <w:adjustRightInd w:val="0"/>
                    <w:snapToGrid w:val="0"/>
                    <w:spacing w:line="320" w:lineRule="exact"/>
                    <w:jc w:val="center"/>
                    <w:rPr>
                      <w:kern w:val="24"/>
                      <w:szCs w:val="21"/>
                    </w:rPr>
                  </w:pPr>
                  <w:r>
                    <w:rPr>
                      <w:rFonts w:hint="eastAsia"/>
                      <w:kern w:val="24"/>
                      <w:szCs w:val="21"/>
                    </w:rPr>
                    <w:t>年发生频次/次</w:t>
                  </w:r>
                </w:p>
              </w:tc>
              <w:tc>
                <w:tcPr>
                  <w:tcW w:w="1758" w:type="dxa"/>
                  <w:vAlign w:val="center"/>
                </w:tcPr>
                <w:p w14:paraId="06FF8A8C">
                  <w:pPr>
                    <w:adjustRightInd w:val="0"/>
                    <w:snapToGrid w:val="0"/>
                    <w:spacing w:line="320" w:lineRule="exact"/>
                    <w:jc w:val="center"/>
                    <w:rPr>
                      <w:kern w:val="24"/>
                      <w:szCs w:val="21"/>
                    </w:rPr>
                  </w:pPr>
                  <w:r>
                    <w:rPr>
                      <w:rFonts w:hint="eastAsia"/>
                      <w:kern w:val="24"/>
                      <w:szCs w:val="21"/>
                    </w:rPr>
                    <w:t>应对措施</w:t>
                  </w:r>
                </w:p>
              </w:tc>
            </w:tr>
            <w:tr w14:paraId="0546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07" w:type="dxa"/>
                  <w:vAlign w:val="center"/>
                </w:tcPr>
                <w:p w14:paraId="16A902A5">
                  <w:pPr>
                    <w:adjustRightInd w:val="0"/>
                    <w:snapToGrid w:val="0"/>
                    <w:spacing w:line="320" w:lineRule="exact"/>
                    <w:jc w:val="center"/>
                    <w:rPr>
                      <w:kern w:val="24"/>
                      <w:szCs w:val="21"/>
                    </w:rPr>
                  </w:pPr>
                  <w:r>
                    <w:rPr>
                      <w:rFonts w:hint="eastAsia"/>
                      <w:kern w:val="24"/>
                      <w:szCs w:val="21"/>
                    </w:rPr>
                    <w:t>三车间、四车间焊接烟尘（DA001）</w:t>
                  </w:r>
                </w:p>
              </w:tc>
              <w:tc>
                <w:tcPr>
                  <w:tcW w:w="1145" w:type="dxa"/>
                  <w:vMerge w:val="restart"/>
                  <w:vAlign w:val="center"/>
                </w:tcPr>
                <w:p w14:paraId="6CD73B6C">
                  <w:pPr>
                    <w:adjustRightInd w:val="0"/>
                    <w:snapToGrid w:val="0"/>
                    <w:spacing w:line="320" w:lineRule="exact"/>
                    <w:jc w:val="center"/>
                    <w:rPr>
                      <w:kern w:val="24"/>
                      <w:szCs w:val="21"/>
                    </w:rPr>
                  </w:pPr>
                  <w:r>
                    <w:rPr>
                      <w:rFonts w:hint="eastAsia"/>
                      <w:kern w:val="24"/>
                      <w:szCs w:val="21"/>
                    </w:rPr>
                    <w:t>除尘器布袋破损，除尘效率下降至0，完全失效</w:t>
                  </w:r>
                </w:p>
              </w:tc>
              <w:tc>
                <w:tcPr>
                  <w:tcW w:w="943" w:type="dxa"/>
                  <w:vAlign w:val="center"/>
                </w:tcPr>
                <w:p w14:paraId="180F8304">
                  <w:pPr>
                    <w:adjustRightInd w:val="0"/>
                    <w:snapToGrid w:val="0"/>
                    <w:spacing w:line="320" w:lineRule="exact"/>
                    <w:jc w:val="center"/>
                    <w:rPr>
                      <w:kern w:val="24"/>
                      <w:szCs w:val="21"/>
                    </w:rPr>
                  </w:pPr>
                  <w:r>
                    <w:rPr>
                      <w:rFonts w:hint="eastAsia"/>
                      <w:kern w:val="24"/>
                      <w:szCs w:val="21"/>
                    </w:rPr>
                    <w:t>颗粒物</w:t>
                  </w:r>
                </w:p>
              </w:tc>
              <w:tc>
                <w:tcPr>
                  <w:tcW w:w="1113" w:type="dxa"/>
                  <w:vAlign w:val="center"/>
                </w:tcPr>
                <w:p w14:paraId="2621EFC5">
                  <w:pPr>
                    <w:adjustRightInd w:val="0"/>
                    <w:snapToGrid w:val="0"/>
                    <w:spacing w:line="320" w:lineRule="exact"/>
                    <w:jc w:val="center"/>
                    <w:rPr>
                      <w:kern w:val="24"/>
                      <w:szCs w:val="21"/>
                    </w:rPr>
                  </w:pPr>
                  <w:r>
                    <w:rPr>
                      <w:rFonts w:hint="eastAsia"/>
                      <w:kern w:val="24"/>
                      <w:szCs w:val="21"/>
                    </w:rPr>
                    <w:t>12</w:t>
                  </w:r>
                </w:p>
              </w:tc>
              <w:tc>
                <w:tcPr>
                  <w:tcW w:w="1101" w:type="dxa"/>
                  <w:vAlign w:val="center"/>
                </w:tcPr>
                <w:p w14:paraId="7EF81EB2">
                  <w:pPr>
                    <w:adjustRightInd w:val="0"/>
                    <w:snapToGrid w:val="0"/>
                    <w:spacing w:line="320" w:lineRule="exact"/>
                    <w:jc w:val="center"/>
                    <w:rPr>
                      <w:kern w:val="24"/>
                      <w:szCs w:val="21"/>
                    </w:rPr>
                  </w:pPr>
                  <w:r>
                    <w:rPr>
                      <w:rFonts w:hint="eastAsia"/>
                    </w:rPr>
                    <w:t>0.06</w:t>
                  </w:r>
                </w:p>
              </w:tc>
              <w:tc>
                <w:tcPr>
                  <w:tcW w:w="847" w:type="dxa"/>
                  <w:vAlign w:val="center"/>
                </w:tcPr>
                <w:p w14:paraId="0FBE9378">
                  <w:pPr>
                    <w:adjustRightInd w:val="0"/>
                    <w:snapToGrid w:val="0"/>
                    <w:spacing w:line="320" w:lineRule="exact"/>
                    <w:jc w:val="center"/>
                    <w:rPr>
                      <w:kern w:val="24"/>
                      <w:szCs w:val="21"/>
                    </w:rPr>
                  </w:pPr>
                  <w:r>
                    <w:rPr>
                      <w:rFonts w:hint="eastAsia"/>
                      <w:kern w:val="24"/>
                      <w:szCs w:val="21"/>
                    </w:rPr>
                    <w:t>0.5</w:t>
                  </w:r>
                </w:p>
              </w:tc>
              <w:tc>
                <w:tcPr>
                  <w:tcW w:w="876" w:type="dxa"/>
                  <w:vAlign w:val="center"/>
                </w:tcPr>
                <w:p w14:paraId="1D2C1F5D">
                  <w:pPr>
                    <w:adjustRightInd w:val="0"/>
                    <w:snapToGrid w:val="0"/>
                    <w:spacing w:line="320" w:lineRule="exact"/>
                    <w:jc w:val="center"/>
                    <w:rPr>
                      <w:kern w:val="24"/>
                      <w:szCs w:val="21"/>
                    </w:rPr>
                  </w:pPr>
                  <w:r>
                    <w:rPr>
                      <w:rFonts w:hint="eastAsia"/>
                      <w:kern w:val="24"/>
                      <w:szCs w:val="21"/>
                    </w:rPr>
                    <w:t>1</w:t>
                  </w:r>
                </w:p>
              </w:tc>
              <w:tc>
                <w:tcPr>
                  <w:tcW w:w="1758" w:type="dxa"/>
                  <w:vAlign w:val="center"/>
                </w:tcPr>
                <w:p w14:paraId="40BBF22D">
                  <w:pPr>
                    <w:adjustRightInd w:val="0"/>
                    <w:snapToGrid w:val="0"/>
                    <w:spacing w:line="320" w:lineRule="exact"/>
                    <w:jc w:val="center"/>
                    <w:rPr>
                      <w:kern w:val="24"/>
                      <w:szCs w:val="21"/>
                    </w:rPr>
                  </w:pPr>
                  <w:r>
                    <w:rPr>
                      <w:rFonts w:hint="eastAsia"/>
                      <w:kern w:val="24"/>
                      <w:szCs w:val="21"/>
                    </w:rPr>
                    <w:t>应立即停止生产，更换除尘器布袋；定期对废气处理设施进行检修和更换</w:t>
                  </w:r>
                </w:p>
              </w:tc>
            </w:tr>
            <w:tr w14:paraId="0BF4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07" w:type="dxa"/>
                  <w:vAlign w:val="center"/>
                </w:tcPr>
                <w:p w14:paraId="1364539C">
                  <w:pPr>
                    <w:adjustRightInd w:val="0"/>
                    <w:snapToGrid w:val="0"/>
                    <w:spacing w:line="320" w:lineRule="exact"/>
                    <w:jc w:val="center"/>
                    <w:rPr>
                      <w:kern w:val="24"/>
                      <w:szCs w:val="21"/>
                    </w:rPr>
                  </w:pPr>
                  <w:r>
                    <w:rPr>
                      <w:rFonts w:hint="eastAsia"/>
                      <w:kern w:val="24"/>
                      <w:szCs w:val="21"/>
                    </w:rPr>
                    <w:t>七车间高频焊接烟尘(DA002)</w:t>
                  </w:r>
                </w:p>
              </w:tc>
              <w:tc>
                <w:tcPr>
                  <w:tcW w:w="1145" w:type="dxa"/>
                  <w:vMerge w:val="continue"/>
                  <w:vAlign w:val="center"/>
                </w:tcPr>
                <w:p w14:paraId="0AE835E8">
                  <w:pPr>
                    <w:adjustRightInd w:val="0"/>
                    <w:snapToGrid w:val="0"/>
                    <w:spacing w:line="320" w:lineRule="exact"/>
                    <w:jc w:val="center"/>
                    <w:rPr>
                      <w:kern w:val="24"/>
                      <w:szCs w:val="21"/>
                    </w:rPr>
                  </w:pPr>
                </w:p>
              </w:tc>
              <w:tc>
                <w:tcPr>
                  <w:tcW w:w="943" w:type="dxa"/>
                  <w:vAlign w:val="center"/>
                </w:tcPr>
                <w:p w14:paraId="0968BB88">
                  <w:pPr>
                    <w:adjustRightInd w:val="0"/>
                    <w:snapToGrid w:val="0"/>
                    <w:spacing w:line="320" w:lineRule="exact"/>
                    <w:jc w:val="center"/>
                    <w:rPr>
                      <w:kern w:val="24"/>
                      <w:szCs w:val="21"/>
                    </w:rPr>
                  </w:pPr>
                  <w:r>
                    <w:rPr>
                      <w:rFonts w:hint="eastAsia"/>
                      <w:kern w:val="24"/>
                      <w:szCs w:val="21"/>
                    </w:rPr>
                    <w:t>颗粒物</w:t>
                  </w:r>
                </w:p>
              </w:tc>
              <w:tc>
                <w:tcPr>
                  <w:tcW w:w="1113" w:type="dxa"/>
                  <w:vAlign w:val="center"/>
                </w:tcPr>
                <w:p w14:paraId="11EF175E">
                  <w:pPr>
                    <w:adjustRightInd w:val="0"/>
                    <w:snapToGrid w:val="0"/>
                    <w:spacing w:line="320" w:lineRule="exact"/>
                    <w:jc w:val="center"/>
                    <w:rPr>
                      <w:kern w:val="24"/>
                      <w:szCs w:val="21"/>
                    </w:rPr>
                  </w:pPr>
                  <w:r>
                    <w:rPr>
                      <w:kern w:val="24"/>
                      <w:szCs w:val="21"/>
                    </w:rPr>
                    <w:t>12.67</w:t>
                  </w:r>
                </w:p>
              </w:tc>
              <w:tc>
                <w:tcPr>
                  <w:tcW w:w="1101" w:type="dxa"/>
                  <w:vAlign w:val="center"/>
                </w:tcPr>
                <w:p w14:paraId="1C602527">
                  <w:pPr>
                    <w:adjustRightInd w:val="0"/>
                    <w:snapToGrid w:val="0"/>
                    <w:spacing w:line="320" w:lineRule="exact"/>
                    <w:jc w:val="center"/>
                    <w:rPr>
                      <w:kern w:val="24"/>
                      <w:szCs w:val="21"/>
                    </w:rPr>
                  </w:pPr>
                  <w:r>
                    <w:rPr>
                      <w:kern w:val="24"/>
                      <w:szCs w:val="21"/>
                    </w:rPr>
                    <w:t>0.18</w:t>
                  </w:r>
                </w:p>
              </w:tc>
              <w:tc>
                <w:tcPr>
                  <w:tcW w:w="847" w:type="dxa"/>
                  <w:vAlign w:val="center"/>
                </w:tcPr>
                <w:p w14:paraId="2F7DFEE5">
                  <w:pPr>
                    <w:adjustRightInd w:val="0"/>
                    <w:snapToGrid w:val="0"/>
                    <w:spacing w:line="320" w:lineRule="exact"/>
                    <w:jc w:val="center"/>
                    <w:rPr>
                      <w:kern w:val="24"/>
                      <w:szCs w:val="21"/>
                    </w:rPr>
                  </w:pPr>
                  <w:r>
                    <w:rPr>
                      <w:rFonts w:hint="eastAsia"/>
                      <w:kern w:val="24"/>
                      <w:szCs w:val="21"/>
                    </w:rPr>
                    <w:t>0.5</w:t>
                  </w:r>
                </w:p>
              </w:tc>
              <w:tc>
                <w:tcPr>
                  <w:tcW w:w="876" w:type="dxa"/>
                  <w:vAlign w:val="center"/>
                </w:tcPr>
                <w:p w14:paraId="0FA853BD">
                  <w:pPr>
                    <w:adjustRightInd w:val="0"/>
                    <w:snapToGrid w:val="0"/>
                    <w:spacing w:line="320" w:lineRule="exact"/>
                    <w:jc w:val="center"/>
                    <w:rPr>
                      <w:kern w:val="24"/>
                      <w:szCs w:val="21"/>
                    </w:rPr>
                  </w:pPr>
                  <w:r>
                    <w:rPr>
                      <w:rFonts w:hint="eastAsia"/>
                      <w:kern w:val="24"/>
                      <w:szCs w:val="21"/>
                    </w:rPr>
                    <w:t>1</w:t>
                  </w:r>
                </w:p>
              </w:tc>
              <w:tc>
                <w:tcPr>
                  <w:tcW w:w="1758" w:type="dxa"/>
                  <w:vAlign w:val="center"/>
                </w:tcPr>
                <w:p w14:paraId="47A12425">
                  <w:pPr>
                    <w:adjustRightInd w:val="0"/>
                    <w:snapToGrid w:val="0"/>
                    <w:spacing w:line="320" w:lineRule="exact"/>
                    <w:jc w:val="center"/>
                    <w:rPr>
                      <w:kern w:val="24"/>
                      <w:szCs w:val="21"/>
                    </w:rPr>
                  </w:pPr>
                  <w:r>
                    <w:rPr>
                      <w:rFonts w:hint="eastAsia"/>
                      <w:kern w:val="24"/>
                      <w:szCs w:val="21"/>
                    </w:rPr>
                    <w:t>应立即停止生产，更换除尘器布袋；定期对废气处理设施进行检修和更换</w:t>
                  </w:r>
                </w:p>
              </w:tc>
            </w:tr>
            <w:tr w14:paraId="5259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07" w:type="dxa"/>
                  <w:vAlign w:val="center"/>
                </w:tcPr>
                <w:p w14:paraId="75B3916F">
                  <w:pPr>
                    <w:adjustRightInd w:val="0"/>
                    <w:snapToGrid w:val="0"/>
                    <w:spacing w:line="320" w:lineRule="exact"/>
                    <w:jc w:val="center"/>
                    <w:rPr>
                      <w:kern w:val="24"/>
                      <w:szCs w:val="21"/>
                    </w:rPr>
                  </w:pPr>
                  <w:r>
                    <w:rPr>
                      <w:rFonts w:hint="eastAsia"/>
                      <w:kern w:val="24"/>
                      <w:szCs w:val="21"/>
                    </w:rPr>
                    <w:t>八车间高频焊接烟尘(DA003)</w:t>
                  </w:r>
                </w:p>
              </w:tc>
              <w:tc>
                <w:tcPr>
                  <w:tcW w:w="1145" w:type="dxa"/>
                  <w:vMerge w:val="continue"/>
                  <w:vAlign w:val="center"/>
                </w:tcPr>
                <w:p w14:paraId="04DF445E">
                  <w:pPr>
                    <w:adjustRightInd w:val="0"/>
                    <w:snapToGrid w:val="0"/>
                    <w:spacing w:line="320" w:lineRule="exact"/>
                    <w:jc w:val="center"/>
                    <w:rPr>
                      <w:kern w:val="24"/>
                      <w:szCs w:val="21"/>
                    </w:rPr>
                  </w:pPr>
                </w:p>
              </w:tc>
              <w:tc>
                <w:tcPr>
                  <w:tcW w:w="943" w:type="dxa"/>
                  <w:vAlign w:val="center"/>
                </w:tcPr>
                <w:p w14:paraId="044E7323">
                  <w:pPr>
                    <w:adjustRightInd w:val="0"/>
                    <w:snapToGrid w:val="0"/>
                    <w:spacing w:line="320" w:lineRule="exact"/>
                    <w:jc w:val="center"/>
                    <w:rPr>
                      <w:kern w:val="24"/>
                      <w:szCs w:val="21"/>
                    </w:rPr>
                  </w:pPr>
                  <w:r>
                    <w:rPr>
                      <w:rFonts w:hint="eastAsia"/>
                      <w:kern w:val="24"/>
                      <w:szCs w:val="21"/>
                    </w:rPr>
                    <w:t>颗粒物</w:t>
                  </w:r>
                </w:p>
              </w:tc>
              <w:tc>
                <w:tcPr>
                  <w:tcW w:w="1113" w:type="dxa"/>
                  <w:vAlign w:val="center"/>
                </w:tcPr>
                <w:p w14:paraId="50A3C6E7">
                  <w:pPr>
                    <w:adjustRightInd w:val="0"/>
                    <w:snapToGrid w:val="0"/>
                    <w:spacing w:line="320" w:lineRule="exact"/>
                    <w:jc w:val="center"/>
                    <w:rPr>
                      <w:kern w:val="24"/>
                      <w:szCs w:val="21"/>
                    </w:rPr>
                  </w:pPr>
                  <w:r>
                    <w:rPr>
                      <w:kern w:val="24"/>
                      <w:szCs w:val="21"/>
                    </w:rPr>
                    <w:t>12</w:t>
                  </w:r>
                </w:p>
              </w:tc>
              <w:tc>
                <w:tcPr>
                  <w:tcW w:w="1101" w:type="dxa"/>
                  <w:vAlign w:val="center"/>
                </w:tcPr>
                <w:p w14:paraId="361266CF">
                  <w:pPr>
                    <w:adjustRightInd w:val="0"/>
                    <w:snapToGrid w:val="0"/>
                    <w:spacing w:line="320" w:lineRule="exact"/>
                    <w:jc w:val="center"/>
                    <w:rPr>
                      <w:kern w:val="24"/>
                      <w:szCs w:val="21"/>
                    </w:rPr>
                  </w:pPr>
                  <w:r>
                    <w:rPr>
                      <w:kern w:val="24"/>
                      <w:szCs w:val="21"/>
                    </w:rPr>
                    <w:t>0.12</w:t>
                  </w:r>
                </w:p>
              </w:tc>
              <w:tc>
                <w:tcPr>
                  <w:tcW w:w="847" w:type="dxa"/>
                  <w:vAlign w:val="center"/>
                </w:tcPr>
                <w:p w14:paraId="7AFED356">
                  <w:pPr>
                    <w:adjustRightInd w:val="0"/>
                    <w:snapToGrid w:val="0"/>
                    <w:spacing w:line="320" w:lineRule="exact"/>
                    <w:jc w:val="center"/>
                    <w:rPr>
                      <w:kern w:val="24"/>
                      <w:szCs w:val="21"/>
                    </w:rPr>
                  </w:pPr>
                  <w:r>
                    <w:rPr>
                      <w:rFonts w:hint="eastAsia"/>
                      <w:kern w:val="24"/>
                      <w:szCs w:val="21"/>
                    </w:rPr>
                    <w:t>0.5</w:t>
                  </w:r>
                </w:p>
              </w:tc>
              <w:tc>
                <w:tcPr>
                  <w:tcW w:w="876" w:type="dxa"/>
                  <w:vAlign w:val="center"/>
                </w:tcPr>
                <w:p w14:paraId="1CFE76AA">
                  <w:pPr>
                    <w:adjustRightInd w:val="0"/>
                    <w:snapToGrid w:val="0"/>
                    <w:spacing w:line="320" w:lineRule="exact"/>
                    <w:jc w:val="center"/>
                    <w:rPr>
                      <w:kern w:val="24"/>
                      <w:szCs w:val="21"/>
                    </w:rPr>
                  </w:pPr>
                  <w:r>
                    <w:rPr>
                      <w:rFonts w:hint="eastAsia"/>
                      <w:kern w:val="24"/>
                      <w:szCs w:val="21"/>
                    </w:rPr>
                    <w:t>1</w:t>
                  </w:r>
                </w:p>
              </w:tc>
              <w:tc>
                <w:tcPr>
                  <w:tcW w:w="1758" w:type="dxa"/>
                  <w:vAlign w:val="center"/>
                </w:tcPr>
                <w:p w14:paraId="691B2B4D">
                  <w:pPr>
                    <w:adjustRightInd w:val="0"/>
                    <w:snapToGrid w:val="0"/>
                    <w:spacing w:line="320" w:lineRule="exact"/>
                    <w:jc w:val="center"/>
                    <w:rPr>
                      <w:kern w:val="24"/>
                      <w:szCs w:val="21"/>
                    </w:rPr>
                  </w:pPr>
                  <w:r>
                    <w:rPr>
                      <w:rFonts w:hint="eastAsia"/>
                      <w:kern w:val="24"/>
                      <w:szCs w:val="21"/>
                    </w:rPr>
                    <w:t>应立即停止生产，更换除尘器布袋；定期对废气处理设施进行检修和更换</w:t>
                  </w:r>
                </w:p>
              </w:tc>
            </w:tr>
          </w:tbl>
          <w:p w14:paraId="5398DDDE">
            <w:pPr>
              <w:adjustRightInd w:val="0"/>
              <w:snapToGrid w:val="0"/>
              <w:spacing w:line="360" w:lineRule="auto"/>
              <w:ind w:firstLine="480" w:firstLineChars="200"/>
              <w:rPr>
                <w:kern w:val="24"/>
                <w:sz w:val="24"/>
              </w:rPr>
            </w:pPr>
            <w:r>
              <w:rPr>
                <w:rFonts w:hint="eastAsia"/>
                <w:kern w:val="24"/>
                <w:sz w:val="24"/>
              </w:rPr>
              <w:t>因此，废气处理设施故障出现事故非正常排放时，颗粒物未出现超标排放，但排放浓度变大。运营期为了尽可能减轻焊接烟尘对周围环境的影响，避免非正常排放情况发生，需对废气治理设施配置一定量的易损备件及维护保养专用工具，并设专门技术人员对袋式除尘器进行管理及维修。当发生故障出现非正常排放时，应立即停止生产，及时排除和抢修，待废气处理系统恢复正常后，方可继续生产。</w:t>
            </w:r>
          </w:p>
          <w:p w14:paraId="517522FC">
            <w:pPr>
              <w:adjustRightInd w:val="0"/>
              <w:snapToGrid w:val="0"/>
              <w:spacing w:line="360" w:lineRule="auto"/>
              <w:ind w:firstLine="480" w:firstLineChars="200"/>
              <w:rPr>
                <w:kern w:val="24"/>
                <w:sz w:val="24"/>
              </w:rPr>
            </w:pPr>
            <w:r>
              <w:rPr>
                <w:rFonts w:hint="eastAsia"/>
                <w:kern w:val="24"/>
                <w:sz w:val="24"/>
              </w:rPr>
              <w:t>四、废气防治措施可行性分析</w:t>
            </w:r>
          </w:p>
          <w:p w14:paraId="66974972">
            <w:pPr>
              <w:adjustRightInd w:val="0"/>
              <w:snapToGrid w:val="0"/>
              <w:spacing w:line="360" w:lineRule="auto"/>
              <w:ind w:firstLine="480" w:firstLineChars="200"/>
              <w:rPr>
                <w:kern w:val="24"/>
                <w:sz w:val="24"/>
              </w:rPr>
            </w:pPr>
            <w:r>
              <w:rPr>
                <w:rFonts w:hint="eastAsia"/>
                <w:kern w:val="24"/>
                <w:sz w:val="24"/>
              </w:rPr>
              <w:t>（1）废气治理措施</w:t>
            </w:r>
          </w:p>
          <w:p w14:paraId="1D905718">
            <w:pPr>
              <w:adjustRightInd w:val="0"/>
              <w:snapToGrid w:val="0"/>
              <w:spacing w:line="360" w:lineRule="auto"/>
              <w:ind w:firstLine="480" w:firstLineChars="200"/>
              <w:rPr>
                <w:kern w:val="24"/>
                <w:sz w:val="24"/>
              </w:rPr>
            </w:pPr>
            <w:r>
              <w:rPr>
                <w:rFonts w:hint="eastAsia"/>
                <w:kern w:val="24"/>
                <w:sz w:val="24"/>
              </w:rPr>
              <w:t>项目三车间、四车间高频焊接产生焊接烟尘，经生产线焊接工段配套的1套集气罩(四周设置软帘)+布袋除尘器（TA001）收集处理后，通过1根15m高排气筒排放（DA001）。项目七车间高频焊接产生焊接烟尘，经3条生产线焊接工段配套的3套集气罩(四周设置软帘)+布袋除尘器（TA002、TA003、TA004）收集处理后，经管道引入1根15m高排气筒排放（DA002）。项目八车间高频焊接产生焊接烟尘，经2条生产线焊接工段配套的2套集气罩(四周设置软帘)+布袋除尘器（TA005、TA006）收集处理后，经管道引入1根15m高排气筒排放（DA003）。厂房为全封闭式结构（四面设置围挡，仅留设运输车辆进出口，上方加设轻钢结构彩钢瓦屋面顶盖）。</w:t>
            </w:r>
          </w:p>
          <w:p w14:paraId="0E1E9513">
            <w:pPr>
              <w:adjustRightInd w:val="0"/>
              <w:snapToGrid w:val="0"/>
              <w:spacing w:line="360" w:lineRule="auto"/>
              <w:ind w:firstLine="480" w:firstLineChars="200"/>
              <w:rPr>
                <w:kern w:val="24"/>
                <w:sz w:val="24"/>
              </w:rPr>
            </w:pPr>
            <w:r>
              <w:rPr>
                <w:rFonts w:hint="eastAsia"/>
                <w:kern w:val="24"/>
                <w:sz w:val="24"/>
              </w:rPr>
              <w:t>（2）废气治理措施可行性分析</w:t>
            </w:r>
          </w:p>
          <w:p w14:paraId="58519E6B">
            <w:pPr>
              <w:adjustRightInd w:val="0"/>
              <w:snapToGrid w:val="0"/>
              <w:spacing w:line="360" w:lineRule="auto"/>
              <w:ind w:firstLine="480" w:firstLineChars="200"/>
              <w:rPr>
                <w:kern w:val="24"/>
                <w:sz w:val="24"/>
              </w:rPr>
            </w:pPr>
            <w:r>
              <w:rPr>
                <w:rFonts w:hint="eastAsia"/>
                <w:kern w:val="24"/>
                <w:sz w:val="24"/>
              </w:rPr>
              <w:t>根据《大气污染治理工程技术导则》（HJ 2000-2010），袋式除尘属于颗粒物处理可行技术。因此，本项目废气防治措施属于污染防治可行技术。根据源强核算，项目高频焊接产生的焊接烟尘经处理后，颗粒物可达到《大气污染物综合排放标准》（GB16297-1996）表2 中二级标准限值。</w:t>
            </w:r>
          </w:p>
          <w:p w14:paraId="355CAF55">
            <w:pPr>
              <w:pStyle w:val="83"/>
              <w:ind w:firstLine="480"/>
            </w:pPr>
            <w:r>
              <w:t>根据《排污许可申请与核发技术规范 钢铁工业》（HJ846-2017）</w:t>
            </w:r>
            <w:r>
              <w:rPr>
                <w:rFonts w:hint="eastAsia"/>
              </w:rPr>
              <w:t>，无组织废气可行技术为各废气产生点配备抑尘措施（如局部密闭罩、整体密闭罩、大容积密闭罩等，本项目厂房为全封闭式结构（四面设置围挡，仅留设运输车辆进出口，上方加设轻钢结构彩钢瓦屋面顶盖），可以有效的降低粉尘的排放，属于可行技术。</w:t>
            </w:r>
          </w:p>
          <w:p w14:paraId="17695719">
            <w:pPr>
              <w:pStyle w:val="83"/>
              <w:ind w:firstLine="480"/>
            </w:pPr>
            <w:r>
              <w:rPr>
                <w:rFonts w:hint="eastAsia"/>
              </w:rPr>
              <w:t>本项目无组织排放量较小，根据现有项目</w:t>
            </w:r>
            <w:r>
              <w:rPr>
                <w:rFonts w:hint="eastAsia"/>
                <w:bCs/>
              </w:rPr>
              <w:t>竣工环境保护验收监测结果定性分析，</w:t>
            </w:r>
            <w:r>
              <w:rPr>
                <w:rFonts w:hint="eastAsia"/>
              </w:rPr>
              <w:t>项目无组织排放废气（颗粒物）满足《大气污染物综合排放标准》（GB16297-1996）表2无组织排放监控浓度限值。</w:t>
            </w:r>
          </w:p>
          <w:p w14:paraId="23933872">
            <w:pPr>
              <w:adjustRightInd w:val="0"/>
              <w:snapToGrid w:val="0"/>
              <w:spacing w:line="360" w:lineRule="auto"/>
              <w:jc w:val="left"/>
              <w:rPr>
                <w:kern w:val="24"/>
              </w:rPr>
            </w:pPr>
            <w:r>
              <w:rPr>
                <w:rFonts w:hint="eastAsia"/>
                <w:b/>
                <w:bCs/>
                <w:sz w:val="24"/>
              </w:rPr>
              <w:t>1.2大气环境影响分析</w:t>
            </w:r>
          </w:p>
          <w:p w14:paraId="0C6412ED">
            <w:pPr>
              <w:adjustRightInd w:val="0"/>
              <w:snapToGrid w:val="0"/>
              <w:spacing w:line="360" w:lineRule="auto"/>
              <w:ind w:firstLine="480" w:firstLineChars="200"/>
              <w:rPr>
                <w:kern w:val="24"/>
                <w:sz w:val="24"/>
              </w:rPr>
            </w:pPr>
            <w:r>
              <w:rPr>
                <w:rFonts w:hint="eastAsia"/>
                <w:kern w:val="24"/>
                <w:sz w:val="24"/>
              </w:rPr>
              <w:t>项目所在区域</w:t>
            </w:r>
            <w:r>
              <w:rPr>
                <w:kern w:val="24"/>
                <w:sz w:val="24"/>
              </w:rPr>
              <w:t>环境空气质量</w:t>
            </w:r>
            <w:r>
              <w:rPr>
                <w:rFonts w:hint="eastAsia"/>
                <w:kern w:val="24"/>
                <w:sz w:val="24"/>
              </w:rPr>
              <w:t>现状为</w:t>
            </w:r>
            <w:r>
              <w:rPr>
                <w:kern w:val="24"/>
                <w:sz w:val="24"/>
              </w:rPr>
              <w:t>达标区</w:t>
            </w:r>
            <w:r>
              <w:rPr>
                <w:rFonts w:hint="eastAsia"/>
                <w:kern w:val="24"/>
                <w:sz w:val="24"/>
              </w:rPr>
              <w:t>，</w:t>
            </w:r>
            <w:r>
              <w:rPr>
                <w:kern w:val="24"/>
                <w:sz w:val="24"/>
              </w:rPr>
              <w:t>符合城市环境空气质量功能二类区要求</w:t>
            </w:r>
            <w:r>
              <w:rPr>
                <w:rFonts w:hint="eastAsia"/>
                <w:kern w:val="24"/>
                <w:sz w:val="24"/>
              </w:rPr>
              <w:t>，</w:t>
            </w:r>
            <w:r>
              <w:rPr>
                <w:kern w:val="24"/>
                <w:sz w:val="24"/>
              </w:rPr>
              <w:t>空气质量状况良好</w:t>
            </w:r>
            <w:r>
              <w:rPr>
                <w:rFonts w:hint="eastAsia"/>
                <w:kern w:val="24"/>
                <w:sz w:val="24"/>
              </w:rPr>
              <w:t>。项目厂界外500m范围内无大气环境保护目标。</w:t>
            </w:r>
          </w:p>
          <w:p w14:paraId="74BFBF46">
            <w:pPr>
              <w:pStyle w:val="83"/>
              <w:ind w:firstLine="480"/>
              <w:rPr>
                <w:lang w:bidi="en-US"/>
              </w:rPr>
            </w:pPr>
            <w:r>
              <w:rPr>
                <w:rFonts w:hint="eastAsia"/>
                <w:lang w:bidi="en-US"/>
              </w:rPr>
              <w:t>项目运营期的废气主要为</w:t>
            </w:r>
            <w:r>
              <w:rPr>
                <w:rFonts w:hint="eastAsia"/>
                <w:szCs w:val="21"/>
              </w:rPr>
              <w:t>高频焊接工序产生的焊接烟尘</w:t>
            </w:r>
            <w:r>
              <w:rPr>
                <w:rFonts w:hint="eastAsia"/>
                <w:lang w:bidi="en-US"/>
              </w:rPr>
              <w:t>。</w:t>
            </w:r>
          </w:p>
          <w:p w14:paraId="7E8FEFD1">
            <w:pPr>
              <w:adjustRightInd w:val="0"/>
              <w:snapToGrid w:val="0"/>
              <w:spacing w:line="360" w:lineRule="auto"/>
              <w:ind w:firstLine="480" w:firstLineChars="200"/>
              <w:rPr>
                <w:kern w:val="24"/>
                <w:sz w:val="24"/>
              </w:rPr>
            </w:pPr>
            <w:r>
              <w:rPr>
                <w:rFonts w:hint="eastAsia"/>
                <w:kern w:val="24"/>
                <w:sz w:val="24"/>
              </w:rPr>
              <w:t>项目三车间、四车间高频焊接产生焊接烟尘，经生产线焊接工段配套的1套集气罩(四周设置软帘)+布袋除尘器（TA001）收集处理后，通过1根15m高排气筒排放（DA001）。项目七车间高频焊接产生焊接烟尘，经3条生产线焊接工段配套的3套集气罩(四周设置软帘)+布袋除尘器（TA002、TA003、TA004）收集处理后，经管道引入1根15m高排气筒排放（DA002）。项目八车间高频焊接产生焊接烟尘，经2条生产线焊接工段配套的2套集气罩(四周设置软帘)+布袋除尘器（TA005、TA006）收集处理后，经管道引入1根15m高排气筒排放（DA003）。厂房为全封闭式结构（四面设置围挡，仅留设运输车辆进出口，上方加设轻钢结构彩钢瓦屋面顶盖）。</w:t>
            </w:r>
          </w:p>
          <w:p w14:paraId="5C1D6D18">
            <w:pPr>
              <w:adjustRightInd w:val="0"/>
              <w:snapToGrid w:val="0"/>
              <w:spacing w:line="360" w:lineRule="auto"/>
              <w:ind w:firstLine="480" w:firstLineChars="200"/>
              <w:rPr>
                <w:kern w:val="24"/>
                <w:sz w:val="24"/>
              </w:rPr>
            </w:pPr>
            <w:r>
              <w:rPr>
                <w:rFonts w:hint="eastAsia"/>
                <w:kern w:val="24"/>
                <w:sz w:val="24"/>
              </w:rPr>
              <w:t>本项目废气防治措施属于污染防治可行技术。根据源强核算，项目废气经处理后，可以达标排放。</w:t>
            </w:r>
          </w:p>
          <w:p w14:paraId="32AF6AF1">
            <w:pPr>
              <w:adjustRightInd w:val="0"/>
              <w:snapToGrid w:val="0"/>
              <w:spacing w:line="360" w:lineRule="auto"/>
              <w:ind w:firstLine="480" w:firstLineChars="200"/>
              <w:rPr>
                <w:kern w:val="24"/>
                <w:sz w:val="24"/>
              </w:rPr>
            </w:pPr>
            <w:r>
              <w:rPr>
                <w:rFonts w:hint="eastAsia"/>
                <w:kern w:val="24"/>
                <w:sz w:val="24"/>
              </w:rPr>
              <w:t>综上所述，项目所在区域属于环境空气质量达标区。厂界外500m 范围内无大气环境保护目标，项目废气经处理后满足达标排放，因此项目废气对周边环境影响较小，对环境空气质量影响可以接受。</w:t>
            </w:r>
          </w:p>
          <w:p w14:paraId="2401C67A">
            <w:pPr>
              <w:adjustRightInd w:val="0"/>
              <w:snapToGrid w:val="0"/>
              <w:spacing w:line="360" w:lineRule="auto"/>
              <w:jc w:val="left"/>
              <w:rPr>
                <w:kern w:val="24"/>
              </w:rPr>
            </w:pPr>
            <w:r>
              <w:rPr>
                <w:rFonts w:hint="eastAsia"/>
                <w:b/>
                <w:bCs/>
                <w:sz w:val="24"/>
              </w:rPr>
              <w:t>1.3监测要求</w:t>
            </w:r>
          </w:p>
          <w:p w14:paraId="7327F003">
            <w:pPr>
              <w:adjustRightInd w:val="0"/>
              <w:snapToGrid w:val="0"/>
              <w:spacing w:line="360" w:lineRule="auto"/>
              <w:ind w:firstLine="480" w:firstLineChars="200"/>
              <w:rPr>
                <w:kern w:val="24"/>
                <w:sz w:val="24"/>
              </w:rPr>
            </w:pPr>
            <w:r>
              <w:rPr>
                <w:rFonts w:hint="eastAsia"/>
                <w:kern w:val="24"/>
                <w:sz w:val="24"/>
              </w:rPr>
              <w:t>参照《排污单位自行监测技术指南 总则》(HJ 819-2017)、《排污单位自行监测技术指南 钢铁工业及炼焦化学工业》（HJ878-2017）中相关要求，本项目运营期废气监测要求如下表。</w:t>
            </w:r>
          </w:p>
          <w:p w14:paraId="709606F7">
            <w:pPr>
              <w:adjustRightInd w:val="0"/>
              <w:snapToGrid w:val="0"/>
              <w:spacing w:line="360" w:lineRule="auto"/>
              <w:ind w:firstLine="482" w:firstLineChars="200"/>
              <w:jc w:val="center"/>
              <w:rPr>
                <w:b/>
                <w:bCs/>
                <w:kern w:val="24"/>
                <w:sz w:val="24"/>
              </w:rPr>
            </w:pPr>
            <w:r>
              <w:rPr>
                <w:b/>
                <w:bCs/>
                <w:kern w:val="24"/>
                <w:sz w:val="24"/>
              </w:rPr>
              <w:t>表</w:t>
            </w:r>
            <w:r>
              <w:rPr>
                <w:rFonts w:hint="eastAsia"/>
                <w:b/>
                <w:bCs/>
                <w:kern w:val="24"/>
                <w:sz w:val="24"/>
              </w:rPr>
              <w:t>4-8  项目运营期废气</w:t>
            </w:r>
            <w:r>
              <w:rPr>
                <w:b/>
                <w:bCs/>
                <w:kern w:val="24"/>
                <w:sz w:val="24"/>
              </w:rPr>
              <w:t>监测</w:t>
            </w:r>
            <w:r>
              <w:rPr>
                <w:rFonts w:hint="eastAsia"/>
                <w:b/>
                <w:bCs/>
                <w:kern w:val="24"/>
                <w:sz w:val="24"/>
              </w:rPr>
              <w:t>要求</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05"/>
              <w:gridCol w:w="1345"/>
              <w:gridCol w:w="1134"/>
              <w:gridCol w:w="4146"/>
            </w:tblGrid>
            <w:tr w14:paraId="2F0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60" w:type="dxa"/>
                  <w:vAlign w:val="center"/>
                </w:tcPr>
                <w:p w14:paraId="1A4FDC84">
                  <w:pPr>
                    <w:jc w:val="center"/>
                    <w:rPr>
                      <w:szCs w:val="21"/>
                    </w:rPr>
                  </w:pPr>
                  <w:r>
                    <w:rPr>
                      <w:rFonts w:hint="eastAsia"/>
                      <w:szCs w:val="21"/>
                    </w:rPr>
                    <w:t>项目</w:t>
                  </w:r>
                </w:p>
              </w:tc>
              <w:tc>
                <w:tcPr>
                  <w:tcW w:w="1505" w:type="dxa"/>
                  <w:vAlign w:val="center"/>
                </w:tcPr>
                <w:p w14:paraId="04CB86D4">
                  <w:pPr>
                    <w:jc w:val="center"/>
                    <w:rPr>
                      <w:szCs w:val="21"/>
                    </w:rPr>
                  </w:pPr>
                  <w:r>
                    <w:rPr>
                      <w:rFonts w:hint="eastAsia"/>
                      <w:szCs w:val="21"/>
                    </w:rPr>
                    <w:t>监测点位</w:t>
                  </w:r>
                </w:p>
              </w:tc>
              <w:tc>
                <w:tcPr>
                  <w:tcW w:w="1345" w:type="dxa"/>
                  <w:vAlign w:val="center"/>
                </w:tcPr>
                <w:p w14:paraId="0F002273">
                  <w:pPr>
                    <w:jc w:val="center"/>
                    <w:rPr>
                      <w:szCs w:val="21"/>
                    </w:rPr>
                  </w:pPr>
                  <w:r>
                    <w:rPr>
                      <w:rFonts w:hint="eastAsia"/>
                      <w:szCs w:val="21"/>
                    </w:rPr>
                    <w:t>监测因子</w:t>
                  </w:r>
                </w:p>
              </w:tc>
              <w:tc>
                <w:tcPr>
                  <w:tcW w:w="1134" w:type="dxa"/>
                  <w:vAlign w:val="center"/>
                </w:tcPr>
                <w:p w14:paraId="1336486F">
                  <w:pPr>
                    <w:jc w:val="center"/>
                    <w:rPr>
                      <w:szCs w:val="21"/>
                    </w:rPr>
                  </w:pPr>
                  <w:r>
                    <w:rPr>
                      <w:rFonts w:hint="eastAsia"/>
                      <w:szCs w:val="21"/>
                    </w:rPr>
                    <w:t>监测频次</w:t>
                  </w:r>
                </w:p>
              </w:tc>
              <w:tc>
                <w:tcPr>
                  <w:tcW w:w="4146" w:type="dxa"/>
                  <w:vAlign w:val="center"/>
                </w:tcPr>
                <w:p w14:paraId="248575B6">
                  <w:pPr>
                    <w:jc w:val="center"/>
                    <w:rPr>
                      <w:szCs w:val="21"/>
                    </w:rPr>
                  </w:pPr>
                  <w:r>
                    <w:rPr>
                      <w:rFonts w:hint="eastAsia"/>
                      <w:szCs w:val="21"/>
                    </w:rPr>
                    <w:t>执行标准</w:t>
                  </w:r>
                </w:p>
              </w:tc>
            </w:tr>
            <w:tr w14:paraId="1B98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0" w:type="dxa"/>
                  <w:vAlign w:val="center"/>
                </w:tcPr>
                <w:p w14:paraId="67C2FFA3">
                  <w:pPr>
                    <w:jc w:val="center"/>
                    <w:rPr>
                      <w:szCs w:val="21"/>
                    </w:rPr>
                  </w:pPr>
                  <w:r>
                    <w:rPr>
                      <w:rFonts w:hint="eastAsia"/>
                      <w:szCs w:val="21"/>
                    </w:rPr>
                    <w:t>有组织废气</w:t>
                  </w:r>
                </w:p>
              </w:tc>
              <w:tc>
                <w:tcPr>
                  <w:tcW w:w="1505" w:type="dxa"/>
                  <w:vAlign w:val="center"/>
                </w:tcPr>
                <w:p w14:paraId="3ED602B5">
                  <w:pPr>
                    <w:jc w:val="center"/>
                    <w:rPr>
                      <w:kern w:val="24"/>
                      <w:szCs w:val="21"/>
                    </w:rPr>
                  </w:pPr>
                  <w:r>
                    <w:rPr>
                      <w:rFonts w:hint="eastAsia"/>
                      <w:kern w:val="24"/>
                      <w:szCs w:val="21"/>
                    </w:rPr>
                    <w:t>高频焊接烟尘（DA00</w:t>
                  </w:r>
                  <w:r>
                    <w:rPr>
                      <w:kern w:val="24"/>
                      <w:szCs w:val="21"/>
                    </w:rPr>
                    <w:t>1</w:t>
                  </w:r>
                  <w:r>
                    <w:rPr>
                      <w:rFonts w:hint="eastAsia"/>
                      <w:kern w:val="24"/>
                      <w:szCs w:val="21"/>
                    </w:rPr>
                    <w:t>、DA002、DA003）</w:t>
                  </w:r>
                </w:p>
              </w:tc>
              <w:tc>
                <w:tcPr>
                  <w:tcW w:w="1345" w:type="dxa"/>
                  <w:vAlign w:val="center"/>
                </w:tcPr>
                <w:p w14:paraId="3332A236">
                  <w:pPr>
                    <w:jc w:val="center"/>
                    <w:rPr>
                      <w:kern w:val="0"/>
                      <w:szCs w:val="21"/>
                      <w:lang w:bidi="ar"/>
                    </w:rPr>
                  </w:pPr>
                  <w:r>
                    <w:rPr>
                      <w:rFonts w:hint="eastAsia" w:eastAsiaTheme="minorEastAsia"/>
                      <w:kern w:val="24"/>
                      <w:szCs w:val="21"/>
                    </w:rPr>
                    <w:t>颗粒物</w:t>
                  </w:r>
                </w:p>
              </w:tc>
              <w:tc>
                <w:tcPr>
                  <w:tcW w:w="1134" w:type="dxa"/>
                  <w:vAlign w:val="center"/>
                </w:tcPr>
                <w:p w14:paraId="3885BDE5">
                  <w:pPr>
                    <w:jc w:val="center"/>
                    <w:rPr>
                      <w:szCs w:val="21"/>
                    </w:rPr>
                  </w:pPr>
                  <w:r>
                    <w:rPr>
                      <w:kern w:val="0"/>
                      <w:szCs w:val="21"/>
                      <w:lang w:bidi="ar"/>
                    </w:rPr>
                    <w:t>1次/</w:t>
                  </w:r>
                  <w:r>
                    <w:rPr>
                      <w:rFonts w:hint="eastAsia"/>
                      <w:kern w:val="0"/>
                      <w:szCs w:val="21"/>
                      <w:lang w:bidi="ar"/>
                    </w:rPr>
                    <w:t>两</w:t>
                  </w:r>
                  <w:r>
                    <w:rPr>
                      <w:rFonts w:hint="eastAsia"/>
                      <w:szCs w:val="21"/>
                    </w:rPr>
                    <w:t>年</w:t>
                  </w:r>
                </w:p>
              </w:tc>
              <w:tc>
                <w:tcPr>
                  <w:tcW w:w="4146" w:type="dxa"/>
                  <w:vAlign w:val="center"/>
                </w:tcPr>
                <w:p w14:paraId="7DD2D095">
                  <w:pPr>
                    <w:jc w:val="center"/>
                    <w:rPr>
                      <w:kern w:val="0"/>
                      <w:szCs w:val="21"/>
                      <w:lang w:bidi="ar"/>
                    </w:rPr>
                  </w:pPr>
                  <w:r>
                    <w:rPr>
                      <w:rFonts w:hint="eastAsia" w:eastAsiaTheme="minorEastAsia"/>
                    </w:rPr>
                    <w:t>《大气污染物综合排放标准》（GB16297-1996）表2 中二级标准限值</w:t>
                  </w:r>
                </w:p>
              </w:tc>
            </w:tr>
            <w:tr w14:paraId="0AD8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5037E82F">
                  <w:pPr>
                    <w:jc w:val="center"/>
                    <w:rPr>
                      <w:szCs w:val="21"/>
                    </w:rPr>
                  </w:pPr>
                  <w:r>
                    <w:rPr>
                      <w:rFonts w:hint="eastAsia"/>
                      <w:szCs w:val="21"/>
                    </w:rPr>
                    <w:t>无组织废气</w:t>
                  </w:r>
                </w:p>
              </w:tc>
              <w:tc>
                <w:tcPr>
                  <w:tcW w:w="1505" w:type="dxa"/>
                  <w:vAlign w:val="center"/>
                </w:tcPr>
                <w:p w14:paraId="0BD3366F">
                  <w:pPr>
                    <w:jc w:val="center"/>
                    <w:rPr>
                      <w:kern w:val="24"/>
                      <w:szCs w:val="21"/>
                    </w:rPr>
                  </w:pPr>
                  <w:r>
                    <w:rPr>
                      <w:rFonts w:hint="eastAsia"/>
                      <w:kern w:val="0"/>
                      <w:szCs w:val="22"/>
                    </w:rPr>
                    <w:t>项目厂界上风向设置1个，项目厂界下风向设置3个</w:t>
                  </w:r>
                </w:p>
              </w:tc>
              <w:tc>
                <w:tcPr>
                  <w:tcW w:w="1345" w:type="dxa"/>
                  <w:vAlign w:val="center"/>
                </w:tcPr>
                <w:p w14:paraId="40DBEE41">
                  <w:pPr>
                    <w:jc w:val="center"/>
                    <w:rPr>
                      <w:rFonts w:eastAsiaTheme="minorEastAsia"/>
                      <w:kern w:val="24"/>
                      <w:szCs w:val="21"/>
                    </w:rPr>
                  </w:pPr>
                  <w:r>
                    <w:rPr>
                      <w:rFonts w:hint="eastAsia" w:eastAsiaTheme="minorEastAsia"/>
                      <w:kern w:val="24"/>
                      <w:szCs w:val="21"/>
                    </w:rPr>
                    <w:t>颗粒物</w:t>
                  </w:r>
                </w:p>
              </w:tc>
              <w:tc>
                <w:tcPr>
                  <w:tcW w:w="1134" w:type="dxa"/>
                  <w:vAlign w:val="center"/>
                </w:tcPr>
                <w:p w14:paraId="50501AB7">
                  <w:pPr>
                    <w:jc w:val="center"/>
                    <w:rPr>
                      <w:szCs w:val="21"/>
                    </w:rPr>
                  </w:pPr>
                  <w:r>
                    <w:rPr>
                      <w:kern w:val="0"/>
                      <w:szCs w:val="21"/>
                      <w:lang w:bidi="ar"/>
                    </w:rPr>
                    <w:t>1次/</w:t>
                  </w:r>
                  <w:r>
                    <w:rPr>
                      <w:rFonts w:hint="eastAsia"/>
                      <w:szCs w:val="21"/>
                    </w:rPr>
                    <w:t>年</w:t>
                  </w:r>
                </w:p>
              </w:tc>
              <w:tc>
                <w:tcPr>
                  <w:tcW w:w="4146" w:type="dxa"/>
                  <w:vAlign w:val="center"/>
                </w:tcPr>
                <w:p w14:paraId="2C1DB5EC">
                  <w:pPr>
                    <w:adjustRightInd w:val="0"/>
                    <w:snapToGrid w:val="0"/>
                    <w:jc w:val="center"/>
                    <w:rPr>
                      <w:szCs w:val="21"/>
                    </w:rPr>
                  </w:pPr>
                  <w:r>
                    <w:rPr>
                      <w:rFonts w:hint="eastAsia"/>
                    </w:rPr>
                    <w:t>《大气污染物综合排放标准》（GB16297-1996）表2中新污染源大气污染物无组织排放监控浓度限值</w:t>
                  </w:r>
                </w:p>
              </w:tc>
            </w:tr>
          </w:tbl>
          <w:p w14:paraId="15A48F2D">
            <w:pPr>
              <w:adjustRightInd w:val="0"/>
              <w:snapToGrid w:val="0"/>
              <w:spacing w:line="360" w:lineRule="auto"/>
              <w:ind w:firstLine="482" w:firstLineChars="200"/>
              <w:jc w:val="center"/>
              <w:rPr>
                <w:b/>
                <w:bCs/>
                <w:kern w:val="24"/>
                <w:sz w:val="24"/>
              </w:rPr>
            </w:pPr>
          </w:p>
          <w:bookmarkEnd w:id="17"/>
          <w:p w14:paraId="6590DA7E">
            <w:pPr>
              <w:adjustRightInd w:val="0"/>
              <w:snapToGrid w:val="0"/>
              <w:spacing w:line="360" w:lineRule="auto"/>
              <w:jc w:val="left"/>
              <w:rPr>
                <w:b/>
                <w:bCs/>
                <w:sz w:val="24"/>
              </w:rPr>
            </w:pPr>
            <w:r>
              <w:rPr>
                <w:rFonts w:hint="eastAsia"/>
                <w:b/>
                <w:bCs/>
                <w:sz w:val="24"/>
              </w:rPr>
              <w:t>2、运营期废水环境影响和保护措施</w:t>
            </w:r>
          </w:p>
          <w:p w14:paraId="011B0153">
            <w:pPr>
              <w:adjustRightInd w:val="0"/>
              <w:snapToGrid w:val="0"/>
              <w:spacing w:line="360" w:lineRule="auto"/>
              <w:jc w:val="left"/>
              <w:rPr>
                <w:b/>
                <w:bCs/>
                <w:sz w:val="24"/>
              </w:rPr>
            </w:pPr>
            <w:r>
              <w:rPr>
                <w:rFonts w:hint="eastAsia"/>
                <w:b/>
                <w:bCs/>
                <w:sz w:val="24"/>
              </w:rPr>
              <w:t>2.1 污染源源强核算及达标排放情况</w:t>
            </w:r>
          </w:p>
          <w:p w14:paraId="43DA1F76">
            <w:pPr>
              <w:adjustRightInd w:val="0"/>
              <w:snapToGrid w:val="0"/>
              <w:spacing w:line="360" w:lineRule="auto"/>
              <w:ind w:firstLine="480" w:firstLineChars="200"/>
              <w:rPr>
                <w:bCs/>
                <w:sz w:val="24"/>
              </w:rPr>
            </w:pPr>
            <w:r>
              <w:rPr>
                <w:rFonts w:hint="eastAsia"/>
                <w:bCs/>
                <w:sz w:val="24"/>
              </w:rPr>
              <w:t>本项目废水主要为生活污水、生产废水。项目生产废水主要为焊管生产车间设备间接冷却水和产品直接冷却水。</w:t>
            </w:r>
          </w:p>
          <w:p w14:paraId="4AD7E346">
            <w:pPr>
              <w:adjustRightInd w:val="0"/>
              <w:snapToGrid w:val="0"/>
              <w:spacing w:line="360" w:lineRule="auto"/>
              <w:ind w:firstLine="480" w:firstLineChars="200"/>
              <w:rPr>
                <w:kern w:val="24"/>
                <w:sz w:val="24"/>
              </w:rPr>
            </w:pPr>
            <w:r>
              <w:rPr>
                <w:rFonts w:hint="eastAsia"/>
                <w:kern w:val="24"/>
                <w:sz w:val="24"/>
              </w:rPr>
              <w:t>（1）生活污水</w:t>
            </w:r>
          </w:p>
          <w:p w14:paraId="5736C3A1">
            <w:pPr>
              <w:pStyle w:val="83"/>
              <w:ind w:firstLine="480"/>
            </w:pPr>
            <w:r>
              <w:rPr>
                <w:rFonts w:hint="eastAsia"/>
              </w:rPr>
              <w:t>根据项目水平衡计算，</w:t>
            </w:r>
            <w:r>
              <w:t>本项目生活污水主要为生活办公污水</w:t>
            </w:r>
            <w:r>
              <w:rPr>
                <w:rFonts w:hint="eastAsia"/>
              </w:rPr>
              <w:t>和食堂废水。</w:t>
            </w:r>
            <w:r>
              <w:t>项目</w:t>
            </w:r>
            <w:r>
              <w:rPr>
                <w:rFonts w:hint="eastAsia"/>
              </w:rPr>
              <w:t>生活污水</w:t>
            </w:r>
            <w:r>
              <w:t>产生总量为</w:t>
            </w:r>
            <w:r>
              <w:rPr>
                <w:kern w:val="24"/>
              </w:rPr>
              <w:t>1296 m</w:t>
            </w:r>
            <w:r>
              <w:rPr>
                <w:kern w:val="24"/>
                <w:vertAlign w:val="superscript"/>
              </w:rPr>
              <w:t>3</w:t>
            </w:r>
            <w:r>
              <w:rPr>
                <w:kern w:val="24"/>
              </w:rPr>
              <w:t>/a（4.32 m</w:t>
            </w:r>
            <w:r>
              <w:rPr>
                <w:kern w:val="24"/>
                <w:vertAlign w:val="superscript"/>
              </w:rPr>
              <w:t>3</w:t>
            </w:r>
            <w:r>
              <w:rPr>
                <w:kern w:val="24"/>
              </w:rPr>
              <w:t>/d）</w:t>
            </w:r>
            <w:r>
              <w:rPr>
                <w:rFonts w:hint="eastAsia"/>
              </w:rPr>
              <w:t>。</w:t>
            </w:r>
          </w:p>
          <w:p w14:paraId="7D2F6DD4">
            <w:pPr>
              <w:pStyle w:val="83"/>
              <w:ind w:firstLine="480"/>
              <w:rPr>
                <w:bCs/>
              </w:rPr>
            </w:pPr>
            <w:r>
              <w:rPr>
                <w:rFonts w:hint="eastAsia"/>
                <w:bCs/>
              </w:rPr>
              <w:t>生活污水依托现有隔油池、化粪池和生活污水处理站处理，项目食堂废水经隔油池处理后与其他污水经化粪池预处理后，再排入现有生活污水处理站处理达《城市污水再生利用 工业用水水质》（GB/T 19923-2024）表1间冷开式循环冷却水补充水标准后用于直接冷却水的补充水，不外排。</w:t>
            </w:r>
          </w:p>
          <w:p w14:paraId="1F13734A">
            <w:pPr>
              <w:adjustRightInd w:val="0"/>
              <w:snapToGrid w:val="0"/>
              <w:spacing w:line="360" w:lineRule="auto"/>
              <w:ind w:firstLine="482" w:firstLineChars="200"/>
              <w:jc w:val="center"/>
              <w:rPr>
                <w:b/>
                <w:bCs/>
                <w:kern w:val="24"/>
                <w:sz w:val="24"/>
              </w:rPr>
            </w:pPr>
            <w:r>
              <w:rPr>
                <w:b/>
                <w:bCs/>
                <w:kern w:val="24"/>
                <w:sz w:val="24"/>
              </w:rPr>
              <w:t>表</w:t>
            </w:r>
            <w:r>
              <w:rPr>
                <w:rFonts w:hint="eastAsia"/>
                <w:b/>
                <w:bCs/>
                <w:kern w:val="24"/>
                <w:sz w:val="24"/>
              </w:rPr>
              <w:t>4</w:t>
            </w:r>
            <w:r>
              <w:rPr>
                <w:b/>
                <w:bCs/>
                <w:kern w:val="24"/>
                <w:sz w:val="24"/>
              </w:rPr>
              <w:t>-</w:t>
            </w:r>
            <w:r>
              <w:rPr>
                <w:rFonts w:hint="eastAsia"/>
                <w:b/>
                <w:bCs/>
                <w:kern w:val="24"/>
                <w:sz w:val="24"/>
              </w:rPr>
              <w:t>9</w:t>
            </w:r>
            <w:r>
              <w:rPr>
                <w:b/>
                <w:bCs/>
                <w:kern w:val="24"/>
                <w:sz w:val="24"/>
              </w:rPr>
              <w:t xml:space="preserve">   项目</w:t>
            </w:r>
            <w:r>
              <w:rPr>
                <w:rFonts w:hint="eastAsia"/>
                <w:b/>
                <w:bCs/>
                <w:kern w:val="24"/>
                <w:sz w:val="24"/>
              </w:rPr>
              <w:t>建成后生活污水</w:t>
            </w:r>
            <w:r>
              <w:rPr>
                <w:b/>
                <w:bCs/>
                <w:kern w:val="24"/>
                <w:sz w:val="24"/>
              </w:rPr>
              <w:t>统计情况表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522"/>
              <w:gridCol w:w="708"/>
              <w:gridCol w:w="851"/>
              <w:gridCol w:w="907"/>
              <w:gridCol w:w="921"/>
              <w:gridCol w:w="955"/>
              <w:gridCol w:w="965"/>
              <w:gridCol w:w="965"/>
            </w:tblGrid>
            <w:tr w14:paraId="619B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096" w:type="dxa"/>
                  <w:vMerge w:val="restart"/>
                  <w:vAlign w:val="center"/>
                </w:tcPr>
                <w:p w14:paraId="483AA1FE">
                  <w:pPr>
                    <w:pStyle w:val="8"/>
                    <w:spacing w:line="360" w:lineRule="exact"/>
                    <w:ind w:firstLine="0"/>
                    <w:jc w:val="center"/>
                    <w:rPr>
                      <w:sz w:val="21"/>
                      <w:szCs w:val="21"/>
                    </w:rPr>
                  </w:pPr>
                  <w:r>
                    <w:rPr>
                      <w:rFonts w:hint="eastAsia"/>
                      <w:sz w:val="21"/>
                      <w:szCs w:val="21"/>
                    </w:rPr>
                    <w:t>废水量</w:t>
                  </w:r>
                </w:p>
              </w:tc>
              <w:tc>
                <w:tcPr>
                  <w:tcW w:w="1522" w:type="dxa"/>
                  <w:vMerge w:val="restart"/>
                  <w:vAlign w:val="center"/>
                </w:tcPr>
                <w:p w14:paraId="0C656B63">
                  <w:pPr>
                    <w:pStyle w:val="8"/>
                    <w:spacing w:line="360" w:lineRule="exact"/>
                    <w:ind w:firstLine="0"/>
                    <w:jc w:val="center"/>
                    <w:rPr>
                      <w:sz w:val="21"/>
                      <w:szCs w:val="21"/>
                    </w:rPr>
                  </w:pPr>
                  <w:r>
                    <w:rPr>
                      <w:sz w:val="21"/>
                      <w:szCs w:val="21"/>
                    </w:rPr>
                    <w:t>污染物浓度及排放量</w:t>
                  </w:r>
                </w:p>
              </w:tc>
              <w:tc>
                <w:tcPr>
                  <w:tcW w:w="708" w:type="dxa"/>
                  <w:vMerge w:val="restart"/>
                  <w:vAlign w:val="center"/>
                </w:tcPr>
                <w:p w14:paraId="29D56DD6">
                  <w:pPr>
                    <w:pStyle w:val="8"/>
                    <w:spacing w:line="360" w:lineRule="exact"/>
                    <w:ind w:firstLine="0"/>
                    <w:jc w:val="center"/>
                    <w:rPr>
                      <w:sz w:val="21"/>
                      <w:szCs w:val="21"/>
                    </w:rPr>
                  </w:pPr>
                  <w:r>
                    <w:rPr>
                      <w:sz w:val="21"/>
                      <w:szCs w:val="21"/>
                    </w:rPr>
                    <w:t>单位</w:t>
                  </w:r>
                </w:p>
              </w:tc>
              <w:tc>
                <w:tcPr>
                  <w:tcW w:w="5564" w:type="dxa"/>
                  <w:gridSpan w:val="6"/>
                  <w:vAlign w:val="center"/>
                </w:tcPr>
                <w:p w14:paraId="7BE37F68">
                  <w:pPr>
                    <w:pStyle w:val="8"/>
                    <w:spacing w:line="360" w:lineRule="exact"/>
                    <w:ind w:firstLine="0"/>
                    <w:jc w:val="center"/>
                    <w:rPr>
                      <w:sz w:val="21"/>
                      <w:szCs w:val="21"/>
                    </w:rPr>
                  </w:pPr>
                  <w:r>
                    <w:rPr>
                      <w:sz w:val="21"/>
                      <w:szCs w:val="21"/>
                    </w:rPr>
                    <w:t>污染物</w:t>
                  </w:r>
                </w:p>
              </w:tc>
            </w:tr>
            <w:tr w14:paraId="29EE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096" w:type="dxa"/>
                  <w:vMerge w:val="continue"/>
                  <w:vAlign w:val="center"/>
                </w:tcPr>
                <w:p w14:paraId="2F8A1C7C">
                  <w:pPr>
                    <w:pStyle w:val="8"/>
                    <w:spacing w:line="360" w:lineRule="exact"/>
                    <w:ind w:firstLine="0"/>
                    <w:jc w:val="center"/>
                    <w:rPr>
                      <w:sz w:val="21"/>
                      <w:szCs w:val="21"/>
                    </w:rPr>
                  </w:pPr>
                </w:p>
              </w:tc>
              <w:tc>
                <w:tcPr>
                  <w:tcW w:w="1522" w:type="dxa"/>
                  <w:vMerge w:val="continue"/>
                  <w:vAlign w:val="center"/>
                </w:tcPr>
                <w:p w14:paraId="60737C63">
                  <w:pPr>
                    <w:pStyle w:val="8"/>
                    <w:spacing w:line="360" w:lineRule="exact"/>
                    <w:ind w:firstLine="0"/>
                    <w:jc w:val="center"/>
                    <w:rPr>
                      <w:sz w:val="21"/>
                      <w:szCs w:val="21"/>
                    </w:rPr>
                  </w:pPr>
                </w:p>
              </w:tc>
              <w:tc>
                <w:tcPr>
                  <w:tcW w:w="708" w:type="dxa"/>
                  <w:vMerge w:val="continue"/>
                  <w:vAlign w:val="center"/>
                </w:tcPr>
                <w:p w14:paraId="4977DCC6">
                  <w:pPr>
                    <w:pStyle w:val="8"/>
                    <w:spacing w:line="360" w:lineRule="exact"/>
                    <w:ind w:firstLine="0"/>
                    <w:jc w:val="center"/>
                    <w:rPr>
                      <w:sz w:val="21"/>
                      <w:szCs w:val="21"/>
                    </w:rPr>
                  </w:pPr>
                </w:p>
              </w:tc>
              <w:tc>
                <w:tcPr>
                  <w:tcW w:w="851" w:type="dxa"/>
                  <w:vAlign w:val="center"/>
                </w:tcPr>
                <w:p w14:paraId="165D669B">
                  <w:pPr>
                    <w:pStyle w:val="8"/>
                    <w:spacing w:line="360" w:lineRule="exact"/>
                    <w:ind w:firstLine="0"/>
                    <w:jc w:val="center"/>
                    <w:rPr>
                      <w:sz w:val="21"/>
                      <w:szCs w:val="21"/>
                    </w:rPr>
                  </w:pPr>
                  <w:r>
                    <w:rPr>
                      <w:sz w:val="21"/>
                      <w:szCs w:val="21"/>
                    </w:rPr>
                    <w:t>COD</w:t>
                  </w:r>
                  <w:r>
                    <w:rPr>
                      <w:sz w:val="21"/>
                      <w:szCs w:val="21"/>
                      <w:vertAlign w:val="subscript"/>
                    </w:rPr>
                    <w:t>cr</w:t>
                  </w:r>
                </w:p>
              </w:tc>
              <w:tc>
                <w:tcPr>
                  <w:tcW w:w="907" w:type="dxa"/>
                  <w:vAlign w:val="center"/>
                </w:tcPr>
                <w:p w14:paraId="18361783">
                  <w:pPr>
                    <w:pStyle w:val="8"/>
                    <w:spacing w:line="360" w:lineRule="exact"/>
                    <w:ind w:firstLine="0"/>
                    <w:jc w:val="center"/>
                    <w:rPr>
                      <w:sz w:val="21"/>
                      <w:szCs w:val="21"/>
                    </w:rPr>
                  </w:pPr>
                  <w:r>
                    <w:rPr>
                      <w:sz w:val="21"/>
                      <w:szCs w:val="21"/>
                    </w:rPr>
                    <w:t>BOD</w:t>
                  </w:r>
                  <w:r>
                    <w:rPr>
                      <w:sz w:val="21"/>
                      <w:szCs w:val="21"/>
                      <w:vertAlign w:val="subscript"/>
                    </w:rPr>
                    <w:t>5</w:t>
                  </w:r>
                </w:p>
              </w:tc>
              <w:tc>
                <w:tcPr>
                  <w:tcW w:w="921" w:type="dxa"/>
                  <w:vAlign w:val="center"/>
                </w:tcPr>
                <w:p w14:paraId="6E30AFD7">
                  <w:pPr>
                    <w:pStyle w:val="8"/>
                    <w:spacing w:line="360" w:lineRule="exact"/>
                    <w:ind w:firstLine="0"/>
                    <w:jc w:val="center"/>
                    <w:rPr>
                      <w:sz w:val="21"/>
                      <w:szCs w:val="21"/>
                    </w:rPr>
                  </w:pPr>
                  <w:r>
                    <w:rPr>
                      <w:sz w:val="21"/>
                      <w:szCs w:val="21"/>
                    </w:rPr>
                    <w:t>NH</w:t>
                  </w:r>
                  <w:r>
                    <w:rPr>
                      <w:sz w:val="21"/>
                      <w:szCs w:val="21"/>
                      <w:vertAlign w:val="subscript"/>
                    </w:rPr>
                    <w:t>3</w:t>
                  </w:r>
                  <w:r>
                    <w:rPr>
                      <w:sz w:val="21"/>
                      <w:szCs w:val="21"/>
                    </w:rPr>
                    <w:t>-N</w:t>
                  </w:r>
                </w:p>
              </w:tc>
              <w:tc>
                <w:tcPr>
                  <w:tcW w:w="955" w:type="dxa"/>
                  <w:vAlign w:val="center"/>
                </w:tcPr>
                <w:p w14:paraId="5CD6AE3C">
                  <w:pPr>
                    <w:pStyle w:val="8"/>
                    <w:spacing w:line="360" w:lineRule="exact"/>
                    <w:ind w:firstLine="0"/>
                    <w:jc w:val="center"/>
                    <w:rPr>
                      <w:sz w:val="21"/>
                      <w:szCs w:val="21"/>
                    </w:rPr>
                  </w:pPr>
                  <w:r>
                    <w:rPr>
                      <w:sz w:val="21"/>
                      <w:szCs w:val="21"/>
                    </w:rPr>
                    <w:t>SS</w:t>
                  </w:r>
                </w:p>
              </w:tc>
              <w:tc>
                <w:tcPr>
                  <w:tcW w:w="965" w:type="dxa"/>
                  <w:vAlign w:val="center"/>
                </w:tcPr>
                <w:p w14:paraId="32E719A0">
                  <w:pPr>
                    <w:pStyle w:val="8"/>
                    <w:spacing w:line="360" w:lineRule="exact"/>
                    <w:ind w:firstLine="0"/>
                    <w:jc w:val="center"/>
                    <w:rPr>
                      <w:sz w:val="21"/>
                      <w:szCs w:val="21"/>
                    </w:rPr>
                  </w:pPr>
                  <w:r>
                    <w:rPr>
                      <w:sz w:val="21"/>
                      <w:szCs w:val="21"/>
                    </w:rPr>
                    <w:t>TP</w:t>
                  </w:r>
                </w:p>
              </w:tc>
              <w:tc>
                <w:tcPr>
                  <w:tcW w:w="965" w:type="dxa"/>
                  <w:vAlign w:val="center"/>
                </w:tcPr>
                <w:p w14:paraId="66CEE331">
                  <w:pPr>
                    <w:pStyle w:val="8"/>
                    <w:spacing w:line="360" w:lineRule="exact"/>
                    <w:ind w:firstLine="0"/>
                    <w:jc w:val="center"/>
                    <w:rPr>
                      <w:sz w:val="18"/>
                      <w:szCs w:val="18"/>
                    </w:rPr>
                  </w:pPr>
                  <w:r>
                    <w:rPr>
                      <w:rFonts w:hint="eastAsia"/>
                      <w:sz w:val="18"/>
                      <w:szCs w:val="18"/>
                    </w:rPr>
                    <w:t>动植物油</w:t>
                  </w:r>
                </w:p>
              </w:tc>
            </w:tr>
            <w:tr w14:paraId="3A44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096" w:type="dxa"/>
                  <w:vMerge w:val="restart"/>
                  <w:vAlign w:val="center"/>
                </w:tcPr>
                <w:p w14:paraId="4862F83A">
                  <w:pPr>
                    <w:pStyle w:val="8"/>
                    <w:spacing w:line="360" w:lineRule="exact"/>
                    <w:ind w:firstLine="0"/>
                    <w:jc w:val="center"/>
                    <w:rPr>
                      <w:sz w:val="21"/>
                      <w:szCs w:val="21"/>
                    </w:rPr>
                  </w:pPr>
                  <w:r>
                    <w:rPr>
                      <w:sz w:val="21"/>
                      <w:szCs w:val="21"/>
                    </w:rPr>
                    <w:t>生活污水</w:t>
                  </w:r>
                </w:p>
                <w:p w14:paraId="17D9A0D0">
                  <w:pPr>
                    <w:pStyle w:val="8"/>
                    <w:spacing w:line="360" w:lineRule="exact"/>
                    <w:ind w:firstLine="0"/>
                    <w:jc w:val="center"/>
                    <w:rPr>
                      <w:kern w:val="24"/>
                      <w:sz w:val="21"/>
                      <w:szCs w:val="21"/>
                    </w:rPr>
                  </w:pPr>
                  <w:r>
                    <w:rPr>
                      <w:kern w:val="24"/>
                      <w:sz w:val="21"/>
                      <w:szCs w:val="21"/>
                    </w:rPr>
                    <w:t>4.32</w:t>
                  </w:r>
                  <w:r>
                    <w:rPr>
                      <w:kern w:val="24"/>
                      <w:sz w:val="24"/>
                    </w:rPr>
                    <w:t xml:space="preserve"> </w:t>
                  </w:r>
                  <w:r>
                    <w:rPr>
                      <w:kern w:val="24"/>
                      <w:sz w:val="21"/>
                      <w:szCs w:val="21"/>
                    </w:rPr>
                    <w:t>m</w:t>
                  </w:r>
                  <w:r>
                    <w:rPr>
                      <w:kern w:val="24"/>
                      <w:sz w:val="21"/>
                      <w:szCs w:val="21"/>
                      <w:vertAlign w:val="superscript"/>
                    </w:rPr>
                    <w:t>3/</w:t>
                  </w:r>
                  <w:r>
                    <w:rPr>
                      <w:kern w:val="24"/>
                      <w:sz w:val="21"/>
                      <w:szCs w:val="21"/>
                    </w:rPr>
                    <w:t>d</w:t>
                  </w:r>
                </w:p>
                <w:p w14:paraId="12FB19F1">
                  <w:pPr>
                    <w:pStyle w:val="8"/>
                    <w:spacing w:line="360" w:lineRule="exact"/>
                    <w:ind w:firstLine="0"/>
                    <w:jc w:val="center"/>
                    <w:rPr>
                      <w:sz w:val="21"/>
                      <w:szCs w:val="21"/>
                    </w:rPr>
                  </w:pPr>
                  <w:r>
                    <w:rPr>
                      <w:kern w:val="24"/>
                      <w:sz w:val="21"/>
                      <w:szCs w:val="21"/>
                    </w:rPr>
                    <w:t>1296</w:t>
                  </w:r>
                  <w:r>
                    <w:rPr>
                      <w:kern w:val="24"/>
                      <w:sz w:val="24"/>
                    </w:rPr>
                    <w:t xml:space="preserve"> </w:t>
                  </w:r>
                  <w:r>
                    <w:rPr>
                      <w:sz w:val="21"/>
                      <w:szCs w:val="21"/>
                    </w:rPr>
                    <w:t>m</w:t>
                  </w:r>
                  <w:r>
                    <w:rPr>
                      <w:sz w:val="21"/>
                      <w:szCs w:val="21"/>
                      <w:vertAlign w:val="superscript"/>
                    </w:rPr>
                    <w:t>3</w:t>
                  </w:r>
                  <w:r>
                    <w:rPr>
                      <w:sz w:val="21"/>
                      <w:szCs w:val="21"/>
                    </w:rPr>
                    <w:t>/a</w:t>
                  </w:r>
                </w:p>
              </w:tc>
              <w:tc>
                <w:tcPr>
                  <w:tcW w:w="1522" w:type="dxa"/>
                  <w:vAlign w:val="center"/>
                </w:tcPr>
                <w:p w14:paraId="461EE5E0">
                  <w:pPr>
                    <w:pStyle w:val="8"/>
                    <w:spacing w:line="360" w:lineRule="exact"/>
                    <w:ind w:firstLine="0"/>
                    <w:jc w:val="center"/>
                    <w:rPr>
                      <w:sz w:val="21"/>
                      <w:szCs w:val="21"/>
                    </w:rPr>
                  </w:pPr>
                  <w:r>
                    <w:rPr>
                      <w:rFonts w:hint="eastAsia"/>
                      <w:sz w:val="21"/>
                      <w:szCs w:val="21"/>
                    </w:rPr>
                    <w:t>产生</w:t>
                  </w:r>
                  <w:r>
                    <w:rPr>
                      <w:sz w:val="21"/>
                      <w:szCs w:val="21"/>
                    </w:rPr>
                    <w:t>浓度</w:t>
                  </w:r>
                </w:p>
              </w:tc>
              <w:tc>
                <w:tcPr>
                  <w:tcW w:w="708" w:type="dxa"/>
                  <w:vAlign w:val="center"/>
                </w:tcPr>
                <w:p w14:paraId="2A65AC7A">
                  <w:pPr>
                    <w:pStyle w:val="8"/>
                    <w:spacing w:line="360" w:lineRule="exact"/>
                    <w:ind w:firstLine="0"/>
                    <w:jc w:val="center"/>
                    <w:rPr>
                      <w:sz w:val="21"/>
                      <w:szCs w:val="21"/>
                    </w:rPr>
                  </w:pPr>
                  <w:r>
                    <w:rPr>
                      <w:sz w:val="21"/>
                      <w:szCs w:val="21"/>
                    </w:rPr>
                    <w:t>mg/L</w:t>
                  </w:r>
                </w:p>
              </w:tc>
              <w:tc>
                <w:tcPr>
                  <w:tcW w:w="851" w:type="dxa"/>
                  <w:vAlign w:val="center"/>
                </w:tcPr>
                <w:p w14:paraId="19967F97">
                  <w:pPr>
                    <w:pStyle w:val="8"/>
                    <w:spacing w:line="360" w:lineRule="exact"/>
                    <w:ind w:firstLine="0"/>
                    <w:jc w:val="center"/>
                    <w:rPr>
                      <w:sz w:val="21"/>
                      <w:szCs w:val="21"/>
                    </w:rPr>
                  </w:pPr>
                  <w:r>
                    <w:rPr>
                      <w:sz w:val="21"/>
                      <w:szCs w:val="21"/>
                    </w:rPr>
                    <w:t>300</w:t>
                  </w:r>
                </w:p>
              </w:tc>
              <w:tc>
                <w:tcPr>
                  <w:tcW w:w="907" w:type="dxa"/>
                  <w:vAlign w:val="center"/>
                </w:tcPr>
                <w:p w14:paraId="3DA99155">
                  <w:pPr>
                    <w:pStyle w:val="8"/>
                    <w:spacing w:line="360" w:lineRule="exact"/>
                    <w:ind w:firstLine="0"/>
                    <w:jc w:val="center"/>
                    <w:rPr>
                      <w:sz w:val="21"/>
                      <w:szCs w:val="21"/>
                    </w:rPr>
                  </w:pPr>
                  <w:r>
                    <w:rPr>
                      <w:sz w:val="21"/>
                      <w:szCs w:val="21"/>
                    </w:rPr>
                    <w:t>150</w:t>
                  </w:r>
                </w:p>
              </w:tc>
              <w:tc>
                <w:tcPr>
                  <w:tcW w:w="921" w:type="dxa"/>
                  <w:vAlign w:val="center"/>
                </w:tcPr>
                <w:p w14:paraId="2D393CAD">
                  <w:pPr>
                    <w:pStyle w:val="8"/>
                    <w:spacing w:line="360" w:lineRule="exact"/>
                    <w:ind w:firstLine="0"/>
                    <w:jc w:val="center"/>
                    <w:rPr>
                      <w:sz w:val="21"/>
                      <w:szCs w:val="21"/>
                    </w:rPr>
                  </w:pPr>
                  <w:r>
                    <w:rPr>
                      <w:sz w:val="21"/>
                      <w:szCs w:val="21"/>
                    </w:rPr>
                    <w:t>30</w:t>
                  </w:r>
                </w:p>
              </w:tc>
              <w:tc>
                <w:tcPr>
                  <w:tcW w:w="955" w:type="dxa"/>
                  <w:vAlign w:val="center"/>
                </w:tcPr>
                <w:p w14:paraId="07D987AD">
                  <w:pPr>
                    <w:pStyle w:val="8"/>
                    <w:spacing w:line="360" w:lineRule="exact"/>
                    <w:ind w:firstLine="0"/>
                    <w:jc w:val="center"/>
                    <w:rPr>
                      <w:sz w:val="21"/>
                      <w:szCs w:val="21"/>
                    </w:rPr>
                  </w:pPr>
                  <w:r>
                    <w:rPr>
                      <w:sz w:val="21"/>
                      <w:szCs w:val="21"/>
                    </w:rPr>
                    <w:t>200</w:t>
                  </w:r>
                </w:p>
              </w:tc>
              <w:tc>
                <w:tcPr>
                  <w:tcW w:w="965" w:type="dxa"/>
                  <w:vAlign w:val="center"/>
                </w:tcPr>
                <w:p w14:paraId="3F36AE9F">
                  <w:pPr>
                    <w:pStyle w:val="8"/>
                    <w:spacing w:line="360" w:lineRule="exact"/>
                    <w:ind w:firstLine="0"/>
                    <w:jc w:val="center"/>
                    <w:rPr>
                      <w:sz w:val="21"/>
                      <w:szCs w:val="21"/>
                    </w:rPr>
                  </w:pPr>
                  <w:r>
                    <w:rPr>
                      <w:rFonts w:hint="eastAsia"/>
                      <w:sz w:val="21"/>
                      <w:szCs w:val="21"/>
                    </w:rPr>
                    <w:t>3</w:t>
                  </w:r>
                </w:p>
              </w:tc>
              <w:tc>
                <w:tcPr>
                  <w:tcW w:w="965" w:type="dxa"/>
                  <w:vAlign w:val="center"/>
                </w:tcPr>
                <w:p w14:paraId="2FD5DB23">
                  <w:pPr>
                    <w:pStyle w:val="8"/>
                    <w:spacing w:line="360" w:lineRule="exact"/>
                    <w:ind w:firstLine="0"/>
                    <w:jc w:val="center"/>
                    <w:rPr>
                      <w:sz w:val="21"/>
                      <w:szCs w:val="21"/>
                    </w:rPr>
                  </w:pPr>
                  <w:r>
                    <w:rPr>
                      <w:sz w:val="21"/>
                      <w:szCs w:val="21"/>
                    </w:rPr>
                    <w:t>20</w:t>
                  </w:r>
                </w:p>
              </w:tc>
            </w:tr>
            <w:tr w14:paraId="6632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096" w:type="dxa"/>
                  <w:vMerge w:val="continue"/>
                  <w:vAlign w:val="center"/>
                </w:tcPr>
                <w:p w14:paraId="729E3524">
                  <w:pPr>
                    <w:pStyle w:val="8"/>
                    <w:spacing w:line="360" w:lineRule="exact"/>
                    <w:ind w:firstLine="0"/>
                    <w:jc w:val="center"/>
                    <w:rPr>
                      <w:sz w:val="21"/>
                      <w:szCs w:val="21"/>
                    </w:rPr>
                  </w:pPr>
                </w:p>
              </w:tc>
              <w:tc>
                <w:tcPr>
                  <w:tcW w:w="1522" w:type="dxa"/>
                  <w:vAlign w:val="center"/>
                </w:tcPr>
                <w:p w14:paraId="3A6996B2">
                  <w:pPr>
                    <w:pStyle w:val="8"/>
                    <w:spacing w:line="360" w:lineRule="exact"/>
                    <w:ind w:firstLine="0"/>
                    <w:jc w:val="center"/>
                    <w:rPr>
                      <w:sz w:val="21"/>
                      <w:szCs w:val="21"/>
                    </w:rPr>
                  </w:pPr>
                  <w:r>
                    <w:rPr>
                      <w:sz w:val="21"/>
                      <w:szCs w:val="21"/>
                    </w:rPr>
                    <w:t>污染物产生量</w:t>
                  </w:r>
                </w:p>
              </w:tc>
              <w:tc>
                <w:tcPr>
                  <w:tcW w:w="708" w:type="dxa"/>
                  <w:vAlign w:val="center"/>
                </w:tcPr>
                <w:p w14:paraId="7FC704CD">
                  <w:pPr>
                    <w:pStyle w:val="8"/>
                    <w:spacing w:line="360" w:lineRule="exact"/>
                    <w:ind w:firstLine="0"/>
                    <w:jc w:val="center"/>
                    <w:rPr>
                      <w:sz w:val="21"/>
                      <w:szCs w:val="21"/>
                    </w:rPr>
                  </w:pPr>
                  <w:r>
                    <w:rPr>
                      <w:sz w:val="21"/>
                      <w:szCs w:val="21"/>
                    </w:rPr>
                    <w:t>t/a</w:t>
                  </w:r>
                </w:p>
              </w:tc>
              <w:tc>
                <w:tcPr>
                  <w:tcW w:w="851" w:type="dxa"/>
                  <w:vAlign w:val="center"/>
                </w:tcPr>
                <w:p w14:paraId="11101A05">
                  <w:pPr>
                    <w:pStyle w:val="8"/>
                    <w:spacing w:line="360" w:lineRule="exact"/>
                    <w:ind w:firstLine="0"/>
                    <w:jc w:val="center"/>
                    <w:rPr>
                      <w:sz w:val="21"/>
                      <w:szCs w:val="21"/>
                    </w:rPr>
                  </w:pPr>
                  <w:r>
                    <w:rPr>
                      <w:sz w:val="21"/>
                      <w:szCs w:val="21"/>
                    </w:rPr>
                    <w:t xml:space="preserve">0.389 </w:t>
                  </w:r>
                </w:p>
              </w:tc>
              <w:tc>
                <w:tcPr>
                  <w:tcW w:w="907" w:type="dxa"/>
                  <w:vAlign w:val="center"/>
                </w:tcPr>
                <w:p w14:paraId="31C2FADF">
                  <w:pPr>
                    <w:pStyle w:val="8"/>
                    <w:spacing w:line="360" w:lineRule="exact"/>
                    <w:ind w:firstLine="0"/>
                    <w:jc w:val="center"/>
                    <w:rPr>
                      <w:sz w:val="21"/>
                      <w:szCs w:val="21"/>
                    </w:rPr>
                  </w:pPr>
                  <w:r>
                    <w:rPr>
                      <w:sz w:val="21"/>
                      <w:szCs w:val="21"/>
                    </w:rPr>
                    <w:t xml:space="preserve">0.194 </w:t>
                  </w:r>
                </w:p>
              </w:tc>
              <w:tc>
                <w:tcPr>
                  <w:tcW w:w="921" w:type="dxa"/>
                  <w:vAlign w:val="center"/>
                </w:tcPr>
                <w:p w14:paraId="201F1AAD">
                  <w:pPr>
                    <w:pStyle w:val="8"/>
                    <w:spacing w:line="360" w:lineRule="exact"/>
                    <w:ind w:firstLine="0"/>
                    <w:jc w:val="center"/>
                    <w:rPr>
                      <w:sz w:val="21"/>
                      <w:szCs w:val="21"/>
                    </w:rPr>
                  </w:pPr>
                  <w:r>
                    <w:rPr>
                      <w:sz w:val="21"/>
                      <w:szCs w:val="21"/>
                    </w:rPr>
                    <w:t xml:space="preserve">0.039 </w:t>
                  </w:r>
                </w:p>
              </w:tc>
              <w:tc>
                <w:tcPr>
                  <w:tcW w:w="955" w:type="dxa"/>
                  <w:vAlign w:val="center"/>
                </w:tcPr>
                <w:p w14:paraId="644F1445">
                  <w:pPr>
                    <w:pStyle w:val="8"/>
                    <w:spacing w:line="360" w:lineRule="exact"/>
                    <w:ind w:firstLine="0"/>
                    <w:jc w:val="center"/>
                    <w:rPr>
                      <w:sz w:val="21"/>
                      <w:szCs w:val="21"/>
                    </w:rPr>
                  </w:pPr>
                  <w:r>
                    <w:rPr>
                      <w:sz w:val="21"/>
                      <w:szCs w:val="21"/>
                    </w:rPr>
                    <w:t xml:space="preserve">0.259 </w:t>
                  </w:r>
                </w:p>
              </w:tc>
              <w:tc>
                <w:tcPr>
                  <w:tcW w:w="965" w:type="dxa"/>
                  <w:vAlign w:val="center"/>
                </w:tcPr>
                <w:p w14:paraId="48C98876">
                  <w:pPr>
                    <w:pStyle w:val="8"/>
                    <w:spacing w:line="360" w:lineRule="exact"/>
                    <w:ind w:firstLine="0"/>
                    <w:jc w:val="center"/>
                    <w:rPr>
                      <w:sz w:val="21"/>
                      <w:szCs w:val="21"/>
                    </w:rPr>
                  </w:pPr>
                  <w:r>
                    <w:rPr>
                      <w:sz w:val="21"/>
                      <w:szCs w:val="21"/>
                    </w:rPr>
                    <w:t>0.00</w:t>
                  </w:r>
                  <w:r>
                    <w:rPr>
                      <w:rFonts w:hint="eastAsia"/>
                      <w:sz w:val="21"/>
                      <w:szCs w:val="21"/>
                    </w:rPr>
                    <w:t>4</w:t>
                  </w:r>
                  <w:r>
                    <w:rPr>
                      <w:sz w:val="21"/>
                      <w:szCs w:val="21"/>
                    </w:rPr>
                    <w:t xml:space="preserve"> </w:t>
                  </w:r>
                </w:p>
              </w:tc>
              <w:tc>
                <w:tcPr>
                  <w:tcW w:w="965" w:type="dxa"/>
                  <w:vAlign w:val="center"/>
                </w:tcPr>
                <w:p w14:paraId="7684F832">
                  <w:pPr>
                    <w:pStyle w:val="8"/>
                    <w:spacing w:line="360" w:lineRule="exact"/>
                    <w:ind w:firstLine="0"/>
                    <w:jc w:val="center"/>
                    <w:rPr>
                      <w:sz w:val="21"/>
                      <w:szCs w:val="21"/>
                    </w:rPr>
                  </w:pPr>
                  <w:r>
                    <w:rPr>
                      <w:sz w:val="21"/>
                      <w:szCs w:val="21"/>
                    </w:rPr>
                    <w:t xml:space="preserve">0.026 </w:t>
                  </w:r>
                </w:p>
              </w:tc>
            </w:tr>
            <w:tr w14:paraId="39A2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096" w:type="dxa"/>
                  <w:vMerge w:val="continue"/>
                  <w:vAlign w:val="center"/>
                </w:tcPr>
                <w:p w14:paraId="3D778934">
                  <w:pPr>
                    <w:pStyle w:val="8"/>
                    <w:spacing w:line="360" w:lineRule="exact"/>
                    <w:ind w:firstLine="0"/>
                    <w:jc w:val="center"/>
                    <w:rPr>
                      <w:sz w:val="21"/>
                      <w:szCs w:val="21"/>
                    </w:rPr>
                  </w:pPr>
                </w:p>
              </w:tc>
              <w:tc>
                <w:tcPr>
                  <w:tcW w:w="1522" w:type="dxa"/>
                  <w:vAlign w:val="center"/>
                </w:tcPr>
                <w:p w14:paraId="2DD76B28">
                  <w:pPr>
                    <w:pStyle w:val="8"/>
                    <w:spacing w:line="360" w:lineRule="exact"/>
                    <w:ind w:firstLine="0"/>
                    <w:jc w:val="center"/>
                    <w:rPr>
                      <w:sz w:val="21"/>
                      <w:szCs w:val="21"/>
                    </w:rPr>
                  </w:pPr>
                  <w:r>
                    <w:rPr>
                      <w:rFonts w:hint="eastAsia"/>
                      <w:sz w:val="21"/>
                      <w:szCs w:val="21"/>
                    </w:rPr>
                    <w:t>去除率</w:t>
                  </w:r>
                </w:p>
              </w:tc>
              <w:tc>
                <w:tcPr>
                  <w:tcW w:w="708" w:type="dxa"/>
                  <w:vAlign w:val="center"/>
                </w:tcPr>
                <w:p w14:paraId="3C369A26">
                  <w:pPr>
                    <w:pStyle w:val="8"/>
                    <w:spacing w:line="360" w:lineRule="exact"/>
                    <w:ind w:firstLine="0"/>
                    <w:jc w:val="center"/>
                    <w:rPr>
                      <w:sz w:val="21"/>
                      <w:szCs w:val="21"/>
                    </w:rPr>
                  </w:pPr>
                  <w:r>
                    <w:rPr>
                      <w:rFonts w:hint="eastAsia"/>
                      <w:sz w:val="21"/>
                      <w:szCs w:val="21"/>
                    </w:rPr>
                    <w:t>%</w:t>
                  </w:r>
                </w:p>
              </w:tc>
              <w:tc>
                <w:tcPr>
                  <w:tcW w:w="851" w:type="dxa"/>
                  <w:vAlign w:val="center"/>
                </w:tcPr>
                <w:p w14:paraId="15C47BA0">
                  <w:pPr>
                    <w:pStyle w:val="8"/>
                    <w:spacing w:line="360" w:lineRule="exact"/>
                    <w:ind w:firstLine="0"/>
                    <w:jc w:val="center"/>
                    <w:rPr>
                      <w:sz w:val="21"/>
                      <w:szCs w:val="21"/>
                    </w:rPr>
                  </w:pPr>
                  <w:r>
                    <w:rPr>
                      <w:sz w:val="21"/>
                      <w:szCs w:val="21"/>
                    </w:rPr>
                    <w:t>90</w:t>
                  </w:r>
                </w:p>
              </w:tc>
              <w:tc>
                <w:tcPr>
                  <w:tcW w:w="907" w:type="dxa"/>
                  <w:vAlign w:val="center"/>
                </w:tcPr>
                <w:p w14:paraId="2DC7581B">
                  <w:pPr>
                    <w:pStyle w:val="8"/>
                    <w:spacing w:line="360" w:lineRule="exact"/>
                    <w:ind w:firstLine="0"/>
                    <w:jc w:val="center"/>
                    <w:rPr>
                      <w:sz w:val="21"/>
                      <w:szCs w:val="21"/>
                    </w:rPr>
                  </w:pPr>
                  <w:r>
                    <w:rPr>
                      <w:rFonts w:hint="eastAsia"/>
                      <w:sz w:val="21"/>
                      <w:szCs w:val="21"/>
                    </w:rPr>
                    <w:t>9</w:t>
                  </w:r>
                  <w:r>
                    <w:rPr>
                      <w:sz w:val="21"/>
                      <w:szCs w:val="21"/>
                    </w:rPr>
                    <w:t>5</w:t>
                  </w:r>
                </w:p>
              </w:tc>
              <w:tc>
                <w:tcPr>
                  <w:tcW w:w="921" w:type="dxa"/>
                  <w:vAlign w:val="center"/>
                </w:tcPr>
                <w:p w14:paraId="538BD960">
                  <w:pPr>
                    <w:pStyle w:val="8"/>
                    <w:spacing w:line="360" w:lineRule="exact"/>
                    <w:ind w:firstLine="0"/>
                    <w:jc w:val="center"/>
                    <w:rPr>
                      <w:sz w:val="21"/>
                      <w:szCs w:val="21"/>
                    </w:rPr>
                  </w:pPr>
                  <w:r>
                    <w:rPr>
                      <w:rFonts w:hint="eastAsia"/>
                      <w:sz w:val="21"/>
                      <w:szCs w:val="21"/>
                    </w:rPr>
                    <w:t>8</w:t>
                  </w:r>
                  <w:r>
                    <w:rPr>
                      <w:sz w:val="21"/>
                      <w:szCs w:val="21"/>
                    </w:rPr>
                    <w:t>5</w:t>
                  </w:r>
                </w:p>
              </w:tc>
              <w:tc>
                <w:tcPr>
                  <w:tcW w:w="955" w:type="dxa"/>
                  <w:vAlign w:val="center"/>
                </w:tcPr>
                <w:p w14:paraId="371F2259">
                  <w:pPr>
                    <w:pStyle w:val="8"/>
                    <w:spacing w:line="360" w:lineRule="exact"/>
                    <w:ind w:firstLine="0"/>
                    <w:jc w:val="center"/>
                    <w:rPr>
                      <w:sz w:val="21"/>
                      <w:szCs w:val="21"/>
                    </w:rPr>
                  </w:pPr>
                  <w:r>
                    <w:rPr>
                      <w:sz w:val="21"/>
                      <w:szCs w:val="21"/>
                    </w:rPr>
                    <w:t>80</w:t>
                  </w:r>
                </w:p>
              </w:tc>
              <w:tc>
                <w:tcPr>
                  <w:tcW w:w="965" w:type="dxa"/>
                  <w:vAlign w:val="center"/>
                </w:tcPr>
                <w:p w14:paraId="40758E71">
                  <w:pPr>
                    <w:pStyle w:val="8"/>
                    <w:spacing w:line="360" w:lineRule="exact"/>
                    <w:ind w:firstLine="0"/>
                    <w:jc w:val="center"/>
                    <w:rPr>
                      <w:sz w:val="21"/>
                      <w:szCs w:val="21"/>
                    </w:rPr>
                  </w:pPr>
                  <w:r>
                    <w:rPr>
                      <w:rFonts w:hint="eastAsia"/>
                      <w:sz w:val="21"/>
                      <w:szCs w:val="21"/>
                    </w:rPr>
                    <w:t>9</w:t>
                  </w:r>
                  <w:r>
                    <w:rPr>
                      <w:sz w:val="21"/>
                      <w:szCs w:val="21"/>
                    </w:rPr>
                    <w:t>0</w:t>
                  </w:r>
                </w:p>
              </w:tc>
              <w:tc>
                <w:tcPr>
                  <w:tcW w:w="965" w:type="dxa"/>
                  <w:vAlign w:val="center"/>
                </w:tcPr>
                <w:p w14:paraId="78E66448">
                  <w:pPr>
                    <w:pStyle w:val="8"/>
                    <w:spacing w:line="360" w:lineRule="exact"/>
                    <w:ind w:firstLine="0"/>
                    <w:jc w:val="center"/>
                    <w:rPr>
                      <w:sz w:val="21"/>
                      <w:szCs w:val="21"/>
                    </w:rPr>
                  </w:pPr>
                  <w:r>
                    <w:rPr>
                      <w:rFonts w:hint="eastAsia"/>
                      <w:sz w:val="21"/>
                      <w:szCs w:val="21"/>
                    </w:rPr>
                    <w:t>9</w:t>
                  </w:r>
                  <w:r>
                    <w:rPr>
                      <w:sz w:val="21"/>
                      <w:szCs w:val="21"/>
                    </w:rPr>
                    <w:t>0</w:t>
                  </w:r>
                </w:p>
              </w:tc>
            </w:tr>
            <w:tr w14:paraId="32E0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096" w:type="dxa"/>
                  <w:vMerge w:val="continue"/>
                  <w:vAlign w:val="center"/>
                </w:tcPr>
                <w:p w14:paraId="1AAD2A2B">
                  <w:pPr>
                    <w:pStyle w:val="8"/>
                    <w:spacing w:line="360" w:lineRule="exact"/>
                    <w:ind w:firstLine="0"/>
                    <w:jc w:val="center"/>
                    <w:rPr>
                      <w:sz w:val="21"/>
                      <w:szCs w:val="21"/>
                    </w:rPr>
                  </w:pPr>
                </w:p>
              </w:tc>
              <w:tc>
                <w:tcPr>
                  <w:tcW w:w="1522" w:type="dxa"/>
                  <w:vAlign w:val="center"/>
                </w:tcPr>
                <w:p w14:paraId="00378466">
                  <w:pPr>
                    <w:pStyle w:val="8"/>
                    <w:spacing w:line="360" w:lineRule="exact"/>
                    <w:ind w:firstLine="0"/>
                    <w:jc w:val="center"/>
                    <w:rPr>
                      <w:sz w:val="21"/>
                      <w:szCs w:val="21"/>
                    </w:rPr>
                  </w:pPr>
                  <w:r>
                    <w:rPr>
                      <w:rFonts w:hint="eastAsia"/>
                      <w:sz w:val="21"/>
                      <w:szCs w:val="21"/>
                    </w:rPr>
                    <w:t>回用水</w:t>
                  </w:r>
                  <w:r>
                    <w:rPr>
                      <w:sz w:val="21"/>
                      <w:szCs w:val="21"/>
                    </w:rPr>
                    <w:t>浓度</w:t>
                  </w:r>
                </w:p>
              </w:tc>
              <w:tc>
                <w:tcPr>
                  <w:tcW w:w="708" w:type="dxa"/>
                  <w:vAlign w:val="center"/>
                </w:tcPr>
                <w:p w14:paraId="6CDEE92F">
                  <w:pPr>
                    <w:pStyle w:val="8"/>
                    <w:spacing w:line="360" w:lineRule="exact"/>
                    <w:ind w:firstLine="0"/>
                    <w:jc w:val="center"/>
                    <w:rPr>
                      <w:sz w:val="21"/>
                      <w:szCs w:val="21"/>
                    </w:rPr>
                  </w:pPr>
                  <w:r>
                    <w:rPr>
                      <w:sz w:val="21"/>
                      <w:szCs w:val="21"/>
                    </w:rPr>
                    <w:t>mg/L</w:t>
                  </w:r>
                </w:p>
              </w:tc>
              <w:tc>
                <w:tcPr>
                  <w:tcW w:w="851" w:type="dxa"/>
                  <w:vAlign w:val="center"/>
                </w:tcPr>
                <w:p w14:paraId="3EA4AFC1">
                  <w:pPr>
                    <w:pStyle w:val="8"/>
                    <w:spacing w:line="360" w:lineRule="exact"/>
                    <w:ind w:firstLine="0"/>
                    <w:jc w:val="center"/>
                    <w:rPr>
                      <w:sz w:val="21"/>
                      <w:szCs w:val="21"/>
                    </w:rPr>
                  </w:pPr>
                  <w:r>
                    <w:rPr>
                      <w:sz w:val="21"/>
                      <w:szCs w:val="21"/>
                    </w:rPr>
                    <w:t>30</w:t>
                  </w:r>
                </w:p>
              </w:tc>
              <w:tc>
                <w:tcPr>
                  <w:tcW w:w="907" w:type="dxa"/>
                  <w:vAlign w:val="center"/>
                </w:tcPr>
                <w:p w14:paraId="4EF754C1">
                  <w:pPr>
                    <w:pStyle w:val="8"/>
                    <w:spacing w:line="360" w:lineRule="exact"/>
                    <w:ind w:firstLine="0"/>
                    <w:jc w:val="center"/>
                    <w:rPr>
                      <w:sz w:val="21"/>
                      <w:szCs w:val="21"/>
                    </w:rPr>
                  </w:pPr>
                  <w:r>
                    <w:rPr>
                      <w:sz w:val="21"/>
                      <w:szCs w:val="21"/>
                    </w:rPr>
                    <w:t>7.5</w:t>
                  </w:r>
                </w:p>
              </w:tc>
              <w:tc>
                <w:tcPr>
                  <w:tcW w:w="921" w:type="dxa"/>
                  <w:vAlign w:val="center"/>
                </w:tcPr>
                <w:p w14:paraId="017B618F">
                  <w:pPr>
                    <w:pStyle w:val="8"/>
                    <w:spacing w:line="360" w:lineRule="exact"/>
                    <w:ind w:firstLine="0"/>
                    <w:jc w:val="center"/>
                    <w:rPr>
                      <w:sz w:val="21"/>
                      <w:szCs w:val="21"/>
                    </w:rPr>
                  </w:pPr>
                  <w:r>
                    <w:rPr>
                      <w:sz w:val="21"/>
                      <w:szCs w:val="21"/>
                    </w:rPr>
                    <w:t>4.5</w:t>
                  </w:r>
                </w:p>
              </w:tc>
              <w:tc>
                <w:tcPr>
                  <w:tcW w:w="955" w:type="dxa"/>
                  <w:vAlign w:val="center"/>
                </w:tcPr>
                <w:p w14:paraId="755A5E92">
                  <w:pPr>
                    <w:pStyle w:val="8"/>
                    <w:spacing w:line="360" w:lineRule="exact"/>
                    <w:ind w:firstLine="0"/>
                    <w:jc w:val="center"/>
                    <w:rPr>
                      <w:sz w:val="21"/>
                      <w:szCs w:val="21"/>
                    </w:rPr>
                  </w:pPr>
                  <w:r>
                    <w:rPr>
                      <w:sz w:val="21"/>
                      <w:szCs w:val="21"/>
                    </w:rPr>
                    <w:t>40</w:t>
                  </w:r>
                </w:p>
              </w:tc>
              <w:tc>
                <w:tcPr>
                  <w:tcW w:w="965" w:type="dxa"/>
                  <w:vAlign w:val="center"/>
                </w:tcPr>
                <w:p w14:paraId="26EB0D04">
                  <w:pPr>
                    <w:pStyle w:val="8"/>
                    <w:spacing w:line="360" w:lineRule="exact"/>
                    <w:ind w:firstLine="0"/>
                    <w:jc w:val="center"/>
                    <w:rPr>
                      <w:sz w:val="21"/>
                      <w:szCs w:val="21"/>
                    </w:rPr>
                  </w:pPr>
                  <w:r>
                    <w:rPr>
                      <w:sz w:val="21"/>
                      <w:szCs w:val="21"/>
                    </w:rPr>
                    <w:t>0.</w:t>
                  </w:r>
                  <w:r>
                    <w:rPr>
                      <w:rFonts w:hint="eastAsia"/>
                      <w:sz w:val="21"/>
                      <w:szCs w:val="21"/>
                    </w:rPr>
                    <w:t>3</w:t>
                  </w:r>
                </w:p>
              </w:tc>
              <w:tc>
                <w:tcPr>
                  <w:tcW w:w="965" w:type="dxa"/>
                  <w:vAlign w:val="center"/>
                </w:tcPr>
                <w:p w14:paraId="225F08C7">
                  <w:pPr>
                    <w:pStyle w:val="8"/>
                    <w:spacing w:line="360" w:lineRule="exact"/>
                    <w:ind w:firstLine="0"/>
                    <w:jc w:val="center"/>
                    <w:rPr>
                      <w:sz w:val="21"/>
                      <w:szCs w:val="21"/>
                    </w:rPr>
                  </w:pPr>
                  <w:r>
                    <w:rPr>
                      <w:sz w:val="21"/>
                      <w:szCs w:val="21"/>
                    </w:rPr>
                    <w:t>2</w:t>
                  </w:r>
                </w:p>
              </w:tc>
            </w:tr>
            <w:tr w14:paraId="7793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096" w:type="dxa"/>
                  <w:vMerge w:val="continue"/>
                  <w:vAlign w:val="center"/>
                </w:tcPr>
                <w:p w14:paraId="6AD6A295">
                  <w:pPr>
                    <w:pStyle w:val="8"/>
                    <w:spacing w:line="360" w:lineRule="exact"/>
                    <w:ind w:firstLine="0"/>
                    <w:jc w:val="center"/>
                    <w:rPr>
                      <w:sz w:val="21"/>
                      <w:szCs w:val="21"/>
                    </w:rPr>
                  </w:pPr>
                </w:p>
              </w:tc>
              <w:tc>
                <w:tcPr>
                  <w:tcW w:w="1522" w:type="dxa"/>
                  <w:vAlign w:val="center"/>
                </w:tcPr>
                <w:p w14:paraId="472830F4">
                  <w:pPr>
                    <w:pStyle w:val="8"/>
                    <w:spacing w:line="360" w:lineRule="exact"/>
                    <w:ind w:firstLine="0"/>
                    <w:jc w:val="center"/>
                    <w:rPr>
                      <w:sz w:val="21"/>
                      <w:szCs w:val="21"/>
                    </w:rPr>
                  </w:pPr>
                  <w:r>
                    <w:rPr>
                      <w:rFonts w:hint="eastAsia"/>
                      <w:sz w:val="21"/>
                      <w:szCs w:val="21"/>
                    </w:rPr>
                    <w:t>回用水</w:t>
                  </w:r>
                  <w:r>
                    <w:rPr>
                      <w:sz w:val="21"/>
                      <w:szCs w:val="21"/>
                    </w:rPr>
                    <w:t>污染物</w:t>
                  </w:r>
                </w:p>
              </w:tc>
              <w:tc>
                <w:tcPr>
                  <w:tcW w:w="708" w:type="dxa"/>
                  <w:vAlign w:val="center"/>
                </w:tcPr>
                <w:p w14:paraId="6BEAE02C">
                  <w:pPr>
                    <w:pStyle w:val="8"/>
                    <w:spacing w:line="360" w:lineRule="exact"/>
                    <w:ind w:firstLine="0"/>
                    <w:jc w:val="center"/>
                    <w:rPr>
                      <w:sz w:val="21"/>
                      <w:szCs w:val="21"/>
                    </w:rPr>
                  </w:pPr>
                  <w:r>
                    <w:rPr>
                      <w:sz w:val="21"/>
                      <w:szCs w:val="21"/>
                    </w:rPr>
                    <w:t>t/a</w:t>
                  </w:r>
                </w:p>
              </w:tc>
              <w:tc>
                <w:tcPr>
                  <w:tcW w:w="851" w:type="dxa"/>
                  <w:vAlign w:val="center"/>
                </w:tcPr>
                <w:p w14:paraId="2CA6E887">
                  <w:pPr>
                    <w:pStyle w:val="8"/>
                    <w:spacing w:line="360" w:lineRule="exact"/>
                    <w:ind w:firstLine="0"/>
                    <w:jc w:val="center"/>
                    <w:rPr>
                      <w:sz w:val="21"/>
                      <w:szCs w:val="21"/>
                    </w:rPr>
                  </w:pPr>
                  <w:r>
                    <w:rPr>
                      <w:sz w:val="21"/>
                      <w:szCs w:val="21"/>
                    </w:rPr>
                    <w:t xml:space="preserve">0.039 </w:t>
                  </w:r>
                </w:p>
              </w:tc>
              <w:tc>
                <w:tcPr>
                  <w:tcW w:w="907" w:type="dxa"/>
                  <w:vAlign w:val="center"/>
                </w:tcPr>
                <w:p w14:paraId="1A33564A">
                  <w:pPr>
                    <w:pStyle w:val="8"/>
                    <w:spacing w:line="360" w:lineRule="exact"/>
                    <w:ind w:firstLine="0"/>
                    <w:jc w:val="center"/>
                    <w:rPr>
                      <w:sz w:val="21"/>
                      <w:szCs w:val="21"/>
                    </w:rPr>
                  </w:pPr>
                  <w:r>
                    <w:rPr>
                      <w:sz w:val="21"/>
                      <w:szCs w:val="21"/>
                    </w:rPr>
                    <w:t xml:space="preserve">0.010 </w:t>
                  </w:r>
                </w:p>
              </w:tc>
              <w:tc>
                <w:tcPr>
                  <w:tcW w:w="921" w:type="dxa"/>
                  <w:vAlign w:val="center"/>
                </w:tcPr>
                <w:p w14:paraId="3E822728">
                  <w:pPr>
                    <w:pStyle w:val="8"/>
                    <w:spacing w:line="360" w:lineRule="exact"/>
                    <w:ind w:firstLine="0"/>
                    <w:jc w:val="center"/>
                    <w:rPr>
                      <w:sz w:val="21"/>
                      <w:szCs w:val="21"/>
                    </w:rPr>
                  </w:pPr>
                  <w:r>
                    <w:rPr>
                      <w:sz w:val="21"/>
                      <w:szCs w:val="21"/>
                    </w:rPr>
                    <w:t xml:space="preserve">0.006 </w:t>
                  </w:r>
                </w:p>
              </w:tc>
              <w:tc>
                <w:tcPr>
                  <w:tcW w:w="955" w:type="dxa"/>
                  <w:vAlign w:val="center"/>
                </w:tcPr>
                <w:p w14:paraId="2224EDF1">
                  <w:pPr>
                    <w:pStyle w:val="8"/>
                    <w:spacing w:line="360" w:lineRule="exact"/>
                    <w:ind w:firstLine="0"/>
                    <w:jc w:val="center"/>
                    <w:rPr>
                      <w:sz w:val="21"/>
                      <w:szCs w:val="21"/>
                    </w:rPr>
                  </w:pPr>
                  <w:r>
                    <w:rPr>
                      <w:sz w:val="21"/>
                      <w:szCs w:val="21"/>
                    </w:rPr>
                    <w:t xml:space="preserve">0.052 </w:t>
                  </w:r>
                </w:p>
              </w:tc>
              <w:tc>
                <w:tcPr>
                  <w:tcW w:w="965" w:type="dxa"/>
                  <w:vAlign w:val="center"/>
                </w:tcPr>
                <w:p w14:paraId="7DC90A2B">
                  <w:pPr>
                    <w:pStyle w:val="8"/>
                    <w:spacing w:line="360" w:lineRule="exact"/>
                    <w:ind w:firstLine="0"/>
                    <w:jc w:val="center"/>
                    <w:rPr>
                      <w:sz w:val="21"/>
                      <w:szCs w:val="21"/>
                    </w:rPr>
                  </w:pPr>
                  <w:r>
                    <w:rPr>
                      <w:sz w:val="21"/>
                      <w:szCs w:val="21"/>
                    </w:rPr>
                    <w:t>0.00</w:t>
                  </w:r>
                  <w:r>
                    <w:rPr>
                      <w:rFonts w:hint="eastAsia"/>
                      <w:sz w:val="21"/>
                      <w:szCs w:val="21"/>
                    </w:rPr>
                    <w:t>04</w:t>
                  </w:r>
                  <w:r>
                    <w:rPr>
                      <w:sz w:val="21"/>
                      <w:szCs w:val="21"/>
                    </w:rPr>
                    <w:t xml:space="preserve"> </w:t>
                  </w:r>
                </w:p>
              </w:tc>
              <w:tc>
                <w:tcPr>
                  <w:tcW w:w="965" w:type="dxa"/>
                  <w:vAlign w:val="center"/>
                </w:tcPr>
                <w:p w14:paraId="249808BC">
                  <w:pPr>
                    <w:pStyle w:val="8"/>
                    <w:spacing w:line="360" w:lineRule="exact"/>
                    <w:ind w:firstLine="0"/>
                    <w:jc w:val="center"/>
                    <w:rPr>
                      <w:sz w:val="21"/>
                      <w:szCs w:val="21"/>
                    </w:rPr>
                  </w:pPr>
                  <w:r>
                    <w:rPr>
                      <w:sz w:val="21"/>
                      <w:szCs w:val="21"/>
                    </w:rPr>
                    <w:t xml:space="preserve">0.003 </w:t>
                  </w:r>
                </w:p>
              </w:tc>
            </w:tr>
            <w:tr w14:paraId="012E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96" w:type="dxa"/>
                  <w:vMerge w:val="continue"/>
                  <w:vAlign w:val="center"/>
                </w:tcPr>
                <w:p w14:paraId="00998C99">
                  <w:pPr>
                    <w:pStyle w:val="8"/>
                    <w:spacing w:line="360" w:lineRule="exact"/>
                    <w:ind w:firstLine="0"/>
                    <w:jc w:val="center"/>
                    <w:rPr>
                      <w:sz w:val="21"/>
                      <w:szCs w:val="21"/>
                    </w:rPr>
                  </w:pPr>
                </w:p>
              </w:tc>
              <w:tc>
                <w:tcPr>
                  <w:tcW w:w="1522" w:type="dxa"/>
                  <w:vAlign w:val="center"/>
                </w:tcPr>
                <w:p w14:paraId="1DB382C1">
                  <w:pPr>
                    <w:pStyle w:val="8"/>
                    <w:spacing w:line="360" w:lineRule="exact"/>
                    <w:ind w:firstLine="0"/>
                    <w:jc w:val="center"/>
                    <w:rPr>
                      <w:sz w:val="21"/>
                      <w:szCs w:val="21"/>
                    </w:rPr>
                  </w:pPr>
                  <w:r>
                    <w:rPr>
                      <w:sz w:val="21"/>
                      <w:szCs w:val="21"/>
                    </w:rPr>
                    <w:t>处理措施</w:t>
                  </w:r>
                </w:p>
              </w:tc>
              <w:tc>
                <w:tcPr>
                  <w:tcW w:w="6272" w:type="dxa"/>
                  <w:gridSpan w:val="7"/>
                  <w:vAlign w:val="center"/>
                </w:tcPr>
                <w:p w14:paraId="0AABF04C">
                  <w:pPr>
                    <w:pStyle w:val="8"/>
                    <w:spacing w:line="360" w:lineRule="exact"/>
                    <w:ind w:firstLine="0"/>
                    <w:jc w:val="center"/>
                    <w:rPr>
                      <w:sz w:val="21"/>
                      <w:szCs w:val="21"/>
                    </w:rPr>
                  </w:pPr>
                  <w:r>
                    <w:rPr>
                      <w:rFonts w:hint="eastAsia"/>
                      <w:bCs/>
                    </w:rPr>
                    <w:t>生活污水依托现有隔油池、化粪池和生活污水处理站处理，项目食堂废水经隔油池处理后与其他污水经化粪池预处理后，再排入现有生活污水处理站处理达《城市污水再生利用 工业用水水质》（GB/T 19923-2024）表1间冷开式循环冷却水补充水标准后用于直接冷却水的补充水，不外排</w:t>
                  </w:r>
                  <w:r>
                    <w:rPr>
                      <w:rFonts w:hint="eastAsia"/>
                      <w:sz w:val="21"/>
                      <w:szCs w:val="21"/>
                    </w:rPr>
                    <w:t>。</w:t>
                  </w:r>
                </w:p>
              </w:tc>
            </w:tr>
            <w:tr w14:paraId="5A14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96" w:type="dxa"/>
                  <w:vMerge w:val="continue"/>
                  <w:vAlign w:val="center"/>
                </w:tcPr>
                <w:p w14:paraId="68207073">
                  <w:pPr>
                    <w:pStyle w:val="8"/>
                    <w:spacing w:line="360" w:lineRule="exact"/>
                    <w:ind w:firstLine="0"/>
                    <w:jc w:val="center"/>
                    <w:rPr>
                      <w:sz w:val="21"/>
                      <w:szCs w:val="21"/>
                    </w:rPr>
                  </w:pPr>
                </w:p>
              </w:tc>
              <w:tc>
                <w:tcPr>
                  <w:tcW w:w="1522" w:type="dxa"/>
                  <w:vAlign w:val="center"/>
                </w:tcPr>
                <w:p w14:paraId="3F86DF35">
                  <w:pPr>
                    <w:pStyle w:val="8"/>
                    <w:spacing w:line="360" w:lineRule="exact"/>
                    <w:ind w:firstLine="0"/>
                    <w:jc w:val="center"/>
                    <w:rPr>
                      <w:sz w:val="21"/>
                      <w:szCs w:val="21"/>
                    </w:rPr>
                  </w:pPr>
                  <w:r>
                    <w:rPr>
                      <w:rFonts w:hint="eastAsia"/>
                      <w:sz w:val="21"/>
                      <w:szCs w:val="21"/>
                    </w:rPr>
                    <w:t>排放方式</w:t>
                  </w:r>
                </w:p>
              </w:tc>
              <w:tc>
                <w:tcPr>
                  <w:tcW w:w="6272" w:type="dxa"/>
                  <w:gridSpan w:val="7"/>
                  <w:vAlign w:val="center"/>
                </w:tcPr>
                <w:p w14:paraId="342DBF68">
                  <w:pPr>
                    <w:pStyle w:val="8"/>
                    <w:spacing w:line="360" w:lineRule="exact"/>
                    <w:ind w:firstLine="0"/>
                    <w:jc w:val="center"/>
                    <w:rPr>
                      <w:sz w:val="21"/>
                      <w:szCs w:val="21"/>
                    </w:rPr>
                  </w:pPr>
                  <w:r>
                    <w:rPr>
                      <w:rFonts w:hint="eastAsia"/>
                      <w:sz w:val="21"/>
                      <w:szCs w:val="21"/>
                    </w:rPr>
                    <w:t>不外排</w:t>
                  </w:r>
                </w:p>
              </w:tc>
            </w:tr>
            <w:tr w14:paraId="0D22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96" w:type="dxa"/>
                  <w:vMerge w:val="continue"/>
                  <w:vAlign w:val="center"/>
                </w:tcPr>
                <w:p w14:paraId="6CF20325">
                  <w:pPr>
                    <w:pStyle w:val="8"/>
                    <w:spacing w:line="360" w:lineRule="exact"/>
                    <w:ind w:firstLine="0"/>
                    <w:jc w:val="center"/>
                    <w:rPr>
                      <w:sz w:val="21"/>
                      <w:szCs w:val="21"/>
                    </w:rPr>
                  </w:pPr>
                </w:p>
              </w:tc>
              <w:tc>
                <w:tcPr>
                  <w:tcW w:w="1522" w:type="dxa"/>
                  <w:vAlign w:val="center"/>
                </w:tcPr>
                <w:p w14:paraId="1B6F9A54">
                  <w:pPr>
                    <w:pStyle w:val="8"/>
                    <w:spacing w:line="360" w:lineRule="exact"/>
                    <w:ind w:firstLine="0"/>
                    <w:jc w:val="center"/>
                    <w:rPr>
                      <w:sz w:val="21"/>
                      <w:szCs w:val="21"/>
                    </w:rPr>
                  </w:pPr>
                  <w:r>
                    <w:rPr>
                      <w:rFonts w:hint="eastAsia"/>
                      <w:sz w:val="21"/>
                      <w:szCs w:val="21"/>
                    </w:rPr>
                    <w:t>回用去向</w:t>
                  </w:r>
                </w:p>
              </w:tc>
              <w:tc>
                <w:tcPr>
                  <w:tcW w:w="6272" w:type="dxa"/>
                  <w:gridSpan w:val="7"/>
                  <w:vAlign w:val="center"/>
                </w:tcPr>
                <w:p w14:paraId="238053F8">
                  <w:pPr>
                    <w:pStyle w:val="8"/>
                    <w:spacing w:line="360" w:lineRule="exact"/>
                    <w:ind w:firstLine="0"/>
                    <w:jc w:val="center"/>
                    <w:rPr>
                      <w:sz w:val="21"/>
                      <w:szCs w:val="21"/>
                    </w:rPr>
                  </w:pPr>
                  <w:r>
                    <w:rPr>
                      <w:rFonts w:hint="eastAsia"/>
                      <w:sz w:val="21"/>
                      <w:szCs w:val="21"/>
                    </w:rPr>
                    <w:t>回用于直接冷却水的补充水</w:t>
                  </w:r>
                </w:p>
              </w:tc>
            </w:tr>
            <w:tr w14:paraId="2B99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96" w:type="dxa"/>
                  <w:vMerge w:val="continue"/>
                  <w:vAlign w:val="center"/>
                </w:tcPr>
                <w:p w14:paraId="72548A50">
                  <w:pPr>
                    <w:pStyle w:val="8"/>
                    <w:spacing w:line="360" w:lineRule="exact"/>
                    <w:ind w:firstLine="0"/>
                    <w:jc w:val="center"/>
                    <w:rPr>
                      <w:sz w:val="21"/>
                      <w:szCs w:val="21"/>
                    </w:rPr>
                  </w:pPr>
                </w:p>
              </w:tc>
              <w:tc>
                <w:tcPr>
                  <w:tcW w:w="1522" w:type="dxa"/>
                  <w:vAlign w:val="center"/>
                </w:tcPr>
                <w:p w14:paraId="304B1873">
                  <w:pPr>
                    <w:pStyle w:val="8"/>
                    <w:spacing w:line="360" w:lineRule="exact"/>
                    <w:ind w:firstLine="0"/>
                    <w:jc w:val="center"/>
                    <w:rPr>
                      <w:sz w:val="21"/>
                      <w:szCs w:val="21"/>
                    </w:rPr>
                  </w:pPr>
                  <w:r>
                    <w:rPr>
                      <w:rFonts w:hint="eastAsia"/>
                      <w:sz w:val="21"/>
                      <w:szCs w:val="21"/>
                    </w:rPr>
                    <w:t>回用标准</w:t>
                  </w:r>
                </w:p>
              </w:tc>
              <w:tc>
                <w:tcPr>
                  <w:tcW w:w="6272" w:type="dxa"/>
                  <w:gridSpan w:val="7"/>
                  <w:vAlign w:val="center"/>
                </w:tcPr>
                <w:p w14:paraId="4BF5B125">
                  <w:pPr>
                    <w:pStyle w:val="8"/>
                    <w:spacing w:line="360" w:lineRule="exact"/>
                    <w:ind w:firstLine="0"/>
                    <w:jc w:val="center"/>
                    <w:rPr>
                      <w:sz w:val="21"/>
                      <w:szCs w:val="21"/>
                    </w:rPr>
                  </w:pPr>
                  <w:r>
                    <w:rPr>
                      <w:rFonts w:hint="eastAsia"/>
                      <w:bCs/>
                    </w:rPr>
                    <w:t>《城市污水再生利用 工业用水水质》（GB/T 19923-2024）表1间冷开式循环冷却水补充水</w:t>
                  </w:r>
                </w:p>
              </w:tc>
            </w:tr>
            <w:tr w14:paraId="2E39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18" w:type="dxa"/>
                  <w:gridSpan w:val="2"/>
                  <w:vAlign w:val="center"/>
                </w:tcPr>
                <w:p w14:paraId="40FD757A">
                  <w:pPr>
                    <w:pStyle w:val="8"/>
                    <w:spacing w:line="360" w:lineRule="exact"/>
                    <w:ind w:firstLine="0"/>
                    <w:jc w:val="center"/>
                    <w:rPr>
                      <w:sz w:val="21"/>
                      <w:szCs w:val="21"/>
                    </w:rPr>
                  </w:pPr>
                  <w:r>
                    <w:rPr>
                      <w:rFonts w:hint="eastAsia"/>
                      <w:bCs/>
                    </w:rPr>
                    <w:t>《城市污水再生利用 工业用水水质》（GB/T 19923-2024）</w:t>
                  </w:r>
                </w:p>
              </w:tc>
              <w:tc>
                <w:tcPr>
                  <w:tcW w:w="708" w:type="dxa"/>
                  <w:vAlign w:val="center"/>
                </w:tcPr>
                <w:p w14:paraId="5690A2A2">
                  <w:pPr>
                    <w:pStyle w:val="8"/>
                    <w:spacing w:line="360" w:lineRule="exact"/>
                    <w:ind w:firstLine="0"/>
                    <w:jc w:val="center"/>
                    <w:rPr>
                      <w:sz w:val="21"/>
                      <w:szCs w:val="21"/>
                    </w:rPr>
                  </w:pPr>
                  <w:r>
                    <w:rPr>
                      <w:rFonts w:hint="eastAsia"/>
                      <w:sz w:val="21"/>
                      <w:szCs w:val="21"/>
                    </w:rPr>
                    <w:t>—</w:t>
                  </w:r>
                </w:p>
              </w:tc>
              <w:tc>
                <w:tcPr>
                  <w:tcW w:w="851" w:type="dxa"/>
                  <w:vAlign w:val="center"/>
                </w:tcPr>
                <w:p w14:paraId="05BC0E7A">
                  <w:pPr>
                    <w:pStyle w:val="8"/>
                    <w:spacing w:line="360" w:lineRule="exact"/>
                    <w:ind w:firstLine="0"/>
                    <w:jc w:val="center"/>
                    <w:rPr>
                      <w:sz w:val="21"/>
                      <w:szCs w:val="21"/>
                    </w:rPr>
                  </w:pPr>
                  <w:r>
                    <w:rPr>
                      <w:rFonts w:hint="eastAsia"/>
                      <w:sz w:val="21"/>
                      <w:szCs w:val="21"/>
                    </w:rPr>
                    <w:t>50</w:t>
                  </w:r>
                </w:p>
              </w:tc>
              <w:tc>
                <w:tcPr>
                  <w:tcW w:w="907" w:type="dxa"/>
                  <w:vAlign w:val="center"/>
                </w:tcPr>
                <w:p w14:paraId="1A8407D5">
                  <w:pPr>
                    <w:pStyle w:val="8"/>
                    <w:spacing w:line="360" w:lineRule="exact"/>
                    <w:ind w:firstLine="0"/>
                    <w:jc w:val="center"/>
                    <w:rPr>
                      <w:sz w:val="21"/>
                      <w:szCs w:val="21"/>
                    </w:rPr>
                  </w:pPr>
                  <w:r>
                    <w:rPr>
                      <w:rFonts w:hint="eastAsia"/>
                      <w:sz w:val="21"/>
                      <w:szCs w:val="21"/>
                    </w:rPr>
                    <w:t>10</w:t>
                  </w:r>
                </w:p>
              </w:tc>
              <w:tc>
                <w:tcPr>
                  <w:tcW w:w="921" w:type="dxa"/>
                  <w:vAlign w:val="center"/>
                </w:tcPr>
                <w:p w14:paraId="562D41FB">
                  <w:pPr>
                    <w:pStyle w:val="8"/>
                    <w:spacing w:line="360" w:lineRule="exact"/>
                    <w:ind w:firstLine="0"/>
                    <w:jc w:val="center"/>
                    <w:rPr>
                      <w:sz w:val="21"/>
                      <w:szCs w:val="21"/>
                    </w:rPr>
                  </w:pPr>
                  <w:r>
                    <w:rPr>
                      <w:rFonts w:hint="eastAsia"/>
                      <w:sz w:val="21"/>
                      <w:szCs w:val="21"/>
                    </w:rPr>
                    <w:t>5</w:t>
                  </w:r>
                </w:p>
              </w:tc>
              <w:tc>
                <w:tcPr>
                  <w:tcW w:w="955" w:type="dxa"/>
                  <w:vAlign w:val="center"/>
                </w:tcPr>
                <w:p w14:paraId="21491E97">
                  <w:pPr>
                    <w:pStyle w:val="8"/>
                    <w:spacing w:line="360" w:lineRule="exact"/>
                    <w:ind w:firstLine="0"/>
                    <w:jc w:val="center"/>
                    <w:rPr>
                      <w:sz w:val="21"/>
                      <w:szCs w:val="21"/>
                    </w:rPr>
                  </w:pPr>
                  <w:r>
                    <w:rPr>
                      <w:rFonts w:hint="eastAsia"/>
                      <w:sz w:val="21"/>
                      <w:szCs w:val="21"/>
                    </w:rPr>
                    <w:t>—</w:t>
                  </w:r>
                </w:p>
              </w:tc>
              <w:tc>
                <w:tcPr>
                  <w:tcW w:w="965" w:type="dxa"/>
                  <w:vAlign w:val="center"/>
                </w:tcPr>
                <w:p w14:paraId="0D27499F">
                  <w:pPr>
                    <w:pStyle w:val="8"/>
                    <w:spacing w:line="360" w:lineRule="exact"/>
                    <w:ind w:firstLine="0"/>
                    <w:jc w:val="center"/>
                    <w:rPr>
                      <w:sz w:val="21"/>
                      <w:szCs w:val="21"/>
                    </w:rPr>
                  </w:pPr>
                  <w:r>
                    <w:rPr>
                      <w:rFonts w:hint="eastAsia"/>
                      <w:sz w:val="21"/>
                      <w:szCs w:val="21"/>
                    </w:rPr>
                    <w:t>0.5</w:t>
                  </w:r>
                </w:p>
              </w:tc>
              <w:tc>
                <w:tcPr>
                  <w:tcW w:w="965" w:type="dxa"/>
                  <w:vAlign w:val="center"/>
                </w:tcPr>
                <w:p w14:paraId="3740062B">
                  <w:pPr>
                    <w:pStyle w:val="8"/>
                    <w:spacing w:line="360" w:lineRule="exact"/>
                    <w:ind w:firstLine="0"/>
                    <w:jc w:val="center"/>
                    <w:rPr>
                      <w:sz w:val="21"/>
                      <w:szCs w:val="21"/>
                    </w:rPr>
                  </w:pPr>
                  <w:r>
                    <w:rPr>
                      <w:rFonts w:hint="eastAsia"/>
                      <w:sz w:val="21"/>
                      <w:szCs w:val="21"/>
                    </w:rPr>
                    <w:t>—</w:t>
                  </w:r>
                </w:p>
              </w:tc>
            </w:tr>
          </w:tbl>
          <w:p w14:paraId="6D0AD7A7">
            <w:pPr>
              <w:pStyle w:val="83"/>
              <w:ind w:firstLine="480"/>
            </w:pPr>
            <w:r>
              <w:rPr>
                <w:rFonts w:hint="eastAsia"/>
              </w:rPr>
              <w:t>（2）</w:t>
            </w:r>
            <w:r>
              <w:rPr>
                <w:rFonts w:hint="eastAsia"/>
                <w:kern w:val="24"/>
              </w:rPr>
              <w:t>生产废水</w:t>
            </w:r>
          </w:p>
          <w:p w14:paraId="4EBDE08B">
            <w:pPr>
              <w:pStyle w:val="83"/>
              <w:ind w:firstLine="480"/>
            </w:pPr>
            <w:r>
              <w:rPr>
                <w:rFonts w:hint="eastAsia"/>
              </w:rPr>
              <w:t>①</w:t>
            </w:r>
            <w:r>
              <w:rPr>
                <w:rFonts w:hint="eastAsia"/>
                <w:bCs/>
              </w:rPr>
              <w:t>设备间接冷却水</w:t>
            </w:r>
          </w:p>
          <w:p w14:paraId="020B54ED">
            <w:pPr>
              <w:pStyle w:val="58"/>
              <w:spacing w:line="360" w:lineRule="auto"/>
              <w:ind w:firstLine="480" w:firstLineChars="200"/>
              <w:rPr>
                <w:rFonts w:ascii="Times New Roman" w:hAnsi="Times New Roman" w:cs="Times New Roman"/>
                <w:sz w:val="24"/>
                <w:lang w:val="en-US"/>
              </w:rPr>
            </w:pPr>
            <w:r>
              <w:rPr>
                <w:rFonts w:ascii="Times New Roman" w:hAnsi="Times New Roman" w:cs="Times New Roman"/>
                <w:sz w:val="24"/>
                <w:lang w:val="en-US"/>
              </w:rPr>
              <w:t>间接冷却水主要是对高频焊管机组电机等设备进行冷却，不与物料直接接触，为间接冷却水，水质较为洁净，循环使用不外排。本项目共设置5个净循环水池、水槽/水箱，总容积500 m</w:t>
            </w:r>
            <w:r>
              <w:rPr>
                <w:rFonts w:ascii="Times New Roman" w:hAnsi="Times New Roman" w:cs="Times New Roman"/>
                <w:sz w:val="24"/>
                <w:vertAlign w:val="superscript"/>
                <w:lang w:val="en-US"/>
              </w:rPr>
              <w:t>3</w:t>
            </w:r>
            <w:r>
              <w:rPr>
                <w:rFonts w:ascii="Times New Roman" w:hAnsi="Times New Roman" w:cs="Times New Roman"/>
                <w:sz w:val="24"/>
                <w:lang w:val="en-US"/>
              </w:rPr>
              <w:t>。本项目间接冷却水设计总循环水量为</w:t>
            </w:r>
            <w:r>
              <w:rPr>
                <w:rFonts w:hint="eastAsia" w:ascii="Times New Roman" w:hAnsi="Times New Roman" w:cs="Times New Roman"/>
                <w:sz w:val="24"/>
                <w:lang w:val="en-US"/>
              </w:rPr>
              <w:t>3</w:t>
            </w:r>
            <w:r>
              <w:rPr>
                <w:rFonts w:ascii="Times New Roman" w:hAnsi="Times New Roman" w:cs="Times New Roman"/>
                <w:sz w:val="24"/>
                <w:lang w:val="en-US"/>
              </w:rPr>
              <w:t>0m</w:t>
            </w:r>
            <w:r>
              <w:rPr>
                <w:rFonts w:ascii="Times New Roman" w:hAnsi="Times New Roman" w:cs="Times New Roman"/>
                <w:sz w:val="24"/>
                <w:vertAlign w:val="superscript"/>
                <w:lang w:val="en-US"/>
              </w:rPr>
              <w:t>3</w:t>
            </w:r>
            <w:r>
              <w:rPr>
                <w:rFonts w:ascii="Times New Roman" w:hAnsi="Times New Roman" w:cs="Times New Roman"/>
                <w:sz w:val="24"/>
                <w:lang w:val="en-US"/>
              </w:rPr>
              <w:t>/h</w:t>
            </w:r>
            <w:r>
              <w:rPr>
                <w:rFonts w:hint="eastAsia" w:ascii="Times New Roman" w:hAnsi="Times New Roman" w:cs="Times New Roman"/>
                <w:sz w:val="24"/>
                <w:lang w:val="en-US"/>
              </w:rPr>
              <w:t>，</w:t>
            </w:r>
            <w:r>
              <w:rPr>
                <w:rFonts w:ascii="Times New Roman" w:hAnsi="Times New Roman" w:cs="Times New Roman"/>
                <w:sz w:val="24"/>
                <w:lang w:val="en-US"/>
              </w:rPr>
              <w:t>600 m</w:t>
            </w:r>
            <w:r>
              <w:rPr>
                <w:rFonts w:ascii="Times New Roman" w:hAnsi="Times New Roman" w:cs="Times New Roman"/>
                <w:sz w:val="24"/>
                <w:vertAlign w:val="superscript"/>
                <w:lang w:val="en-US"/>
              </w:rPr>
              <w:t>3</w:t>
            </w:r>
            <w:r>
              <w:rPr>
                <w:rFonts w:ascii="Times New Roman" w:hAnsi="Times New Roman" w:cs="Times New Roman"/>
                <w:sz w:val="24"/>
                <w:lang w:val="en-US"/>
              </w:rPr>
              <w:t>/d</w:t>
            </w:r>
            <w:r>
              <w:rPr>
                <w:rFonts w:hint="eastAsia" w:ascii="Times New Roman" w:hAnsi="Times New Roman" w:cs="Times New Roman"/>
                <w:sz w:val="24"/>
                <w:lang w:val="en-US"/>
              </w:rPr>
              <w:t>。</w:t>
            </w:r>
            <w:r>
              <w:rPr>
                <w:rFonts w:ascii="Times New Roman" w:hAnsi="Times New Roman" w:cs="Times New Roman"/>
                <w:sz w:val="24"/>
                <w:lang w:val="en-US"/>
              </w:rPr>
              <w:t>根据</w:t>
            </w:r>
            <w:r>
              <w:rPr>
                <w:rFonts w:ascii="Times New Roman" w:hAnsi="Times New Roman" w:cs="Times New Roman"/>
                <w:kern w:val="0"/>
                <w:sz w:val="24"/>
                <w:lang w:val="en-US"/>
              </w:rPr>
              <w:t>业主提供的</w:t>
            </w:r>
            <w:r>
              <w:rPr>
                <w:rFonts w:ascii="Times New Roman" w:hAnsi="Times New Roman" w:cs="Times New Roman"/>
                <w:sz w:val="24"/>
                <w:lang w:val="en-US"/>
              </w:rPr>
              <w:t>现有项目</w:t>
            </w:r>
            <w:r>
              <w:rPr>
                <w:rFonts w:hint="eastAsia"/>
                <w:kern w:val="24"/>
                <w:sz w:val="24"/>
              </w:rPr>
              <w:t>间接冷却水补水</w:t>
            </w:r>
            <w:r>
              <w:rPr>
                <w:rFonts w:ascii="Times New Roman" w:hAnsi="Times New Roman" w:cs="Times New Roman"/>
                <w:sz w:val="24"/>
                <w:lang w:val="en-US"/>
              </w:rPr>
              <w:t>资料</w:t>
            </w:r>
            <w:r>
              <w:rPr>
                <w:rFonts w:hint="eastAsia" w:ascii="Times New Roman" w:hAnsi="Times New Roman" w:cs="Times New Roman"/>
                <w:sz w:val="24"/>
                <w:lang w:val="en-US"/>
              </w:rPr>
              <w:t>折算，每1</w:t>
            </w:r>
            <w:r>
              <w:rPr>
                <w:rFonts w:ascii="Times New Roman" w:hAnsi="Times New Roman" w:cs="Times New Roman"/>
                <w:sz w:val="24"/>
                <w:lang w:val="en-US"/>
              </w:rPr>
              <w:t>0</w:t>
            </w:r>
            <w:r>
              <w:rPr>
                <w:rFonts w:hint="eastAsia" w:ascii="Times New Roman" w:hAnsi="Times New Roman" w:cs="Times New Roman"/>
                <w:sz w:val="24"/>
                <w:lang w:val="en-US"/>
              </w:rPr>
              <w:t>万吨产品</w:t>
            </w:r>
            <w:r>
              <w:rPr>
                <w:rFonts w:hint="eastAsia"/>
                <w:kern w:val="24"/>
                <w:sz w:val="24"/>
              </w:rPr>
              <w:t>间接冷却水</w:t>
            </w:r>
            <w:r>
              <w:rPr>
                <w:rFonts w:hint="eastAsia" w:ascii="Times New Roman" w:hAnsi="Times New Roman" w:cs="Times New Roman"/>
                <w:sz w:val="24"/>
                <w:lang w:val="en-US"/>
              </w:rPr>
              <w:t>补水量为</w:t>
            </w:r>
            <w:r>
              <w:rPr>
                <w:rFonts w:ascii="Times New Roman" w:hAnsi="Times New Roman" w:cs="Times New Roman"/>
                <w:sz w:val="24"/>
                <w:lang w:val="en-US"/>
              </w:rPr>
              <w:t>4 m</w:t>
            </w:r>
            <w:r>
              <w:rPr>
                <w:rFonts w:ascii="Times New Roman" w:hAnsi="Times New Roman" w:cs="Times New Roman"/>
                <w:sz w:val="24"/>
                <w:vertAlign w:val="superscript"/>
                <w:lang w:val="en-US"/>
              </w:rPr>
              <w:t>3</w:t>
            </w:r>
            <w:r>
              <w:rPr>
                <w:rFonts w:ascii="Times New Roman" w:hAnsi="Times New Roman" w:cs="Times New Roman"/>
                <w:sz w:val="24"/>
                <w:lang w:val="en-US"/>
              </w:rPr>
              <w:t>/d，</w:t>
            </w:r>
            <w:r>
              <w:rPr>
                <w:rFonts w:hint="eastAsia" w:ascii="Times New Roman" w:hAnsi="Times New Roman" w:cs="Times New Roman"/>
                <w:kern w:val="0"/>
                <w:sz w:val="24"/>
                <w:lang w:val="en-US"/>
              </w:rPr>
              <w:t>则本项目</w:t>
            </w:r>
            <w:r>
              <w:rPr>
                <w:rFonts w:ascii="Times New Roman" w:hAnsi="Times New Roman" w:cs="Times New Roman"/>
                <w:kern w:val="24"/>
                <w:sz w:val="24"/>
              </w:rPr>
              <w:t>间接冷却水</w:t>
            </w:r>
            <w:r>
              <w:rPr>
                <w:rFonts w:hint="eastAsia"/>
                <w:kern w:val="24"/>
                <w:sz w:val="24"/>
              </w:rPr>
              <w:t>补水量约</w:t>
            </w:r>
            <w:r>
              <w:rPr>
                <w:rFonts w:ascii="Times New Roman" w:hAnsi="Times New Roman" w:cs="Times New Roman"/>
                <w:kern w:val="24"/>
                <w:sz w:val="24"/>
              </w:rPr>
              <w:t>为2400 m</w:t>
            </w:r>
            <w:r>
              <w:rPr>
                <w:rFonts w:ascii="Times New Roman" w:hAnsi="Times New Roman" w:cs="Times New Roman"/>
                <w:kern w:val="24"/>
                <w:sz w:val="24"/>
                <w:vertAlign w:val="superscript"/>
              </w:rPr>
              <w:t>3</w:t>
            </w:r>
            <w:r>
              <w:rPr>
                <w:rFonts w:ascii="Times New Roman" w:hAnsi="Times New Roman" w:cs="Times New Roman"/>
                <w:kern w:val="24"/>
                <w:sz w:val="24"/>
              </w:rPr>
              <w:t>/a（8 m</w:t>
            </w:r>
            <w:r>
              <w:rPr>
                <w:rFonts w:ascii="Times New Roman" w:hAnsi="Times New Roman" w:cs="Times New Roman"/>
                <w:kern w:val="24"/>
                <w:sz w:val="24"/>
                <w:vertAlign w:val="superscript"/>
              </w:rPr>
              <w:t>3</w:t>
            </w:r>
            <w:r>
              <w:rPr>
                <w:rFonts w:ascii="Times New Roman" w:hAnsi="Times New Roman" w:cs="Times New Roman"/>
                <w:kern w:val="24"/>
                <w:sz w:val="24"/>
              </w:rPr>
              <w:t>/d）</w:t>
            </w:r>
            <w:r>
              <w:rPr>
                <w:rFonts w:hint="eastAsia" w:ascii="Times New Roman" w:hAnsi="Times New Roman" w:cs="Times New Roman"/>
                <w:sz w:val="24"/>
                <w:lang w:val="en-US"/>
              </w:rPr>
              <w:t>。</w:t>
            </w:r>
          </w:p>
          <w:p w14:paraId="538D6E78">
            <w:pPr>
              <w:pStyle w:val="83"/>
              <w:ind w:firstLine="480"/>
              <w:rPr>
                <w:bCs/>
              </w:rPr>
            </w:pPr>
            <w:r>
              <w:rPr>
                <w:rFonts w:hint="eastAsia"/>
              </w:rPr>
              <w:t>②</w:t>
            </w:r>
            <w:r>
              <w:rPr>
                <w:rFonts w:hint="eastAsia"/>
                <w:bCs/>
              </w:rPr>
              <w:t>产品直接冷却水</w:t>
            </w:r>
          </w:p>
          <w:p w14:paraId="07A7BDB4">
            <w:pPr>
              <w:pStyle w:val="58"/>
              <w:spacing w:line="360" w:lineRule="auto"/>
              <w:ind w:firstLine="480" w:firstLineChars="200"/>
              <w:rPr>
                <w:rFonts w:hint="eastAsia" w:ascii="Times New Roman" w:cs="Times New Roman"/>
                <w:sz w:val="24"/>
                <w:lang w:val="en-US"/>
              </w:rPr>
            </w:pPr>
            <w:r>
              <w:rPr>
                <w:rFonts w:hint="eastAsia" w:ascii="Times New Roman" w:cs="Times New Roman"/>
                <w:sz w:val="24"/>
                <w:lang w:val="en-US"/>
              </w:rPr>
              <w:t>直接冷却水主要是对焊管进行冷却，与物料直接接触，为直接冷却水，通过生产线下方排水管道引入浊循环水池，焊管直接冷却水经沉淀、冷却后循环利用，定期补充，不外排。</w:t>
            </w:r>
          </w:p>
          <w:p w14:paraId="786E1F78">
            <w:pPr>
              <w:pStyle w:val="83"/>
              <w:ind w:firstLine="480"/>
              <w:rPr>
                <w:bCs/>
              </w:rPr>
            </w:pPr>
            <w:r>
              <w:t>本项目共设置10个</w:t>
            </w:r>
            <w:r>
              <w:rPr>
                <w:rFonts w:hint="eastAsia"/>
              </w:rPr>
              <w:t>浊</w:t>
            </w:r>
            <w:r>
              <w:t>循环水池、水槽/水箱，总容积560 m</w:t>
            </w:r>
            <w:r>
              <w:rPr>
                <w:vertAlign w:val="superscript"/>
              </w:rPr>
              <w:t>3</w:t>
            </w:r>
            <w:r>
              <w:t>。本项目</w:t>
            </w:r>
            <w:r>
              <w:rPr>
                <w:rFonts w:hint="eastAsia"/>
              </w:rPr>
              <w:t>直接冷却水</w:t>
            </w:r>
            <w:r>
              <w:t>设计总循环水量为20m</w:t>
            </w:r>
            <w:r>
              <w:rPr>
                <w:vertAlign w:val="superscript"/>
              </w:rPr>
              <w:t>3</w:t>
            </w:r>
            <w:r>
              <w:t>/h</w:t>
            </w:r>
            <w:r>
              <w:rPr>
                <w:rFonts w:hint="eastAsia"/>
              </w:rPr>
              <w:t>，</w:t>
            </w:r>
            <w:r>
              <w:t>400 m</w:t>
            </w:r>
            <w:r>
              <w:rPr>
                <w:vertAlign w:val="superscript"/>
              </w:rPr>
              <w:t>3</w:t>
            </w:r>
            <w:r>
              <w:t>/d</w:t>
            </w:r>
            <w:r>
              <w:rPr>
                <w:rFonts w:hint="eastAsia"/>
              </w:rPr>
              <w:t>。</w:t>
            </w:r>
            <w:r>
              <w:t>根据</w:t>
            </w:r>
            <w:r>
              <w:rPr>
                <w:kern w:val="0"/>
              </w:rPr>
              <w:t>业主提供的</w:t>
            </w:r>
            <w:r>
              <w:t>现有项目实际运行资料</w:t>
            </w:r>
            <w:r>
              <w:rPr>
                <w:rFonts w:hint="eastAsia"/>
              </w:rPr>
              <w:t>折算</w:t>
            </w:r>
            <w:r>
              <w:t>，</w:t>
            </w:r>
            <w:r>
              <w:rPr>
                <w:rFonts w:hint="eastAsia"/>
              </w:rPr>
              <w:t>每1</w:t>
            </w:r>
            <w:r>
              <w:t>0</w:t>
            </w:r>
            <w:r>
              <w:rPr>
                <w:rFonts w:hint="eastAsia"/>
              </w:rPr>
              <w:t>万吨产品直接</w:t>
            </w:r>
            <w:r>
              <w:rPr>
                <w:rFonts w:hint="eastAsia"/>
                <w:kern w:val="24"/>
              </w:rPr>
              <w:t>冷却水</w:t>
            </w:r>
            <w:r>
              <w:rPr>
                <w:rFonts w:hint="eastAsia"/>
              </w:rPr>
              <w:t>补水量为</w:t>
            </w:r>
            <w:r>
              <w:t>3 m</w:t>
            </w:r>
            <w:r>
              <w:rPr>
                <w:vertAlign w:val="superscript"/>
              </w:rPr>
              <w:t>3</w:t>
            </w:r>
            <w:r>
              <w:t>/d，</w:t>
            </w:r>
            <w:r>
              <w:rPr>
                <w:rFonts w:hint="eastAsia"/>
                <w:kern w:val="0"/>
              </w:rPr>
              <w:t>则本项目</w:t>
            </w:r>
            <w:r>
              <w:rPr>
                <w:rFonts w:hint="eastAsia"/>
                <w:kern w:val="24"/>
              </w:rPr>
              <w:t>直接冷却水补水量约</w:t>
            </w:r>
            <w:r>
              <w:rPr>
                <w:kern w:val="24"/>
              </w:rPr>
              <w:t>为1800 m</w:t>
            </w:r>
            <w:r>
              <w:rPr>
                <w:kern w:val="24"/>
                <w:vertAlign w:val="superscript"/>
              </w:rPr>
              <w:t>3</w:t>
            </w:r>
            <w:r>
              <w:rPr>
                <w:kern w:val="24"/>
              </w:rPr>
              <w:t>/a（6 m</w:t>
            </w:r>
            <w:r>
              <w:rPr>
                <w:kern w:val="24"/>
                <w:vertAlign w:val="superscript"/>
              </w:rPr>
              <w:t>3</w:t>
            </w:r>
            <w:r>
              <w:rPr>
                <w:kern w:val="24"/>
              </w:rPr>
              <w:t>/d）</w:t>
            </w:r>
            <w:r>
              <w:rPr>
                <w:rFonts w:hint="eastAsia"/>
              </w:rPr>
              <w:t>。</w:t>
            </w:r>
          </w:p>
          <w:p w14:paraId="0E016C6A">
            <w:pPr>
              <w:adjustRightInd w:val="0"/>
              <w:snapToGrid w:val="0"/>
              <w:spacing w:line="360" w:lineRule="auto"/>
              <w:ind w:firstLine="482" w:firstLineChars="200"/>
              <w:jc w:val="center"/>
              <w:rPr>
                <w:b/>
                <w:bCs/>
                <w:kern w:val="24"/>
                <w:sz w:val="24"/>
              </w:rPr>
            </w:pPr>
            <w:r>
              <w:rPr>
                <w:b/>
                <w:bCs/>
                <w:kern w:val="24"/>
                <w:sz w:val="24"/>
              </w:rPr>
              <w:t>表</w:t>
            </w:r>
            <w:r>
              <w:rPr>
                <w:rFonts w:hint="eastAsia"/>
                <w:b/>
                <w:bCs/>
                <w:kern w:val="24"/>
                <w:sz w:val="24"/>
              </w:rPr>
              <w:t>4</w:t>
            </w:r>
            <w:r>
              <w:rPr>
                <w:b/>
                <w:bCs/>
                <w:kern w:val="24"/>
                <w:sz w:val="24"/>
              </w:rPr>
              <w:t>-</w:t>
            </w:r>
            <w:r>
              <w:rPr>
                <w:rFonts w:hint="eastAsia"/>
                <w:b/>
                <w:bCs/>
                <w:kern w:val="24"/>
                <w:sz w:val="24"/>
              </w:rPr>
              <w:t>10</w:t>
            </w:r>
            <w:r>
              <w:rPr>
                <w:b/>
                <w:bCs/>
                <w:kern w:val="24"/>
                <w:sz w:val="24"/>
              </w:rPr>
              <w:t xml:space="preserve">  </w:t>
            </w:r>
            <w:r>
              <w:rPr>
                <w:rFonts w:hint="eastAsia"/>
                <w:b/>
                <w:bCs/>
                <w:kern w:val="24"/>
                <w:sz w:val="24"/>
              </w:rPr>
              <w:t>废水类别、污染物及污染治理设施信息表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
              <w:gridCol w:w="851"/>
              <w:gridCol w:w="709"/>
              <w:gridCol w:w="708"/>
              <w:gridCol w:w="854"/>
              <w:gridCol w:w="989"/>
              <w:gridCol w:w="851"/>
              <w:gridCol w:w="1176"/>
              <w:gridCol w:w="808"/>
              <w:gridCol w:w="808"/>
              <w:gridCol w:w="808"/>
            </w:tblGrid>
            <w:tr w14:paraId="5952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dxa"/>
                  <w:vMerge w:val="restart"/>
                  <w:vAlign w:val="center"/>
                </w:tcPr>
                <w:p w14:paraId="67A8DCC5">
                  <w:pPr>
                    <w:adjustRightInd w:val="0"/>
                    <w:snapToGrid w:val="0"/>
                    <w:jc w:val="center"/>
                    <w:rPr>
                      <w:kern w:val="24"/>
                      <w:sz w:val="18"/>
                      <w:szCs w:val="18"/>
                    </w:rPr>
                  </w:pPr>
                  <w:r>
                    <w:rPr>
                      <w:rFonts w:hint="eastAsia"/>
                      <w:kern w:val="24"/>
                      <w:sz w:val="18"/>
                      <w:szCs w:val="18"/>
                    </w:rPr>
                    <w:t>序号</w:t>
                  </w:r>
                </w:p>
              </w:tc>
              <w:tc>
                <w:tcPr>
                  <w:tcW w:w="851" w:type="dxa"/>
                  <w:vMerge w:val="restart"/>
                  <w:vAlign w:val="center"/>
                </w:tcPr>
                <w:p w14:paraId="542A6F98">
                  <w:pPr>
                    <w:adjustRightInd w:val="0"/>
                    <w:snapToGrid w:val="0"/>
                    <w:jc w:val="center"/>
                    <w:rPr>
                      <w:kern w:val="24"/>
                      <w:sz w:val="18"/>
                      <w:szCs w:val="18"/>
                    </w:rPr>
                  </w:pPr>
                  <w:r>
                    <w:rPr>
                      <w:rFonts w:hint="eastAsia"/>
                      <w:kern w:val="24"/>
                      <w:sz w:val="18"/>
                      <w:szCs w:val="18"/>
                    </w:rPr>
                    <w:t>废水类别</w:t>
                  </w:r>
                </w:p>
              </w:tc>
              <w:tc>
                <w:tcPr>
                  <w:tcW w:w="709" w:type="dxa"/>
                  <w:vMerge w:val="restart"/>
                  <w:vAlign w:val="center"/>
                </w:tcPr>
                <w:p w14:paraId="7B0807FC">
                  <w:pPr>
                    <w:adjustRightInd w:val="0"/>
                    <w:snapToGrid w:val="0"/>
                    <w:jc w:val="center"/>
                    <w:rPr>
                      <w:kern w:val="24"/>
                      <w:sz w:val="18"/>
                      <w:szCs w:val="18"/>
                    </w:rPr>
                  </w:pPr>
                  <w:r>
                    <w:rPr>
                      <w:rFonts w:hint="eastAsia"/>
                      <w:kern w:val="24"/>
                      <w:sz w:val="18"/>
                      <w:szCs w:val="18"/>
                    </w:rPr>
                    <w:t>污染物种类</w:t>
                  </w:r>
                </w:p>
              </w:tc>
              <w:tc>
                <w:tcPr>
                  <w:tcW w:w="708" w:type="dxa"/>
                  <w:vMerge w:val="restart"/>
                  <w:vAlign w:val="center"/>
                </w:tcPr>
                <w:p w14:paraId="7E2752B8">
                  <w:pPr>
                    <w:adjustRightInd w:val="0"/>
                    <w:snapToGrid w:val="0"/>
                    <w:jc w:val="center"/>
                    <w:rPr>
                      <w:kern w:val="24"/>
                      <w:sz w:val="18"/>
                      <w:szCs w:val="18"/>
                    </w:rPr>
                  </w:pPr>
                  <w:r>
                    <w:rPr>
                      <w:rFonts w:hint="eastAsia"/>
                      <w:kern w:val="24"/>
                      <w:sz w:val="18"/>
                      <w:szCs w:val="18"/>
                    </w:rPr>
                    <w:t>排放去向</w:t>
                  </w:r>
                </w:p>
              </w:tc>
              <w:tc>
                <w:tcPr>
                  <w:tcW w:w="854" w:type="dxa"/>
                  <w:vMerge w:val="restart"/>
                  <w:vAlign w:val="center"/>
                </w:tcPr>
                <w:p w14:paraId="459D4691">
                  <w:pPr>
                    <w:adjustRightInd w:val="0"/>
                    <w:snapToGrid w:val="0"/>
                    <w:jc w:val="center"/>
                    <w:rPr>
                      <w:kern w:val="24"/>
                      <w:sz w:val="18"/>
                      <w:szCs w:val="18"/>
                    </w:rPr>
                  </w:pPr>
                  <w:r>
                    <w:rPr>
                      <w:rFonts w:hint="eastAsia"/>
                      <w:kern w:val="24"/>
                      <w:sz w:val="18"/>
                      <w:szCs w:val="18"/>
                    </w:rPr>
                    <w:t>排放规律</w:t>
                  </w:r>
                </w:p>
              </w:tc>
              <w:tc>
                <w:tcPr>
                  <w:tcW w:w="3016" w:type="dxa"/>
                  <w:gridSpan w:val="3"/>
                  <w:vAlign w:val="center"/>
                </w:tcPr>
                <w:p w14:paraId="3DA90DE8">
                  <w:pPr>
                    <w:adjustRightInd w:val="0"/>
                    <w:snapToGrid w:val="0"/>
                    <w:jc w:val="center"/>
                    <w:rPr>
                      <w:kern w:val="24"/>
                      <w:sz w:val="18"/>
                      <w:szCs w:val="18"/>
                    </w:rPr>
                  </w:pPr>
                  <w:r>
                    <w:rPr>
                      <w:rFonts w:hint="eastAsia"/>
                      <w:kern w:val="24"/>
                      <w:sz w:val="18"/>
                      <w:szCs w:val="18"/>
                    </w:rPr>
                    <w:t>污染治理设施</w:t>
                  </w:r>
                </w:p>
              </w:tc>
              <w:tc>
                <w:tcPr>
                  <w:tcW w:w="808" w:type="dxa"/>
                  <w:vMerge w:val="restart"/>
                  <w:vAlign w:val="center"/>
                </w:tcPr>
                <w:p w14:paraId="19873FF8">
                  <w:pPr>
                    <w:adjustRightInd w:val="0"/>
                    <w:snapToGrid w:val="0"/>
                    <w:jc w:val="center"/>
                    <w:rPr>
                      <w:kern w:val="24"/>
                      <w:sz w:val="18"/>
                      <w:szCs w:val="18"/>
                    </w:rPr>
                  </w:pPr>
                  <w:r>
                    <w:rPr>
                      <w:rFonts w:hint="eastAsia"/>
                      <w:kern w:val="24"/>
                      <w:sz w:val="18"/>
                      <w:szCs w:val="18"/>
                    </w:rPr>
                    <w:t>排放口编号</w:t>
                  </w:r>
                </w:p>
              </w:tc>
              <w:tc>
                <w:tcPr>
                  <w:tcW w:w="808" w:type="dxa"/>
                  <w:vMerge w:val="restart"/>
                  <w:vAlign w:val="center"/>
                </w:tcPr>
                <w:p w14:paraId="74ADD9E4">
                  <w:pPr>
                    <w:adjustRightInd w:val="0"/>
                    <w:snapToGrid w:val="0"/>
                    <w:jc w:val="center"/>
                    <w:rPr>
                      <w:kern w:val="24"/>
                      <w:sz w:val="18"/>
                      <w:szCs w:val="18"/>
                    </w:rPr>
                  </w:pPr>
                  <w:r>
                    <w:rPr>
                      <w:rFonts w:hint="eastAsia"/>
                      <w:kern w:val="24"/>
                      <w:sz w:val="18"/>
                      <w:szCs w:val="18"/>
                    </w:rPr>
                    <w:t>排放口设置是否符合要求</w:t>
                  </w:r>
                </w:p>
              </w:tc>
              <w:tc>
                <w:tcPr>
                  <w:tcW w:w="808" w:type="dxa"/>
                  <w:vMerge w:val="restart"/>
                  <w:vAlign w:val="center"/>
                </w:tcPr>
                <w:p w14:paraId="4C8D0700">
                  <w:pPr>
                    <w:adjustRightInd w:val="0"/>
                    <w:snapToGrid w:val="0"/>
                    <w:jc w:val="center"/>
                    <w:rPr>
                      <w:kern w:val="24"/>
                      <w:sz w:val="18"/>
                      <w:szCs w:val="18"/>
                    </w:rPr>
                  </w:pPr>
                  <w:r>
                    <w:rPr>
                      <w:rFonts w:hint="eastAsia"/>
                      <w:kern w:val="24"/>
                      <w:sz w:val="18"/>
                      <w:szCs w:val="18"/>
                    </w:rPr>
                    <w:t>排放口类型</w:t>
                  </w:r>
                </w:p>
              </w:tc>
            </w:tr>
            <w:tr w14:paraId="1EA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dxa"/>
                  <w:vMerge w:val="continue"/>
                  <w:vAlign w:val="center"/>
                </w:tcPr>
                <w:p w14:paraId="471BF2FD">
                  <w:pPr>
                    <w:adjustRightInd w:val="0"/>
                    <w:snapToGrid w:val="0"/>
                    <w:jc w:val="center"/>
                    <w:rPr>
                      <w:kern w:val="24"/>
                      <w:sz w:val="18"/>
                      <w:szCs w:val="18"/>
                    </w:rPr>
                  </w:pPr>
                </w:p>
              </w:tc>
              <w:tc>
                <w:tcPr>
                  <w:tcW w:w="851" w:type="dxa"/>
                  <w:vMerge w:val="continue"/>
                  <w:vAlign w:val="center"/>
                </w:tcPr>
                <w:p w14:paraId="16459E9E">
                  <w:pPr>
                    <w:adjustRightInd w:val="0"/>
                    <w:snapToGrid w:val="0"/>
                    <w:jc w:val="center"/>
                    <w:rPr>
                      <w:kern w:val="24"/>
                      <w:sz w:val="18"/>
                      <w:szCs w:val="18"/>
                    </w:rPr>
                  </w:pPr>
                </w:p>
              </w:tc>
              <w:tc>
                <w:tcPr>
                  <w:tcW w:w="709" w:type="dxa"/>
                  <w:vMerge w:val="continue"/>
                  <w:vAlign w:val="center"/>
                </w:tcPr>
                <w:p w14:paraId="07E2CA8D">
                  <w:pPr>
                    <w:adjustRightInd w:val="0"/>
                    <w:snapToGrid w:val="0"/>
                    <w:jc w:val="center"/>
                    <w:rPr>
                      <w:kern w:val="24"/>
                      <w:sz w:val="18"/>
                      <w:szCs w:val="18"/>
                    </w:rPr>
                  </w:pPr>
                </w:p>
              </w:tc>
              <w:tc>
                <w:tcPr>
                  <w:tcW w:w="708" w:type="dxa"/>
                  <w:vMerge w:val="continue"/>
                  <w:vAlign w:val="center"/>
                </w:tcPr>
                <w:p w14:paraId="22812AB6">
                  <w:pPr>
                    <w:adjustRightInd w:val="0"/>
                    <w:snapToGrid w:val="0"/>
                    <w:jc w:val="center"/>
                    <w:rPr>
                      <w:kern w:val="24"/>
                      <w:sz w:val="18"/>
                      <w:szCs w:val="18"/>
                    </w:rPr>
                  </w:pPr>
                </w:p>
              </w:tc>
              <w:tc>
                <w:tcPr>
                  <w:tcW w:w="854" w:type="dxa"/>
                  <w:vMerge w:val="continue"/>
                  <w:vAlign w:val="center"/>
                </w:tcPr>
                <w:p w14:paraId="50505764">
                  <w:pPr>
                    <w:adjustRightInd w:val="0"/>
                    <w:snapToGrid w:val="0"/>
                    <w:jc w:val="center"/>
                    <w:rPr>
                      <w:kern w:val="24"/>
                      <w:sz w:val="18"/>
                      <w:szCs w:val="18"/>
                    </w:rPr>
                  </w:pPr>
                </w:p>
              </w:tc>
              <w:tc>
                <w:tcPr>
                  <w:tcW w:w="989" w:type="dxa"/>
                  <w:vAlign w:val="center"/>
                </w:tcPr>
                <w:p w14:paraId="353577E9">
                  <w:pPr>
                    <w:adjustRightInd w:val="0"/>
                    <w:snapToGrid w:val="0"/>
                    <w:jc w:val="center"/>
                    <w:rPr>
                      <w:kern w:val="24"/>
                      <w:sz w:val="18"/>
                      <w:szCs w:val="18"/>
                    </w:rPr>
                  </w:pPr>
                  <w:r>
                    <w:rPr>
                      <w:rFonts w:hint="eastAsia"/>
                      <w:kern w:val="24"/>
                      <w:sz w:val="18"/>
                      <w:szCs w:val="18"/>
                    </w:rPr>
                    <w:t>污染治理类型设施编号</w:t>
                  </w:r>
                </w:p>
              </w:tc>
              <w:tc>
                <w:tcPr>
                  <w:tcW w:w="851" w:type="dxa"/>
                  <w:vAlign w:val="center"/>
                </w:tcPr>
                <w:p w14:paraId="5F4604A7">
                  <w:pPr>
                    <w:adjustRightInd w:val="0"/>
                    <w:snapToGrid w:val="0"/>
                    <w:jc w:val="center"/>
                    <w:rPr>
                      <w:kern w:val="24"/>
                      <w:sz w:val="18"/>
                      <w:szCs w:val="18"/>
                    </w:rPr>
                  </w:pPr>
                  <w:r>
                    <w:rPr>
                      <w:rFonts w:hint="eastAsia"/>
                      <w:kern w:val="24"/>
                      <w:sz w:val="18"/>
                      <w:szCs w:val="18"/>
                    </w:rPr>
                    <w:t>污染治理设施名称</w:t>
                  </w:r>
                </w:p>
              </w:tc>
              <w:tc>
                <w:tcPr>
                  <w:tcW w:w="1176" w:type="dxa"/>
                  <w:vAlign w:val="center"/>
                </w:tcPr>
                <w:p w14:paraId="1C2D60CC">
                  <w:pPr>
                    <w:adjustRightInd w:val="0"/>
                    <w:snapToGrid w:val="0"/>
                    <w:jc w:val="center"/>
                    <w:rPr>
                      <w:kern w:val="24"/>
                      <w:sz w:val="18"/>
                      <w:szCs w:val="18"/>
                    </w:rPr>
                  </w:pPr>
                  <w:r>
                    <w:rPr>
                      <w:rFonts w:hint="eastAsia"/>
                      <w:kern w:val="24"/>
                      <w:sz w:val="18"/>
                      <w:szCs w:val="18"/>
                    </w:rPr>
                    <w:t>污染治理设施工艺</w:t>
                  </w:r>
                </w:p>
              </w:tc>
              <w:tc>
                <w:tcPr>
                  <w:tcW w:w="808" w:type="dxa"/>
                  <w:vMerge w:val="continue"/>
                  <w:vAlign w:val="center"/>
                </w:tcPr>
                <w:p w14:paraId="13E73BB1">
                  <w:pPr>
                    <w:adjustRightInd w:val="0"/>
                    <w:snapToGrid w:val="0"/>
                    <w:jc w:val="center"/>
                    <w:rPr>
                      <w:kern w:val="24"/>
                      <w:sz w:val="18"/>
                      <w:szCs w:val="18"/>
                    </w:rPr>
                  </w:pPr>
                </w:p>
              </w:tc>
              <w:tc>
                <w:tcPr>
                  <w:tcW w:w="808" w:type="dxa"/>
                  <w:vMerge w:val="continue"/>
                  <w:vAlign w:val="center"/>
                </w:tcPr>
                <w:p w14:paraId="28E9B704">
                  <w:pPr>
                    <w:adjustRightInd w:val="0"/>
                    <w:snapToGrid w:val="0"/>
                    <w:jc w:val="center"/>
                    <w:rPr>
                      <w:kern w:val="24"/>
                      <w:sz w:val="18"/>
                      <w:szCs w:val="18"/>
                    </w:rPr>
                  </w:pPr>
                </w:p>
              </w:tc>
              <w:tc>
                <w:tcPr>
                  <w:tcW w:w="808" w:type="dxa"/>
                  <w:vMerge w:val="continue"/>
                  <w:vAlign w:val="center"/>
                </w:tcPr>
                <w:p w14:paraId="291ED365">
                  <w:pPr>
                    <w:adjustRightInd w:val="0"/>
                    <w:snapToGrid w:val="0"/>
                    <w:jc w:val="center"/>
                    <w:rPr>
                      <w:kern w:val="24"/>
                      <w:sz w:val="18"/>
                      <w:szCs w:val="18"/>
                    </w:rPr>
                  </w:pPr>
                </w:p>
              </w:tc>
            </w:tr>
            <w:tr w14:paraId="31AD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dxa"/>
                  <w:vAlign w:val="center"/>
                </w:tcPr>
                <w:p w14:paraId="11418604">
                  <w:pPr>
                    <w:adjustRightInd w:val="0"/>
                    <w:snapToGrid w:val="0"/>
                    <w:jc w:val="center"/>
                    <w:rPr>
                      <w:kern w:val="24"/>
                      <w:sz w:val="18"/>
                      <w:szCs w:val="18"/>
                    </w:rPr>
                  </w:pPr>
                  <w:r>
                    <w:rPr>
                      <w:rFonts w:hint="eastAsia"/>
                      <w:kern w:val="24"/>
                      <w:sz w:val="18"/>
                      <w:szCs w:val="18"/>
                    </w:rPr>
                    <w:t>1</w:t>
                  </w:r>
                </w:p>
              </w:tc>
              <w:tc>
                <w:tcPr>
                  <w:tcW w:w="851" w:type="dxa"/>
                  <w:vAlign w:val="center"/>
                </w:tcPr>
                <w:p w14:paraId="19BF0246">
                  <w:pPr>
                    <w:adjustRightInd w:val="0"/>
                    <w:snapToGrid w:val="0"/>
                    <w:jc w:val="center"/>
                    <w:rPr>
                      <w:kern w:val="24"/>
                      <w:sz w:val="18"/>
                      <w:szCs w:val="18"/>
                    </w:rPr>
                  </w:pPr>
                  <w:r>
                    <w:rPr>
                      <w:rFonts w:hint="eastAsia"/>
                      <w:kern w:val="24"/>
                      <w:sz w:val="18"/>
                      <w:szCs w:val="18"/>
                    </w:rPr>
                    <w:t>生活污水</w:t>
                  </w:r>
                </w:p>
              </w:tc>
              <w:tc>
                <w:tcPr>
                  <w:tcW w:w="709" w:type="dxa"/>
                  <w:vAlign w:val="center"/>
                </w:tcPr>
                <w:p w14:paraId="4FC70175">
                  <w:pPr>
                    <w:adjustRightInd w:val="0"/>
                    <w:snapToGrid w:val="0"/>
                    <w:jc w:val="center"/>
                    <w:rPr>
                      <w:kern w:val="24"/>
                      <w:sz w:val="18"/>
                      <w:szCs w:val="18"/>
                    </w:rPr>
                  </w:pPr>
                  <w:r>
                    <w:rPr>
                      <w:sz w:val="18"/>
                      <w:szCs w:val="18"/>
                    </w:rPr>
                    <w:t>COD</w:t>
                  </w:r>
                  <w:r>
                    <w:rPr>
                      <w:sz w:val="18"/>
                      <w:szCs w:val="18"/>
                      <w:vertAlign w:val="subscript"/>
                    </w:rPr>
                    <w:t>cr</w:t>
                  </w:r>
                  <w:r>
                    <w:rPr>
                      <w:rFonts w:hint="eastAsia"/>
                      <w:sz w:val="18"/>
                      <w:szCs w:val="18"/>
                    </w:rPr>
                    <w:t>、</w:t>
                  </w:r>
                  <w:r>
                    <w:rPr>
                      <w:sz w:val="18"/>
                      <w:szCs w:val="18"/>
                    </w:rPr>
                    <w:t>BOD</w:t>
                  </w:r>
                  <w:r>
                    <w:rPr>
                      <w:sz w:val="18"/>
                      <w:szCs w:val="18"/>
                      <w:vertAlign w:val="subscript"/>
                    </w:rPr>
                    <w:t>5</w:t>
                  </w:r>
                  <w:r>
                    <w:rPr>
                      <w:rFonts w:hint="eastAsia"/>
                      <w:sz w:val="18"/>
                      <w:szCs w:val="18"/>
                    </w:rPr>
                    <w:t>、</w:t>
                  </w:r>
                  <w:r>
                    <w:rPr>
                      <w:sz w:val="18"/>
                      <w:szCs w:val="18"/>
                    </w:rPr>
                    <w:t>NH</w:t>
                  </w:r>
                  <w:r>
                    <w:rPr>
                      <w:sz w:val="18"/>
                      <w:szCs w:val="18"/>
                      <w:vertAlign w:val="subscript"/>
                    </w:rPr>
                    <w:t>3</w:t>
                  </w:r>
                  <w:r>
                    <w:rPr>
                      <w:sz w:val="18"/>
                      <w:szCs w:val="18"/>
                    </w:rPr>
                    <w:t>-N</w:t>
                  </w:r>
                  <w:r>
                    <w:rPr>
                      <w:rFonts w:hint="eastAsia"/>
                      <w:sz w:val="18"/>
                      <w:szCs w:val="18"/>
                    </w:rPr>
                    <w:t>、</w:t>
                  </w:r>
                  <w:r>
                    <w:rPr>
                      <w:sz w:val="18"/>
                      <w:szCs w:val="18"/>
                    </w:rPr>
                    <w:t>SS</w:t>
                  </w:r>
                  <w:r>
                    <w:rPr>
                      <w:rFonts w:hint="eastAsia"/>
                      <w:sz w:val="18"/>
                      <w:szCs w:val="18"/>
                    </w:rPr>
                    <w:t>、</w:t>
                  </w:r>
                  <w:r>
                    <w:rPr>
                      <w:sz w:val="18"/>
                      <w:szCs w:val="18"/>
                    </w:rPr>
                    <w:t>T</w:t>
                  </w:r>
                  <w:r>
                    <w:rPr>
                      <w:rFonts w:hint="eastAsia"/>
                      <w:sz w:val="18"/>
                      <w:szCs w:val="18"/>
                    </w:rPr>
                    <w:t>P、动植物油</w:t>
                  </w:r>
                </w:p>
              </w:tc>
              <w:tc>
                <w:tcPr>
                  <w:tcW w:w="708" w:type="dxa"/>
                  <w:vAlign w:val="center"/>
                </w:tcPr>
                <w:p w14:paraId="208FD107">
                  <w:pPr>
                    <w:adjustRightInd w:val="0"/>
                    <w:snapToGrid w:val="0"/>
                    <w:jc w:val="center"/>
                    <w:rPr>
                      <w:kern w:val="24"/>
                      <w:sz w:val="18"/>
                      <w:szCs w:val="18"/>
                    </w:rPr>
                  </w:pPr>
                  <w:r>
                    <w:rPr>
                      <w:rFonts w:hint="eastAsia"/>
                      <w:kern w:val="24"/>
                      <w:sz w:val="18"/>
                      <w:szCs w:val="18"/>
                    </w:rPr>
                    <w:t>回用于降尘和绿化，不外排</w:t>
                  </w:r>
                </w:p>
              </w:tc>
              <w:tc>
                <w:tcPr>
                  <w:tcW w:w="854" w:type="dxa"/>
                  <w:vAlign w:val="center"/>
                </w:tcPr>
                <w:p w14:paraId="4852C61F">
                  <w:pPr>
                    <w:adjustRightInd w:val="0"/>
                    <w:snapToGrid w:val="0"/>
                    <w:jc w:val="center"/>
                    <w:rPr>
                      <w:kern w:val="24"/>
                      <w:sz w:val="18"/>
                      <w:szCs w:val="18"/>
                    </w:rPr>
                  </w:pPr>
                  <w:r>
                    <w:rPr>
                      <w:rFonts w:hint="eastAsia"/>
                      <w:kern w:val="24"/>
                      <w:sz w:val="18"/>
                      <w:szCs w:val="18"/>
                    </w:rPr>
                    <w:t>间歇排放，流量不稳定，但有周期性规律</w:t>
                  </w:r>
                </w:p>
              </w:tc>
              <w:tc>
                <w:tcPr>
                  <w:tcW w:w="989" w:type="dxa"/>
                  <w:vAlign w:val="center"/>
                </w:tcPr>
                <w:p w14:paraId="2A875F2A">
                  <w:pPr>
                    <w:adjustRightInd w:val="0"/>
                    <w:snapToGrid w:val="0"/>
                    <w:jc w:val="center"/>
                    <w:rPr>
                      <w:kern w:val="24"/>
                      <w:sz w:val="18"/>
                      <w:szCs w:val="18"/>
                    </w:rPr>
                  </w:pPr>
                  <w:r>
                    <w:rPr>
                      <w:rFonts w:hint="eastAsia"/>
                      <w:kern w:val="24"/>
                      <w:sz w:val="18"/>
                      <w:szCs w:val="18"/>
                    </w:rPr>
                    <w:t>TW001</w:t>
                  </w:r>
                </w:p>
              </w:tc>
              <w:tc>
                <w:tcPr>
                  <w:tcW w:w="851" w:type="dxa"/>
                  <w:vAlign w:val="center"/>
                </w:tcPr>
                <w:p w14:paraId="265AA82C">
                  <w:pPr>
                    <w:adjustRightInd w:val="0"/>
                    <w:snapToGrid w:val="0"/>
                    <w:jc w:val="center"/>
                    <w:rPr>
                      <w:kern w:val="24"/>
                      <w:sz w:val="18"/>
                      <w:szCs w:val="18"/>
                    </w:rPr>
                  </w:pPr>
                  <w:r>
                    <w:rPr>
                      <w:rFonts w:hint="eastAsia"/>
                      <w:kern w:val="24"/>
                      <w:sz w:val="18"/>
                      <w:szCs w:val="18"/>
                    </w:rPr>
                    <w:t>隔油池+化粪池+生活污水处理设施</w:t>
                  </w:r>
                </w:p>
              </w:tc>
              <w:tc>
                <w:tcPr>
                  <w:tcW w:w="1176" w:type="dxa"/>
                  <w:vAlign w:val="center"/>
                </w:tcPr>
                <w:p w14:paraId="7EF2789F">
                  <w:pPr>
                    <w:adjustRightInd w:val="0"/>
                    <w:snapToGrid w:val="0"/>
                    <w:jc w:val="center"/>
                    <w:rPr>
                      <w:kern w:val="24"/>
                      <w:sz w:val="18"/>
                      <w:szCs w:val="18"/>
                    </w:rPr>
                  </w:pPr>
                  <w:r>
                    <w:rPr>
                      <w:rFonts w:hint="eastAsia"/>
                      <w:kern w:val="24"/>
                      <w:sz w:val="18"/>
                      <w:szCs w:val="18"/>
                    </w:rPr>
                    <w:t>隔油池+化粪池+厌氧生物处理+生物接触氧化处理</w:t>
                  </w:r>
                </w:p>
              </w:tc>
              <w:tc>
                <w:tcPr>
                  <w:tcW w:w="808" w:type="dxa"/>
                  <w:vAlign w:val="center"/>
                </w:tcPr>
                <w:p w14:paraId="370A6765">
                  <w:pPr>
                    <w:adjustRightInd w:val="0"/>
                    <w:snapToGrid w:val="0"/>
                    <w:jc w:val="center"/>
                    <w:rPr>
                      <w:kern w:val="24"/>
                      <w:sz w:val="18"/>
                      <w:szCs w:val="18"/>
                    </w:rPr>
                  </w:pPr>
                  <w:r>
                    <w:rPr>
                      <w:kern w:val="24"/>
                      <w:sz w:val="18"/>
                      <w:szCs w:val="18"/>
                    </w:rPr>
                    <w:t>—</w:t>
                  </w:r>
                </w:p>
              </w:tc>
              <w:tc>
                <w:tcPr>
                  <w:tcW w:w="808" w:type="dxa"/>
                  <w:vAlign w:val="center"/>
                </w:tcPr>
                <w:p w14:paraId="252D5C71">
                  <w:pPr>
                    <w:adjustRightInd w:val="0"/>
                    <w:snapToGrid w:val="0"/>
                    <w:jc w:val="center"/>
                    <w:rPr>
                      <w:kern w:val="24"/>
                      <w:sz w:val="18"/>
                      <w:szCs w:val="18"/>
                    </w:rPr>
                  </w:pPr>
                  <w:r>
                    <w:rPr>
                      <w:kern w:val="24"/>
                      <w:sz w:val="18"/>
                      <w:szCs w:val="18"/>
                    </w:rPr>
                    <w:t>—</w:t>
                  </w:r>
                </w:p>
              </w:tc>
              <w:tc>
                <w:tcPr>
                  <w:tcW w:w="808" w:type="dxa"/>
                  <w:vAlign w:val="center"/>
                </w:tcPr>
                <w:p w14:paraId="58403138">
                  <w:pPr>
                    <w:adjustRightInd w:val="0"/>
                    <w:snapToGrid w:val="0"/>
                    <w:jc w:val="center"/>
                    <w:rPr>
                      <w:kern w:val="24"/>
                      <w:sz w:val="18"/>
                      <w:szCs w:val="18"/>
                    </w:rPr>
                  </w:pPr>
                  <w:r>
                    <w:rPr>
                      <w:kern w:val="24"/>
                      <w:sz w:val="18"/>
                      <w:szCs w:val="18"/>
                    </w:rPr>
                    <w:t>—</w:t>
                  </w:r>
                </w:p>
              </w:tc>
            </w:tr>
            <w:tr w14:paraId="32B5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dxa"/>
                  <w:vAlign w:val="center"/>
                </w:tcPr>
                <w:p w14:paraId="55EC233F">
                  <w:pPr>
                    <w:adjustRightInd w:val="0"/>
                    <w:snapToGrid w:val="0"/>
                    <w:jc w:val="center"/>
                    <w:rPr>
                      <w:kern w:val="24"/>
                      <w:sz w:val="18"/>
                      <w:szCs w:val="18"/>
                    </w:rPr>
                  </w:pPr>
                  <w:r>
                    <w:rPr>
                      <w:rFonts w:hint="eastAsia"/>
                      <w:kern w:val="24"/>
                      <w:sz w:val="18"/>
                      <w:szCs w:val="18"/>
                    </w:rPr>
                    <w:t>2</w:t>
                  </w:r>
                </w:p>
              </w:tc>
              <w:tc>
                <w:tcPr>
                  <w:tcW w:w="851" w:type="dxa"/>
                  <w:vAlign w:val="center"/>
                </w:tcPr>
                <w:p w14:paraId="5F110A1E">
                  <w:pPr>
                    <w:adjustRightInd w:val="0"/>
                    <w:snapToGrid w:val="0"/>
                    <w:jc w:val="center"/>
                    <w:rPr>
                      <w:kern w:val="24"/>
                      <w:sz w:val="18"/>
                      <w:szCs w:val="18"/>
                    </w:rPr>
                  </w:pPr>
                  <w:r>
                    <w:rPr>
                      <w:rFonts w:hint="eastAsia"/>
                      <w:kern w:val="24"/>
                      <w:sz w:val="18"/>
                      <w:szCs w:val="18"/>
                    </w:rPr>
                    <w:t>间接冷却水</w:t>
                  </w:r>
                </w:p>
              </w:tc>
              <w:tc>
                <w:tcPr>
                  <w:tcW w:w="709" w:type="dxa"/>
                  <w:vAlign w:val="center"/>
                </w:tcPr>
                <w:p w14:paraId="2BBDFFC2">
                  <w:pPr>
                    <w:adjustRightInd w:val="0"/>
                    <w:snapToGrid w:val="0"/>
                    <w:jc w:val="center"/>
                    <w:rPr>
                      <w:kern w:val="24"/>
                      <w:sz w:val="18"/>
                      <w:szCs w:val="18"/>
                    </w:rPr>
                  </w:pPr>
                  <w:r>
                    <w:rPr>
                      <w:sz w:val="18"/>
                      <w:szCs w:val="18"/>
                    </w:rPr>
                    <w:t>SS</w:t>
                  </w:r>
                </w:p>
              </w:tc>
              <w:tc>
                <w:tcPr>
                  <w:tcW w:w="708" w:type="dxa"/>
                  <w:vAlign w:val="center"/>
                </w:tcPr>
                <w:p w14:paraId="33098DAB">
                  <w:pPr>
                    <w:adjustRightInd w:val="0"/>
                    <w:snapToGrid w:val="0"/>
                    <w:jc w:val="center"/>
                    <w:rPr>
                      <w:kern w:val="24"/>
                      <w:sz w:val="18"/>
                      <w:szCs w:val="18"/>
                    </w:rPr>
                  </w:pPr>
                  <w:r>
                    <w:rPr>
                      <w:rFonts w:hint="eastAsia"/>
                      <w:kern w:val="24"/>
                      <w:sz w:val="18"/>
                      <w:szCs w:val="18"/>
                    </w:rPr>
                    <w:t>沉淀后循环使用，不外排</w:t>
                  </w:r>
                </w:p>
              </w:tc>
              <w:tc>
                <w:tcPr>
                  <w:tcW w:w="854" w:type="dxa"/>
                  <w:vAlign w:val="center"/>
                </w:tcPr>
                <w:p w14:paraId="108CAAF2">
                  <w:pPr>
                    <w:adjustRightInd w:val="0"/>
                    <w:snapToGrid w:val="0"/>
                    <w:jc w:val="center"/>
                    <w:rPr>
                      <w:kern w:val="24"/>
                      <w:sz w:val="18"/>
                      <w:szCs w:val="18"/>
                    </w:rPr>
                  </w:pPr>
                  <w:r>
                    <w:rPr>
                      <w:rFonts w:hint="eastAsia"/>
                      <w:kern w:val="24"/>
                      <w:sz w:val="18"/>
                      <w:szCs w:val="18"/>
                    </w:rPr>
                    <w:t>不排放，定期补充水</w:t>
                  </w:r>
                </w:p>
              </w:tc>
              <w:tc>
                <w:tcPr>
                  <w:tcW w:w="989" w:type="dxa"/>
                  <w:vAlign w:val="center"/>
                </w:tcPr>
                <w:p w14:paraId="7F86C6E0">
                  <w:pPr>
                    <w:adjustRightInd w:val="0"/>
                    <w:snapToGrid w:val="0"/>
                    <w:jc w:val="center"/>
                    <w:rPr>
                      <w:kern w:val="24"/>
                      <w:sz w:val="18"/>
                      <w:szCs w:val="18"/>
                    </w:rPr>
                  </w:pPr>
                  <w:r>
                    <w:rPr>
                      <w:rFonts w:hint="eastAsia"/>
                      <w:kern w:val="24"/>
                      <w:sz w:val="18"/>
                      <w:szCs w:val="18"/>
                    </w:rPr>
                    <w:t>TW002</w:t>
                  </w:r>
                </w:p>
              </w:tc>
              <w:tc>
                <w:tcPr>
                  <w:tcW w:w="851" w:type="dxa"/>
                  <w:vAlign w:val="center"/>
                </w:tcPr>
                <w:p w14:paraId="70886BB8">
                  <w:pPr>
                    <w:adjustRightInd w:val="0"/>
                    <w:snapToGrid w:val="0"/>
                    <w:jc w:val="center"/>
                    <w:rPr>
                      <w:kern w:val="24"/>
                      <w:sz w:val="18"/>
                      <w:szCs w:val="18"/>
                    </w:rPr>
                  </w:pPr>
                  <w:r>
                    <w:rPr>
                      <w:rFonts w:hint="eastAsia"/>
                      <w:kern w:val="24"/>
                      <w:sz w:val="18"/>
                      <w:szCs w:val="18"/>
                    </w:rPr>
                    <w:t>净循环水池</w:t>
                  </w:r>
                </w:p>
              </w:tc>
              <w:tc>
                <w:tcPr>
                  <w:tcW w:w="1176" w:type="dxa"/>
                  <w:vAlign w:val="center"/>
                </w:tcPr>
                <w:p w14:paraId="3C9964DC">
                  <w:pPr>
                    <w:adjustRightInd w:val="0"/>
                    <w:snapToGrid w:val="0"/>
                    <w:jc w:val="center"/>
                    <w:rPr>
                      <w:kern w:val="24"/>
                      <w:sz w:val="18"/>
                      <w:szCs w:val="18"/>
                    </w:rPr>
                  </w:pPr>
                  <w:r>
                    <w:rPr>
                      <w:rFonts w:hint="eastAsia"/>
                      <w:kern w:val="24"/>
                      <w:sz w:val="18"/>
                      <w:szCs w:val="18"/>
                    </w:rPr>
                    <w:t>沉淀</w:t>
                  </w:r>
                </w:p>
              </w:tc>
              <w:tc>
                <w:tcPr>
                  <w:tcW w:w="808" w:type="dxa"/>
                  <w:vAlign w:val="center"/>
                </w:tcPr>
                <w:p w14:paraId="63BF1EDE">
                  <w:pPr>
                    <w:adjustRightInd w:val="0"/>
                    <w:snapToGrid w:val="0"/>
                    <w:jc w:val="center"/>
                    <w:rPr>
                      <w:kern w:val="24"/>
                      <w:sz w:val="18"/>
                      <w:szCs w:val="18"/>
                    </w:rPr>
                  </w:pPr>
                  <w:r>
                    <w:rPr>
                      <w:kern w:val="24"/>
                      <w:sz w:val="18"/>
                      <w:szCs w:val="18"/>
                    </w:rPr>
                    <w:t>—</w:t>
                  </w:r>
                </w:p>
              </w:tc>
              <w:tc>
                <w:tcPr>
                  <w:tcW w:w="808" w:type="dxa"/>
                  <w:vAlign w:val="center"/>
                </w:tcPr>
                <w:p w14:paraId="36100769">
                  <w:pPr>
                    <w:adjustRightInd w:val="0"/>
                    <w:snapToGrid w:val="0"/>
                    <w:jc w:val="center"/>
                    <w:rPr>
                      <w:kern w:val="24"/>
                      <w:sz w:val="18"/>
                      <w:szCs w:val="18"/>
                    </w:rPr>
                  </w:pPr>
                  <w:r>
                    <w:rPr>
                      <w:kern w:val="24"/>
                      <w:sz w:val="18"/>
                      <w:szCs w:val="18"/>
                    </w:rPr>
                    <w:t>—</w:t>
                  </w:r>
                </w:p>
              </w:tc>
              <w:tc>
                <w:tcPr>
                  <w:tcW w:w="808" w:type="dxa"/>
                  <w:vAlign w:val="center"/>
                </w:tcPr>
                <w:p w14:paraId="1FF91C0A">
                  <w:pPr>
                    <w:adjustRightInd w:val="0"/>
                    <w:snapToGrid w:val="0"/>
                    <w:jc w:val="center"/>
                    <w:rPr>
                      <w:kern w:val="24"/>
                      <w:sz w:val="18"/>
                      <w:szCs w:val="18"/>
                    </w:rPr>
                  </w:pPr>
                  <w:r>
                    <w:rPr>
                      <w:kern w:val="24"/>
                      <w:sz w:val="18"/>
                      <w:szCs w:val="18"/>
                    </w:rPr>
                    <w:t>—</w:t>
                  </w:r>
                </w:p>
              </w:tc>
            </w:tr>
            <w:tr w14:paraId="7B2A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dxa"/>
                  <w:vAlign w:val="center"/>
                </w:tcPr>
                <w:p w14:paraId="77A631F2">
                  <w:pPr>
                    <w:adjustRightInd w:val="0"/>
                    <w:snapToGrid w:val="0"/>
                    <w:jc w:val="center"/>
                    <w:rPr>
                      <w:kern w:val="24"/>
                      <w:sz w:val="18"/>
                      <w:szCs w:val="18"/>
                    </w:rPr>
                  </w:pPr>
                  <w:r>
                    <w:rPr>
                      <w:rFonts w:hint="eastAsia"/>
                      <w:kern w:val="24"/>
                      <w:sz w:val="18"/>
                      <w:szCs w:val="18"/>
                    </w:rPr>
                    <w:t>3</w:t>
                  </w:r>
                </w:p>
              </w:tc>
              <w:tc>
                <w:tcPr>
                  <w:tcW w:w="851" w:type="dxa"/>
                  <w:vAlign w:val="center"/>
                </w:tcPr>
                <w:p w14:paraId="3DD71324">
                  <w:pPr>
                    <w:adjustRightInd w:val="0"/>
                    <w:snapToGrid w:val="0"/>
                    <w:jc w:val="center"/>
                    <w:rPr>
                      <w:kern w:val="24"/>
                      <w:sz w:val="18"/>
                      <w:szCs w:val="18"/>
                    </w:rPr>
                  </w:pPr>
                  <w:r>
                    <w:rPr>
                      <w:rFonts w:hint="eastAsia"/>
                      <w:kern w:val="24"/>
                      <w:sz w:val="18"/>
                      <w:szCs w:val="18"/>
                    </w:rPr>
                    <w:t>直接冷却水</w:t>
                  </w:r>
                </w:p>
              </w:tc>
              <w:tc>
                <w:tcPr>
                  <w:tcW w:w="709" w:type="dxa"/>
                  <w:vAlign w:val="center"/>
                </w:tcPr>
                <w:p w14:paraId="7F061A3A">
                  <w:pPr>
                    <w:adjustRightInd w:val="0"/>
                    <w:snapToGrid w:val="0"/>
                    <w:jc w:val="center"/>
                    <w:rPr>
                      <w:kern w:val="24"/>
                      <w:sz w:val="18"/>
                      <w:szCs w:val="18"/>
                    </w:rPr>
                  </w:pPr>
                  <w:r>
                    <w:rPr>
                      <w:sz w:val="18"/>
                      <w:szCs w:val="18"/>
                    </w:rPr>
                    <w:t>COD</w:t>
                  </w:r>
                  <w:r>
                    <w:rPr>
                      <w:rFonts w:hint="eastAsia"/>
                      <w:sz w:val="18"/>
                      <w:szCs w:val="18"/>
                    </w:rPr>
                    <w:t>、</w:t>
                  </w:r>
                  <w:r>
                    <w:rPr>
                      <w:sz w:val="18"/>
                      <w:szCs w:val="18"/>
                    </w:rPr>
                    <w:t>SS</w:t>
                  </w:r>
                </w:p>
              </w:tc>
              <w:tc>
                <w:tcPr>
                  <w:tcW w:w="708" w:type="dxa"/>
                  <w:vAlign w:val="center"/>
                </w:tcPr>
                <w:p w14:paraId="28290E38">
                  <w:pPr>
                    <w:adjustRightInd w:val="0"/>
                    <w:snapToGrid w:val="0"/>
                    <w:jc w:val="center"/>
                    <w:rPr>
                      <w:kern w:val="24"/>
                      <w:sz w:val="18"/>
                      <w:szCs w:val="18"/>
                    </w:rPr>
                  </w:pPr>
                  <w:r>
                    <w:rPr>
                      <w:rFonts w:hint="eastAsia"/>
                      <w:kern w:val="24"/>
                      <w:sz w:val="18"/>
                      <w:szCs w:val="18"/>
                    </w:rPr>
                    <w:t>沉淀后循环使用，不外排</w:t>
                  </w:r>
                </w:p>
              </w:tc>
              <w:tc>
                <w:tcPr>
                  <w:tcW w:w="854" w:type="dxa"/>
                  <w:vAlign w:val="center"/>
                </w:tcPr>
                <w:p w14:paraId="4A134A97">
                  <w:pPr>
                    <w:adjustRightInd w:val="0"/>
                    <w:snapToGrid w:val="0"/>
                    <w:jc w:val="center"/>
                    <w:rPr>
                      <w:kern w:val="24"/>
                      <w:sz w:val="18"/>
                      <w:szCs w:val="18"/>
                    </w:rPr>
                  </w:pPr>
                  <w:r>
                    <w:rPr>
                      <w:rFonts w:hint="eastAsia"/>
                      <w:kern w:val="24"/>
                      <w:sz w:val="18"/>
                      <w:szCs w:val="18"/>
                    </w:rPr>
                    <w:t>不排放，有周期性规律</w:t>
                  </w:r>
                </w:p>
              </w:tc>
              <w:tc>
                <w:tcPr>
                  <w:tcW w:w="989" w:type="dxa"/>
                  <w:vAlign w:val="center"/>
                </w:tcPr>
                <w:p w14:paraId="6121714C">
                  <w:pPr>
                    <w:adjustRightInd w:val="0"/>
                    <w:snapToGrid w:val="0"/>
                    <w:jc w:val="center"/>
                    <w:rPr>
                      <w:kern w:val="24"/>
                      <w:sz w:val="18"/>
                      <w:szCs w:val="18"/>
                    </w:rPr>
                  </w:pPr>
                  <w:r>
                    <w:rPr>
                      <w:rFonts w:hint="eastAsia"/>
                      <w:kern w:val="24"/>
                      <w:sz w:val="18"/>
                      <w:szCs w:val="18"/>
                    </w:rPr>
                    <w:t>TW003</w:t>
                  </w:r>
                </w:p>
              </w:tc>
              <w:tc>
                <w:tcPr>
                  <w:tcW w:w="851" w:type="dxa"/>
                  <w:vAlign w:val="center"/>
                </w:tcPr>
                <w:p w14:paraId="5B0466C5">
                  <w:pPr>
                    <w:adjustRightInd w:val="0"/>
                    <w:snapToGrid w:val="0"/>
                    <w:jc w:val="center"/>
                    <w:rPr>
                      <w:kern w:val="24"/>
                      <w:sz w:val="18"/>
                      <w:szCs w:val="18"/>
                    </w:rPr>
                  </w:pPr>
                  <w:r>
                    <w:rPr>
                      <w:rFonts w:hint="eastAsia"/>
                      <w:kern w:val="24"/>
                      <w:sz w:val="18"/>
                      <w:szCs w:val="18"/>
                    </w:rPr>
                    <w:t>浊循环水池</w:t>
                  </w:r>
                </w:p>
              </w:tc>
              <w:tc>
                <w:tcPr>
                  <w:tcW w:w="1176" w:type="dxa"/>
                  <w:vAlign w:val="center"/>
                </w:tcPr>
                <w:p w14:paraId="52E77E90">
                  <w:pPr>
                    <w:adjustRightInd w:val="0"/>
                    <w:snapToGrid w:val="0"/>
                    <w:jc w:val="center"/>
                    <w:rPr>
                      <w:kern w:val="24"/>
                      <w:sz w:val="18"/>
                      <w:szCs w:val="18"/>
                    </w:rPr>
                  </w:pPr>
                  <w:r>
                    <w:rPr>
                      <w:kern w:val="24"/>
                      <w:sz w:val="18"/>
                      <w:szCs w:val="18"/>
                    </w:rPr>
                    <w:t>沉淀</w:t>
                  </w:r>
                </w:p>
              </w:tc>
              <w:tc>
                <w:tcPr>
                  <w:tcW w:w="808" w:type="dxa"/>
                  <w:vAlign w:val="center"/>
                </w:tcPr>
                <w:p w14:paraId="15EF42D7">
                  <w:pPr>
                    <w:adjustRightInd w:val="0"/>
                    <w:snapToGrid w:val="0"/>
                    <w:jc w:val="center"/>
                    <w:rPr>
                      <w:kern w:val="24"/>
                      <w:sz w:val="18"/>
                      <w:szCs w:val="18"/>
                    </w:rPr>
                  </w:pPr>
                  <w:r>
                    <w:rPr>
                      <w:kern w:val="24"/>
                      <w:sz w:val="18"/>
                      <w:szCs w:val="18"/>
                    </w:rPr>
                    <w:t>—</w:t>
                  </w:r>
                </w:p>
              </w:tc>
              <w:tc>
                <w:tcPr>
                  <w:tcW w:w="808" w:type="dxa"/>
                  <w:vAlign w:val="center"/>
                </w:tcPr>
                <w:p w14:paraId="16E3F47F">
                  <w:pPr>
                    <w:adjustRightInd w:val="0"/>
                    <w:snapToGrid w:val="0"/>
                    <w:jc w:val="center"/>
                    <w:rPr>
                      <w:kern w:val="24"/>
                      <w:sz w:val="18"/>
                      <w:szCs w:val="18"/>
                    </w:rPr>
                  </w:pPr>
                  <w:r>
                    <w:rPr>
                      <w:kern w:val="24"/>
                      <w:sz w:val="18"/>
                      <w:szCs w:val="18"/>
                    </w:rPr>
                    <w:t>—</w:t>
                  </w:r>
                </w:p>
              </w:tc>
              <w:tc>
                <w:tcPr>
                  <w:tcW w:w="808" w:type="dxa"/>
                  <w:vAlign w:val="center"/>
                </w:tcPr>
                <w:p w14:paraId="42275D11">
                  <w:pPr>
                    <w:adjustRightInd w:val="0"/>
                    <w:snapToGrid w:val="0"/>
                    <w:jc w:val="center"/>
                    <w:rPr>
                      <w:kern w:val="24"/>
                      <w:sz w:val="18"/>
                      <w:szCs w:val="18"/>
                    </w:rPr>
                  </w:pPr>
                  <w:r>
                    <w:rPr>
                      <w:kern w:val="24"/>
                      <w:sz w:val="18"/>
                      <w:szCs w:val="18"/>
                    </w:rPr>
                    <w:t>—</w:t>
                  </w:r>
                </w:p>
              </w:tc>
            </w:tr>
          </w:tbl>
          <w:p w14:paraId="2A2C4F98">
            <w:pPr>
              <w:adjustRightInd w:val="0"/>
              <w:snapToGrid w:val="0"/>
              <w:spacing w:line="360" w:lineRule="auto"/>
              <w:ind w:firstLine="480" w:firstLineChars="200"/>
              <w:rPr>
                <w:sz w:val="24"/>
              </w:rPr>
            </w:pPr>
          </w:p>
          <w:p w14:paraId="5537F18B">
            <w:pPr>
              <w:adjustRightInd w:val="0"/>
              <w:snapToGrid w:val="0"/>
              <w:spacing w:line="360" w:lineRule="auto"/>
              <w:jc w:val="left"/>
              <w:rPr>
                <w:b/>
                <w:bCs/>
                <w:sz w:val="24"/>
              </w:rPr>
            </w:pPr>
            <w:r>
              <w:rPr>
                <w:rFonts w:hint="eastAsia"/>
                <w:b/>
                <w:bCs/>
                <w:sz w:val="24"/>
              </w:rPr>
              <w:t>2.2 废水污染防治措施可行性分析</w:t>
            </w:r>
          </w:p>
          <w:p w14:paraId="5E3A5735">
            <w:pPr>
              <w:adjustRightInd w:val="0"/>
              <w:snapToGrid w:val="0"/>
              <w:spacing w:line="360" w:lineRule="auto"/>
              <w:ind w:firstLine="480" w:firstLineChars="200"/>
              <w:rPr>
                <w:kern w:val="24"/>
                <w:sz w:val="24"/>
                <w:lang w:val="en-GB"/>
              </w:rPr>
            </w:pPr>
            <w:r>
              <w:rPr>
                <w:kern w:val="24"/>
                <w:sz w:val="24"/>
                <w:lang w:val="en-GB"/>
              </w:rPr>
              <w:t>（</w:t>
            </w:r>
            <w:r>
              <w:rPr>
                <w:rFonts w:hint="eastAsia"/>
                <w:kern w:val="24"/>
                <w:sz w:val="24"/>
                <w:lang w:val="en-GB"/>
              </w:rPr>
              <w:t>1</w:t>
            </w:r>
            <w:r>
              <w:rPr>
                <w:kern w:val="24"/>
                <w:sz w:val="24"/>
                <w:lang w:val="en-GB"/>
              </w:rPr>
              <w:t>）</w:t>
            </w:r>
            <w:r>
              <w:rPr>
                <w:rFonts w:hint="eastAsia"/>
                <w:kern w:val="24"/>
                <w:sz w:val="24"/>
                <w:lang w:val="en-GB"/>
              </w:rPr>
              <w:t>现有项目</w:t>
            </w:r>
            <w:r>
              <w:rPr>
                <w:kern w:val="24"/>
                <w:sz w:val="24"/>
                <w:lang w:val="en-GB"/>
              </w:rPr>
              <w:t>废（污）水处理设施情况</w:t>
            </w:r>
          </w:p>
          <w:p w14:paraId="58DECBCA">
            <w:pPr>
              <w:pStyle w:val="83"/>
              <w:ind w:firstLine="480"/>
            </w:pPr>
            <w:r>
              <w:t>通海齐拓金属制品有限公司</w:t>
            </w:r>
            <w:r>
              <w:rPr>
                <w:szCs w:val="21"/>
              </w:rPr>
              <w:t>现有隔油池（1个、2m</w:t>
            </w:r>
            <w:r>
              <w:rPr>
                <w:szCs w:val="21"/>
                <w:vertAlign w:val="superscript"/>
              </w:rPr>
              <w:t>3</w:t>
            </w:r>
            <w:r>
              <w:rPr>
                <w:szCs w:val="21"/>
              </w:rPr>
              <w:t>）、化粪池（1个，容积10m</w:t>
            </w:r>
            <w:r>
              <w:rPr>
                <w:szCs w:val="21"/>
                <w:vertAlign w:val="superscript"/>
              </w:rPr>
              <w:t>3</w:t>
            </w:r>
            <w:r>
              <w:rPr>
                <w:szCs w:val="21"/>
              </w:rPr>
              <w:t>）和生活污水处理站（1座，处理能力10m</w:t>
            </w:r>
            <w:r>
              <w:rPr>
                <w:szCs w:val="21"/>
                <w:vertAlign w:val="superscript"/>
              </w:rPr>
              <w:t>3</w:t>
            </w:r>
            <w:r>
              <w:rPr>
                <w:szCs w:val="21"/>
              </w:rPr>
              <w:t>/d）处理</w:t>
            </w:r>
            <w:r>
              <w:rPr>
                <w:rFonts w:hint="eastAsia"/>
              </w:rPr>
              <w:t>，污</w:t>
            </w:r>
            <w:r>
              <w:rPr>
                <w:rFonts w:hint="eastAsia" w:eastAsiaTheme="minorEastAsia"/>
              </w:rPr>
              <w:t>现有项目</w:t>
            </w:r>
            <w:r>
              <w:rPr>
                <w:rFonts w:hint="eastAsia"/>
              </w:rPr>
              <w:t>污水处理站（1座，处理规模：10m³/d，位于项目区北面）采用“厌氧生物处理+生物接触氧化处理+沉淀+消毒”工艺。进水水质为</w:t>
            </w:r>
            <w:r>
              <w:t>一般的生活污水</w:t>
            </w:r>
            <w:r>
              <w:rPr>
                <w:rFonts w:hint="eastAsia"/>
              </w:rPr>
              <w:t>水质，出水水质</w:t>
            </w:r>
            <w:r>
              <w:rPr>
                <w:rFonts w:hint="eastAsia"/>
                <w:bCs/>
                <w:snapToGrid w:val="0"/>
                <w:kern w:val="0"/>
              </w:rPr>
              <w:t>《城市污水再生利用 工业用水水质》（GB/T 19923-2024）表1间冷开式循环冷却水补充水</w:t>
            </w:r>
            <w:r>
              <w:t>。</w:t>
            </w:r>
          </w:p>
          <w:p w14:paraId="7C9C373B">
            <w:pPr>
              <w:pStyle w:val="83"/>
              <w:ind w:firstLine="480"/>
            </w:pPr>
            <w:r>
              <w:rPr>
                <w:rFonts w:hint="eastAsia"/>
              </w:rPr>
              <w:t>现有项目生活污水产生量为</w:t>
            </w:r>
            <w:r>
              <w:rPr>
                <w:rFonts w:hAnsi="宋体"/>
              </w:rPr>
              <w:t>3.54</w:t>
            </w:r>
            <w:r>
              <w:rPr>
                <w:rFonts w:hint="eastAsia"/>
              </w:rPr>
              <w:t xml:space="preserve"> m</w:t>
            </w:r>
            <w:r>
              <w:rPr>
                <w:rFonts w:hint="eastAsia"/>
                <w:vertAlign w:val="superscript"/>
              </w:rPr>
              <w:t>3</w:t>
            </w:r>
            <w:r>
              <w:rPr>
                <w:rFonts w:hint="eastAsia"/>
              </w:rPr>
              <w:t>/d。</w:t>
            </w:r>
            <w:r>
              <w:rPr>
                <w:rFonts w:hint="eastAsia" w:eastAsiaTheme="minorEastAsia"/>
              </w:rPr>
              <w:t>现有</w:t>
            </w:r>
            <w:r>
              <w:rPr>
                <w:rFonts w:eastAsiaTheme="minorEastAsia"/>
              </w:rPr>
              <w:t>项目食堂废水经隔油池处理后同生活污水经化粪池预处理后排入自建污水处理站处理达《城市污水再生利用 工业用水水质》（GB/T 19923-2024）表1间冷开式循环冷却水补充水限值要求后回用于焊管车间产品冷却用水。</w:t>
            </w:r>
          </w:p>
          <w:p w14:paraId="24FF4A70">
            <w:pPr>
              <w:spacing w:line="360" w:lineRule="auto"/>
              <w:ind w:firstLine="480" w:firstLineChars="200"/>
              <w:rPr>
                <w:sz w:val="24"/>
              </w:rPr>
            </w:pPr>
            <w:r>
              <w:rPr>
                <w:kern w:val="24"/>
                <w:sz w:val="24"/>
                <w:lang w:val="en-GB"/>
              </w:rPr>
              <w:t>（</w:t>
            </w:r>
            <w:r>
              <w:rPr>
                <w:rFonts w:hint="eastAsia"/>
                <w:kern w:val="24"/>
                <w:sz w:val="24"/>
                <w:lang w:val="en-GB"/>
              </w:rPr>
              <w:t>2</w:t>
            </w:r>
            <w:r>
              <w:rPr>
                <w:kern w:val="24"/>
                <w:sz w:val="24"/>
                <w:lang w:val="en-GB"/>
              </w:rPr>
              <w:t>）</w:t>
            </w:r>
            <w:r>
              <w:rPr>
                <w:rFonts w:hint="eastAsia"/>
                <w:sz w:val="24"/>
              </w:rPr>
              <w:t>依托</w:t>
            </w:r>
            <w:r>
              <w:rPr>
                <w:rFonts w:hint="eastAsia"/>
                <w:kern w:val="24"/>
                <w:sz w:val="24"/>
                <w:lang w:val="en-GB"/>
              </w:rPr>
              <w:t>现有项目</w:t>
            </w:r>
            <w:r>
              <w:rPr>
                <w:kern w:val="24"/>
                <w:sz w:val="24"/>
                <w:lang w:val="en-GB"/>
              </w:rPr>
              <w:t>废（污）水处理设施</w:t>
            </w:r>
            <w:r>
              <w:rPr>
                <w:rFonts w:hint="eastAsia"/>
                <w:sz w:val="24"/>
              </w:rPr>
              <w:t>的可行性分析</w:t>
            </w:r>
          </w:p>
          <w:p w14:paraId="562182D8">
            <w:pPr>
              <w:pStyle w:val="83"/>
              <w:ind w:firstLine="480"/>
            </w:pPr>
            <w:r>
              <w:rPr>
                <w:rFonts w:hint="eastAsia"/>
              </w:rPr>
              <w:t>通海齐拓金属制品有限公司现有项目污水处理设施处理规模为</w:t>
            </w:r>
            <w:r>
              <w:t>10m</w:t>
            </w:r>
            <w:r>
              <w:rPr>
                <w:vertAlign w:val="superscript"/>
              </w:rPr>
              <w:t>3</w:t>
            </w:r>
            <w:r>
              <w:t>/d</w:t>
            </w:r>
            <w:r>
              <w:rPr>
                <w:rFonts w:hint="eastAsia"/>
              </w:rPr>
              <w:t>，现有1个容积为2m</w:t>
            </w:r>
            <w:r>
              <w:rPr>
                <w:rFonts w:hint="eastAsia"/>
                <w:vertAlign w:val="superscript"/>
              </w:rPr>
              <w:t>3</w:t>
            </w:r>
            <w:r>
              <w:rPr>
                <w:rFonts w:hint="eastAsia"/>
              </w:rPr>
              <w:t>的隔油池和</w:t>
            </w:r>
            <w:r>
              <w:t>1</w:t>
            </w:r>
            <w:r>
              <w:rPr>
                <w:rFonts w:hint="eastAsia"/>
              </w:rPr>
              <w:t>个容积为</w:t>
            </w:r>
            <w:r>
              <w:t>1</w:t>
            </w:r>
            <w:r>
              <w:rPr>
                <w:rFonts w:hint="eastAsia"/>
              </w:rPr>
              <w:t>0m</w:t>
            </w:r>
            <w:r>
              <w:rPr>
                <w:rFonts w:hint="eastAsia"/>
                <w:vertAlign w:val="superscript"/>
              </w:rPr>
              <w:t>3</w:t>
            </w:r>
            <w:r>
              <w:rPr>
                <w:rFonts w:hint="eastAsia"/>
              </w:rPr>
              <w:t>的化粪池。污水处理站现状废水处理量约为</w:t>
            </w:r>
            <w:r>
              <w:rPr>
                <w:rFonts w:hAnsi="宋体"/>
              </w:rPr>
              <w:t xml:space="preserve">3.54 </w:t>
            </w:r>
            <w:r>
              <w:t>m</w:t>
            </w:r>
            <w:r>
              <w:rPr>
                <w:vertAlign w:val="superscript"/>
              </w:rPr>
              <w:t>3</w:t>
            </w:r>
            <w:r>
              <w:t>/d</w:t>
            </w:r>
            <w:r>
              <w:rPr>
                <w:rFonts w:hint="eastAsia"/>
              </w:rPr>
              <w:t>，本项目建成后新增</w:t>
            </w:r>
            <w:r>
              <w:rPr>
                <w:rFonts w:hint="eastAsia"/>
                <w:bCs/>
              </w:rPr>
              <w:t>生活污水量</w:t>
            </w:r>
            <w:r>
              <w:rPr>
                <w:kern w:val="24"/>
              </w:rPr>
              <w:t>4.32</w:t>
            </w:r>
            <w:r>
              <w:rPr>
                <w:rFonts w:hint="eastAsia"/>
              </w:rPr>
              <w:t>m</w:t>
            </w:r>
            <w:r>
              <w:rPr>
                <w:rFonts w:hint="eastAsia"/>
                <w:vertAlign w:val="superscript"/>
              </w:rPr>
              <w:t>3</w:t>
            </w:r>
            <w:r>
              <w:rPr>
                <w:rFonts w:hint="eastAsia"/>
              </w:rPr>
              <w:t>/d，生活污水总处理量为7</w:t>
            </w:r>
            <w:r>
              <w:t>.86</w:t>
            </w:r>
            <w:r>
              <w:rPr>
                <w:rFonts w:hint="eastAsia"/>
              </w:rPr>
              <w:t xml:space="preserve"> m</w:t>
            </w:r>
            <w:r>
              <w:rPr>
                <w:rFonts w:hint="eastAsia"/>
                <w:vertAlign w:val="superscript"/>
              </w:rPr>
              <w:t>3</w:t>
            </w:r>
            <w:r>
              <w:rPr>
                <w:rFonts w:hint="eastAsia"/>
              </w:rPr>
              <w:t>/d，现有1个容积为2m</w:t>
            </w:r>
            <w:r>
              <w:rPr>
                <w:rFonts w:hint="eastAsia"/>
                <w:vertAlign w:val="superscript"/>
              </w:rPr>
              <w:t>3</w:t>
            </w:r>
            <w:r>
              <w:rPr>
                <w:rFonts w:hint="eastAsia"/>
              </w:rPr>
              <w:t>的隔油池和</w:t>
            </w:r>
            <w:r>
              <w:t>1</w:t>
            </w:r>
            <w:r>
              <w:rPr>
                <w:rFonts w:hint="eastAsia"/>
              </w:rPr>
              <w:t>个容积为</w:t>
            </w:r>
            <w:r>
              <w:t>1</w:t>
            </w:r>
            <w:r>
              <w:rPr>
                <w:rFonts w:hint="eastAsia"/>
              </w:rPr>
              <w:t>0m</w:t>
            </w:r>
            <w:r>
              <w:rPr>
                <w:rFonts w:hint="eastAsia"/>
                <w:vertAlign w:val="superscript"/>
              </w:rPr>
              <w:t>3</w:t>
            </w:r>
            <w:r>
              <w:rPr>
                <w:rFonts w:hint="eastAsia"/>
              </w:rPr>
              <w:t>的化粪池。现有隔油池、化粪池容量大小能够满足，</w:t>
            </w:r>
            <w:r>
              <w:t>满足1.2的变化系数，满足24h的水力停留时间</w:t>
            </w:r>
            <w:r>
              <w:rPr>
                <w:rFonts w:hint="eastAsia"/>
              </w:rPr>
              <w:t>，</w:t>
            </w:r>
            <w:r>
              <w:t>具备依托条件。</w:t>
            </w:r>
            <w:r>
              <w:rPr>
                <w:rFonts w:hint="eastAsia"/>
              </w:rPr>
              <w:t>因此，污水处理站现有处理能力能够接纳本项目产生的生活污水</w:t>
            </w:r>
            <w:r>
              <w:rPr>
                <w:rFonts w:hint="eastAsia"/>
                <w:bCs/>
              </w:rPr>
              <w:t>。</w:t>
            </w:r>
          </w:p>
          <w:p w14:paraId="2CE22959">
            <w:pPr>
              <w:spacing w:line="360" w:lineRule="auto"/>
              <w:ind w:firstLine="480" w:firstLineChars="200"/>
              <w:rPr>
                <w:sz w:val="24"/>
              </w:rPr>
            </w:pPr>
            <w:r>
              <w:rPr>
                <w:rFonts w:hint="eastAsia"/>
                <w:sz w:val="24"/>
              </w:rPr>
              <w:t>通海齐拓金属制品有限公司现有项目污水处理设施采用厌氧生物处理+生物接触氧化处理+沉淀+消毒”工艺，参照《排污许可证申请与核发技术规范 水处理（试行）》(HJ 978-2018)中表4污水处理可行技术参照表中生活污水可行技术，现有项目污水处理工艺属于可行技术。</w:t>
            </w:r>
          </w:p>
          <w:p w14:paraId="54D599BF">
            <w:pPr>
              <w:adjustRightInd w:val="0"/>
              <w:snapToGrid w:val="0"/>
              <w:spacing w:line="360" w:lineRule="auto"/>
              <w:ind w:firstLine="480" w:firstLineChars="200"/>
              <w:rPr>
                <w:sz w:val="24"/>
              </w:rPr>
            </w:pPr>
            <w:r>
              <w:rPr>
                <w:rFonts w:hint="eastAsia"/>
                <w:bCs/>
                <w:sz w:val="24"/>
              </w:rPr>
              <w:t>根据原通海华宇工贸有限责任公司</w:t>
            </w:r>
            <w:r>
              <w:rPr>
                <w:rFonts w:hint="eastAsia"/>
                <w:bCs/>
                <w:snapToGrid w:val="0"/>
                <w:kern w:val="0"/>
                <w:sz w:val="24"/>
              </w:rPr>
              <w:t>《</w:t>
            </w:r>
            <w:r>
              <w:rPr>
                <w:rFonts w:hint="eastAsia"/>
                <w:bCs/>
                <w:sz w:val="24"/>
              </w:rPr>
              <w:t>年产30万吨型钢压延加工技术改造项目竣工环境保护验收监测报告表</w:t>
            </w:r>
            <w:r>
              <w:rPr>
                <w:rFonts w:hint="eastAsia"/>
                <w:bCs/>
                <w:snapToGrid w:val="0"/>
                <w:kern w:val="0"/>
                <w:sz w:val="24"/>
              </w:rPr>
              <w:t>》中对现有项目污水处理站出水口的废水检测结果，出水口水质指标能达到《城市污水再生利用 工业用水水质》（GB/T 19923-2024）表1间冷开式循环冷却水补充水要求</w:t>
            </w:r>
            <w:r>
              <w:rPr>
                <w:rFonts w:hint="eastAsia"/>
                <w:sz w:val="24"/>
              </w:rPr>
              <w:t>。</w:t>
            </w:r>
          </w:p>
          <w:p w14:paraId="3AF0DC4A">
            <w:pPr>
              <w:adjustRightInd w:val="0"/>
              <w:snapToGrid w:val="0"/>
              <w:spacing w:line="360" w:lineRule="auto"/>
              <w:ind w:firstLine="480" w:firstLineChars="200"/>
              <w:rPr>
                <w:sz w:val="24"/>
              </w:rPr>
            </w:pPr>
            <w:r>
              <w:rPr>
                <w:rFonts w:hint="eastAsia"/>
                <w:sz w:val="24"/>
              </w:rPr>
              <w:t>因此，本项目生活污水依托</w:t>
            </w:r>
            <w:r>
              <w:rPr>
                <w:rFonts w:hint="eastAsia"/>
                <w:kern w:val="24"/>
                <w:sz w:val="24"/>
                <w:lang w:val="en-GB"/>
              </w:rPr>
              <w:t>现有项目</w:t>
            </w:r>
            <w:r>
              <w:rPr>
                <w:kern w:val="24"/>
                <w:sz w:val="24"/>
                <w:lang w:val="en-GB"/>
              </w:rPr>
              <w:t>废（污）水处理设施</w:t>
            </w:r>
            <w:r>
              <w:rPr>
                <w:rFonts w:hint="eastAsia"/>
                <w:sz w:val="24"/>
              </w:rPr>
              <w:t>可行。</w:t>
            </w:r>
          </w:p>
          <w:p w14:paraId="1CD01B44">
            <w:pPr>
              <w:pStyle w:val="83"/>
              <w:ind w:firstLine="480"/>
            </w:pPr>
            <w:r>
              <w:rPr>
                <w:rFonts w:hint="eastAsia"/>
              </w:rPr>
              <w:t>（3）项目生活废水、生产废水不外排可行性分析</w:t>
            </w:r>
          </w:p>
          <w:p w14:paraId="4BEB512E">
            <w:pPr>
              <w:pStyle w:val="58"/>
              <w:spacing w:line="360" w:lineRule="auto"/>
              <w:ind w:firstLine="480" w:firstLineChars="200"/>
              <w:rPr>
                <w:rFonts w:hint="eastAsia" w:ascii="Times New Roman" w:cs="Times New Roman"/>
                <w:sz w:val="24"/>
                <w:lang w:val="en-US"/>
              </w:rPr>
            </w:pPr>
            <w:r>
              <w:rPr>
                <w:rFonts w:ascii="Times New Roman" w:hAnsi="Times New Roman" w:cs="Times New Roman"/>
                <w:sz w:val="24"/>
                <w:lang w:val="en-US"/>
              </w:rPr>
              <w:t>间接冷却水主要是对高频焊管机组电机等设备进行冷却，不与物料直接接触，为间接冷却水，水质较为洁净，循环使用</w:t>
            </w:r>
            <w:r>
              <w:rPr>
                <w:rFonts w:hint="eastAsia" w:ascii="Times New Roman" w:hAnsi="Times New Roman" w:cs="Times New Roman"/>
                <w:sz w:val="24"/>
                <w:lang w:val="en-US"/>
              </w:rPr>
              <w:t>，定期补充自来水，</w:t>
            </w:r>
            <w:r>
              <w:rPr>
                <w:rFonts w:ascii="Times New Roman" w:hAnsi="Times New Roman" w:cs="Times New Roman"/>
                <w:sz w:val="24"/>
                <w:lang w:val="en-US"/>
              </w:rPr>
              <w:t>不外排</w:t>
            </w:r>
            <w:r>
              <w:rPr>
                <w:rFonts w:hint="eastAsia"/>
              </w:rPr>
              <w:t>；</w:t>
            </w:r>
            <w:r>
              <w:rPr>
                <w:rFonts w:hint="eastAsia" w:ascii="Times New Roman" w:cs="Times New Roman"/>
                <w:sz w:val="24"/>
                <w:lang w:val="en-US"/>
              </w:rPr>
              <w:t>直接冷却水主要是对焊管进行冷却，与物料直接接触，为直接冷却水，通过生产线下方排水管道引入浊循环水池，焊管直接冷却水经沉淀、冷却后循环利用，循环水对水质的要求不高，定期补充污水处理站再生水，不外排。</w:t>
            </w:r>
          </w:p>
          <w:p w14:paraId="6983D7CB">
            <w:pPr>
              <w:pStyle w:val="83"/>
              <w:ind w:firstLine="480"/>
            </w:pPr>
            <w:r>
              <w:t>本项目建成后现有污水处理站每天产生的再生水量约</w:t>
            </w:r>
            <w:r>
              <w:rPr>
                <w:rFonts w:hint="eastAsia"/>
              </w:rPr>
              <w:t>7</w:t>
            </w:r>
            <w:r>
              <w:t>.86 m</w:t>
            </w:r>
            <w:r>
              <w:rPr>
                <w:vertAlign w:val="superscript"/>
              </w:rPr>
              <w:t>3</w:t>
            </w:r>
            <w:r>
              <w:t>/d，</w:t>
            </w:r>
            <w:r>
              <w:rPr>
                <w:rFonts w:hint="eastAsia" w:eastAsiaTheme="minorEastAsia"/>
              </w:rPr>
              <w:t>现有</w:t>
            </w:r>
            <w:r>
              <w:rPr>
                <w:rFonts w:eastAsiaTheme="minorEastAsia"/>
              </w:rPr>
              <w:t>项目</w:t>
            </w:r>
            <w:r>
              <w:rPr>
                <w:rFonts w:hint="eastAsia" w:eastAsiaTheme="minorEastAsia"/>
              </w:rPr>
              <w:t>产品直接冷却水补水量为</w:t>
            </w:r>
            <w:r>
              <w:rPr>
                <w:rFonts w:eastAsiaTheme="minorEastAsia"/>
              </w:rPr>
              <w:t>4 m</w:t>
            </w:r>
            <w:r>
              <w:rPr>
                <w:rFonts w:eastAsiaTheme="minorEastAsia"/>
                <w:vertAlign w:val="superscript"/>
              </w:rPr>
              <w:t>3</w:t>
            </w:r>
            <w:r>
              <w:rPr>
                <w:rFonts w:eastAsiaTheme="minorEastAsia"/>
              </w:rPr>
              <w:t>/d</w:t>
            </w:r>
            <w:r>
              <w:rPr>
                <w:rFonts w:hint="eastAsia" w:eastAsiaTheme="minorEastAsia"/>
              </w:rPr>
              <w:t>，本项目产品直接冷却水补水量为</w:t>
            </w:r>
            <w:r>
              <w:rPr>
                <w:rFonts w:eastAsiaTheme="minorEastAsia"/>
              </w:rPr>
              <w:t>8 m</w:t>
            </w:r>
            <w:r>
              <w:rPr>
                <w:rFonts w:eastAsiaTheme="minorEastAsia"/>
                <w:vertAlign w:val="superscript"/>
              </w:rPr>
              <w:t>3</w:t>
            </w:r>
            <w:r>
              <w:rPr>
                <w:rFonts w:eastAsiaTheme="minorEastAsia"/>
              </w:rPr>
              <w:t>/d</w:t>
            </w:r>
            <w:r>
              <w:rPr>
                <w:rFonts w:hint="eastAsia" w:eastAsiaTheme="minorEastAsia"/>
              </w:rPr>
              <w:t>，全厂产品直接冷却水补水量为</w:t>
            </w:r>
            <w:r>
              <w:rPr>
                <w:rFonts w:eastAsiaTheme="minorEastAsia"/>
              </w:rPr>
              <w:t>12 m</w:t>
            </w:r>
            <w:r>
              <w:rPr>
                <w:rFonts w:eastAsiaTheme="minorEastAsia"/>
                <w:vertAlign w:val="superscript"/>
              </w:rPr>
              <w:t>3</w:t>
            </w:r>
            <w:r>
              <w:rPr>
                <w:rFonts w:eastAsiaTheme="minorEastAsia"/>
              </w:rPr>
              <w:t>/d</w:t>
            </w:r>
            <w:r>
              <w:rPr>
                <w:rFonts w:hint="eastAsia" w:eastAsiaTheme="minorEastAsia"/>
              </w:rPr>
              <w:t>。</w:t>
            </w:r>
            <w:r>
              <w:t>污水处理站产生的再生水能够完全被消纳。</w:t>
            </w:r>
          </w:p>
          <w:p w14:paraId="44BB2D67">
            <w:pPr>
              <w:pStyle w:val="83"/>
              <w:ind w:firstLine="480"/>
            </w:pPr>
            <w:r>
              <w:t>因此，项目生活污水</w:t>
            </w:r>
            <w:r>
              <w:rPr>
                <w:rFonts w:hint="eastAsia"/>
              </w:rPr>
              <w:t>、生产废水</w:t>
            </w:r>
            <w:r>
              <w:t>不外排是可行的。</w:t>
            </w:r>
          </w:p>
          <w:p w14:paraId="0B188C6E">
            <w:pPr>
              <w:adjustRightInd w:val="0"/>
              <w:snapToGrid w:val="0"/>
              <w:spacing w:line="360" w:lineRule="auto"/>
              <w:jc w:val="left"/>
              <w:rPr>
                <w:b/>
                <w:bCs/>
                <w:sz w:val="24"/>
              </w:rPr>
            </w:pPr>
            <w:r>
              <w:rPr>
                <w:rFonts w:hint="eastAsia"/>
                <w:b/>
                <w:bCs/>
                <w:sz w:val="24"/>
              </w:rPr>
              <w:t>2.3地表水环境影响分析</w:t>
            </w:r>
          </w:p>
          <w:p w14:paraId="4030AE34">
            <w:pPr>
              <w:adjustRightInd w:val="0"/>
              <w:snapToGrid w:val="0"/>
              <w:spacing w:line="360" w:lineRule="auto"/>
              <w:ind w:firstLine="480" w:firstLineChars="200"/>
              <w:rPr>
                <w:bCs/>
                <w:sz w:val="24"/>
              </w:rPr>
            </w:pPr>
            <w:r>
              <w:rPr>
                <w:rFonts w:hint="eastAsia"/>
                <w:bCs/>
                <w:sz w:val="24"/>
              </w:rPr>
              <w:t>本项目废水主要为生活污水、生产废水。项目生产废水主要为焊管生产车间设备间接冷却水和产品直接冷却水。</w:t>
            </w:r>
          </w:p>
          <w:p w14:paraId="20C36BD6">
            <w:pPr>
              <w:pStyle w:val="83"/>
              <w:ind w:firstLine="480"/>
              <w:rPr>
                <w:bCs/>
              </w:rPr>
            </w:pPr>
            <w:r>
              <w:rPr>
                <w:rFonts w:hint="eastAsia"/>
              </w:rPr>
              <w:t>项目生活污水</w:t>
            </w:r>
            <w:r>
              <w:rPr>
                <w:rFonts w:hint="eastAsia"/>
                <w:bCs/>
              </w:rPr>
              <w:t>生活污水依托现有隔油池、化粪池和生活污水处理站处理，项目食堂废水经隔油池处理后与其他污水经化粪池预处理后，再排入现有生活污水处理站处理达《城市污水再生利用 工业用水水质》（GB/T 19923-2024）表1间冷开式循环冷却水补充水标准后用于直接冷却水的补充水，不外排。焊管生产车间设备间接冷却水经焊管设备净循环水池冷却后循环使用，不外排；产品直接冷却水经焊管车间浊循环水池冷却后循环使用，不外排。</w:t>
            </w:r>
          </w:p>
          <w:p w14:paraId="7BE8FA0E">
            <w:pPr>
              <w:pStyle w:val="83"/>
              <w:ind w:firstLine="480"/>
              <w:rPr>
                <w:szCs w:val="21"/>
              </w:rPr>
            </w:pPr>
            <w:r>
              <w:rPr>
                <w:rFonts w:hint="eastAsia"/>
                <w:kern w:val="24"/>
              </w:rPr>
              <w:t>经分析评价，</w:t>
            </w:r>
            <w:r>
              <w:rPr>
                <w:rFonts w:hint="eastAsia"/>
              </w:rPr>
              <w:t>本项目生活污水依托</w:t>
            </w:r>
            <w:r>
              <w:rPr>
                <w:rFonts w:hint="eastAsia"/>
                <w:kern w:val="24"/>
                <w:lang w:val="en-GB"/>
              </w:rPr>
              <w:t>现有项目</w:t>
            </w:r>
            <w:r>
              <w:rPr>
                <w:kern w:val="24"/>
                <w:lang w:val="en-GB"/>
              </w:rPr>
              <w:t>废（污）水处理设施</w:t>
            </w:r>
            <w:r>
              <w:rPr>
                <w:rFonts w:hint="eastAsia"/>
              </w:rPr>
              <w:t>可行，</w:t>
            </w:r>
            <w:r>
              <w:rPr>
                <w:kern w:val="24"/>
              </w:rPr>
              <w:t>项目</w:t>
            </w:r>
            <w:r>
              <w:rPr>
                <w:rFonts w:hint="eastAsia"/>
              </w:rPr>
              <w:t>生活废水、生产废水</w:t>
            </w:r>
            <w:r>
              <w:rPr>
                <w:rFonts w:hint="eastAsia"/>
                <w:kern w:val="24"/>
              </w:rPr>
              <w:t>回用</w:t>
            </w:r>
            <w:r>
              <w:rPr>
                <w:kern w:val="24"/>
              </w:rPr>
              <w:t>不外排可行</w:t>
            </w:r>
            <w:r>
              <w:rPr>
                <w:rFonts w:hint="eastAsia"/>
                <w:kern w:val="24"/>
              </w:rPr>
              <w:t>。</w:t>
            </w:r>
          </w:p>
          <w:p w14:paraId="64C5146B">
            <w:pPr>
              <w:pStyle w:val="76"/>
              <w:adjustRightInd w:val="0"/>
              <w:snapToGrid w:val="0"/>
              <w:spacing w:line="360" w:lineRule="auto"/>
              <w:ind w:firstLine="480"/>
              <w:jc w:val="left"/>
              <w:rPr>
                <w:sz w:val="24"/>
              </w:rPr>
            </w:pPr>
            <w:r>
              <w:rPr>
                <w:rFonts w:hint="eastAsia"/>
                <w:bCs/>
                <w:sz w:val="24"/>
              </w:rPr>
              <w:t>因此，本项目废水</w:t>
            </w:r>
            <w:r>
              <w:rPr>
                <w:rFonts w:hint="eastAsia"/>
                <w:sz w:val="24"/>
              </w:rPr>
              <w:t>对地表水环境影响较小，</w:t>
            </w:r>
            <w:r>
              <w:rPr>
                <w:sz w:val="24"/>
              </w:rPr>
              <w:t>地表水</w:t>
            </w:r>
            <w:r>
              <w:rPr>
                <w:rFonts w:hint="eastAsia"/>
                <w:sz w:val="24"/>
              </w:rPr>
              <w:t>环境</w:t>
            </w:r>
            <w:r>
              <w:rPr>
                <w:sz w:val="24"/>
              </w:rPr>
              <w:t>影响</w:t>
            </w:r>
            <w:r>
              <w:rPr>
                <w:rFonts w:hint="eastAsia"/>
                <w:sz w:val="24"/>
              </w:rPr>
              <w:t>可接受。</w:t>
            </w:r>
          </w:p>
          <w:p w14:paraId="3B06BFF5">
            <w:pPr>
              <w:adjustRightInd w:val="0"/>
              <w:snapToGrid w:val="0"/>
              <w:spacing w:line="360" w:lineRule="auto"/>
              <w:jc w:val="left"/>
              <w:rPr>
                <w:kern w:val="24"/>
              </w:rPr>
            </w:pPr>
            <w:r>
              <w:rPr>
                <w:rFonts w:hint="eastAsia"/>
                <w:b/>
                <w:bCs/>
                <w:sz w:val="24"/>
              </w:rPr>
              <w:t>2.4监测要求</w:t>
            </w:r>
          </w:p>
          <w:p w14:paraId="4DB605DB">
            <w:pPr>
              <w:adjustRightInd w:val="0"/>
              <w:snapToGrid w:val="0"/>
              <w:spacing w:line="360" w:lineRule="auto"/>
              <w:ind w:firstLine="480" w:firstLineChars="200"/>
              <w:rPr>
                <w:kern w:val="24"/>
                <w:sz w:val="24"/>
              </w:rPr>
            </w:pPr>
            <w:r>
              <w:rPr>
                <w:rFonts w:hint="eastAsia"/>
                <w:kern w:val="24"/>
                <w:sz w:val="24"/>
              </w:rPr>
              <w:t>根据《排污单位自行监测技术指南 总则》(HJ 819-2017)中相关要求，本项目运营期废水监测要求如下表。</w:t>
            </w:r>
          </w:p>
          <w:p w14:paraId="5B0B7A86">
            <w:pPr>
              <w:adjustRightInd w:val="0"/>
              <w:snapToGrid w:val="0"/>
              <w:spacing w:line="360" w:lineRule="auto"/>
              <w:ind w:firstLine="482" w:firstLineChars="200"/>
              <w:jc w:val="center"/>
              <w:rPr>
                <w:b/>
                <w:bCs/>
                <w:kern w:val="24"/>
                <w:sz w:val="24"/>
              </w:rPr>
            </w:pPr>
            <w:r>
              <w:rPr>
                <w:b/>
                <w:bCs/>
                <w:kern w:val="24"/>
                <w:sz w:val="24"/>
              </w:rPr>
              <w:t>表</w:t>
            </w:r>
            <w:r>
              <w:rPr>
                <w:rFonts w:hint="eastAsia"/>
                <w:b/>
                <w:bCs/>
                <w:kern w:val="24"/>
                <w:sz w:val="24"/>
              </w:rPr>
              <w:t>4-11</w:t>
            </w:r>
            <w:r>
              <w:rPr>
                <w:b/>
                <w:bCs/>
                <w:kern w:val="24"/>
                <w:sz w:val="24"/>
              </w:rPr>
              <w:t xml:space="preserve">  </w:t>
            </w:r>
            <w:r>
              <w:rPr>
                <w:rFonts w:hint="eastAsia"/>
                <w:b/>
                <w:bCs/>
                <w:kern w:val="24"/>
                <w:sz w:val="24"/>
              </w:rPr>
              <w:t>项目运营期废水</w:t>
            </w:r>
            <w:r>
              <w:rPr>
                <w:b/>
                <w:bCs/>
                <w:kern w:val="24"/>
                <w:sz w:val="24"/>
              </w:rPr>
              <w:t>监测</w:t>
            </w:r>
            <w:r>
              <w:rPr>
                <w:rFonts w:hint="eastAsia"/>
                <w:b/>
                <w:bCs/>
                <w:kern w:val="24"/>
                <w:sz w:val="24"/>
              </w:rPr>
              <w:t>要求</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04"/>
              <w:gridCol w:w="2481"/>
              <w:gridCol w:w="1134"/>
              <w:gridCol w:w="3010"/>
            </w:tblGrid>
            <w:tr w14:paraId="48FC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1" w:type="dxa"/>
                  <w:vAlign w:val="center"/>
                </w:tcPr>
                <w:p w14:paraId="626849F5">
                  <w:pPr>
                    <w:jc w:val="center"/>
                    <w:rPr>
                      <w:szCs w:val="21"/>
                    </w:rPr>
                  </w:pPr>
                  <w:r>
                    <w:rPr>
                      <w:rFonts w:hint="eastAsia"/>
                      <w:szCs w:val="21"/>
                    </w:rPr>
                    <w:t>项目</w:t>
                  </w:r>
                </w:p>
              </w:tc>
              <w:tc>
                <w:tcPr>
                  <w:tcW w:w="1504" w:type="dxa"/>
                  <w:vAlign w:val="center"/>
                </w:tcPr>
                <w:p w14:paraId="55EA2FB1">
                  <w:pPr>
                    <w:jc w:val="center"/>
                    <w:rPr>
                      <w:szCs w:val="21"/>
                    </w:rPr>
                  </w:pPr>
                  <w:r>
                    <w:rPr>
                      <w:rFonts w:hint="eastAsia"/>
                      <w:szCs w:val="21"/>
                    </w:rPr>
                    <w:t>监测点位</w:t>
                  </w:r>
                </w:p>
              </w:tc>
              <w:tc>
                <w:tcPr>
                  <w:tcW w:w="2481" w:type="dxa"/>
                  <w:vAlign w:val="center"/>
                </w:tcPr>
                <w:p w14:paraId="14348487">
                  <w:pPr>
                    <w:jc w:val="center"/>
                    <w:rPr>
                      <w:szCs w:val="21"/>
                    </w:rPr>
                  </w:pPr>
                  <w:r>
                    <w:rPr>
                      <w:rFonts w:hint="eastAsia"/>
                      <w:szCs w:val="21"/>
                    </w:rPr>
                    <w:t>监测因子</w:t>
                  </w:r>
                </w:p>
              </w:tc>
              <w:tc>
                <w:tcPr>
                  <w:tcW w:w="1134" w:type="dxa"/>
                  <w:vAlign w:val="center"/>
                </w:tcPr>
                <w:p w14:paraId="3DCCDFBF">
                  <w:pPr>
                    <w:jc w:val="center"/>
                    <w:rPr>
                      <w:szCs w:val="21"/>
                    </w:rPr>
                  </w:pPr>
                  <w:r>
                    <w:rPr>
                      <w:rFonts w:hint="eastAsia"/>
                      <w:szCs w:val="21"/>
                    </w:rPr>
                    <w:t>监测频次</w:t>
                  </w:r>
                </w:p>
              </w:tc>
              <w:tc>
                <w:tcPr>
                  <w:tcW w:w="3010" w:type="dxa"/>
                  <w:vAlign w:val="center"/>
                </w:tcPr>
                <w:p w14:paraId="77B07EC5">
                  <w:pPr>
                    <w:jc w:val="center"/>
                    <w:rPr>
                      <w:szCs w:val="21"/>
                    </w:rPr>
                  </w:pPr>
                  <w:r>
                    <w:rPr>
                      <w:rFonts w:hint="eastAsia"/>
                      <w:szCs w:val="21"/>
                    </w:rPr>
                    <w:t>执行标准</w:t>
                  </w:r>
                </w:p>
              </w:tc>
            </w:tr>
            <w:tr w14:paraId="00D5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11BCF8B3">
                  <w:pPr>
                    <w:jc w:val="center"/>
                    <w:rPr>
                      <w:szCs w:val="21"/>
                    </w:rPr>
                  </w:pPr>
                  <w:r>
                    <w:rPr>
                      <w:rFonts w:hint="eastAsia"/>
                      <w:szCs w:val="21"/>
                    </w:rPr>
                    <w:t>废水</w:t>
                  </w:r>
                </w:p>
              </w:tc>
              <w:tc>
                <w:tcPr>
                  <w:tcW w:w="1504" w:type="dxa"/>
                  <w:vAlign w:val="center"/>
                </w:tcPr>
                <w:p w14:paraId="199D9FA1">
                  <w:pPr>
                    <w:jc w:val="center"/>
                    <w:rPr>
                      <w:szCs w:val="21"/>
                    </w:rPr>
                  </w:pPr>
                  <w:r>
                    <w:rPr>
                      <w:rFonts w:hint="eastAsia"/>
                      <w:szCs w:val="21"/>
                    </w:rPr>
                    <w:t>现有项目污水处理站出水口</w:t>
                  </w:r>
                </w:p>
              </w:tc>
              <w:tc>
                <w:tcPr>
                  <w:tcW w:w="2481" w:type="dxa"/>
                  <w:vAlign w:val="center"/>
                </w:tcPr>
                <w:p w14:paraId="4F01AA98">
                  <w:pPr>
                    <w:jc w:val="center"/>
                    <w:rPr>
                      <w:szCs w:val="21"/>
                    </w:rPr>
                  </w:pPr>
                  <w:r>
                    <w:rPr>
                      <w:rFonts w:hint="eastAsia"/>
                      <w:szCs w:val="21"/>
                    </w:rPr>
                    <w:t>流量、pH、浊度、</w:t>
                  </w:r>
                  <w:r>
                    <w:rPr>
                      <w:szCs w:val="21"/>
                    </w:rPr>
                    <w:t>色度</w:t>
                  </w:r>
                  <w:r>
                    <w:rPr>
                      <w:rFonts w:hint="eastAsia"/>
                      <w:szCs w:val="21"/>
                    </w:rPr>
                    <w:t>、五日</w:t>
                  </w:r>
                  <w:r>
                    <w:rPr>
                      <w:szCs w:val="21"/>
                    </w:rPr>
                    <w:t>生化需氧量、化学需氧量、铁</w:t>
                  </w:r>
                  <w:r>
                    <w:rPr>
                      <w:rFonts w:hint="eastAsia"/>
                      <w:szCs w:val="21"/>
                    </w:rPr>
                    <w:t>、</w:t>
                  </w:r>
                  <w:r>
                    <w:rPr>
                      <w:szCs w:val="21"/>
                    </w:rPr>
                    <w:t>锰</w:t>
                  </w:r>
                  <w:r>
                    <w:rPr>
                      <w:rFonts w:hint="eastAsia"/>
                      <w:szCs w:val="21"/>
                    </w:rPr>
                    <w:t>、氯化物、</w:t>
                  </w:r>
                  <w:r>
                    <w:rPr>
                      <w:szCs w:val="21"/>
                    </w:rPr>
                    <w:t>二氧化硅</w:t>
                  </w:r>
                  <w:r>
                    <w:rPr>
                      <w:rFonts w:hint="eastAsia"/>
                      <w:szCs w:val="21"/>
                    </w:rPr>
                    <w:t>、总硬度、总碱度、硫酸盐、氨氮、总磷、</w:t>
                  </w:r>
                  <w:r>
                    <w:rPr>
                      <w:szCs w:val="21"/>
                    </w:rPr>
                    <w:t>溶解性总固体</w:t>
                  </w:r>
                  <w:r>
                    <w:rPr>
                      <w:rFonts w:hint="eastAsia"/>
                      <w:szCs w:val="21"/>
                    </w:rPr>
                    <w:t>、</w:t>
                  </w:r>
                  <w:r>
                    <w:rPr>
                      <w:szCs w:val="21"/>
                    </w:rPr>
                    <w:t>石油类</w:t>
                  </w:r>
                  <w:r>
                    <w:rPr>
                      <w:rFonts w:hint="eastAsia"/>
                      <w:szCs w:val="21"/>
                    </w:rPr>
                    <w:t>、</w:t>
                  </w:r>
                  <w:r>
                    <w:rPr>
                      <w:szCs w:val="21"/>
                    </w:rPr>
                    <w:t>阴离子表面活性</w:t>
                  </w:r>
                  <w:r>
                    <w:rPr>
                      <w:rFonts w:hint="eastAsia"/>
                      <w:szCs w:val="21"/>
                    </w:rPr>
                    <w:t>、总</w:t>
                  </w:r>
                  <w:r>
                    <w:rPr>
                      <w:szCs w:val="21"/>
                    </w:rPr>
                    <w:t>余氯</w:t>
                  </w:r>
                  <w:r>
                    <w:rPr>
                      <w:rFonts w:hint="eastAsia"/>
                      <w:szCs w:val="21"/>
                    </w:rPr>
                    <w:t>、粪大肠菌群</w:t>
                  </w:r>
                </w:p>
              </w:tc>
              <w:tc>
                <w:tcPr>
                  <w:tcW w:w="1134" w:type="dxa"/>
                  <w:vAlign w:val="center"/>
                </w:tcPr>
                <w:p w14:paraId="0DFA7186">
                  <w:pPr>
                    <w:jc w:val="center"/>
                    <w:rPr>
                      <w:szCs w:val="21"/>
                    </w:rPr>
                  </w:pPr>
                  <w:r>
                    <w:rPr>
                      <w:rFonts w:hint="eastAsia"/>
                      <w:szCs w:val="21"/>
                    </w:rPr>
                    <w:t>1次/年</w:t>
                  </w:r>
                </w:p>
              </w:tc>
              <w:tc>
                <w:tcPr>
                  <w:tcW w:w="3010" w:type="dxa"/>
                  <w:vAlign w:val="center"/>
                </w:tcPr>
                <w:p w14:paraId="5BE1CF29">
                  <w:pPr>
                    <w:jc w:val="center"/>
                    <w:rPr>
                      <w:szCs w:val="21"/>
                    </w:rPr>
                  </w:pPr>
                  <w:r>
                    <w:rPr>
                      <w:rFonts w:hint="eastAsia"/>
                    </w:rPr>
                    <w:t>《城市污水再生利用 工业用水水质》（GB/T 19923-2024）表1间冷开式循环冷却水补充水标准</w:t>
                  </w:r>
                </w:p>
              </w:tc>
            </w:tr>
          </w:tbl>
          <w:p w14:paraId="0DAB17BB">
            <w:pPr>
              <w:adjustRightInd w:val="0"/>
              <w:snapToGrid w:val="0"/>
              <w:spacing w:line="360" w:lineRule="auto"/>
              <w:ind w:firstLine="480" w:firstLineChars="200"/>
              <w:rPr>
                <w:sz w:val="24"/>
              </w:rPr>
            </w:pPr>
          </w:p>
          <w:p w14:paraId="542BA169">
            <w:pPr>
              <w:adjustRightInd w:val="0"/>
              <w:snapToGrid w:val="0"/>
              <w:spacing w:line="360" w:lineRule="auto"/>
              <w:jc w:val="left"/>
              <w:rPr>
                <w:b/>
                <w:bCs/>
                <w:sz w:val="24"/>
              </w:rPr>
            </w:pPr>
            <w:r>
              <w:rPr>
                <w:rFonts w:hint="eastAsia"/>
                <w:b/>
                <w:bCs/>
                <w:sz w:val="24"/>
              </w:rPr>
              <w:t>3、运营期</w:t>
            </w:r>
            <w:r>
              <w:rPr>
                <w:rFonts w:hint="eastAsia"/>
                <w:b/>
                <w:kern w:val="24"/>
                <w:sz w:val="24"/>
              </w:rPr>
              <w:t>噪声</w:t>
            </w:r>
            <w:r>
              <w:rPr>
                <w:rFonts w:hint="eastAsia"/>
                <w:b/>
                <w:bCs/>
                <w:sz w:val="24"/>
              </w:rPr>
              <w:t>环境影响和保护措施</w:t>
            </w:r>
          </w:p>
          <w:p w14:paraId="28DC1801">
            <w:pPr>
              <w:adjustRightInd w:val="0"/>
              <w:snapToGrid w:val="0"/>
              <w:spacing w:line="360" w:lineRule="auto"/>
              <w:jc w:val="left"/>
              <w:rPr>
                <w:b/>
                <w:bCs/>
                <w:sz w:val="24"/>
              </w:rPr>
            </w:pPr>
            <w:r>
              <w:rPr>
                <w:rFonts w:hint="eastAsia"/>
                <w:b/>
                <w:bCs/>
                <w:sz w:val="24"/>
              </w:rPr>
              <w:t>3.1</w:t>
            </w:r>
            <w:r>
              <w:rPr>
                <w:rFonts w:hint="eastAsia"/>
                <w:b/>
                <w:kern w:val="24"/>
                <w:sz w:val="24"/>
              </w:rPr>
              <w:t>噪声</w:t>
            </w:r>
            <w:r>
              <w:rPr>
                <w:rFonts w:hint="eastAsia"/>
                <w:b/>
                <w:bCs/>
                <w:sz w:val="24"/>
              </w:rPr>
              <w:t>源强</w:t>
            </w:r>
          </w:p>
          <w:p w14:paraId="628390FF">
            <w:pPr>
              <w:adjustRightInd w:val="0"/>
              <w:snapToGrid w:val="0"/>
              <w:spacing w:line="360" w:lineRule="auto"/>
              <w:ind w:firstLine="480" w:firstLineChars="200"/>
              <w:rPr>
                <w:kern w:val="24"/>
                <w:sz w:val="24"/>
              </w:rPr>
            </w:pPr>
            <w:bookmarkStart w:id="19" w:name="_Hlk142839523"/>
            <w:bookmarkStart w:id="20" w:name="_Hlk142839543"/>
            <w:r>
              <w:rPr>
                <w:rFonts w:hint="eastAsia"/>
                <w:sz w:val="24"/>
              </w:rPr>
              <w:t>本项目</w:t>
            </w:r>
            <w:r>
              <w:rPr>
                <w:sz w:val="24"/>
              </w:rPr>
              <w:t>噪声源</w:t>
            </w:r>
            <w:r>
              <w:rPr>
                <w:rFonts w:hint="eastAsia"/>
                <w:sz w:val="24"/>
              </w:rPr>
              <w:t>主要为</w:t>
            </w:r>
            <w:r>
              <w:rPr>
                <w:rFonts w:hint="eastAsia"/>
                <w:kern w:val="24"/>
                <w:sz w:val="24"/>
              </w:rPr>
              <w:t>生产设备噪声，本项设备噪声源强约85~90dB（A），通过选用低噪声设备、合理布局、基础减震，</w:t>
            </w:r>
            <w:r>
              <w:rPr>
                <w:rFonts w:hint="eastAsia"/>
                <w:sz w:val="24"/>
              </w:rPr>
              <w:t>厂房隔声，消声器等措施</w:t>
            </w:r>
            <w:r>
              <w:rPr>
                <w:rFonts w:hint="eastAsia"/>
                <w:kern w:val="24"/>
                <w:sz w:val="24"/>
              </w:rPr>
              <w:t>，噪声值可降低10~20dB（A）。各主要噪声源的见表</w:t>
            </w:r>
            <w:r>
              <w:rPr>
                <w:kern w:val="24"/>
                <w:sz w:val="24"/>
              </w:rPr>
              <w:t>4-</w:t>
            </w:r>
            <w:r>
              <w:rPr>
                <w:rFonts w:hint="eastAsia"/>
                <w:kern w:val="24"/>
                <w:sz w:val="24"/>
              </w:rPr>
              <w:t>12。</w:t>
            </w:r>
          </w:p>
          <w:p w14:paraId="6C5E82CA">
            <w:pPr>
              <w:adjustRightInd w:val="0"/>
              <w:snapToGrid w:val="0"/>
              <w:spacing w:line="360" w:lineRule="auto"/>
              <w:ind w:firstLine="482" w:firstLineChars="200"/>
              <w:jc w:val="center"/>
              <w:rPr>
                <w:b/>
                <w:kern w:val="24"/>
                <w:sz w:val="24"/>
              </w:rPr>
            </w:pPr>
            <w:r>
              <w:rPr>
                <w:rFonts w:hint="eastAsia"/>
                <w:b/>
                <w:kern w:val="24"/>
                <w:sz w:val="24"/>
              </w:rPr>
              <w:t>4-12  项目建成后全厂主要设备及噪声源强一览表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5"/>
              <w:gridCol w:w="1282"/>
              <w:gridCol w:w="845"/>
              <w:gridCol w:w="1211"/>
              <w:gridCol w:w="1021"/>
              <w:gridCol w:w="1714"/>
              <w:gridCol w:w="1108"/>
              <w:gridCol w:w="654"/>
            </w:tblGrid>
            <w:tr w14:paraId="7EE8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restart"/>
                  <w:shd w:val="clear" w:color="auto" w:fill="auto"/>
                  <w:vAlign w:val="center"/>
                </w:tcPr>
                <w:p w14:paraId="18D75BEA">
                  <w:pPr>
                    <w:adjustRightInd w:val="0"/>
                    <w:jc w:val="center"/>
                    <w:rPr>
                      <w:szCs w:val="21"/>
                    </w:rPr>
                  </w:pPr>
                  <w:bookmarkStart w:id="21" w:name="_Hlk143114804"/>
                  <w:r>
                    <w:rPr>
                      <w:rFonts w:hint="eastAsia"/>
                      <w:szCs w:val="21"/>
                    </w:rPr>
                    <w:t>工序</w:t>
                  </w:r>
                </w:p>
              </w:tc>
              <w:tc>
                <w:tcPr>
                  <w:tcW w:w="721" w:type="pct"/>
                  <w:vMerge w:val="restart"/>
                  <w:shd w:val="clear" w:color="auto" w:fill="auto"/>
                  <w:vAlign w:val="center"/>
                </w:tcPr>
                <w:p w14:paraId="18EDCF4A">
                  <w:pPr>
                    <w:adjustRightInd w:val="0"/>
                    <w:jc w:val="center"/>
                    <w:rPr>
                      <w:szCs w:val="21"/>
                    </w:rPr>
                  </w:pPr>
                  <w:r>
                    <w:rPr>
                      <w:szCs w:val="21"/>
                    </w:rPr>
                    <w:t>噪声源</w:t>
                  </w:r>
                </w:p>
              </w:tc>
              <w:tc>
                <w:tcPr>
                  <w:tcW w:w="475" w:type="pct"/>
                  <w:vMerge w:val="restart"/>
                  <w:vAlign w:val="center"/>
                </w:tcPr>
                <w:p w14:paraId="763614F5">
                  <w:pPr>
                    <w:adjustRightInd w:val="0"/>
                    <w:jc w:val="center"/>
                    <w:rPr>
                      <w:szCs w:val="21"/>
                    </w:rPr>
                  </w:pPr>
                  <w:r>
                    <w:rPr>
                      <w:rFonts w:hint="eastAsia"/>
                      <w:szCs w:val="21"/>
                    </w:rPr>
                    <w:t>数量</w:t>
                  </w:r>
                </w:p>
              </w:tc>
              <w:tc>
                <w:tcPr>
                  <w:tcW w:w="681" w:type="pct"/>
                  <w:vMerge w:val="restart"/>
                  <w:shd w:val="clear" w:color="auto" w:fill="auto"/>
                  <w:vAlign w:val="center"/>
                </w:tcPr>
                <w:p w14:paraId="13CEFB5C">
                  <w:pPr>
                    <w:adjustRightInd w:val="0"/>
                    <w:jc w:val="center"/>
                    <w:rPr>
                      <w:szCs w:val="21"/>
                    </w:rPr>
                  </w:pPr>
                  <w:r>
                    <w:rPr>
                      <w:rFonts w:hint="eastAsia"/>
                      <w:szCs w:val="21"/>
                    </w:rPr>
                    <w:t>声源位置</w:t>
                  </w:r>
                </w:p>
              </w:tc>
              <w:tc>
                <w:tcPr>
                  <w:tcW w:w="574" w:type="pct"/>
                  <w:vMerge w:val="restart"/>
                  <w:vAlign w:val="center"/>
                </w:tcPr>
                <w:p w14:paraId="068DB1BF">
                  <w:pPr>
                    <w:adjustRightInd w:val="0"/>
                    <w:jc w:val="center"/>
                    <w:rPr>
                      <w:szCs w:val="21"/>
                    </w:rPr>
                  </w:pPr>
                  <w:r>
                    <w:rPr>
                      <w:rFonts w:hint="eastAsia"/>
                      <w:szCs w:val="21"/>
                    </w:rPr>
                    <w:t>排放特征</w:t>
                  </w:r>
                </w:p>
              </w:tc>
              <w:tc>
                <w:tcPr>
                  <w:tcW w:w="964" w:type="pct"/>
                  <w:shd w:val="clear" w:color="auto" w:fill="auto"/>
                  <w:vAlign w:val="center"/>
                </w:tcPr>
                <w:p w14:paraId="04E89E25">
                  <w:pPr>
                    <w:adjustRightInd w:val="0"/>
                    <w:jc w:val="center"/>
                    <w:rPr>
                      <w:szCs w:val="21"/>
                    </w:rPr>
                  </w:pPr>
                  <w:r>
                    <w:rPr>
                      <w:rFonts w:hint="eastAsia"/>
                      <w:szCs w:val="21"/>
                    </w:rPr>
                    <w:t>声源源强</w:t>
                  </w:r>
                </w:p>
              </w:tc>
              <w:tc>
                <w:tcPr>
                  <w:tcW w:w="623" w:type="pct"/>
                  <w:vMerge w:val="restart"/>
                  <w:shd w:val="clear" w:color="auto" w:fill="auto"/>
                  <w:vAlign w:val="center"/>
                </w:tcPr>
                <w:p w14:paraId="6B0795EE">
                  <w:pPr>
                    <w:adjustRightInd w:val="0"/>
                    <w:jc w:val="center"/>
                    <w:rPr>
                      <w:szCs w:val="21"/>
                    </w:rPr>
                  </w:pPr>
                  <w:r>
                    <w:rPr>
                      <w:rFonts w:hint="eastAsia"/>
                      <w:szCs w:val="21"/>
                    </w:rPr>
                    <w:t>源强数据来源</w:t>
                  </w:r>
                </w:p>
              </w:tc>
              <w:tc>
                <w:tcPr>
                  <w:tcW w:w="368" w:type="pct"/>
                  <w:vMerge w:val="restart"/>
                  <w:shd w:val="clear" w:color="auto" w:fill="auto"/>
                  <w:vAlign w:val="center"/>
                </w:tcPr>
                <w:p w14:paraId="1D0FB6E9">
                  <w:pPr>
                    <w:adjustRightInd w:val="0"/>
                    <w:jc w:val="center"/>
                    <w:rPr>
                      <w:szCs w:val="21"/>
                    </w:rPr>
                  </w:pPr>
                  <w:r>
                    <w:rPr>
                      <w:rFonts w:hint="eastAsia"/>
                      <w:szCs w:val="21"/>
                    </w:rPr>
                    <w:t>运行时间</w:t>
                  </w:r>
                  <w:r>
                    <w:rPr>
                      <w:szCs w:val="21"/>
                    </w:rPr>
                    <w:t>/h</w:t>
                  </w:r>
                </w:p>
              </w:tc>
            </w:tr>
            <w:tr w14:paraId="2CAD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44432361">
                  <w:pPr>
                    <w:adjustRightInd w:val="0"/>
                    <w:jc w:val="center"/>
                    <w:rPr>
                      <w:szCs w:val="21"/>
                    </w:rPr>
                  </w:pPr>
                </w:p>
              </w:tc>
              <w:tc>
                <w:tcPr>
                  <w:tcW w:w="721" w:type="pct"/>
                  <w:vMerge w:val="continue"/>
                  <w:shd w:val="clear" w:color="auto" w:fill="auto"/>
                  <w:vAlign w:val="center"/>
                </w:tcPr>
                <w:p w14:paraId="5EB111AF">
                  <w:pPr>
                    <w:adjustRightInd w:val="0"/>
                    <w:jc w:val="center"/>
                    <w:rPr>
                      <w:szCs w:val="21"/>
                    </w:rPr>
                  </w:pPr>
                </w:p>
              </w:tc>
              <w:tc>
                <w:tcPr>
                  <w:tcW w:w="475" w:type="pct"/>
                  <w:vMerge w:val="continue"/>
                  <w:vAlign w:val="center"/>
                </w:tcPr>
                <w:p w14:paraId="4A00516C">
                  <w:pPr>
                    <w:adjustRightInd w:val="0"/>
                    <w:jc w:val="center"/>
                    <w:rPr>
                      <w:szCs w:val="21"/>
                    </w:rPr>
                  </w:pPr>
                </w:p>
              </w:tc>
              <w:tc>
                <w:tcPr>
                  <w:tcW w:w="681" w:type="pct"/>
                  <w:vMerge w:val="continue"/>
                  <w:shd w:val="clear" w:color="auto" w:fill="auto"/>
                  <w:vAlign w:val="center"/>
                </w:tcPr>
                <w:p w14:paraId="094076D4">
                  <w:pPr>
                    <w:adjustRightInd w:val="0"/>
                    <w:jc w:val="center"/>
                    <w:rPr>
                      <w:szCs w:val="21"/>
                    </w:rPr>
                  </w:pPr>
                </w:p>
              </w:tc>
              <w:tc>
                <w:tcPr>
                  <w:tcW w:w="574" w:type="pct"/>
                  <w:vMerge w:val="continue"/>
                  <w:vAlign w:val="center"/>
                </w:tcPr>
                <w:p w14:paraId="091B4749">
                  <w:pPr>
                    <w:adjustRightInd w:val="0"/>
                    <w:jc w:val="center"/>
                    <w:rPr>
                      <w:szCs w:val="21"/>
                    </w:rPr>
                  </w:pPr>
                </w:p>
              </w:tc>
              <w:tc>
                <w:tcPr>
                  <w:tcW w:w="964" w:type="pct"/>
                  <w:shd w:val="clear" w:color="auto" w:fill="auto"/>
                  <w:vAlign w:val="center"/>
                </w:tcPr>
                <w:p w14:paraId="768A6BB2">
                  <w:pPr>
                    <w:adjustRightInd w:val="0"/>
                    <w:jc w:val="center"/>
                    <w:rPr>
                      <w:szCs w:val="21"/>
                    </w:rPr>
                  </w:pPr>
                  <w:r>
                    <w:rPr>
                      <w:rFonts w:hint="eastAsia"/>
                      <w:szCs w:val="21"/>
                    </w:rPr>
                    <w:t>(声压级/距声源距离)/(dB(A)/1m)</w:t>
                  </w:r>
                </w:p>
              </w:tc>
              <w:tc>
                <w:tcPr>
                  <w:tcW w:w="623" w:type="pct"/>
                  <w:vMerge w:val="continue"/>
                  <w:shd w:val="clear" w:color="auto" w:fill="auto"/>
                  <w:vAlign w:val="center"/>
                </w:tcPr>
                <w:p w14:paraId="37528400">
                  <w:pPr>
                    <w:adjustRightInd w:val="0"/>
                    <w:jc w:val="center"/>
                    <w:rPr>
                      <w:szCs w:val="21"/>
                    </w:rPr>
                  </w:pPr>
                </w:p>
              </w:tc>
              <w:tc>
                <w:tcPr>
                  <w:tcW w:w="368" w:type="pct"/>
                  <w:vMerge w:val="continue"/>
                  <w:shd w:val="clear" w:color="auto" w:fill="auto"/>
                  <w:vAlign w:val="center"/>
                </w:tcPr>
                <w:p w14:paraId="739EC30C">
                  <w:pPr>
                    <w:adjustRightInd w:val="0"/>
                    <w:jc w:val="center"/>
                    <w:rPr>
                      <w:szCs w:val="21"/>
                    </w:rPr>
                  </w:pPr>
                </w:p>
              </w:tc>
            </w:tr>
            <w:tr w14:paraId="12A8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restart"/>
                  <w:shd w:val="clear" w:color="auto" w:fill="auto"/>
                  <w:vAlign w:val="center"/>
                </w:tcPr>
                <w:p w14:paraId="1A495594">
                  <w:pPr>
                    <w:adjustRightInd w:val="0"/>
                    <w:jc w:val="center"/>
                    <w:rPr>
                      <w:szCs w:val="21"/>
                    </w:rPr>
                  </w:pPr>
                  <w:r>
                    <w:rPr>
                      <w:rFonts w:hint="eastAsia"/>
                      <w:szCs w:val="21"/>
                    </w:rPr>
                    <w:t>一车间（现有项目）</w:t>
                  </w:r>
                </w:p>
              </w:tc>
              <w:tc>
                <w:tcPr>
                  <w:tcW w:w="721" w:type="pct"/>
                  <w:shd w:val="clear" w:color="auto" w:fill="auto"/>
                  <w:vAlign w:val="center"/>
                </w:tcPr>
                <w:p w14:paraId="0A64DB59">
                  <w:pPr>
                    <w:adjustRightInd w:val="0"/>
                    <w:jc w:val="center"/>
                    <w:rPr>
                      <w:szCs w:val="21"/>
                    </w:rPr>
                  </w:pPr>
                  <w:r>
                    <w:rPr>
                      <w:rFonts w:hint="eastAsia"/>
                      <w:szCs w:val="21"/>
                    </w:rPr>
                    <w:t>高频直缝焊管机组</w:t>
                  </w:r>
                </w:p>
              </w:tc>
              <w:tc>
                <w:tcPr>
                  <w:tcW w:w="475" w:type="pct"/>
                  <w:vAlign w:val="center"/>
                </w:tcPr>
                <w:p w14:paraId="5A3F8ADF">
                  <w:pPr>
                    <w:adjustRightInd w:val="0"/>
                    <w:jc w:val="center"/>
                    <w:rPr>
                      <w:szCs w:val="21"/>
                    </w:rPr>
                  </w:pPr>
                  <w:r>
                    <w:rPr>
                      <w:rFonts w:hint="eastAsia"/>
                      <w:szCs w:val="21"/>
                    </w:rPr>
                    <w:t>2台</w:t>
                  </w:r>
                </w:p>
              </w:tc>
              <w:tc>
                <w:tcPr>
                  <w:tcW w:w="681" w:type="pct"/>
                  <w:shd w:val="clear" w:color="auto" w:fill="auto"/>
                  <w:vAlign w:val="center"/>
                </w:tcPr>
                <w:p w14:paraId="52BF66ED">
                  <w:pPr>
                    <w:adjustRightInd w:val="0"/>
                    <w:jc w:val="center"/>
                    <w:rPr>
                      <w:szCs w:val="21"/>
                    </w:rPr>
                  </w:pPr>
                  <w:r>
                    <w:rPr>
                      <w:rFonts w:hint="eastAsia"/>
                      <w:szCs w:val="21"/>
                    </w:rPr>
                    <w:t>室内</w:t>
                  </w:r>
                </w:p>
              </w:tc>
              <w:tc>
                <w:tcPr>
                  <w:tcW w:w="574" w:type="pct"/>
                  <w:vAlign w:val="center"/>
                </w:tcPr>
                <w:p w14:paraId="13DC6ABE">
                  <w:pPr>
                    <w:adjustRightInd w:val="0"/>
                    <w:jc w:val="center"/>
                    <w:rPr>
                      <w:szCs w:val="21"/>
                    </w:rPr>
                  </w:pPr>
                  <w:r>
                    <w:rPr>
                      <w:szCs w:val="21"/>
                    </w:rPr>
                    <w:t>频发</w:t>
                  </w:r>
                </w:p>
              </w:tc>
              <w:tc>
                <w:tcPr>
                  <w:tcW w:w="964" w:type="pct"/>
                  <w:shd w:val="clear" w:color="auto" w:fill="auto"/>
                  <w:vAlign w:val="center"/>
                </w:tcPr>
                <w:p w14:paraId="09F7A9EF">
                  <w:pPr>
                    <w:adjustRightInd w:val="0"/>
                    <w:jc w:val="center"/>
                    <w:rPr>
                      <w:szCs w:val="21"/>
                    </w:rPr>
                  </w:pPr>
                  <w:r>
                    <w:rPr>
                      <w:szCs w:val="21"/>
                    </w:rPr>
                    <w:t>85</w:t>
                  </w:r>
                </w:p>
              </w:tc>
              <w:tc>
                <w:tcPr>
                  <w:tcW w:w="623" w:type="pct"/>
                  <w:vMerge w:val="restart"/>
                  <w:shd w:val="clear" w:color="auto" w:fill="auto"/>
                  <w:vAlign w:val="center"/>
                </w:tcPr>
                <w:p w14:paraId="7D3EDE0F">
                  <w:pPr>
                    <w:adjustRightInd w:val="0"/>
                    <w:jc w:val="center"/>
                    <w:rPr>
                      <w:szCs w:val="21"/>
                    </w:rPr>
                  </w:pPr>
                  <w:r>
                    <w:rPr>
                      <w:rFonts w:hint="eastAsia"/>
                      <w:szCs w:val="21"/>
                    </w:rPr>
                    <w:t>参考《污染源源强核算技术指南》各行业技术指南附录中相关设备声源源强资料</w:t>
                  </w:r>
                </w:p>
              </w:tc>
              <w:tc>
                <w:tcPr>
                  <w:tcW w:w="368" w:type="pct"/>
                  <w:shd w:val="clear" w:color="auto" w:fill="auto"/>
                  <w:vAlign w:val="center"/>
                </w:tcPr>
                <w:p w14:paraId="6FD9D40A">
                  <w:pPr>
                    <w:adjustRightInd w:val="0"/>
                    <w:jc w:val="center"/>
                    <w:rPr>
                      <w:szCs w:val="21"/>
                    </w:rPr>
                  </w:pPr>
                  <w:r>
                    <w:rPr>
                      <w:szCs w:val="21"/>
                    </w:rPr>
                    <w:t>6000</w:t>
                  </w:r>
                </w:p>
              </w:tc>
            </w:tr>
            <w:tr w14:paraId="6DAE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666BF3C3">
                  <w:pPr>
                    <w:adjustRightInd w:val="0"/>
                    <w:jc w:val="center"/>
                    <w:rPr>
                      <w:szCs w:val="21"/>
                    </w:rPr>
                  </w:pPr>
                </w:p>
              </w:tc>
              <w:tc>
                <w:tcPr>
                  <w:tcW w:w="721" w:type="pct"/>
                  <w:shd w:val="clear" w:color="auto" w:fill="auto"/>
                  <w:vAlign w:val="center"/>
                </w:tcPr>
                <w:p w14:paraId="56737015">
                  <w:pPr>
                    <w:adjustRightInd w:val="0"/>
                    <w:jc w:val="center"/>
                    <w:rPr>
                      <w:szCs w:val="21"/>
                    </w:rPr>
                  </w:pPr>
                  <w:r>
                    <w:rPr>
                      <w:rFonts w:hint="eastAsia"/>
                      <w:kern w:val="24"/>
                      <w:szCs w:val="21"/>
                    </w:rPr>
                    <w:t>纵剪机组</w:t>
                  </w:r>
                </w:p>
              </w:tc>
              <w:tc>
                <w:tcPr>
                  <w:tcW w:w="475" w:type="pct"/>
                  <w:vAlign w:val="center"/>
                </w:tcPr>
                <w:p w14:paraId="259FB337">
                  <w:pPr>
                    <w:adjustRightInd w:val="0"/>
                    <w:jc w:val="center"/>
                    <w:rPr>
                      <w:szCs w:val="21"/>
                    </w:rPr>
                  </w:pPr>
                  <w:r>
                    <w:rPr>
                      <w:rFonts w:hint="eastAsia"/>
                      <w:szCs w:val="21"/>
                    </w:rPr>
                    <w:t>2台</w:t>
                  </w:r>
                </w:p>
              </w:tc>
              <w:tc>
                <w:tcPr>
                  <w:tcW w:w="681" w:type="pct"/>
                  <w:shd w:val="clear" w:color="auto" w:fill="auto"/>
                  <w:vAlign w:val="center"/>
                </w:tcPr>
                <w:p w14:paraId="7AAB19CC">
                  <w:pPr>
                    <w:adjustRightInd w:val="0"/>
                    <w:jc w:val="center"/>
                    <w:rPr>
                      <w:szCs w:val="21"/>
                    </w:rPr>
                  </w:pPr>
                  <w:r>
                    <w:rPr>
                      <w:rFonts w:hint="eastAsia"/>
                      <w:szCs w:val="21"/>
                    </w:rPr>
                    <w:t>室内</w:t>
                  </w:r>
                </w:p>
              </w:tc>
              <w:tc>
                <w:tcPr>
                  <w:tcW w:w="574" w:type="pct"/>
                  <w:vAlign w:val="center"/>
                </w:tcPr>
                <w:p w14:paraId="110998A1">
                  <w:pPr>
                    <w:adjustRightInd w:val="0"/>
                    <w:jc w:val="center"/>
                    <w:rPr>
                      <w:szCs w:val="21"/>
                    </w:rPr>
                  </w:pPr>
                  <w:r>
                    <w:rPr>
                      <w:szCs w:val="21"/>
                    </w:rPr>
                    <w:t>频发</w:t>
                  </w:r>
                </w:p>
              </w:tc>
              <w:tc>
                <w:tcPr>
                  <w:tcW w:w="964" w:type="pct"/>
                  <w:shd w:val="clear" w:color="auto" w:fill="auto"/>
                  <w:vAlign w:val="center"/>
                </w:tcPr>
                <w:p w14:paraId="38311328">
                  <w:pPr>
                    <w:adjustRightInd w:val="0"/>
                    <w:jc w:val="center"/>
                    <w:rPr>
                      <w:szCs w:val="21"/>
                    </w:rPr>
                  </w:pPr>
                  <w:r>
                    <w:rPr>
                      <w:szCs w:val="21"/>
                    </w:rPr>
                    <w:t>90</w:t>
                  </w:r>
                </w:p>
              </w:tc>
              <w:tc>
                <w:tcPr>
                  <w:tcW w:w="623" w:type="pct"/>
                  <w:vMerge w:val="continue"/>
                  <w:shd w:val="clear" w:color="auto" w:fill="auto"/>
                  <w:vAlign w:val="center"/>
                </w:tcPr>
                <w:p w14:paraId="4DB8C7FD">
                  <w:pPr>
                    <w:adjustRightInd w:val="0"/>
                    <w:jc w:val="center"/>
                    <w:rPr>
                      <w:szCs w:val="21"/>
                    </w:rPr>
                  </w:pPr>
                </w:p>
              </w:tc>
              <w:tc>
                <w:tcPr>
                  <w:tcW w:w="368" w:type="pct"/>
                  <w:shd w:val="clear" w:color="auto" w:fill="auto"/>
                  <w:vAlign w:val="center"/>
                </w:tcPr>
                <w:p w14:paraId="44DD0250">
                  <w:pPr>
                    <w:adjustRightInd w:val="0"/>
                    <w:jc w:val="center"/>
                    <w:rPr>
                      <w:szCs w:val="21"/>
                    </w:rPr>
                  </w:pPr>
                  <w:r>
                    <w:rPr>
                      <w:szCs w:val="21"/>
                    </w:rPr>
                    <w:t>6000</w:t>
                  </w:r>
                </w:p>
              </w:tc>
            </w:tr>
            <w:tr w14:paraId="5212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5AE037C6">
                  <w:pPr>
                    <w:adjustRightInd w:val="0"/>
                    <w:jc w:val="center"/>
                    <w:rPr>
                      <w:szCs w:val="21"/>
                    </w:rPr>
                  </w:pPr>
                </w:p>
              </w:tc>
              <w:tc>
                <w:tcPr>
                  <w:tcW w:w="721" w:type="pct"/>
                  <w:shd w:val="clear" w:color="auto" w:fill="auto"/>
                  <w:vAlign w:val="center"/>
                </w:tcPr>
                <w:p w14:paraId="66C883C4">
                  <w:pPr>
                    <w:adjustRightInd w:val="0"/>
                    <w:jc w:val="center"/>
                    <w:rPr>
                      <w:szCs w:val="21"/>
                    </w:rPr>
                  </w:pPr>
                  <w:r>
                    <w:rPr>
                      <w:kern w:val="0"/>
                      <w:szCs w:val="21"/>
                    </w:rPr>
                    <w:t>校直机</w:t>
                  </w:r>
                </w:p>
              </w:tc>
              <w:tc>
                <w:tcPr>
                  <w:tcW w:w="475" w:type="pct"/>
                  <w:vAlign w:val="center"/>
                </w:tcPr>
                <w:p w14:paraId="3573D211">
                  <w:pPr>
                    <w:adjustRightInd w:val="0"/>
                    <w:jc w:val="center"/>
                    <w:rPr>
                      <w:szCs w:val="21"/>
                    </w:rPr>
                  </w:pPr>
                  <w:r>
                    <w:rPr>
                      <w:rFonts w:hint="eastAsia"/>
                      <w:szCs w:val="21"/>
                    </w:rPr>
                    <w:t>2台</w:t>
                  </w:r>
                </w:p>
              </w:tc>
              <w:tc>
                <w:tcPr>
                  <w:tcW w:w="681" w:type="pct"/>
                  <w:shd w:val="clear" w:color="auto" w:fill="auto"/>
                  <w:vAlign w:val="center"/>
                </w:tcPr>
                <w:p w14:paraId="374EA42D">
                  <w:pPr>
                    <w:adjustRightInd w:val="0"/>
                    <w:jc w:val="center"/>
                    <w:rPr>
                      <w:szCs w:val="21"/>
                    </w:rPr>
                  </w:pPr>
                  <w:r>
                    <w:rPr>
                      <w:rFonts w:hint="eastAsia"/>
                      <w:szCs w:val="21"/>
                    </w:rPr>
                    <w:t>室内</w:t>
                  </w:r>
                </w:p>
              </w:tc>
              <w:tc>
                <w:tcPr>
                  <w:tcW w:w="574" w:type="pct"/>
                  <w:vAlign w:val="center"/>
                </w:tcPr>
                <w:p w14:paraId="5EFD2F8F">
                  <w:pPr>
                    <w:adjustRightInd w:val="0"/>
                    <w:jc w:val="center"/>
                    <w:rPr>
                      <w:szCs w:val="21"/>
                    </w:rPr>
                  </w:pPr>
                  <w:r>
                    <w:rPr>
                      <w:szCs w:val="21"/>
                    </w:rPr>
                    <w:t>频发</w:t>
                  </w:r>
                </w:p>
              </w:tc>
              <w:tc>
                <w:tcPr>
                  <w:tcW w:w="964" w:type="pct"/>
                  <w:shd w:val="clear" w:color="auto" w:fill="auto"/>
                  <w:vAlign w:val="center"/>
                </w:tcPr>
                <w:p w14:paraId="3216594A">
                  <w:pPr>
                    <w:adjustRightInd w:val="0"/>
                    <w:jc w:val="center"/>
                    <w:rPr>
                      <w:szCs w:val="21"/>
                    </w:rPr>
                  </w:pPr>
                  <w:r>
                    <w:rPr>
                      <w:szCs w:val="21"/>
                    </w:rPr>
                    <w:t>85</w:t>
                  </w:r>
                </w:p>
              </w:tc>
              <w:tc>
                <w:tcPr>
                  <w:tcW w:w="623" w:type="pct"/>
                  <w:vMerge w:val="continue"/>
                  <w:shd w:val="clear" w:color="auto" w:fill="auto"/>
                  <w:vAlign w:val="center"/>
                </w:tcPr>
                <w:p w14:paraId="1E6C4BA5">
                  <w:pPr>
                    <w:adjustRightInd w:val="0"/>
                    <w:jc w:val="center"/>
                    <w:rPr>
                      <w:szCs w:val="21"/>
                    </w:rPr>
                  </w:pPr>
                </w:p>
              </w:tc>
              <w:tc>
                <w:tcPr>
                  <w:tcW w:w="368" w:type="pct"/>
                  <w:shd w:val="clear" w:color="auto" w:fill="auto"/>
                  <w:vAlign w:val="center"/>
                </w:tcPr>
                <w:p w14:paraId="3B9EB1AA">
                  <w:pPr>
                    <w:adjustRightInd w:val="0"/>
                    <w:jc w:val="center"/>
                    <w:rPr>
                      <w:szCs w:val="21"/>
                    </w:rPr>
                  </w:pPr>
                  <w:r>
                    <w:rPr>
                      <w:szCs w:val="21"/>
                    </w:rPr>
                    <w:t>6000</w:t>
                  </w:r>
                </w:p>
              </w:tc>
            </w:tr>
            <w:tr w14:paraId="4B5A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2CCAE03C">
                  <w:pPr>
                    <w:adjustRightInd w:val="0"/>
                    <w:jc w:val="center"/>
                    <w:rPr>
                      <w:szCs w:val="21"/>
                    </w:rPr>
                  </w:pPr>
                </w:p>
              </w:tc>
              <w:tc>
                <w:tcPr>
                  <w:tcW w:w="721" w:type="pct"/>
                  <w:shd w:val="clear" w:color="auto" w:fill="auto"/>
                  <w:vAlign w:val="center"/>
                </w:tcPr>
                <w:p w14:paraId="7E091FE1">
                  <w:pPr>
                    <w:adjustRightInd w:val="0"/>
                    <w:jc w:val="center"/>
                    <w:rPr>
                      <w:szCs w:val="21"/>
                    </w:rPr>
                  </w:pPr>
                  <w:r>
                    <w:rPr>
                      <w:kern w:val="0"/>
                      <w:szCs w:val="21"/>
                    </w:rPr>
                    <w:t>电动飞锯</w:t>
                  </w:r>
                </w:p>
              </w:tc>
              <w:tc>
                <w:tcPr>
                  <w:tcW w:w="475" w:type="pct"/>
                  <w:vAlign w:val="center"/>
                </w:tcPr>
                <w:p w14:paraId="3F1902E2">
                  <w:pPr>
                    <w:adjustRightInd w:val="0"/>
                    <w:jc w:val="center"/>
                    <w:rPr>
                      <w:szCs w:val="21"/>
                    </w:rPr>
                  </w:pPr>
                  <w:r>
                    <w:rPr>
                      <w:rFonts w:hint="eastAsia"/>
                      <w:szCs w:val="21"/>
                    </w:rPr>
                    <w:t>2台</w:t>
                  </w:r>
                </w:p>
              </w:tc>
              <w:tc>
                <w:tcPr>
                  <w:tcW w:w="681" w:type="pct"/>
                  <w:shd w:val="clear" w:color="auto" w:fill="auto"/>
                  <w:vAlign w:val="center"/>
                </w:tcPr>
                <w:p w14:paraId="3D907397">
                  <w:pPr>
                    <w:adjustRightInd w:val="0"/>
                    <w:jc w:val="center"/>
                    <w:rPr>
                      <w:szCs w:val="21"/>
                    </w:rPr>
                  </w:pPr>
                  <w:r>
                    <w:rPr>
                      <w:rFonts w:hint="eastAsia"/>
                      <w:szCs w:val="21"/>
                    </w:rPr>
                    <w:t>室内</w:t>
                  </w:r>
                </w:p>
              </w:tc>
              <w:tc>
                <w:tcPr>
                  <w:tcW w:w="574" w:type="pct"/>
                  <w:vAlign w:val="center"/>
                </w:tcPr>
                <w:p w14:paraId="69AF3960">
                  <w:pPr>
                    <w:adjustRightInd w:val="0"/>
                    <w:jc w:val="center"/>
                    <w:rPr>
                      <w:szCs w:val="21"/>
                    </w:rPr>
                  </w:pPr>
                  <w:r>
                    <w:rPr>
                      <w:szCs w:val="21"/>
                    </w:rPr>
                    <w:t>频发</w:t>
                  </w:r>
                </w:p>
              </w:tc>
              <w:tc>
                <w:tcPr>
                  <w:tcW w:w="964" w:type="pct"/>
                  <w:shd w:val="clear" w:color="auto" w:fill="auto"/>
                  <w:vAlign w:val="center"/>
                </w:tcPr>
                <w:p w14:paraId="023909B2">
                  <w:pPr>
                    <w:adjustRightInd w:val="0"/>
                    <w:jc w:val="center"/>
                    <w:rPr>
                      <w:szCs w:val="21"/>
                    </w:rPr>
                  </w:pPr>
                  <w:r>
                    <w:rPr>
                      <w:szCs w:val="21"/>
                    </w:rPr>
                    <w:t>85</w:t>
                  </w:r>
                </w:p>
              </w:tc>
              <w:tc>
                <w:tcPr>
                  <w:tcW w:w="623" w:type="pct"/>
                  <w:vMerge w:val="continue"/>
                  <w:shd w:val="clear" w:color="auto" w:fill="auto"/>
                  <w:vAlign w:val="center"/>
                </w:tcPr>
                <w:p w14:paraId="6135A1C4">
                  <w:pPr>
                    <w:adjustRightInd w:val="0"/>
                    <w:jc w:val="center"/>
                    <w:rPr>
                      <w:szCs w:val="21"/>
                    </w:rPr>
                  </w:pPr>
                </w:p>
              </w:tc>
              <w:tc>
                <w:tcPr>
                  <w:tcW w:w="368" w:type="pct"/>
                  <w:shd w:val="clear" w:color="auto" w:fill="auto"/>
                  <w:vAlign w:val="center"/>
                </w:tcPr>
                <w:p w14:paraId="618BCD92">
                  <w:pPr>
                    <w:adjustRightInd w:val="0"/>
                    <w:jc w:val="center"/>
                    <w:rPr>
                      <w:szCs w:val="21"/>
                    </w:rPr>
                  </w:pPr>
                  <w:r>
                    <w:rPr>
                      <w:szCs w:val="21"/>
                    </w:rPr>
                    <w:t>6000</w:t>
                  </w:r>
                </w:p>
              </w:tc>
            </w:tr>
            <w:tr w14:paraId="05D6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60F1F479">
                  <w:pPr>
                    <w:adjustRightInd w:val="0"/>
                    <w:jc w:val="center"/>
                    <w:rPr>
                      <w:szCs w:val="21"/>
                    </w:rPr>
                  </w:pPr>
                </w:p>
              </w:tc>
              <w:tc>
                <w:tcPr>
                  <w:tcW w:w="721" w:type="pct"/>
                  <w:shd w:val="clear" w:color="auto" w:fill="auto"/>
                  <w:vAlign w:val="center"/>
                </w:tcPr>
                <w:p w14:paraId="3D3CBDEB">
                  <w:pPr>
                    <w:adjustRightInd w:val="0"/>
                    <w:jc w:val="center"/>
                    <w:rPr>
                      <w:kern w:val="0"/>
                      <w:szCs w:val="21"/>
                      <w:lang w:bidi="ar"/>
                    </w:rPr>
                  </w:pPr>
                  <w:r>
                    <w:rPr>
                      <w:rFonts w:hint="eastAsia"/>
                      <w:kern w:val="0"/>
                      <w:szCs w:val="21"/>
                      <w:lang w:bidi="ar"/>
                    </w:rPr>
                    <w:t>除尘器风机</w:t>
                  </w:r>
                </w:p>
              </w:tc>
              <w:tc>
                <w:tcPr>
                  <w:tcW w:w="475" w:type="pct"/>
                  <w:vAlign w:val="center"/>
                </w:tcPr>
                <w:p w14:paraId="5E4EB2CA">
                  <w:pPr>
                    <w:adjustRightInd w:val="0"/>
                    <w:jc w:val="center"/>
                    <w:rPr>
                      <w:szCs w:val="21"/>
                    </w:rPr>
                  </w:pPr>
                  <w:r>
                    <w:rPr>
                      <w:szCs w:val="21"/>
                    </w:rPr>
                    <w:t>2</w:t>
                  </w:r>
                  <w:r>
                    <w:rPr>
                      <w:rFonts w:hint="eastAsia"/>
                      <w:szCs w:val="21"/>
                    </w:rPr>
                    <w:t>台</w:t>
                  </w:r>
                </w:p>
              </w:tc>
              <w:tc>
                <w:tcPr>
                  <w:tcW w:w="681" w:type="pct"/>
                  <w:shd w:val="clear" w:color="auto" w:fill="auto"/>
                  <w:vAlign w:val="center"/>
                </w:tcPr>
                <w:p w14:paraId="0C2DE819">
                  <w:pPr>
                    <w:adjustRightInd w:val="0"/>
                    <w:jc w:val="center"/>
                    <w:rPr>
                      <w:szCs w:val="21"/>
                    </w:rPr>
                  </w:pPr>
                  <w:r>
                    <w:rPr>
                      <w:rFonts w:hint="eastAsia"/>
                      <w:szCs w:val="21"/>
                    </w:rPr>
                    <w:t>室内</w:t>
                  </w:r>
                </w:p>
              </w:tc>
              <w:tc>
                <w:tcPr>
                  <w:tcW w:w="574" w:type="pct"/>
                  <w:vAlign w:val="center"/>
                </w:tcPr>
                <w:p w14:paraId="582DAC18">
                  <w:pPr>
                    <w:adjustRightInd w:val="0"/>
                    <w:jc w:val="center"/>
                    <w:rPr>
                      <w:szCs w:val="21"/>
                    </w:rPr>
                  </w:pPr>
                  <w:r>
                    <w:rPr>
                      <w:szCs w:val="21"/>
                    </w:rPr>
                    <w:t>频发</w:t>
                  </w:r>
                </w:p>
              </w:tc>
              <w:tc>
                <w:tcPr>
                  <w:tcW w:w="964" w:type="pct"/>
                  <w:shd w:val="clear" w:color="auto" w:fill="auto"/>
                  <w:vAlign w:val="center"/>
                </w:tcPr>
                <w:p w14:paraId="6B300A94">
                  <w:pPr>
                    <w:adjustRightInd w:val="0"/>
                    <w:jc w:val="center"/>
                    <w:rPr>
                      <w:szCs w:val="21"/>
                    </w:rPr>
                  </w:pPr>
                  <w:r>
                    <w:rPr>
                      <w:szCs w:val="21"/>
                    </w:rPr>
                    <w:t>85</w:t>
                  </w:r>
                </w:p>
              </w:tc>
              <w:tc>
                <w:tcPr>
                  <w:tcW w:w="623" w:type="pct"/>
                  <w:vMerge w:val="continue"/>
                  <w:shd w:val="clear" w:color="auto" w:fill="auto"/>
                  <w:vAlign w:val="center"/>
                </w:tcPr>
                <w:p w14:paraId="2D12C541">
                  <w:pPr>
                    <w:adjustRightInd w:val="0"/>
                    <w:jc w:val="center"/>
                    <w:rPr>
                      <w:szCs w:val="21"/>
                    </w:rPr>
                  </w:pPr>
                </w:p>
              </w:tc>
              <w:tc>
                <w:tcPr>
                  <w:tcW w:w="368" w:type="pct"/>
                  <w:shd w:val="clear" w:color="auto" w:fill="auto"/>
                  <w:vAlign w:val="center"/>
                </w:tcPr>
                <w:p w14:paraId="44262142">
                  <w:pPr>
                    <w:adjustRightInd w:val="0"/>
                    <w:jc w:val="center"/>
                    <w:rPr>
                      <w:szCs w:val="21"/>
                    </w:rPr>
                  </w:pPr>
                  <w:r>
                    <w:rPr>
                      <w:szCs w:val="21"/>
                    </w:rPr>
                    <w:t>6000</w:t>
                  </w:r>
                </w:p>
              </w:tc>
            </w:tr>
            <w:tr w14:paraId="7331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restart"/>
                  <w:shd w:val="clear" w:color="auto" w:fill="auto"/>
                  <w:vAlign w:val="center"/>
                </w:tcPr>
                <w:p w14:paraId="6EE82F89">
                  <w:pPr>
                    <w:adjustRightInd w:val="0"/>
                    <w:jc w:val="center"/>
                    <w:rPr>
                      <w:szCs w:val="21"/>
                    </w:rPr>
                  </w:pPr>
                  <w:r>
                    <w:rPr>
                      <w:rFonts w:hint="eastAsia"/>
                      <w:szCs w:val="21"/>
                    </w:rPr>
                    <w:t>三车间、四车间（本项目）</w:t>
                  </w:r>
                </w:p>
              </w:tc>
              <w:tc>
                <w:tcPr>
                  <w:tcW w:w="721" w:type="pct"/>
                  <w:shd w:val="clear" w:color="auto" w:fill="auto"/>
                  <w:vAlign w:val="center"/>
                </w:tcPr>
                <w:p w14:paraId="5C749E58">
                  <w:pPr>
                    <w:adjustRightInd w:val="0"/>
                    <w:jc w:val="center"/>
                    <w:rPr>
                      <w:kern w:val="0"/>
                      <w:szCs w:val="21"/>
                      <w:lang w:bidi="ar"/>
                    </w:rPr>
                  </w:pPr>
                  <w:r>
                    <w:rPr>
                      <w:rFonts w:hint="eastAsia"/>
                      <w:szCs w:val="21"/>
                    </w:rPr>
                    <w:t>高频直缝焊管机组</w:t>
                  </w:r>
                </w:p>
              </w:tc>
              <w:tc>
                <w:tcPr>
                  <w:tcW w:w="475" w:type="pct"/>
                  <w:vAlign w:val="center"/>
                </w:tcPr>
                <w:p w14:paraId="00EB6E50">
                  <w:pPr>
                    <w:adjustRightInd w:val="0"/>
                    <w:jc w:val="center"/>
                    <w:rPr>
                      <w:szCs w:val="21"/>
                    </w:rPr>
                  </w:pPr>
                  <w:r>
                    <w:rPr>
                      <w:szCs w:val="21"/>
                    </w:rPr>
                    <w:t>1</w:t>
                  </w:r>
                  <w:r>
                    <w:rPr>
                      <w:rFonts w:hint="eastAsia"/>
                      <w:szCs w:val="21"/>
                    </w:rPr>
                    <w:t>台</w:t>
                  </w:r>
                </w:p>
              </w:tc>
              <w:tc>
                <w:tcPr>
                  <w:tcW w:w="681" w:type="pct"/>
                  <w:shd w:val="clear" w:color="auto" w:fill="auto"/>
                  <w:vAlign w:val="center"/>
                </w:tcPr>
                <w:p w14:paraId="62F3AC75">
                  <w:pPr>
                    <w:adjustRightInd w:val="0"/>
                    <w:jc w:val="center"/>
                    <w:rPr>
                      <w:szCs w:val="21"/>
                    </w:rPr>
                  </w:pPr>
                  <w:r>
                    <w:rPr>
                      <w:rFonts w:hint="eastAsia"/>
                      <w:szCs w:val="21"/>
                    </w:rPr>
                    <w:t>室内</w:t>
                  </w:r>
                </w:p>
              </w:tc>
              <w:tc>
                <w:tcPr>
                  <w:tcW w:w="574" w:type="pct"/>
                  <w:vAlign w:val="center"/>
                </w:tcPr>
                <w:p w14:paraId="392BE397">
                  <w:pPr>
                    <w:adjustRightInd w:val="0"/>
                    <w:jc w:val="center"/>
                    <w:rPr>
                      <w:szCs w:val="21"/>
                    </w:rPr>
                  </w:pPr>
                  <w:r>
                    <w:rPr>
                      <w:szCs w:val="21"/>
                    </w:rPr>
                    <w:t>频发</w:t>
                  </w:r>
                </w:p>
              </w:tc>
              <w:tc>
                <w:tcPr>
                  <w:tcW w:w="964" w:type="pct"/>
                  <w:shd w:val="clear" w:color="auto" w:fill="auto"/>
                  <w:vAlign w:val="center"/>
                </w:tcPr>
                <w:p w14:paraId="63C6EA0D">
                  <w:pPr>
                    <w:adjustRightInd w:val="0"/>
                    <w:jc w:val="center"/>
                    <w:rPr>
                      <w:szCs w:val="21"/>
                    </w:rPr>
                  </w:pPr>
                  <w:r>
                    <w:rPr>
                      <w:szCs w:val="21"/>
                    </w:rPr>
                    <w:t>85</w:t>
                  </w:r>
                </w:p>
              </w:tc>
              <w:tc>
                <w:tcPr>
                  <w:tcW w:w="623" w:type="pct"/>
                  <w:vMerge w:val="continue"/>
                  <w:shd w:val="clear" w:color="auto" w:fill="auto"/>
                  <w:vAlign w:val="center"/>
                </w:tcPr>
                <w:p w14:paraId="610DD887">
                  <w:pPr>
                    <w:adjustRightInd w:val="0"/>
                    <w:jc w:val="center"/>
                    <w:rPr>
                      <w:szCs w:val="21"/>
                    </w:rPr>
                  </w:pPr>
                </w:p>
              </w:tc>
              <w:tc>
                <w:tcPr>
                  <w:tcW w:w="368" w:type="pct"/>
                  <w:shd w:val="clear" w:color="auto" w:fill="auto"/>
                  <w:vAlign w:val="center"/>
                </w:tcPr>
                <w:p w14:paraId="6B388AC8">
                  <w:pPr>
                    <w:adjustRightInd w:val="0"/>
                    <w:jc w:val="center"/>
                    <w:rPr>
                      <w:szCs w:val="21"/>
                    </w:rPr>
                  </w:pPr>
                  <w:r>
                    <w:rPr>
                      <w:szCs w:val="21"/>
                    </w:rPr>
                    <w:t>6000</w:t>
                  </w:r>
                </w:p>
              </w:tc>
            </w:tr>
            <w:tr w14:paraId="0929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6A012573">
                  <w:pPr>
                    <w:adjustRightInd w:val="0"/>
                    <w:jc w:val="center"/>
                    <w:rPr>
                      <w:szCs w:val="21"/>
                    </w:rPr>
                  </w:pPr>
                </w:p>
              </w:tc>
              <w:tc>
                <w:tcPr>
                  <w:tcW w:w="721" w:type="pct"/>
                  <w:shd w:val="clear" w:color="auto" w:fill="auto"/>
                  <w:vAlign w:val="center"/>
                </w:tcPr>
                <w:p w14:paraId="4906AA48">
                  <w:pPr>
                    <w:adjustRightInd w:val="0"/>
                    <w:jc w:val="center"/>
                    <w:rPr>
                      <w:kern w:val="0"/>
                      <w:szCs w:val="21"/>
                      <w:lang w:bidi="ar"/>
                    </w:rPr>
                  </w:pPr>
                  <w:r>
                    <w:rPr>
                      <w:rFonts w:hint="eastAsia"/>
                      <w:kern w:val="24"/>
                      <w:szCs w:val="21"/>
                    </w:rPr>
                    <w:t>纵剪机组</w:t>
                  </w:r>
                </w:p>
              </w:tc>
              <w:tc>
                <w:tcPr>
                  <w:tcW w:w="475" w:type="pct"/>
                  <w:vAlign w:val="center"/>
                </w:tcPr>
                <w:p w14:paraId="1FBF6F83">
                  <w:pPr>
                    <w:adjustRightInd w:val="0"/>
                    <w:jc w:val="center"/>
                    <w:rPr>
                      <w:szCs w:val="21"/>
                    </w:rPr>
                  </w:pPr>
                  <w:r>
                    <w:rPr>
                      <w:szCs w:val="21"/>
                    </w:rPr>
                    <w:t>1</w:t>
                  </w:r>
                  <w:r>
                    <w:rPr>
                      <w:rFonts w:hint="eastAsia"/>
                      <w:szCs w:val="21"/>
                    </w:rPr>
                    <w:t>台</w:t>
                  </w:r>
                </w:p>
              </w:tc>
              <w:tc>
                <w:tcPr>
                  <w:tcW w:w="681" w:type="pct"/>
                  <w:shd w:val="clear" w:color="auto" w:fill="auto"/>
                  <w:vAlign w:val="center"/>
                </w:tcPr>
                <w:p w14:paraId="0E25C8E3">
                  <w:pPr>
                    <w:adjustRightInd w:val="0"/>
                    <w:jc w:val="center"/>
                    <w:rPr>
                      <w:szCs w:val="21"/>
                    </w:rPr>
                  </w:pPr>
                  <w:r>
                    <w:rPr>
                      <w:rFonts w:hint="eastAsia"/>
                      <w:szCs w:val="21"/>
                    </w:rPr>
                    <w:t>室内</w:t>
                  </w:r>
                </w:p>
              </w:tc>
              <w:tc>
                <w:tcPr>
                  <w:tcW w:w="574" w:type="pct"/>
                  <w:vAlign w:val="center"/>
                </w:tcPr>
                <w:p w14:paraId="5A986D34">
                  <w:pPr>
                    <w:adjustRightInd w:val="0"/>
                    <w:jc w:val="center"/>
                    <w:rPr>
                      <w:szCs w:val="21"/>
                    </w:rPr>
                  </w:pPr>
                  <w:r>
                    <w:rPr>
                      <w:szCs w:val="21"/>
                    </w:rPr>
                    <w:t>频发</w:t>
                  </w:r>
                </w:p>
              </w:tc>
              <w:tc>
                <w:tcPr>
                  <w:tcW w:w="964" w:type="pct"/>
                  <w:shd w:val="clear" w:color="auto" w:fill="auto"/>
                  <w:vAlign w:val="center"/>
                </w:tcPr>
                <w:p w14:paraId="24A23B55">
                  <w:pPr>
                    <w:adjustRightInd w:val="0"/>
                    <w:jc w:val="center"/>
                    <w:rPr>
                      <w:szCs w:val="21"/>
                    </w:rPr>
                  </w:pPr>
                  <w:r>
                    <w:rPr>
                      <w:szCs w:val="21"/>
                    </w:rPr>
                    <w:t>90</w:t>
                  </w:r>
                </w:p>
              </w:tc>
              <w:tc>
                <w:tcPr>
                  <w:tcW w:w="623" w:type="pct"/>
                  <w:vMerge w:val="continue"/>
                  <w:shd w:val="clear" w:color="auto" w:fill="auto"/>
                  <w:vAlign w:val="center"/>
                </w:tcPr>
                <w:p w14:paraId="7ECB04BE">
                  <w:pPr>
                    <w:adjustRightInd w:val="0"/>
                    <w:jc w:val="center"/>
                    <w:rPr>
                      <w:szCs w:val="21"/>
                    </w:rPr>
                  </w:pPr>
                </w:p>
              </w:tc>
              <w:tc>
                <w:tcPr>
                  <w:tcW w:w="368" w:type="pct"/>
                  <w:shd w:val="clear" w:color="auto" w:fill="auto"/>
                  <w:vAlign w:val="center"/>
                </w:tcPr>
                <w:p w14:paraId="4D81D732">
                  <w:pPr>
                    <w:adjustRightInd w:val="0"/>
                    <w:jc w:val="center"/>
                    <w:rPr>
                      <w:szCs w:val="21"/>
                    </w:rPr>
                  </w:pPr>
                  <w:r>
                    <w:rPr>
                      <w:szCs w:val="21"/>
                    </w:rPr>
                    <w:t>6000</w:t>
                  </w:r>
                </w:p>
              </w:tc>
            </w:tr>
            <w:tr w14:paraId="48BF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6A74FA09">
                  <w:pPr>
                    <w:adjustRightInd w:val="0"/>
                    <w:jc w:val="center"/>
                    <w:rPr>
                      <w:szCs w:val="21"/>
                    </w:rPr>
                  </w:pPr>
                </w:p>
              </w:tc>
              <w:tc>
                <w:tcPr>
                  <w:tcW w:w="721" w:type="pct"/>
                  <w:shd w:val="clear" w:color="auto" w:fill="auto"/>
                  <w:vAlign w:val="center"/>
                </w:tcPr>
                <w:p w14:paraId="24A9143F">
                  <w:pPr>
                    <w:adjustRightInd w:val="0"/>
                    <w:jc w:val="center"/>
                    <w:rPr>
                      <w:kern w:val="0"/>
                      <w:szCs w:val="21"/>
                      <w:lang w:bidi="ar"/>
                    </w:rPr>
                  </w:pPr>
                  <w:r>
                    <w:rPr>
                      <w:kern w:val="0"/>
                      <w:szCs w:val="21"/>
                    </w:rPr>
                    <w:t>校直机</w:t>
                  </w:r>
                </w:p>
              </w:tc>
              <w:tc>
                <w:tcPr>
                  <w:tcW w:w="475" w:type="pct"/>
                  <w:vAlign w:val="center"/>
                </w:tcPr>
                <w:p w14:paraId="057A7AB9">
                  <w:pPr>
                    <w:adjustRightInd w:val="0"/>
                    <w:jc w:val="center"/>
                    <w:rPr>
                      <w:szCs w:val="21"/>
                    </w:rPr>
                  </w:pPr>
                  <w:r>
                    <w:rPr>
                      <w:szCs w:val="21"/>
                    </w:rPr>
                    <w:t>1</w:t>
                  </w:r>
                  <w:r>
                    <w:rPr>
                      <w:rFonts w:hint="eastAsia"/>
                      <w:szCs w:val="21"/>
                    </w:rPr>
                    <w:t>台</w:t>
                  </w:r>
                </w:p>
              </w:tc>
              <w:tc>
                <w:tcPr>
                  <w:tcW w:w="681" w:type="pct"/>
                  <w:shd w:val="clear" w:color="auto" w:fill="auto"/>
                  <w:vAlign w:val="center"/>
                </w:tcPr>
                <w:p w14:paraId="46C2C9C6">
                  <w:pPr>
                    <w:adjustRightInd w:val="0"/>
                    <w:jc w:val="center"/>
                    <w:rPr>
                      <w:szCs w:val="21"/>
                    </w:rPr>
                  </w:pPr>
                  <w:r>
                    <w:rPr>
                      <w:rFonts w:hint="eastAsia"/>
                      <w:szCs w:val="21"/>
                    </w:rPr>
                    <w:t>室内</w:t>
                  </w:r>
                </w:p>
              </w:tc>
              <w:tc>
                <w:tcPr>
                  <w:tcW w:w="574" w:type="pct"/>
                  <w:vAlign w:val="center"/>
                </w:tcPr>
                <w:p w14:paraId="39C37E1B">
                  <w:pPr>
                    <w:adjustRightInd w:val="0"/>
                    <w:jc w:val="center"/>
                    <w:rPr>
                      <w:szCs w:val="21"/>
                    </w:rPr>
                  </w:pPr>
                  <w:r>
                    <w:rPr>
                      <w:szCs w:val="21"/>
                    </w:rPr>
                    <w:t>频发</w:t>
                  </w:r>
                </w:p>
              </w:tc>
              <w:tc>
                <w:tcPr>
                  <w:tcW w:w="964" w:type="pct"/>
                  <w:shd w:val="clear" w:color="auto" w:fill="auto"/>
                  <w:vAlign w:val="center"/>
                </w:tcPr>
                <w:p w14:paraId="1BC9AF19">
                  <w:pPr>
                    <w:adjustRightInd w:val="0"/>
                    <w:jc w:val="center"/>
                    <w:rPr>
                      <w:szCs w:val="21"/>
                    </w:rPr>
                  </w:pPr>
                  <w:r>
                    <w:rPr>
                      <w:szCs w:val="21"/>
                    </w:rPr>
                    <w:t>85</w:t>
                  </w:r>
                </w:p>
              </w:tc>
              <w:tc>
                <w:tcPr>
                  <w:tcW w:w="623" w:type="pct"/>
                  <w:vMerge w:val="continue"/>
                  <w:shd w:val="clear" w:color="auto" w:fill="auto"/>
                  <w:vAlign w:val="center"/>
                </w:tcPr>
                <w:p w14:paraId="234F0B08">
                  <w:pPr>
                    <w:adjustRightInd w:val="0"/>
                    <w:jc w:val="center"/>
                    <w:rPr>
                      <w:szCs w:val="21"/>
                    </w:rPr>
                  </w:pPr>
                </w:p>
              </w:tc>
              <w:tc>
                <w:tcPr>
                  <w:tcW w:w="368" w:type="pct"/>
                  <w:shd w:val="clear" w:color="auto" w:fill="auto"/>
                  <w:vAlign w:val="center"/>
                </w:tcPr>
                <w:p w14:paraId="2A66E72F">
                  <w:pPr>
                    <w:adjustRightInd w:val="0"/>
                    <w:jc w:val="center"/>
                    <w:rPr>
                      <w:szCs w:val="21"/>
                    </w:rPr>
                  </w:pPr>
                  <w:r>
                    <w:rPr>
                      <w:szCs w:val="21"/>
                    </w:rPr>
                    <w:t>6000</w:t>
                  </w:r>
                </w:p>
              </w:tc>
            </w:tr>
            <w:tr w14:paraId="4D32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5993C9A4">
                  <w:pPr>
                    <w:adjustRightInd w:val="0"/>
                    <w:jc w:val="center"/>
                    <w:rPr>
                      <w:szCs w:val="21"/>
                    </w:rPr>
                  </w:pPr>
                </w:p>
              </w:tc>
              <w:tc>
                <w:tcPr>
                  <w:tcW w:w="721" w:type="pct"/>
                  <w:shd w:val="clear" w:color="auto" w:fill="auto"/>
                  <w:vAlign w:val="center"/>
                </w:tcPr>
                <w:p w14:paraId="15AB8C58">
                  <w:pPr>
                    <w:adjustRightInd w:val="0"/>
                    <w:jc w:val="center"/>
                    <w:rPr>
                      <w:kern w:val="0"/>
                      <w:szCs w:val="21"/>
                      <w:lang w:bidi="ar"/>
                    </w:rPr>
                  </w:pPr>
                  <w:r>
                    <w:rPr>
                      <w:kern w:val="0"/>
                      <w:szCs w:val="21"/>
                    </w:rPr>
                    <w:t>电动飞锯</w:t>
                  </w:r>
                </w:p>
              </w:tc>
              <w:tc>
                <w:tcPr>
                  <w:tcW w:w="475" w:type="pct"/>
                  <w:vAlign w:val="center"/>
                </w:tcPr>
                <w:p w14:paraId="7133D7CB">
                  <w:pPr>
                    <w:adjustRightInd w:val="0"/>
                    <w:jc w:val="center"/>
                    <w:rPr>
                      <w:szCs w:val="21"/>
                    </w:rPr>
                  </w:pPr>
                  <w:r>
                    <w:rPr>
                      <w:szCs w:val="21"/>
                    </w:rPr>
                    <w:t>1</w:t>
                  </w:r>
                  <w:r>
                    <w:rPr>
                      <w:rFonts w:hint="eastAsia"/>
                      <w:szCs w:val="21"/>
                    </w:rPr>
                    <w:t>台</w:t>
                  </w:r>
                </w:p>
              </w:tc>
              <w:tc>
                <w:tcPr>
                  <w:tcW w:w="681" w:type="pct"/>
                  <w:shd w:val="clear" w:color="auto" w:fill="auto"/>
                  <w:vAlign w:val="center"/>
                </w:tcPr>
                <w:p w14:paraId="6CEA800D">
                  <w:pPr>
                    <w:adjustRightInd w:val="0"/>
                    <w:jc w:val="center"/>
                    <w:rPr>
                      <w:szCs w:val="21"/>
                    </w:rPr>
                  </w:pPr>
                  <w:r>
                    <w:rPr>
                      <w:rFonts w:hint="eastAsia"/>
                      <w:szCs w:val="21"/>
                    </w:rPr>
                    <w:t>室内</w:t>
                  </w:r>
                </w:p>
              </w:tc>
              <w:tc>
                <w:tcPr>
                  <w:tcW w:w="574" w:type="pct"/>
                  <w:vAlign w:val="center"/>
                </w:tcPr>
                <w:p w14:paraId="7B3F75EB">
                  <w:pPr>
                    <w:adjustRightInd w:val="0"/>
                    <w:jc w:val="center"/>
                    <w:rPr>
                      <w:szCs w:val="21"/>
                    </w:rPr>
                  </w:pPr>
                  <w:r>
                    <w:rPr>
                      <w:szCs w:val="21"/>
                    </w:rPr>
                    <w:t>频发</w:t>
                  </w:r>
                </w:p>
              </w:tc>
              <w:tc>
                <w:tcPr>
                  <w:tcW w:w="964" w:type="pct"/>
                  <w:shd w:val="clear" w:color="auto" w:fill="auto"/>
                  <w:vAlign w:val="center"/>
                </w:tcPr>
                <w:p w14:paraId="4C9BBAAC">
                  <w:pPr>
                    <w:adjustRightInd w:val="0"/>
                    <w:jc w:val="center"/>
                    <w:rPr>
                      <w:szCs w:val="21"/>
                    </w:rPr>
                  </w:pPr>
                  <w:r>
                    <w:rPr>
                      <w:szCs w:val="21"/>
                    </w:rPr>
                    <w:t>85</w:t>
                  </w:r>
                </w:p>
              </w:tc>
              <w:tc>
                <w:tcPr>
                  <w:tcW w:w="623" w:type="pct"/>
                  <w:vMerge w:val="continue"/>
                  <w:shd w:val="clear" w:color="auto" w:fill="auto"/>
                  <w:vAlign w:val="center"/>
                </w:tcPr>
                <w:p w14:paraId="0D552D88">
                  <w:pPr>
                    <w:adjustRightInd w:val="0"/>
                    <w:jc w:val="center"/>
                    <w:rPr>
                      <w:szCs w:val="21"/>
                    </w:rPr>
                  </w:pPr>
                </w:p>
              </w:tc>
              <w:tc>
                <w:tcPr>
                  <w:tcW w:w="368" w:type="pct"/>
                  <w:shd w:val="clear" w:color="auto" w:fill="auto"/>
                  <w:vAlign w:val="center"/>
                </w:tcPr>
                <w:p w14:paraId="17C0741B">
                  <w:pPr>
                    <w:adjustRightInd w:val="0"/>
                    <w:jc w:val="center"/>
                    <w:rPr>
                      <w:szCs w:val="21"/>
                    </w:rPr>
                  </w:pPr>
                  <w:r>
                    <w:rPr>
                      <w:szCs w:val="21"/>
                    </w:rPr>
                    <w:t>6000</w:t>
                  </w:r>
                </w:p>
              </w:tc>
            </w:tr>
            <w:tr w14:paraId="1186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4B549569">
                  <w:pPr>
                    <w:adjustRightInd w:val="0"/>
                    <w:jc w:val="center"/>
                    <w:rPr>
                      <w:szCs w:val="21"/>
                    </w:rPr>
                  </w:pPr>
                </w:p>
              </w:tc>
              <w:tc>
                <w:tcPr>
                  <w:tcW w:w="721" w:type="pct"/>
                  <w:shd w:val="clear" w:color="auto" w:fill="auto"/>
                  <w:vAlign w:val="center"/>
                </w:tcPr>
                <w:p w14:paraId="06F4BB42">
                  <w:pPr>
                    <w:adjustRightInd w:val="0"/>
                    <w:jc w:val="center"/>
                    <w:rPr>
                      <w:kern w:val="0"/>
                      <w:szCs w:val="21"/>
                      <w:lang w:bidi="ar"/>
                    </w:rPr>
                  </w:pPr>
                  <w:r>
                    <w:rPr>
                      <w:rFonts w:hint="eastAsia"/>
                      <w:kern w:val="0"/>
                      <w:szCs w:val="21"/>
                      <w:lang w:bidi="ar"/>
                    </w:rPr>
                    <w:t>除尘器风机</w:t>
                  </w:r>
                </w:p>
              </w:tc>
              <w:tc>
                <w:tcPr>
                  <w:tcW w:w="475" w:type="pct"/>
                  <w:vAlign w:val="center"/>
                </w:tcPr>
                <w:p w14:paraId="75C08BD8">
                  <w:pPr>
                    <w:adjustRightInd w:val="0"/>
                    <w:jc w:val="center"/>
                    <w:rPr>
                      <w:szCs w:val="21"/>
                    </w:rPr>
                  </w:pPr>
                  <w:r>
                    <w:rPr>
                      <w:szCs w:val="21"/>
                    </w:rPr>
                    <w:t>1</w:t>
                  </w:r>
                  <w:r>
                    <w:rPr>
                      <w:rFonts w:hint="eastAsia"/>
                      <w:szCs w:val="21"/>
                    </w:rPr>
                    <w:t>台</w:t>
                  </w:r>
                </w:p>
              </w:tc>
              <w:tc>
                <w:tcPr>
                  <w:tcW w:w="681" w:type="pct"/>
                  <w:shd w:val="clear" w:color="auto" w:fill="auto"/>
                  <w:vAlign w:val="center"/>
                </w:tcPr>
                <w:p w14:paraId="76C1D87F">
                  <w:pPr>
                    <w:adjustRightInd w:val="0"/>
                    <w:jc w:val="center"/>
                    <w:rPr>
                      <w:szCs w:val="21"/>
                    </w:rPr>
                  </w:pPr>
                  <w:r>
                    <w:rPr>
                      <w:rFonts w:hint="eastAsia"/>
                      <w:szCs w:val="21"/>
                    </w:rPr>
                    <w:t>室内</w:t>
                  </w:r>
                </w:p>
              </w:tc>
              <w:tc>
                <w:tcPr>
                  <w:tcW w:w="574" w:type="pct"/>
                  <w:vAlign w:val="center"/>
                </w:tcPr>
                <w:p w14:paraId="059B8A3C">
                  <w:pPr>
                    <w:adjustRightInd w:val="0"/>
                    <w:jc w:val="center"/>
                    <w:rPr>
                      <w:szCs w:val="21"/>
                    </w:rPr>
                  </w:pPr>
                  <w:r>
                    <w:rPr>
                      <w:szCs w:val="21"/>
                    </w:rPr>
                    <w:t>频发</w:t>
                  </w:r>
                </w:p>
              </w:tc>
              <w:tc>
                <w:tcPr>
                  <w:tcW w:w="964" w:type="pct"/>
                  <w:shd w:val="clear" w:color="auto" w:fill="auto"/>
                  <w:vAlign w:val="center"/>
                </w:tcPr>
                <w:p w14:paraId="3B12CA48">
                  <w:pPr>
                    <w:adjustRightInd w:val="0"/>
                    <w:jc w:val="center"/>
                    <w:rPr>
                      <w:szCs w:val="21"/>
                    </w:rPr>
                  </w:pPr>
                  <w:r>
                    <w:rPr>
                      <w:szCs w:val="21"/>
                    </w:rPr>
                    <w:t>85</w:t>
                  </w:r>
                </w:p>
              </w:tc>
              <w:tc>
                <w:tcPr>
                  <w:tcW w:w="623" w:type="pct"/>
                  <w:vMerge w:val="continue"/>
                  <w:shd w:val="clear" w:color="auto" w:fill="auto"/>
                  <w:vAlign w:val="center"/>
                </w:tcPr>
                <w:p w14:paraId="5AE7059F">
                  <w:pPr>
                    <w:adjustRightInd w:val="0"/>
                    <w:jc w:val="center"/>
                    <w:rPr>
                      <w:szCs w:val="21"/>
                    </w:rPr>
                  </w:pPr>
                </w:p>
              </w:tc>
              <w:tc>
                <w:tcPr>
                  <w:tcW w:w="368" w:type="pct"/>
                  <w:shd w:val="clear" w:color="auto" w:fill="auto"/>
                  <w:vAlign w:val="center"/>
                </w:tcPr>
                <w:p w14:paraId="6BCF79F4">
                  <w:pPr>
                    <w:adjustRightInd w:val="0"/>
                    <w:jc w:val="center"/>
                    <w:rPr>
                      <w:szCs w:val="21"/>
                    </w:rPr>
                  </w:pPr>
                  <w:r>
                    <w:rPr>
                      <w:szCs w:val="21"/>
                    </w:rPr>
                    <w:t>6000</w:t>
                  </w:r>
                </w:p>
              </w:tc>
            </w:tr>
            <w:tr w14:paraId="0478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restart"/>
                  <w:shd w:val="clear" w:color="auto" w:fill="auto"/>
                  <w:vAlign w:val="center"/>
                </w:tcPr>
                <w:p w14:paraId="15E92A85">
                  <w:pPr>
                    <w:adjustRightInd w:val="0"/>
                    <w:jc w:val="center"/>
                    <w:rPr>
                      <w:szCs w:val="21"/>
                    </w:rPr>
                  </w:pPr>
                  <w:r>
                    <w:rPr>
                      <w:rFonts w:hint="eastAsia"/>
                      <w:szCs w:val="21"/>
                    </w:rPr>
                    <w:t>七车间（本项目）</w:t>
                  </w:r>
                </w:p>
              </w:tc>
              <w:tc>
                <w:tcPr>
                  <w:tcW w:w="721" w:type="pct"/>
                  <w:shd w:val="clear" w:color="auto" w:fill="auto"/>
                  <w:vAlign w:val="center"/>
                </w:tcPr>
                <w:p w14:paraId="2D10FB66">
                  <w:pPr>
                    <w:adjustRightInd w:val="0"/>
                    <w:jc w:val="center"/>
                    <w:rPr>
                      <w:kern w:val="0"/>
                      <w:szCs w:val="21"/>
                      <w:lang w:bidi="ar"/>
                    </w:rPr>
                  </w:pPr>
                  <w:r>
                    <w:rPr>
                      <w:rFonts w:hint="eastAsia"/>
                      <w:szCs w:val="21"/>
                    </w:rPr>
                    <w:t>高频直缝焊管机组</w:t>
                  </w:r>
                </w:p>
              </w:tc>
              <w:tc>
                <w:tcPr>
                  <w:tcW w:w="475" w:type="pct"/>
                  <w:vAlign w:val="center"/>
                </w:tcPr>
                <w:p w14:paraId="7F8942AE">
                  <w:pPr>
                    <w:adjustRightInd w:val="0"/>
                    <w:jc w:val="center"/>
                    <w:rPr>
                      <w:szCs w:val="21"/>
                    </w:rPr>
                  </w:pPr>
                  <w:r>
                    <w:rPr>
                      <w:szCs w:val="21"/>
                    </w:rPr>
                    <w:t>3</w:t>
                  </w:r>
                  <w:r>
                    <w:rPr>
                      <w:rFonts w:hint="eastAsia"/>
                      <w:szCs w:val="21"/>
                    </w:rPr>
                    <w:t>台</w:t>
                  </w:r>
                </w:p>
              </w:tc>
              <w:tc>
                <w:tcPr>
                  <w:tcW w:w="681" w:type="pct"/>
                  <w:shd w:val="clear" w:color="auto" w:fill="auto"/>
                  <w:vAlign w:val="center"/>
                </w:tcPr>
                <w:p w14:paraId="4FD00A1E">
                  <w:pPr>
                    <w:adjustRightInd w:val="0"/>
                    <w:jc w:val="center"/>
                    <w:rPr>
                      <w:szCs w:val="21"/>
                    </w:rPr>
                  </w:pPr>
                  <w:r>
                    <w:rPr>
                      <w:rFonts w:hint="eastAsia"/>
                      <w:szCs w:val="21"/>
                    </w:rPr>
                    <w:t>室内</w:t>
                  </w:r>
                </w:p>
              </w:tc>
              <w:tc>
                <w:tcPr>
                  <w:tcW w:w="574" w:type="pct"/>
                  <w:vAlign w:val="center"/>
                </w:tcPr>
                <w:p w14:paraId="7B20F2F1">
                  <w:pPr>
                    <w:adjustRightInd w:val="0"/>
                    <w:jc w:val="center"/>
                    <w:rPr>
                      <w:szCs w:val="21"/>
                    </w:rPr>
                  </w:pPr>
                  <w:r>
                    <w:rPr>
                      <w:szCs w:val="21"/>
                    </w:rPr>
                    <w:t>频发</w:t>
                  </w:r>
                </w:p>
              </w:tc>
              <w:tc>
                <w:tcPr>
                  <w:tcW w:w="964" w:type="pct"/>
                  <w:shd w:val="clear" w:color="auto" w:fill="auto"/>
                  <w:vAlign w:val="center"/>
                </w:tcPr>
                <w:p w14:paraId="3A1503C8">
                  <w:pPr>
                    <w:adjustRightInd w:val="0"/>
                    <w:jc w:val="center"/>
                    <w:rPr>
                      <w:szCs w:val="21"/>
                    </w:rPr>
                  </w:pPr>
                  <w:r>
                    <w:rPr>
                      <w:szCs w:val="21"/>
                    </w:rPr>
                    <w:t>85</w:t>
                  </w:r>
                </w:p>
              </w:tc>
              <w:tc>
                <w:tcPr>
                  <w:tcW w:w="623" w:type="pct"/>
                  <w:vMerge w:val="continue"/>
                  <w:shd w:val="clear" w:color="auto" w:fill="auto"/>
                  <w:vAlign w:val="center"/>
                </w:tcPr>
                <w:p w14:paraId="533EEFCA">
                  <w:pPr>
                    <w:adjustRightInd w:val="0"/>
                    <w:jc w:val="center"/>
                    <w:rPr>
                      <w:szCs w:val="21"/>
                    </w:rPr>
                  </w:pPr>
                </w:p>
              </w:tc>
              <w:tc>
                <w:tcPr>
                  <w:tcW w:w="368" w:type="pct"/>
                  <w:shd w:val="clear" w:color="auto" w:fill="auto"/>
                  <w:vAlign w:val="center"/>
                </w:tcPr>
                <w:p w14:paraId="3081F3F2">
                  <w:pPr>
                    <w:adjustRightInd w:val="0"/>
                    <w:jc w:val="center"/>
                    <w:rPr>
                      <w:szCs w:val="21"/>
                    </w:rPr>
                  </w:pPr>
                  <w:r>
                    <w:rPr>
                      <w:szCs w:val="21"/>
                    </w:rPr>
                    <w:t>6000</w:t>
                  </w:r>
                </w:p>
              </w:tc>
            </w:tr>
            <w:tr w14:paraId="2472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421D442B">
                  <w:pPr>
                    <w:adjustRightInd w:val="0"/>
                    <w:jc w:val="center"/>
                    <w:rPr>
                      <w:szCs w:val="21"/>
                    </w:rPr>
                  </w:pPr>
                </w:p>
              </w:tc>
              <w:tc>
                <w:tcPr>
                  <w:tcW w:w="721" w:type="pct"/>
                  <w:shd w:val="clear" w:color="auto" w:fill="auto"/>
                  <w:vAlign w:val="center"/>
                </w:tcPr>
                <w:p w14:paraId="77CD0F31">
                  <w:pPr>
                    <w:adjustRightInd w:val="0"/>
                    <w:jc w:val="center"/>
                    <w:rPr>
                      <w:kern w:val="0"/>
                      <w:szCs w:val="21"/>
                      <w:lang w:bidi="ar"/>
                    </w:rPr>
                  </w:pPr>
                  <w:r>
                    <w:rPr>
                      <w:rFonts w:hint="eastAsia"/>
                      <w:kern w:val="24"/>
                      <w:szCs w:val="21"/>
                    </w:rPr>
                    <w:t>纵剪机组</w:t>
                  </w:r>
                </w:p>
              </w:tc>
              <w:tc>
                <w:tcPr>
                  <w:tcW w:w="475" w:type="pct"/>
                  <w:vAlign w:val="center"/>
                </w:tcPr>
                <w:p w14:paraId="10CCC862">
                  <w:pPr>
                    <w:adjustRightInd w:val="0"/>
                    <w:jc w:val="center"/>
                    <w:rPr>
                      <w:szCs w:val="21"/>
                    </w:rPr>
                  </w:pPr>
                  <w:r>
                    <w:rPr>
                      <w:szCs w:val="21"/>
                    </w:rPr>
                    <w:t>3</w:t>
                  </w:r>
                  <w:r>
                    <w:rPr>
                      <w:rFonts w:hint="eastAsia"/>
                      <w:szCs w:val="21"/>
                    </w:rPr>
                    <w:t>台</w:t>
                  </w:r>
                </w:p>
              </w:tc>
              <w:tc>
                <w:tcPr>
                  <w:tcW w:w="681" w:type="pct"/>
                  <w:shd w:val="clear" w:color="auto" w:fill="auto"/>
                  <w:vAlign w:val="center"/>
                </w:tcPr>
                <w:p w14:paraId="1B301B90">
                  <w:pPr>
                    <w:adjustRightInd w:val="0"/>
                    <w:jc w:val="center"/>
                    <w:rPr>
                      <w:szCs w:val="21"/>
                    </w:rPr>
                  </w:pPr>
                  <w:r>
                    <w:rPr>
                      <w:rFonts w:hint="eastAsia"/>
                      <w:szCs w:val="21"/>
                    </w:rPr>
                    <w:t>室内</w:t>
                  </w:r>
                </w:p>
              </w:tc>
              <w:tc>
                <w:tcPr>
                  <w:tcW w:w="574" w:type="pct"/>
                  <w:vAlign w:val="center"/>
                </w:tcPr>
                <w:p w14:paraId="1F9E337D">
                  <w:pPr>
                    <w:adjustRightInd w:val="0"/>
                    <w:jc w:val="center"/>
                    <w:rPr>
                      <w:szCs w:val="21"/>
                    </w:rPr>
                  </w:pPr>
                  <w:r>
                    <w:rPr>
                      <w:szCs w:val="21"/>
                    </w:rPr>
                    <w:t>频发</w:t>
                  </w:r>
                </w:p>
              </w:tc>
              <w:tc>
                <w:tcPr>
                  <w:tcW w:w="964" w:type="pct"/>
                  <w:shd w:val="clear" w:color="auto" w:fill="auto"/>
                  <w:vAlign w:val="center"/>
                </w:tcPr>
                <w:p w14:paraId="132A0387">
                  <w:pPr>
                    <w:adjustRightInd w:val="0"/>
                    <w:jc w:val="center"/>
                    <w:rPr>
                      <w:szCs w:val="21"/>
                    </w:rPr>
                  </w:pPr>
                  <w:r>
                    <w:rPr>
                      <w:szCs w:val="21"/>
                    </w:rPr>
                    <w:t>90</w:t>
                  </w:r>
                </w:p>
              </w:tc>
              <w:tc>
                <w:tcPr>
                  <w:tcW w:w="623" w:type="pct"/>
                  <w:vMerge w:val="continue"/>
                  <w:shd w:val="clear" w:color="auto" w:fill="auto"/>
                  <w:vAlign w:val="center"/>
                </w:tcPr>
                <w:p w14:paraId="4DD5FF99">
                  <w:pPr>
                    <w:adjustRightInd w:val="0"/>
                    <w:jc w:val="center"/>
                    <w:rPr>
                      <w:szCs w:val="21"/>
                    </w:rPr>
                  </w:pPr>
                </w:p>
              </w:tc>
              <w:tc>
                <w:tcPr>
                  <w:tcW w:w="368" w:type="pct"/>
                  <w:shd w:val="clear" w:color="auto" w:fill="auto"/>
                  <w:vAlign w:val="center"/>
                </w:tcPr>
                <w:p w14:paraId="25BB7B35">
                  <w:pPr>
                    <w:adjustRightInd w:val="0"/>
                    <w:jc w:val="center"/>
                    <w:rPr>
                      <w:szCs w:val="21"/>
                    </w:rPr>
                  </w:pPr>
                  <w:r>
                    <w:rPr>
                      <w:szCs w:val="21"/>
                    </w:rPr>
                    <w:t>6000</w:t>
                  </w:r>
                </w:p>
              </w:tc>
            </w:tr>
            <w:tr w14:paraId="20B9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6D973661">
                  <w:pPr>
                    <w:adjustRightInd w:val="0"/>
                    <w:jc w:val="center"/>
                    <w:rPr>
                      <w:szCs w:val="21"/>
                    </w:rPr>
                  </w:pPr>
                </w:p>
              </w:tc>
              <w:tc>
                <w:tcPr>
                  <w:tcW w:w="721" w:type="pct"/>
                  <w:shd w:val="clear" w:color="auto" w:fill="auto"/>
                  <w:vAlign w:val="center"/>
                </w:tcPr>
                <w:p w14:paraId="5D0E09EB">
                  <w:pPr>
                    <w:adjustRightInd w:val="0"/>
                    <w:jc w:val="center"/>
                    <w:rPr>
                      <w:kern w:val="0"/>
                      <w:szCs w:val="21"/>
                      <w:lang w:bidi="ar"/>
                    </w:rPr>
                  </w:pPr>
                  <w:r>
                    <w:rPr>
                      <w:kern w:val="0"/>
                      <w:szCs w:val="21"/>
                    </w:rPr>
                    <w:t>校直机</w:t>
                  </w:r>
                </w:p>
              </w:tc>
              <w:tc>
                <w:tcPr>
                  <w:tcW w:w="475" w:type="pct"/>
                  <w:vAlign w:val="center"/>
                </w:tcPr>
                <w:p w14:paraId="7E9F5EC0">
                  <w:pPr>
                    <w:adjustRightInd w:val="0"/>
                    <w:jc w:val="center"/>
                    <w:rPr>
                      <w:szCs w:val="21"/>
                    </w:rPr>
                  </w:pPr>
                  <w:r>
                    <w:rPr>
                      <w:szCs w:val="21"/>
                    </w:rPr>
                    <w:t>3</w:t>
                  </w:r>
                  <w:r>
                    <w:rPr>
                      <w:rFonts w:hint="eastAsia"/>
                      <w:szCs w:val="21"/>
                    </w:rPr>
                    <w:t>台</w:t>
                  </w:r>
                </w:p>
              </w:tc>
              <w:tc>
                <w:tcPr>
                  <w:tcW w:w="681" w:type="pct"/>
                  <w:shd w:val="clear" w:color="auto" w:fill="auto"/>
                  <w:vAlign w:val="center"/>
                </w:tcPr>
                <w:p w14:paraId="4302D88C">
                  <w:pPr>
                    <w:adjustRightInd w:val="0"/>
                    <w:jc w:val="center"/>
                    <w:rPr>
                      <w:szCs w:val="21"/>
                    </w:rPr>
                  </w:pPr>
                  <w:r>
                    <w:rPr>
                      <w:rFonts w:hint="eastAsia"/>
                      <w:szCs w:val="21"/>
                    </w:rPr>
                    <w:t>室内</w:t>
                  </w:r>
                </w:p>
              </w:tc>
              <w:tc>
                <w:tcPr>
                  <w:tcW w:w="574" w:type="pct"/>
                  <w:vAlign w:val="center"/>
                </w:tcPr>
                <w:p w14:paraId="5F3A42CE">
                  <w:pPr>
                    <w:adjustRightInd w:val="0"/>
                    <w:jc w:val="center"/>
                    <w:rPr>
                      <w:szCs w:val="21"/>
                    </w:rPr>
                  </w:pPr>
                  <w:r>
                    <w:rPr>
                      <w:szCs w:val="21"/>
                    </w:rPr>
                    <w:t>频发</w:t>
                  </w:r>
                </w:p>
              </w:tc>
              <w:tc>
                <w:tcPr>
                  <w:tcW w:w="964" w:type="pct"/>
                  <w:shd w:val="clear" w:color="auto" w:fill="auto"/>
                  <w:vAlign w:val="center"/>
                </w:tcPr>
                <w:p w14:paraId="5921D1C5">
                  <w:pPr>
                    <w:adjustRightInd w:val="0"/>
                    <w:jc w:val="center"/>
                    <w:rPr>
                      <w:szCs w:val="21"/>
                    </w:rPr>
                  </w:pPr>
                  <w:r>
                    <w:rPr>
                      <w:szCs w:val="21"/>
                    </w:rPr>
                    <w:t>85</w:t>
                  </w:r>
                </w:p>
              </w:tc>
              <w:tc>
                <w:tcPr>
                  <w:tcW w:w="623" w:type="pct"/>
                  <w:vMerge w:val="continue"/>
                  <w:shd w:val="clear" w:color="auto" w:fill="auto"/>
                  <w:vAlign w:val="center"/>
                </w:tcPr>
                <w:p w14:paraId="017952DA">
                  <w:pPr>
                    <w:adjustRightInd w:val="0"/>
                    <w:jc w:val="center"/>
                    <w:rPr>
                      <w:szCs w:val="21"/>
                    </w:rPr>
                  </w:pPr>
                </w:p>
              </w:tc>
              <w:tc>
                <w:tcPr>
                  <w:tcW w:w="368" w:type="pct"/>
                  <w:shd w:val="clear" w:color="auto" w:fill="auto"/>
                  <w:vAlign w:val="center"/>
                </w:tcPr>
                <w:p w14:paraId="266C3855">
                  <w:pPr>
                    <w:adjustRightInd w:val="0"/>
                    <w:jc w:val="center"/>
                    <w:rPr>
                      <w:szCs w:val="21"/>
                    </w:rPr>
                  </w:pPr>
                  <w:r>
                    <w:rPr>
                      <w:szCs w:val="21"/>
                    </w:rPr>
                    <w:t>6000</w:t>
                  </w:r>
                </w:p>
              </w:tc>
            </w:tr>
            <w:tr w14:paraId="6C58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5C27902E">
                  <w:pPr>
                    <w:adjustRightInd w:val="0"/>
                    <w:jc w:val="center"/>
                    <w:rPr>
                      <w:szCs w:val="21"/>
                    </w:rPr>
                  </w:pPr>
                </w:p>
              </w:tc>
              <w:tc>
                <w:tcPr>
                  <w:tcW w:w="721" w:type="pct"/>
                  <w:shd w:val="clear" w:color="auto" w:fill="auto"/>
                  <w:vAlign w:val="center"/>
                </w:tcPr>
                <w:p w14:paraId="74D3166A">
                  <w:pPr>
                    <w:adjustRightInd w:val="0"/>
                    <w:jc w:val="center"/>
                    <w:rPr>
                      <w:kern w:val="0"/>
                      <w:szCs w:val="21"/>
                      <w:lang w:bidi="ar"/>
                    </w:rPr>
                  </w:pPr>
                  <w:r>
                    <w:rPr>
                      <w:kern w:val="0"/>
                      <w:szCs w:val="21"/>
                    </w:rPr>
                    <w:t>电动飞锯</w:t>
                  </w:r>
                </w:p>
              </w:tc>
              <w:tc>
                <w:tcPr>
                  <w:tcW w:w="475" w:type="pct"/>
                  <w:vAlign w:val="center"/>
                </w:tcPr>
                <w:p w14:paraId="610FDB50">
                  <w:pPr>
                    <w:adjustRightInd w:val="0"/>
                    <w:jc w:val="center"/>
                    <w:rPr>
                      <w:szCs w:val="21"/>
                    </w:rPr>
                  </w:pPr>
                  <w:r>
                    <w:rPr>
                      <w:szCs w:val="21"/>
                    </w:rPr>
                    <w:t>3</w:t>
                  </w:r>
                  <w:r>
                    <w:rPr>
                      <w:rFonts w:hint="eastAsia"/>
                      <w:szCs w:val="21"/>
                    </w:rPr>
                    <w:t>台</w:t>
                  </w:r>
                </w:p>
              </w:tc>
              <w:tc>
                <w:tcPr>
                  <w:tcW w:w="681" w:type="pct"/>
                  <w:shd w:val="clear" w:color="auto" w:fill="auto"/>
                  <w:vAlign w:val="center"/>
                </w:tcPr>
                <w:p w14:paraId="385D812D">
                  <w:pPr>
                    <w:adjustRightInd w:val="0"/>
                    <w:jc w:val="center"/>
                    <w:rPr>
                      <w:szCs w:val="21"/>
                    </w:rPr>
                  </w:pPr>
                  <w:r>
                    <w:rPr>
                      <w:rFonts w:hint="eastAsia"/>
                      <w:szCs w:val="21"/>
                    </w:rPr>
                    <w:t>室内</w:t>
                  </w:r>
                </w:p>
              </w:tc>
              <w:tc>
                <w:tcPr>
                  <w:tcW w:w="574" w:type="pct"/>
                  <w:vAlign w:val="center"/>
                </w:tcPr>
                <w:p w14:paraId="76317183">
                  <w:pPr>
                    <w:adjustRightInd w:val="0"/>
                    <w:jc w:val="center"/>
                    <w:rPr>
                      <w:szCs w:val="21"/>
                    </w:rPr>
                  </w:pPr>
                  <w:r>
                    <w:rPr>
                      <w:szCs w:val="21"/>
                    </w:rPr>
                    <w:t>频发</w:t>
                  </w:r>
                </w:p>
              </w:tc>
              <w:tc>
                <w:tcPr>
                  <w:tcW w:w="964" w:type="pct"/>
                  <w:shd w:val="clear" w:color="auto" w:fill="auto"/>
                  <w:vAlign w:val="center"/>
                </w:tcPr>
                <w:p w14:paraId="61DCAA72">
                  <w:pPr>
                    <w:adjustRightInd w:val="0"/>
                    <w:jc w:val="center"/>
                    <w:rPr>
                      <w:szCs w:val="21"/>
                    </w:rPr>
                  </w:pPr>
                  <w:r>
                    <w:rPr>
                      <w:szCs w:val="21"/>
                    </w:rPr>
                    <w:t>85</w:t>
                  </w:r>
                </w:p>
              </w:tc>
              <w:tc>
                <w:tcPr>
                  <w:tcW w:w="623" w:type="pct"/>
                  <w:vMerge w:val="continue"/>
                  <w:shd w:val="clear" w:color="auto" w:fill="auto"/>
                  <w:vAlign w:val="center"/>
                </w:tcPr>
                <w:p w14:paraId="6983BAFE">
                  <w:pPr>
                    <w:adjustRightInd w:val="0"/>
                    <w:jc w:val="center"/>
                    <w:rPr>
                      <w:szCs w:val="21"/>
                    </w:rPr>
                  </w:pPr>
                </w:p>
              </w:tc>
              <w:tc>
                <w:tcPr>
                  <w:tcW w:w="368" w:type="pct"/>
                  <w:shd w:val="clear" w:color="auto" w:fill="auto"/>
                  <w:vAlign w:val="center"/>
                </w:tcPr>
                <w:p w14:paraId="7DA98B78">
                  <w:pPr>
                    <w:adjustRightInd w:val="0"/>
                    <w:jc w:val="center"/>
                    <w:rPr>
                      <w:szCs w:val="21"/>
                    </w:rPr>
                  </w:pPr>
                  <w:r>
                    <w:rPr>
                      <w:szCs w:val="21"/>
                    </w:rPr>
                    <w:t>6000</w:t>
                  </w:r>
                </w:p>
              </w:tc>
            </w:tr>
            <w:tr w14:paraId="1B0B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1329CFC4">
                  <w:pPr>
                    <w:adjustRightInd w:val="0"/>
                    <w:jc w:val="center"/>
                    <w:rPr>
                      <w:szCs w:val="21"/>
                    </w:rPr>
                  </w:pPr>
                </w:p>
              </w:tc>
              <w:tc>
                <w:tcPr>
                  <w:tcW w:w="721" w:type="pct"/>
                  <w:shd w:val="clear" w:color="auto" w:fill="auto"/>
                  <w:vAlign w:val="center"/>
                </w:tcPr>
                <w:p w14:paraId="461457F6">
                  <w:pPr>
                    <w:adjustRightInd w:val="0"/>
                    <w:jc w:val="center"/>
                    <w:rPr>
                      <w:kern w:val="0"/>
                      <w:szCs w:val="21"/>
                      <w:lang w:bidi="ar"/>
                    </w:rPr>
                  </w:pPr>
                  <w:r>
                    <w:rPr>
                      <w:rFonts w:hint="eastAsia"/>
                      <w:kern w:val="0"/>
                      <w:szCs w:val="21"/>
                      <w:lang w:bidi="ar"/>
                    </w:rPr>
                    <w:t>除尘器风机</w:t>
                  </w:r>
                </w:p>
              </w:tc>
              <w:tc>
                <w:tcPr>
                  <w:tcW w:w="475" w:type="pct"/>
                  <w:vAlign w:val="center"/>
                </w:tcPr>
                <w:p w14:paraId="157F5655">
                  <w:pPr>
                    <w:adjustRightInd w:val="0"/>
                    <w:jc w:val="center"/>
                    <w:rPr>
                      <w:szCs w:val="21"/>
                    </w:rPr>
                  </w:pPr>
                  <w:r>
                    <w:rPr>
                      <w:szCs w:val="21"/>
                    </w:rPr>
                    <w:t>3</w:t>
                  </w:r>
                  <w:r>
                    <w:rPr>
                      <w:rFonts w:hint="eastAsia"/>
                      <w:szCs w:val="21"/>
                    </w:rPr>
                    <w:t>台</w:t>
                  </w:r>
                </w:p>
              </w:tc>
              <w:tc>
                <w:tcPr>
                  <w:tcW w:w="681" w:type="pct"/>
                  <w:shd w:val="clear" w:color="auto" w:fill="auto"/>
                  <w:vAlign w:val="center"/>
                </w:tcPr>
                <w:p w14:paraId="511FA5D0">
                  <w:pPr>
                    <w:adjustRightInd w:val="0"/>
                    <w:jc w:val="center"/>
                    <w:rPr>
                      <w:szCs w:val="21"/>
                    </w:rPr>
                  </w:pPr>
                  <w:r>
                    <w:rPr>
                      <w:rFonts w:hint="eastAsia"/>
                      <w:szCs w:val="21"/>
                    </w:rPr>
                    <w:t>室内</w:t>
                  </w:r>
                </w:p>
              </w:tc>
              <w:tc>
                <w:tcPr>
                  <w:tcW w:w="574" w:type="pct"/>
                  <w:vAlign w:val="center"/>
                </w:tcPr>
                <w:p w14:paraId="4628F979">
                  <w:pPr>
                    <w:adjustRightInd w:val="0"/>
                    <w:jc w:val="center"/>
                    <w:rPr>
                      <w:szCs w:val="21"/>
                    </w:rPr>
                  </w:pPr>
                  <w:r>
                    <w:rPr>
                      <w:szCs w:val="21"/>
                    </w:rPr>
                    <w:t>频发</w:t>
                  </w:r>
                </w:p>
              </w:tc>
              <w:tc>
                <w:tcPr>
                  <w:tcW w:w="964" w:type="pct"/>
                  <w:shd w:val="clear" w:color="auto" w:fill="auto"/>
                  <w:vAlign w:val="center"/>
                </w:tcPr>
                <w:p w14:paraId="2CF779CA">
                  <w:pPr>
                    <w:adjustRightInd w:val="0"/>
                    <w:jc w:val="center"/>
                    <w:rPr>
                      <w:szCs w:val="21"/>
                    </w:rPr>
                  </w:pPr>
                  <w:r>
                    <w:rPr>
                      <w:szCs w:val="21"/>
                    </w:rPr>
                    <w:t>85</w:t>
                  </w:r>
                </w:p>
              </w:tc>
              <w:tc>
                <w:tcPr>
                  <w:tcW w:w="623" w:type="pct"/>
                  <w:vMerge w:val="continue"/>
                  <w:shd w:val="clear" w:color="auto" w:fill="auto"/>
                  <w:vAlign w:val="center"/>
                </w:tcPr>
                <w:p w14:paraId="2D080443">
                  <w:pPr>
                    <w:adjustRightInd w:val="0"/>
                    <w:jc w:val="center"/>
                    <w:rPr>
                      <w:szCs w:val="21"/>
                    </w:rPr>
                  </w:pPr>
                </w:p>
              </w:tc>
              <w:tc>
                <w:tcPr>
                  <w:tcW w:w="368" w:type="pct"/>
                  <w:shd w:val="clear" w:color="auto" w:fill="auto"/>
                  <w:vAlign w:val="center"/>
                </w:tcPr>
                <w:p w14:paraId="27985BED">
                  <w:pPr>
                    <w:adjustRightInd w:val="0"/>
                    <w:jc w:val="center"/>
                    <w:rPr>
                      <w:szCs w:val="21"/>
                    </w:rPr>
                  </w:pPr>
                  <w:r>
                    <w:rPr>
                      <w:szCs w:val="21"/>
                    </w:rPr>
                    <w:t>6000</w:t>
                  </w:r>
                </w:p>
              </w:tc>
            </w:tr>
            <w:tr w14:paraId="017D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restart"/>
                  <w:shd w:val="clear" w:color="auto" w:fill="auto"/>
                  <w:vAlign w:val="center"/>
                </w:tcPr>
                <w:p w14:paraId="5643A5B6">
                  <w:pPr>
                    <w:adjustRightInd w:val="0"/>
                    <w:jc w:val="center"/>
                    <w:rPr>
                      <w:szCs w:val="21"/>
                    </w:rPr>
                  </w:pPr>
                  <w:r>
                    <w:rPr>
                      <w:rFonts w:hint="eastAsia"/>
                      <w:szCs w:val="21"/>
                    </w:rPr>
                    <w:t>八车间（本项目）</w:t>
                  </w:r>
                </w:p>
              </w:tc>
              <w:tc>
                <w:tcPr>
                  <w:tcW w:w="721" w:type="pct"/>
                  <w:shd w:val="clear" w:color="auto" w:fill="auto"/>
                  <w:vAlign w:val="center"/>
                </w:tcPr>
                <w:p w14:paraId="7C392436">
                  <w:pPr>
                    <w:adjustRightInd w:val="0"/>
                    <w:jc w:val="center"/>
                    <w:rPr>
                      <w:kern w:val="0"/>
                      <w:szCs w:val="21"/>
                      <w:lang w:bidi="ar"/>
                    </w:rPr>
                  </w:pPr>
                  <w:r>
                    <w:rPr>
                      <w:rFonts w:hint="eastAsia"/>
                      <w:szCs w:val="21"/>
                    </w:rPr>
                    <w:t>高频直缝焊管机组</w:t>
                  </w:r>
                </w:p>
              </w:tc>
              <w:tc>
                <w:tcPr>
                  <w:tcW w:w="475" w:type="pct"/>
                  <w:vAlign w:val="center"/>
                </w:tcPr>
                <w:p w14:paraId="372F1771">
                  <w:pPr>
                    <w:adjustRightInd w:val="0"/>
                    <w:jc w:val="center"/>
                    <w:rPr>
                      <w:szCs w:val="21"/>
                    </w:rPr>
                  </w:pPr>
                  <w:r>
                    <w:rPr>
                      <w:rFonts w:hint="eastAsia"/>
                      <w:szCs w:val="21"/>
                    </w:rPr>
                    <w:t>2台</w:t>
                  </w:r>
                </w:p>
              </w:tc>
              <w:tc>
                <w:tcPr>
                  <w:tcW w:w="681" w:type="pct"/>
                  <w:shd w:val="clear" w:color="auto" w:fill="auto"/>
                  <w:vAlign w:val="center"/>
                </w:tcPr>
                <w:p w14:paraId="24A30C37">
                  <w:pPr>
                    <w:adjustRightInd w:val="0"/>
                    <w:jc w:val="center"/>
                    <w:rPr>
                      <w:szCs w:val="21"/>
                    </w:rPr>
                  </w:pPr>
                  <w:r>
                    <w:rPr>
                      <w:rFonts w:hint="eastAsia"/>
                      <w:szCs w:val="21"/>
                    </w:rPr>
                    <w:t>室内</w:t>
                  </w:r>
                </w:p>
              </w:tc>
              <w:tc>
                <w:tcPr>
                  <w:tcW w:w="574" w:type="pct"/>
                  <w:vAlign w:val="center"/>
                </w:tcPr>
                <w:p w14:paraId="1E185C5F">
                  <w:pPr>
                    <w:adjustRightInd w:val="0"/>
                    <w:jc w:val="center"/>
                    <w:rPr>
                      <w:szCs w:val="21"/>
                    </w:rPr>
                  </w:pPr>
                  <w:r>
                    <w:rPr>
                      <w:szCs w:val="21"/>
                    </w:rPr>
                    <w:t>频发</w:t>
                  </w:r>
                </w:p>
              </w:tc>
              <w:tc>
                <w:tcPr>
                  <w:tcW w:w="964" w:type="pct"/>
                  <w:shd w:val="clear" w:color="auto" w:fill="auto"/>
                  <w:vAlign w:val="center"/>
                </w:tcPr>
                <w:p w14:paraId="279C5971">
                  <w:pPr>
                    <w:adjustRightInd w:val="0"/>
                    <w:jc w:val="center"/>
                    <w:rPr>
                      <w:szCs w:val="21"/>
                    </w:rPr>
                  </w:pPr>
                  <w:r>
                    <w:rPr>
                      <w:szCs w:val="21"/>
                    </w:rPr>
                    <w:t>85</w:t>
                  </w:r>
                </w:p>
              </w:tc>
              <w:tc>
                <w:tcPr>
                  <w:tcW w:w="623" w:type="pct"/>
                  <w:vMerge w:val="continue"/>
                  <w:shd w:val="clear" w:color="auto" w:fill="auto"/>
                  <w:vAlign w:val="center"/>
                </w:tcPr>
                <w:p w14:paraId="34200EFB">
                  <w:pPr>
                    <w:adjustRightInd w:val="0"/>
                    <w:jc w:val="center"/>
                    <w:rPr>
                      <w:szCs w:val="21"/>
                    </w:rPr>
                  </w:pPr>
                </w:p>
              </w:tc>
              <w:tc>
                <w:tcPr>
                  <w:tcW w:w="368" w:type="pct"/>
                  <w:shd w:val="clear" w:color="auto" w:fill="auto"/>
                  <w:vAlign w:val="center"/>
                </w:tcPr>
                <w:p w14:paraId="4CEB7F3C">
                  <w:pPr>
                    <w:adjustRightInd w:val="0"/>
                    <w:jc w:val="center"/>
                    <w:rPr>
                      <w:szCs w:val="21"/>
                    </w:rPr>
                  </w:pPr>
                  <w:r>
                    <w:rPr>
                      <w:szCs w:val="21"/>
                    </w:rPr>
                    <w:t>6000</w:t>
                  </w:r>
                </w:p>
              </w:tc>
            </w:tr>
            <w:tr w14:paraId="259E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56F2310E">
                  <w:pPr>
                    <w:adjustRightInd w:val="0"/>
                    <w:jc w:val="center"/>
                    <w:rPr>
                      <w:szCs w:val="21"/>
                    </w:rPr>
                  </w:pPr>
                </w:p>
              </w:tc>
              <w:tc>
                <w:tcPr>
                  <w:tcW w:w="721" w:type="pct"/>
                  <w:shd w:val="clear" w:color="auto" w:fill="auto"/>
                  <w:vAlign w:val="center"/>
                </w:tcPr>
                <w:p w14:paraId="2450D522">
                  <w:pPr>
                    <w:adjustRightInd w:val="0"/>
                    <w:jc w:val="center"/>
                    <w:rPr>
                      <w:kern w:val="0"/>
                      <w:szCs w:val="21"/>
                      <w:lang w:bidi="ar"/>
                    </w:rPr>
                  </w:pPr>
                  <w:r>
                    <w:rPr>
                      <w:rFonts w:hint="eastAsia"/>
                      <w:kern w:val="24"/>
                      <w:szCs w:val="21"/>
                    </w:rPr>
                    <w:t>纵剪机组</w:t>
                  </w:r>
                </w:p>
              </w:tc>
              <w:tc>
                <w:tcPr>
                  <w:tcW w:w="475" w:type="pct"/>
                  <w:vAlign w:val="center"/>
                </w:tcPr>
                <w:p w14:paraId="4C0D342B">
                  <w:pPr>
                    <w:adjustRightInd w:val="0"/>
                    <w:jc w:val="center"/>
                    <w:rPr>
                      <w:szCs w:val="21"/>
                    </w:rPr>
                  </w:pPr>
                  <w:r>
                    <w:rPr>
                      <w:rFonts w:hint="eastAsia"/>
                      <w:szCs w:val="21"/>
                    </w:rPr>
                    <w:t>2台</w:t>
                  </w:r>
                </w:p>
              </w:tc>
              <w:tc>
                <w:tcPr>
                  <w:tcW w:w="681" w:type="pct"/>
                  <w:shd w:val="clear" w:color="auto" w:fill="auto"/>
                  <w:vAlign w:val="center"/>
                </w:tcPr>
                <w:p w14:paraId="31974604">
                  <w:pPr>
                    <w:adjustRightInd w:val="0"/>
                    <w:jc w:val="center"/>
                    <w:rPr>
                      <w:szCs w:val="21"/>
                    </w:rPr>
                  </w:pPr>
                  <w:r>
                    <w:rPr>
                      <w:rFonts w:hint="eastAsia"/>
                      <w:szCs w:val="21"/>
                    </w:rPr>
                    <w:t>室内</w:t>
                  </w:r>
                </w:p>
              </w:tc>
              <w:tc>
                <w:tcPr>
                  <w:tcW w:w="574" w:type="pct"/>
                  <w:vAlign w:val="center"/>
                </w:tcPr>
                <w:p w14:paraId="1365CC9D">
                  <w:pPr>
                    <w:adjustRightInd w:val="0"/>
                    <w:jc w:val="center"/>
                    <w:rPr>
                      <w:szCs w:val="21"/>
                    </w:rPr>
                  </w:pPr>
                  <w:r>
                    <w:rPr>
                      <w:szCs w:val="21"/>
                    </w:rPr>
                    <w:t>频发</w:t>
                  </w:r>
                </w:p>
              </w:tc>
              <w:tc>
                <w:tcPr>
                  <w:tcW w:w="964" w:type="pct"/>
                  <w:shd w:val="clear" w:color="auto" w:fill="auto"/>
                  <w:vAlign w:val="center"/>
                </w:tcPr>
                <w:p w14:paraId="43676F9D">
                  <w:pPr>
                    <w:adjustRightInd w:val="0"/>
                    <w:jc w:val="center"/>
                    <w:rPr>
                      <w:szCs w:val="21"/>
                    </w:rPr>
                  </w:pPr>
                  <w:r>
                    <w:rPr>
                      <w:szCs w:val="21"/>
                    </w:rPr>
                    <w:t>90</w:t>
                  </w:r>
                </w:p>
              </w:tc>
              <w:tc>
                <w:tcPr>
                  <w:tcW w:w="623" w:type="pct"/>
                  <w:vMerge w:val="continue"/>
                  <w:shd w:val="clear" w:color="auto" w:fill="auto"/>
                  <w:vAlign w:val="center"/>
                </w:tcPr>
                <w:p w14:paraId="7231A5EF">
                  <w:pPr>
                    <w:adjustRightInd w:val="0"/>
                    <w:jc w:val="center"/>
                    <w:rPr>
                      <w:szCs w:val="21"/>
                    </w:rPr>
                  </w:pPr>
                </w:p>
              </w:tc>
              <w:tc>
                <w:tcPr>
                  <w:tcW w:w="368" w:type="pct"/>
                  <w:shd w:val="clear" w:color="auto" w:fill="auto"/>
                  <w:vAlign w:val="center"/>
                </w:tcPr>
                <w:p w14:paraId="75B7C219">
                  <w:pPr>
                    <w:adjustRightInd w:val="0"/>
                    <w:jc w:val="center"/>
                    <w:rPr>
                      <w:szCs w:val="21"/>
                    </w:rPr>
                  </w:pPr>
                  <w:r>
                    <w:rPr>
                      <w:szCs w:val="21"/>
                    </w:rPr>
                    <w:t>6000</w:t>
                  </w:r>
                </w:p>
              </w:tc>
            </w:tr>
            <w:tr w14:paraId="4943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4F4D066B">
                  <w:pPr>
                    <w:adjustRightInd w:val="0"/>
                    <w:jc w:val="center"/>
                    <w:rPr>
                      <w:szCs w:val="21"/>
                    </w:rPr>
                  </w:pPr>
                </w:p>
              </w:tc>
              <w:tc>
                <w:tcPr>
                  <w:tcW w:w="721" w:type="pct"/>
                  <w:shd w:val="clear" w:color="auto" w:fill="auto"/>
                  <w:vAlign w:val="center"/>
                </w:tcPr>
                <w:p w14:paraId="58FC114F">
                  <w:pPr>
                    <w:adjustRightInd w:val="0"/>
                    <w:jc w:val="center"/>
                    <w:rPr>
                      <w:kern w:val="0"/>
                      <w:szCs w:val="21"/>
                      <w:lang w:bidi="ar"/>
                    </w:rPr>
                  </w:pPr>
                  <w:r>
                    <w:rPr>
                      <w:kern w:val="0"/>
                      <w:szCs w:val="21"/>
                    </w:rPr>
                    <w:t>校直机</w:t>
                  </w:r>
                </w:p>
              </w:tc>
              <w:tc>
                <w:tcPr>
                  <w:tcW w:w="475" w:type="pct"/>
                  <w:vAlign w:val="center"/>
                </w:tcPr>
                <w:p w14:paraId="5930E6C1">
                  <w:pPr>
                    <w:adjustRightInd w:val="0"/>
                    <w:jc w:val="center"/>
                    <w:rPr>
                      <w:szCs w:val="21"/>
                    </w:rPr>
                  </w:pPr>
                  <w:r>
                    <w:rPr>
                      <w:rFonts w:hint="eastAsia"/>
                      <w:szCs w:val="21"/>
                    </w:rPr>
                    <w:t>2台</w:t>
                  </w:r>
                </w:p>
              </w:tc>
              <w:tc>
                <w:tcPr>
                  <w:tcW w:w="681" w:type="pct"/>
                  <w:shd w:val="clear" w:color="auto" w:fill="auto"/>
                  <w:vAlign w:val="center"/>
                </w:tcPr>
                <w:p w14:paraId="441158E6">
                  <w:pPr>
                    <w:adjustRightInd w:val="0"/>
                    <w:jc w:val="center"/>
                    <w:rPr>
                      <w:szCs w:val="21"/>
                    </w:rPr>
                  </w:pPr>
                  <w:r>
                    <w:rPr>
                      <w:rFonts w:hint="eastAsia"/>
                      <w:szCs w:val="21"/>
                    </w:rPr>
                    <w:t>室内</w:t>
                  </w:r>
                </w:p>
              </w:tc>
              <w:tc>
                <w:tcPr>
                  <w:tcW w:w="574" w:type="pct"/>
                  <w:vAlign w:val="center"/>
                </w:tcPr>
                <w:p w14:paraId="688C40C6">
                  <w:pPr>
                    <w:adjustRightInd w:val="0"/>
                    <w:jc w:val="center"/>
                    <w:rPr>
                      <w:szCs w:val="21"/>
                    </w:rPr>
                  </w:pPr>
                  <w:r>
                    <w:rPr>
                      <w:szCs w:val="21"/>
                    </w:rPr>
                    <w:t>频发</w:t>
                  </w:r>
                </w:p>
              </w:tc>
              <w:tc>
                <w:tcPr>
                  <w:tcW w:w="964" w:type="pct"/>
                  <w:shd w:val="clear" w:color="auto" w:fill="auto"/>
                  <w:vAlign w:val="center"/>
                </w:tcPr>
                <w:p w14:paraId="679DE83C">
                  <w:pPr>
                    <w:adjustRightInd w:val="0"/>
                    <w:jc w:val="center"/>
                    <w:rPr>
                      <w:szCs w:val="21"/>
                    </w:rPr>
                  </w:pPr>
                  <w:r>
                    <w:rPr>
                      <w:szCs w:val="21"/>
                    </w:rPr>
                    <w:t>85</w:t>
                  </w:r>
                </w:p>
              </w:tc>
              <w:tc>
                <w:tcPr>
                  <w:tcW w:w="623" w:type="pct"/>
                  <w:vMerge w:val="continue"/>
                  <w:shd w:val="clear" w:color="auto" w:fill="auto"/>
                  <w:vAlign w:val="center"/>
                </w:tcPr>
                <w:p w14:paraId="2FE32CC0">
                  <w:pPr>
                    <w:adjustRightInd w:val="0"/>
                    <w:jc w:val="center"/>
                    <w:rPr>
                      <w:szCs w:val="21"/>
                    </w:rPr>
                  </w:pPr>
                </w:p>
              </w:tc>
              <w:tc>
                <w:tcPr>
                  <w:tcW w:w="368" w:type="pct"/>
                  <w:shd w:val="clear" w:color="auto" w:fill="auto"/>
                  <w:vAlign w:val="center"/>
                </w:tcPr>
                <w:p w14:paraId="39388B41">
                  <w:pPr>
                    <w:adjustRightInd w:val="0"/>
                    <w:jc w:val="center"/>
                    <w:rPr>
                      <w:szCs w:val="21"/>
                    </w:rPr>
                  </w:pPr>
                  <w:r>
                    <w:rPr>
                      <w:szCs w:val="21"/>
                    </w:rPr>
                    <w:t>6000</w:t>
                  </w:r>
                </w:p>
              </w:tc>
            </w:tr>
            <w:tr w14:paraId="38EC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0179A56F">
                  <w:pPr>
                    <w:adjustRightInd w:val="0"/>
                    <w:jc w:val="center"/>
                    <w:rPr>
                      <w:szCs w:val="21"/>
                    </w:rPr>
                  </w:pPr>
                </w:p>
              </w:tc>
              <w:tc>
                <w:tcPr>
                  <w:tcW w:w="721" w:type="pct"/>
                  <w:shd w:val="clear" w:color="auto" w:fill="auto"/>
                  <w:vAlign w:val="center"/>
                </w:tcPr>
                <w:p w14:paraId="32CC5603">
                  <w:pPr>
                    <w:adjustRightInd w:val="0"/>
                    <w:jc w:val="center"/>
                    <w:rPr>
                      <w:kern w:val="0"/>
                      <w:szCs w:val="21"/>
                      <w:lang w:bidi="ar"/>
                    </w:rPr>
                  </w:pPr>
                  <w:r>
                    <w:rPr>
                      <w:kern w:val="0"/>
                      <w:szCs w:val="21"/>
                    </w:rPr>
                    <w:t>电动飞锯</w:t>
                  </w:r>
                </w:p>
              </w:tc>
              <w:tc>
                <w:tcPr>
                  <w:tcW w:w="475" w:type="pct"/>
                  <w:vAlign w:val="center"/>
                </w:tcPr>
                <w:p w14:paraId="640C7DE4">
                  <w:pPr>
                    <w:adjustRightInd w:val="0"/>
                    <w:jc w:val="center"/>
                    <w:rPr>
                      <w:szCs w:val="21"/>
                    </w:rPr>
                  </w:pPr>
                  <w:r>
                    <w:rPr>
                      <w:rFonts w:hint="eastAsia"/>
                      <w:szCs w:val="21"/>
                    </w:rPr>
                    <w:t>2台</w:t>
                  </w:r>
                </w:p>
              </w:tc>
              <w:tc>
                <w:tcPr>
                  <w:tcW w:w="681" w:type="pct"/>
                  <w:shd w:val="clear" w:color="auto" w:fill="auto"/>
                  <w:vAlign w:val="center"/>
                </w:tcPr>
                <w:p w14:paraId="4E468023">
                  <w:pPr>
                    <w:adjustRightInd w:val="0"/>
                    <w:jc w:val="center"/>
                    <w:rPr>
                      <w:szCs w:val="21"/>
                    </w:rPr>
                  </w:pPr>
                  <w:r>
                    <w:rPr>
                      <w:rFonts w:hint="eastAsia"/>
                      <w:szCs w:val="21"/>
                    </w:rPr>
                    <w:t>室内</w:t>
                  </w:r>
                </w:p>
              </w:tc>
              <w:tc>
                <w:tcPr>
                  <w:tcW w:w="574" w:type="pct"/>
                  <w:vAlign w:val="center"/>
                </w:tcPr>
                <w:p w14:paraId="01AE9AE1">
                  <w:pPr>
                    <w:adjustRightInd w:val="0"/>
                    <w:jc w:val="center"/>
                    <w:rPr>
                      <w:szCs w:val="21"/>
                    </w:rPr>
                  </w:pPr>
                  <w:r>
                    <w:rPr>
                      <w:szCs w:val="21"/>
                    </w:rPr>
                    <w:t>频发</w:t>
                  </w:r>
                </w:p>
              </w:tc>
              <w:tc>
                <w:tcPr>
                  <w:tcW w:w="964" w:type="pct"/>
                  <w:shd w:val="clear" w:color="auto" w:fill="auto"/>
                  <w:vAlign w:val="center"/>
                </w:tcPr>
                <w:p w14:paraId="22786D40">
                  <w:pPr>
                    <w:adjustRightInd w:val="0"/>
                    <w:jc w:val="center"/>
                    <w:rPr>
                      <w:szCs w:val="21"/>
                    </w:rPr>
                  </w:pPr>
                  <w:r>
                    <w:rPr>
                      <w:szCs w:val="21"/>
                    </w:rPr>
                    <w:t>85</w:t>
                  </w:r>
                </w:p>
              </w:tc>
              <w:tc>
                <w:tcPr>
                  <w:tcW w:w="623" w:type="pct"/>
                  <w:vMerge w:val="continue"/>
                  <w:shd w:val="clear" w:color="auto" w:fill="auto"/>
                  <w:vAlign w:val="center"/>
                </w:tcPr>
                <w:p w14:paraId="0103FCFC">
                  <w:pPr>
                    <w:adjustRightInd w:val="0"/>
                    <w:jc w:val="center"/>
                    <w:rPr>
                      <w:szCs w:val="21"/>
                    </w:rPr>
                  </w:pPr>
                </w:p>
              </w:tc>
              <w:tc>
                <w:tcPr>
                  <w:tcW w:w="368" w:type="pct"/>
                  <w:shd w:val="clear" w:color="auto" w:fill="auto"/>
                  <w:vAlign w:val="center"/>
                </w:tcPr>
                <w:p w14:paraId="110CF3AA">
                  <w:pPr>
                    <w:adjustRightInd w:val="0"/>
                    <w:jc w:val="center"/>
                    <w:rPr>
                      <w:szCs w:val="21"/>
                    </w:rPr>
                  </w:pPr>
                  <w:r>
                    <w:rPr>
                      <w:szCs w:val="21"/>
                    </w:rPr>
                    <w:t>6000</w:t>
                  </w:r>
                </w:p>
              </w:tc>
            </w:tr>
            <w:tr w14:paraId="0E67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3" w:type="pct"/>
                  <w:vMerge w:val="continue"/>
                  <w:shd w:val="clear" w:color="auto" w:fill="auto"/>
                  <w:vAlign w:val="center"/>
                </w:tcPr>
                <w:p w14:paraId="53257436">
                  <w:pPr>
                    <w:adjustRightInd w:val="0"/>
                    <w:jc w:val="center"/>
                    <w:rPr>
                      <w:szCs w:val="21"/>
                    </w:rPr>
                  </w:pPr>
                </w:p>
              </w:tc>
              <w:tc>
                <w:tcPr>
                  <w:tcW w:w="721" w:type="pct"/>
                  <w:shd w:val="clear" w:color="auto" w:fill="auto"/>
                  <w:vAlign w:val="center"/>
                </w:tcPr>
                <w:p w14:paraId="5EE81980">
                  <w:pPr>
                    <w:adjustRightInd w:val="0"/>
                    <w:jc w:val="center"/>
                    <w:rPr>
                      <w:kern w:val="0"/>
                      <w:szCs w:val="21"/>
                      <w:lang w:bidi="ar"/>
                    </w:rPr>
                  </w:pPr>
                  <w:r>
                    <w:rPr>
                      <w:rFonts w:hint="eastAsia"/>
                      <w:kern w:val="0"/>
                      <w:szCs w:val="21"/>
                      <w:lang w:bidi="ar"/>
                    </w:rPr>
                    <w:t>除尘器风机</w:t>
                  </w:r>
                </w:p>
              </w:tc>
              <w:tc>
                <w:tcPr>
                  <w:tcW w:w="475" w:type="pct"/>
                  <w:vAlign w:val="center"/>
                </w:tcPr>
                <w:p w14:paraId="09273432">
                  <w:pPr>
                    <w:adjustRightInd w:val="0"/>
                    <w:jc w:val="center"/>
                    <w:rPr>
                      <w:szCs w:val="21"/>
                    </w:rPr>
                  </w:pPr>
                  <w:r>
                    <w:rPr>
                      <w:szCs w:val="21"/>
                    </w:rPr>
                    <w:t>2</w:t>
                  </w:r>
                  <w:r>
                    <w:rPr>
                      <w:rFonts w:hint="eastAsia"/>
                      <w:szCs w:val="21"/>
                    </w:rPr>
                    <w:t>台</w:t>
                  </w:r>
                </w:p>
              </w:tc>
              <w:tc>
                <w:tcPr>
                  <w:tcW w:w="681" w:type="pct"/>
                  <w:shd w:val="clear" w:color="auto" w:fill="auto"/>
                  <w:vAlign w:val="center"/>
                </w:tcPr>
                <w:p w14:paraId="400A1CD5">
                  <w:pPr>
                    <w:adjustRightInd w:val="0"/>
                    <w:jc w:val="center"/>
                    <w:rPr>
                      <w:szCs w:val="21"/>
                    </w:rPr>
                  </w:pPr>
                  <w:r>
                    <w:rPr>
                      <w:rFonts w:hint="eastAsia"/>
                      <w:szCs w:val="21"/>
                    </w:rPr>
                    <w:t>室内</w:t>
                  </w:r>
                </w:p>
              </w:tc>
              <w:tc>
                <w:tcPr>
                  <w:tcW w:w="574" w:type="pct"/>
                  <w:vAlign w:val="center"/>
                </w:tcPr>
                <w:p w14:paraId="5F00F9D5">
                  <w:pPr>
                    <w:adjustRightInd w:val="0"/>
                    <w:jc w:val="center"/>
                    <w:rPr>
                      <w:szCs w:val="21"/>
                    </w:rPr>
                  </w:pPr>
                  <w:r>
                    <w:rPr>
                      <w:szCs w:val="21"/>
                    </w:rPr>
                    <w:t>频发</w:t>
                  </w:r>
                </w:p>
              </w:tc>
              <w:tc>
                <w:tcPr>
                  <w:tcW w:w="964" w:type="pct"/>
                  <w:shd w:val="clear" w:color="auto" w:fill="auto"/>
                  <w:vAlign w:val="center"/>
                </w:tcPr>
                <w:p w14:paraId="437D5425">
                  <w:pPr>
                    <w:adjustRightInd w:val="0"/>
                    <w:jc w:val="center"/>
                    <w:rPr>
                      <w:szCs w:val="21"/>
                    </w:rPr>
                  </w:pPr>
                  <w:r>
                    <w:rPr>
                      <w:szCs w:val="21"/>
                    </w:rPr>
                    <w:t>85</w:t>
                  </w:r>
                </w:p>
              </w:tc>
              <w:tc>
                <w:tcPr>
                  <w:tcW w:w="623" w:type="pct"/>
                  <w:vMerge w:val="continue"/>
                  <w:shd w:val="clear" w:color="auto" w:fill="auto"/>
                  <w:vAlign w:val="center"/>
                </w:tcPr>
                <w:p w14:paraId="3A11DB45">
                  <w:pPr>
                    <w:adjustRightInd w:val="0"/>
                    <w:jc w:val="center"/>
                    <w:rPr>
                      <w:szCs w:val="21"/>
                    </w:rPr>
                  </w:pPr>
                </w:p>
              </w:tc>
              <w:tc>
                <w:tcPr>
                  <w:tcW w:w="368" w:type="pct"/>
                  <w:shd w:val="clear" w:color="auto" w:fill="auto"/>
                  <w:vAlign w:val="center"/>
                </w:tcPr>
                <w:p w14:paraId="5A15B903">
                  <w:pPr>
                    <w:adjustRightInd w:val="0"/>
                    <w:jc w:val="center"/>
                    <w:rPr>
                      <w:szCs w:val="21"/>
                    </w:rPr>
                  </w:pPr>
                  <w:r>
                    <w:rPr>
                      <w:szCs w:val="21"/>
                    </w:rPr>
                    <w:t>6000</w:t>
                  </w:r>
                </w:p>
              </w:tc>
            </w:tr>
            <w:bookmarkEnd w:id="21"/>
          </w:tbl>
          <w:p w14:paraId="513668BF">
            <w:pPr>
              <w:pStyle w:val="83"/>
              <w:ind w:firstLine="480"/>
            </w:pPr>
          </w:p>
          <w:bookmarkEnd w:id="19"/>
          <w:bookmarkEnd w:id="20"/>
          <w:p w14:paraId="5C51296A">
            <w:pPr>
              <w:pStyle w:val="58"/>
              <w:spacing w:before="1" w:line="364" w:lineRule="auto"/>
              <w:ind w:right="106"/>
              <w:rPr>
                <w:rFonts w:hint="eastAsia"/>
                <w:b/>
                <w:kern w:val="24"/>
                <w:sz w:val="24"/>
              </w:rPr>
            </w:pPr>
            <w:r>
              <w:rPr>
                <w:rFonts w:hint="eastAsia" w:ascii="Times New Roman" w:hAnsi="Times New Roman" w:cs="Times New Roman"/>
                <w:b/>
                <w:kern w:val="24"/>
                <w:sz w:val="24"/>
                <w:lang w:val="en-US"/>
              </w:rPr>
              <w:t>3</w:t>
            </w:r>
            <w:r>
              <w:rPr>
                <w:rFonts w:ascii="Times New Roman" w:hAnsi="Times New Roman" w:cs="Times New Roman"/>
                <w:b/>
                <w:kern w:val="24"/>
                <w:sz w:val="24"/>
                <w:lang w:val="en-US"/>
              </w:rPr>
              <w:t>.</w:t>
            </w:r>
            <w:r>
              <w:rPr>
                <w:rFonts w:hint="eastAsia" w:ascii="Times New Roman" w:hAnsi="Times New Roman" w:cs="Times New Roman"/>
                <w:b/>
                <w:kern w:val="24"/>
                <w:sz w:val="24"/>
                <w:lang w:val="en-US"/>
              </w:rPr>
              <w:t>2</w:t>
            </w:r>
            <w:r>
              <w:rPr>
                <w:rFonts w:hint="eastAsia"/>
                <w:b/>
                <w:bCs/>
                <w:sz w:val="24"/>
              </w:rPr>
              <w:t>声环境影响分析</w:t>
            </w:r>
          </w:p>
          <w:p w14:paraId="063F1E5B">
            <w:pPr>
              <w:adjustRightInd w:val="0"/>
              <w:snapToGrid w:val="0"/>
              <w:spacing w:line="360" w:lineRule="auto"/>
              <w:ind w:firstLine="480" w:firstLineChars="200"/>
              <w:rPr>
                <w:sz w:val="24"/>
              </w:rPr>
            </w:pPr>
            <w:r>
              <w:rPr>
                <w:sz w:val="24"/>
              </w:rPr>
              <w:t>（</w:t>
            </w:r>
            <w:r>
              <w:rPr>
                <w:rFonts w:hint="eastAsia"/>
                <w:sz w:val="24"/>
              </w:rPr>
              <w:t>1</w:t>
            </w:r>
            <w:r>
              <w:rPr>
                <w:sz w:val="24"/>
              </w:rPr>
              <w:t>）预测模式</w:t>
            </w:r>
          </w:p>
          <w:p w14:paraId="3E7C2D79">
            <w:pPr>
              <w:adjustRightInd w:val="0"/>
              <w:snapToGrid w:val="0"/>
              <w:spacing w:line="360" w:lineRule="auto"/>
              <w:ind w:firstLine="480" w:firstLineChars="200"/>
              <w:rPr>
                <w:sz w:val="24"/>
              </w:rPr>
            </w:pPr>
            <w:r>
              <w:rPr>
                <w:rFonts w:hint="eastAsia"/>
                <w:sz w:val="24"/>
              </w:rPr>
              <w:t>根据项目建设内容及《环境影响评价技术导则 声环境》（HJ2.4-2021）的要求，项目声环境预测采用的模型为《环境影响评价技术导则 声环境》(HJ2.4.2021)附录A（规范性附录）户外声传播的衰减和附录B（规范性附录）中“B.1工业噪声预测计算模型”。</w:t>
            </w:r>
          </w:p>
          <w:p w14:paraId="3CE95F70">
            <w:pPr>
              <w:adjustRightInd w:val="0"/>
              <w:snapToGrid w:val="0"/>
              <w:spacing w:line="360" w:lineRule="auto"/>
              <w:ind w:firstLine="480" w:firstLineChars="200"/>
              <w:rPr>
                <w:sz w:val="24"/>
              </w:rPr>
            </w:pPr>
            <w:r>
              <w:rPr>
                <w:rFonts w:hint="eastAsia"/>
                <w:sz w:val="24"/>
              </w:rPr>
              <w:t>（2）声源数据</w:t>
            </w:r>
          </w:p>
          <w:p w14:paraId="57E57985">
            <w:pPr>
              <w:adjustRightInd w:val="0"/>
              <w:snapToGrid w:val="0"/>
              <w:spacing w:line="360" w:lineRule="auto"/>
              <w:ind w:firstLine="480" w:firstLineChars="200"/>
              <w:rPr>
                <w:sz w:val="24"/>
              </w:rPr>
            </w:pPr>
            <w:r>
              <w:rPr>
                <w:rFonts w:hint="eastAsia"/>
                <w:sz w:val="24"/>
              </w:rPr>
              <w:t>本项目</w:t>
            </w:r>
            <w:r>
              <w:rPr>
                <w:sz w:val="24"/>
              </w:rPr>
              <w:t>噪声源</w:t>
            </w:r>
            <w:r>
              <w:rPr>
                <w:rFonts w:hint="eastAsia"/>
                <w:sz w:val="24"/>
              </w:rPr>
              <w:t>主要为</w:t>
            </w:r>
            <w:r>
              <w:rPr>
                <w:rFonts w:hint="eastAsia"/>
                <w:kern w:val="24"/>
                <w:sz w:val="24"/>
              </w:rPr>
              <w:t>设备噪声，噪声源主要为</w:t>
            </w:r>
            <w:r>
              <w:rPr>
                <w:rFonts w:hint="eastAsia"/>
                <w:sz w:val="24"/>
              </w:rPr>
              <w:t>工艺设备、风机</w:t>
            </w:r>
            <w:r>
              <w:rPr>
                <w:rFonts w:hint="eastAsia"/>
                <w:kern w:val="24"/>
                <w:sz w:val="24"/>
              </w:rPr>
              <w:t>。</w:t>
            </w:r>
            <w:r>
              <w:rPr>
                <w:rFonts w:hint="eastAsia"/>
                <w:sz w:val="24"/>
              </w:rPr>
              <w:t>项目产生噪声的噪声源强调查清单见表4-</w:t>
            </w:r>
            <w:r>
              <w:rPr>
                <w:sz w:val="24"/>
              </w:rPr>
              <w:t>9</w:t>
            </w:r>
            <w:r>
              <w:rPr>
                <w:rFonts w:hint="eastAsia"/>
                <w:sz w:val="24"/>
              </w:rPr>
              <w:t>。</w:t>
            </w:r>
          </w:p>
          <w:p w14:paraId="1973C061">
            <w:pPr>
              <w:adjustRightInd w:val="0"/>
              <w:snapToGrid w:val="0"/>
              <w:spacing w:line="360" w:lineRule="auto"/>
              <w:ind w:firstLine="480" w:firstLineChars="200"/>
              <w:rPr>
                <w:sz w:val="24"/>
              </w:rPr>
            </w:pPr>
            <w:r>
              <w:rPr>
                <w:rFonts w:hint="eastAsia"/>
                <w:sz w:val="24"/>
              </w:rPr>
              <w:t>本项目取平面图中厂区最南端作为坐标原点（0，0，0）。</w:t>
            </w:r>
          </w:p>
          <w:p w14:paraId="32B49C8C">
            <w:pPr>
              <w:jc w:val="center"/>
              <w:rPr>
                <w:b/>
                <w:kern w:val="24"/>
                <w:sz w:val="24"/>
              </w:rPr>
            </w:pPr>
            <w:r>
              <w:rPr>
                <w:rFonts w:hint="eastAsia"/>
                <w:b/>
                <w:kern w:val="24"/>
                <w:sz w:val="24"/>
              </w:rPr>
              <w:t>表4-13  工业企业噪声源强调查清单（室内声源）</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47"/>
              <w:gridCol w:w="724"/>
              <w:gridCol w:w="897"/>
              <w:gridCol w:w="772"/>
              <w:gridCol w:w="646"/>
              <w:gridCol w:w="687"/>
              <w:gridCol w:w="592"/>
              <w:gridCol w:w="563"/>
              <w:gridCol w:w="567"/>
              <w:gridCol w:w="498"/>
              <w:gridCol w:w="561"/>
              <w:gridCol w:w="536"/>
              <w:gridCol w:w="567"/>
            </w:tblGrid>
            <w:tr w14:paraId="07B0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restart"/>
                  <w:vAlign w:val="center"/>
                </w:tcPr>
                <w:p w14:paraId="02C5342A">
                  <w:pPr>
                    <w:pStyle w:val="12"/>
                    <w:adjustRightInd w:val="0"/>
                    <w:spacing w:before="0" w:after="0" w:line="240" w:lineRule="auto"/>
                    <w:ind w:right="0"/>
                    <w:jc w:val="center"/>
                    <w:rPr>
                      <w:rFonts w:eastAsiaTheme="minorEastAsia"/>
                      <w:szCs w:val="18"/>
                    </w:rPr>
                  </w:pPr>
                  <w:r>
                    <w:rPr>
                      <w:rFonts w:eastAsiaTheme="minorEastAsia"/>
                      <w:szCs w:val="18"/>
                    </w:rPr>
                    <w:t>建筑物名称</w:t>
                  </w:r>
                </w:p>
              </w:tc>
              <w:tc>
                <w:tcPr>
                  <w:tcW w:w="647" w:type="dxa"/>
                  <w:vMerge w:val="restart"/>
                  <w:vAlign w:val="center"/>
                </w:tcPr>
                <w:p w14:paraId="626EF28B">
                  <w:pPr>
                    <w:pStyle w:val="12"/>
                    <w:adjustRightInd w:val="0"/>
                    <w:spacing w:before="0" w:after="0" w:line="240" w:lineRule="auto"/>
                    <w:ind w:right="0"/>
                    <w:jc w:val="center"/>
                    <w:rPr>
                      <w:rFonts w:eastAsiaTheme="minorEastAsia"/>
                      <w:szCs w:val="18"/>
                    </w:rPr>
                  </w:pPr>
                  <w:r>
                    <w:rPr>
                      <w:rFonts w:eastAsiaTheme="minorEastAsia"/>
                      <w:szCs w:val="18"/>
                    </w:rPr>
                    <w:t>声源名称</w:t>
                  </w:r>
                </w:p>
              </w:tc>
              <w:tc>
                <w:tcPr>
                  <w:tcW w:w="724" w:type="dxa"/>
                  <w:vMerge w:val="restart"/>
                  <w:vAlign w:val="center"/>
                </w:tcPr>
                <w:p w14:paraId="555B9CAF">
                  <w:pPr>
                    <w:pStyle w:val="12"/>
                    <w:adjustRightInd w:val="0"/>
                    <w:spacing w:before="0" w:after="0" w:line="240" w:lineRule="auto"/>
                    <w:ind w:right="0"/>
                    <w:jc w:val="center"/>
                    <w:rPr>
                      <w:rFonts w:eastAsiaTheme="minorEastAsia"/>
                      <w:szCs w:val="18"/>
                    </w:rPr>
                  </w:pPr>
                  <w:r>
                    <w:rPr>
                      <w:rFonts w:eastAsiaTheme="minorEastAsia"/>
                      <w:szCs w:val="18"/>
                    </w:rPr>
                    <w:t>型号</w:t>
                  </w:r>
                </w:p>
              </w:tc>
              <w:tc>
                <w:tcPr>
                  <w:tcW w:w="897" w:type="dxa"/>
                  <w:vAlign w:val="center"/>
                </w:tcPr>
                <w:p w14:paraId="3696BC6B">
                  <w:pPr>
                    <w:pStyle w:val="12"/>
                    <w:adjustRightInd w:val="0"/>
                    <w:spacing w:before="0" w:after="0" w:line="240" w:lineRule="auto"/>
                    <w:ind w:right="0"/>
                    <w:jc w:val="center"/>
                    <w:rPr>
                      <w:rFonts w:eastAsiaTheme="minorEastAsia"/>
                      <w:szCs w:val="18"/>
                    </w:rPr>
                  </w:pPr>
                  <w:r>
                    <w:rPr>
                      <w:rFonts w:eastAsiaTheme="minorEastAsia"/>
                      <w:szCs w:val="18"/>
                    </w:rPr>
                    <w:t>声源源强</w:t>
                  </w:r>
                </w:p>
              </w:tc>
              <w:tc>
                <w:tcPr>
                  <w:tcW w:w="772" w:type="dxa"/>
                  <w:vMerge w:val="restart"/>
                  <w:vAlign w:val="center"/>
                </w:tcPr>
                <w:p w14:paraId="4FC71C5A">
                  <w:pPr>
                    <w:pStyle w:val="12"/>
                    <w:adjustRightInd w:val="0"/>
                    <w:spacing w:before="0" w:after="0" w:line="240" w:lineRule="auto"/>
                    <w:ind w:right="0"/>
                    <w:jc w:val="center"/>
                    <w:rPr>
                      <w:rFonts w:eastAsiaTheme="minorEastAsia"/>
                      <w:szCs w:val="18"/>
                    </w:rPr>
                  </w:pPr>
                  <w:r>
                    <w:rPr>
                      <w:rFonts w:eastAsiaTheme="minorEastAsia"/>
                      <w:szCs w:val="18"/>
                    </w:rPr>
                    <w:t>声源控制措施</w:t>
                  </w:r>
                </w:p>
              </w:tc>
              <w:tc>
                <w:tcPr>
                  <w:tcW w:w="1925" w:type="dxa"/>
                  <w:gridSpan w:val="3"/>
                  <w:vAlign w:val="center"/>
                </w:tcPr>
                <w:p w14:paraId="24978D7A">
                  <w:pPr>
                    <w:pStyle w:val="12"/>
                    <w:adjustRightInd w:val="0"/>
                    <w:spacing w:before="0" w:after="0" w:line="240" w:lineRule="auto"/>
                    <w:ind w:right="0"/>
                    <w:jc w:val="center"/>
                    <w:rPr>
                      <w:rFonts w:eastAsiaTheme="minorEastAsia"/>
                      <w:szCs w:val="18"/>
                    </w:rPr>
                  </w:pPr>
                  <w:r>
                    <w:rPr>
                      <w:rFonts w:eastAsiaTheme="minorEastAsia"/>
                      <w:szCs w:val="18"/>
                    </w:rPr>
                    <w:t>空间相对位置/m</w:t>
                  </w:r>
                </w:p>
              </w:tc>
              <w:tc>
                <w:tcPr>
                  <w:tcW w:w="563" w:type="dxa"/>
                  <w:vMerge w:val="restart"/>
                  <w:vAlign w:val="center"/>
                </w:tcPr>
                <w:p w14:paraId="651B408F">
                  <w:pPr>
                    <w:pStyle w:val="12"/>
                    <w:adjustRightInd w:val="0"/>
                    <w:spacing w:before="0" w:after="0" w:line="240" w:lineRule="auto"/>
                    <w:ind w:right="0"/>
                    <w:jc w:val="center"/>
                    <w:rPr>
                      <w:rFonts w:eastAsiaTheme="minorEastAsia"/>
                      <w:szCs w:val="18"/>
                    </w:rPr>
                  </w:pPr>
                  <w:r>
                    <w:rPr>
                      <w:rFonts w:eastAsiaTheme="minorEastAsia"/>
                      <w:szCs w:val="18"/>
                    </w:rPr>
                    <w:t>距室内边界距离/m</w:t>
                  </w:r>
                </w:p>
              </w:tc>
              <w:tc>
                <w:tcPr>
                  <w:tcW w:w="567" w:type="dxa"/>
                  <w:vMerge w:val="restart"/>
                  <w:vAlign w:val="center"/>
                </w:tcPr>
                <w:p w14:paraId="6188937A">
                  <w:pPr>
                    <w:pStyle w:val="12"/>
                    <w:adjustRightInd w:val="0"/>
                    <w:spacing w:before="0" w:after="0" w:line="240" w:lineRule="auto"/>
                    <w:ind w:right="0"/>
                    <w:jc w:val="center"/>
                    <w:rPr>
                      <w:rFonts w:eastAsiaTheme="minorEastAsia"/>
                      <w:szCs w:val="18"/>
                    </w:rPr>
                  </w:pPr>
                  <w:r>
                    <w:rPr>
                      <w:rFonts w:eastAsiaTheme="minorEastAsia"/>
                      <w:szCs w:val="18"/>
                    </w:rPr>
                    <w:t>室内边界声级/dB(A)</w:t>
                  </w:r>
                </w:p>
              </w:tc>
              <w:tc>
                <w:tcPr>
                  <w:tcW w:w="498" w:type="dxa"/>
                  <w:vMerge w:val="restart"/>
                  <w:vAlign w:val="center"/>
                </w:tcPr>
                <w:p w14:paraId="4F8E8DE1">
                  <w:pPr>
                    <w:pStyle w:val="12"/>
                    <w:adjustRightInd w:val="0"/>
                    <w:spacing w:before="0" w:after="0" w:line="240" w:lineRule="auto"/>
                    <w:ind w:right="0"/>
                    <w:jc w:val="center"/>
                    <w:rPr>
                      <w:rFonts w:eastAsiaTheme="minorEastAsia"/>
                      <w:szCs w:val="18"/>
                    </w:rPr>
                  </w:pPr>
                  <w:r>
                    <w:rPr>
                      <w:rFonts w:eastAsiaTheme="minorEastAsia"/>
                      <w:szCs w:val="18"/>
                    </w:rPr>
                    <w:t>运行时段</w:t>
                  </w:r>
                </w:p>
              </w:tc>
              <w:tc>
                <w:tcPr>
                  <w:tcW w:w="561" w:type="dxa"/>
                  <w:vMerge w:val="restart"/>
                  <w:vAlign w:val="center"/>
                </w:tcPr>
                <w:p w14:paraId="2AE5D36C">
                  <w:pPr>
                    <w:pStyle w:val="12"/>
                    <w:adjustRightInd w:val="0"/>
                    <w:spacing w:before="0" w:after="0" w:line="240" w:lineRule="auto"/>
                    <w:ind w:right="0"/>
                    <w:jc w:val="center"/>
                    <w:rPr>
                      <w:rFonts w:eastAsiaTheme="minorEastAsia"/>
                      <w:szCs w:val="18"/>
                    </w:rPr>
                  </w:pPr>
                  <w:r>
                    <w:rPr>
                      <w:rFonts w:eastAsiaTheme="minorEastAsia"/>
                      <w:szCs w:val="18"/>
                    </w:rPr>
                    <w:t>建筑物插入损失/ dB(A)</w:t>
                  </w:r>
                </w:p>
              </w:tc>
              <w:tc>
                <w:tcPr>
                  <w:tcW w:w="1103" w:type="dxa"/>
                  <w:gridSpan w:val="2"/>
                  <w:vAlign w:val="center"/>
                </w:tcPr>
                <w:p w14:paraId="4DEC922D">
                  <w:pPr>
                    <w:pStyle w:val="12"/>
                    <w:adjustRightInd w:val="0"/>
                    <w:spacing w:before="0" w:after="0" w:line="240" w:lineRule="auto"/>
                    <w:ind w:right="0"/>
                    <w:jc w:val="center"/>
                    <w:rPr>
                      <w:rFonts w:eastAsiaTheme="minorEastAsia"/>
                      <w:szCs w:val="18"/>
                    </w:rPr>
                  </w:pPr>
                  <w:r>
                    <w:rPr>
                      <w:rFonts w:eastAsiaTheme="minorEastAsia"/>
                      <w:szCs w:val="18"/>
                    </w:rPr>
                    <w:t>建筑物外噪声</w:t>
                  </w:r>
                </w:p>
              </w:tc>
            </w:tr>
            <w:tr w14:paraId="6C35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25138312">
                  <w:pPr>
                    <w:pStyle w:val="12"/>
                    <w:adjustRightInd w:val="0"/>
                    <w:spacing w:before="0" w:after="0" w:line="240" w:lineRule="auto"/>
                    <w:ind w:right="0"/>
                    <w:jc w:val="center"/>
                    <w:rPr>
                      <w:rFonts w:eastAsiaTheme="minorEastAsia"/>
                      <w:szCs w:val="18"/>
                    </w:rPr>
                  </w:pPr>
                </w:p>
              </w:tc>
              <w:tc>
                <w:tcPr>
                  <w:tcW w:w="647" w:type="dxa"/>
                  <w:vMerge w:val="continue"/>
                  <w:vAlign w:val="center"/>
                </w:tcPr>
                <w:p w14:paraId="789806FA">
                  <w:pPr>
                    <w:pStyle w:val="12"/>
                    <w:adjustRightInd w:val="0"/>
                    <w:spacing w:before="0" w:after="0" w:line="240" w:lineRule="auto"/>
                    <w:ind w:right="0"/>
                    <w:jc w:val="center"/>
                    <w:rPr>
                      <w:rFonts w:eastAsiaTheme="minorEastAsia"/>
                      <w:szCs w:val="18"/>
                    </w:rPr>
                  </w:pPr>
                </w:p>
              </w:tc>
              <w:tc>
                <w:tcPr>
                  <w:tcW w:w="724" w:type="dxa"/>
                  <w:vMerge w:val="continue"/>
                  <w:vAlign w:val="center"/>
                </w:tcPr>
                <w:p w14:paraId="7B50A2EC">
                  <w:pPr>
                    <w:pStyle w:val="12"/>
                    <w:adjustRightInd w:val="0"/>
                    <w:spacing w:before="0" w:after="0" w:line="240" w:lineRule="auto"/>
                    <w:ind w:right="0"/>
                    <w:jc w:val="center"/>
                    <w:rPr>
                      <w:rFonts w:eastAsiaTheme="minorEastAsia"/>
                      <w:szCs w:val="18"/>
                    </w:rPr>
                  </w:pPr>
                </w:p>
              </w:tc>
              <w:tc>
                <w:tcPr>
                  <w:tcW w:w="897" w:type="dxa"/>
                  <w:vAlign w:val="center"/>
                </w:tcPr>
                <w:p w14:paraId="5F872C8C">
                  <w:pPr>
                    <w:pStyle w:val="12"/>
                    <w:adjustRightInd w:val="0"/>
                    <w:spacing w:before="0" w:after="0" w:line="240" w:lineRule="auto"/>
                    <w:ind w:right="0"/>
                    <w:jc w:val="center"/>
                    <w:rPr>
                      <w:rFonts w:eastAsiaTheme="minorEastAsia"/>
                      <w:szCs w:val="18"/>
                    </w:rPr>
                  </w:pPr>
                  <w:r>
                    <w:rPr>
                      <w:rFonts w:eastAsiaTheme="minorEastAsia"/>
                      <w:szCs w:val="18"/>
                    </w:rPr>
                    <w:t>（声压级/距声源距离）/（dB(A)/</w:t>
                  </w:r>
                  <w:r>
                    <w:rPr>
                      <w:rFonts w:hint="eastAsia" w:eastAsiaTheme="minorEastAsia"/>
                      <w:szCs w:val="18"/>
                    </w:rPr>
                    <w:t>1</w:t>
                  </w:r>
                  <w:r>
                    <w:rPr>
                      <w:rFonts w:eastAsiaTheme="minorEastAsia"/>
                      <w:szCs w:val="18"/>
                    </w:rPr>
                    <w:t>m）</w:t>
                  </w:r>
                </w:p>
              </w:tc>
              <w:tc>
                <w:tcPr>
                  <w:tcW w:w="772" w:type="dxa"/>
                  <w:vMerge w:val="continue"/>
                  <w:vAlign w:val="center"/>
                </w:tcPr>
                <w:p w14:paraId="5FC4D797">
                  <w:pPr>
                    <w:pStyle w:val="12"/>
                    <w:adjustRightInd w:val="0"/>
                    <w:spacing w:before="0" w:after="0" w:line="240" w:lineRule="auto"/>
                    <w:ind w:right="0"/>
                    <w:jc w:val="center"/>
                    <w:rPr>
                      <w:rFonts w:eastAsiaTheme="minorEastAsia"/>
                      <w:szCs w:val="18"/>
                    </w:rPr>
                  </w:pPr>
                </w:p>
              </w:tc>
              <w:tc>
                <w:tcPr>
                  <w:tcW w:w="646" w:type="dxa"/>
                  <w:vAlign w:val="center"/>
                </w:tcPr>
                <w:p w14:paraId="1D8FA8CE">
                  <w:pPr>
                    <w:pStyle w:val="12"/>
                    <w:adjustRightInd w:val="0"/>
                    <w:spacing w:before="0" w:after="0" w:line="240" w:lineRule="auto"/>
                    <w:ind w:right="0"/>
                    <w:jc w:val="center"/>
                    <w:rPr>
                      <w:rFonts w:eastAsiaTheme="minorEastAsia"/>
                      <w:szCs w:val="18"/>
                    </w:rPr>
                  </w:pPr>
                  <w:r>
                    <w:rPr>
                      <w:rFonts w:eastAsiaTheme="minorEastAsia"/>
                      <w:szCs w:val="18"/>
                    </w:rPr>
                    <w:t>X</w:t>
                  </w:r>
                </w:p>
              </w:tc>
              <w:tc>
                <w:tcPr>
                  <w:tcW w:w="687" w:type="dxa"/>
                  <w:vAlign w:val="center"/>
                </w:tcPr>
                <w:p w14:paraId="2B4B9E5C">
                  <w:pPr>
                    <w:pStyle w:val="12"/>
                    <w:adjustRightInd w:val="0"/>
                    <w:spacing w:before="0" w:after="0" w:line="240" w:lineRule="auto"/>
                    <w:ind w:right="0"/>
                    <w:jc w:val="center"/>
                    <w:rPr>
                      <w:rFonts w:eastAsiaTheme="minorEastAsia"/>
                      <w:szCs w:val="18"/>
                    </w:rPr>
                  </w:pPr>
                  <w:r>
                    <w:rPr>
                      <w:rFonts w:eastAsiaTheme="minorEastAsia"/>
                      <w:szCs w:val="18"/>
                    </w:rPr>
                    <w:t>Y</w:t>
                  </w:r>
                </w:p>
              </w:tc>
              <w:tc>
                <w:tcPr>
                  <w:tcW w:w="592" w:type="dxa"/>
                  <w:vAlign w:val="center"/>
                </w:tcPr>
                <w:p w14:paraId="0F06F9C1">
                  <w:pPr>
                    <w:pStyle w:val="12"/>
                    <w:adjustRightInd w:val="0"/>
                    <w:spacing w:before="0" w:after="0" w:line="240" w:lineRule="auto"/>
                    <w:ind w:right="0"/>
                    <w:jc w:val="center"/>
                    <w:rPr>
                      <w:rFonts w:eastAsiaTheme="minorEastAsia"/>
                      <w:szCs w:val="18"/>
                    </w:rPr>
                  </w:pPr>
                  <w:r>
                    <w:rPr>
                      <w:rFonts w:eastAsiaTheme="minorEastAsia"/>
                      <w:szCs w:val="18"/>
                    </w:rPr>
                    <w:t>Z</w:t>
                  </w:r>
                </w:p>
              </w:tc>
              <w:tc>
                <w:tcPr>
                  <w:tcW w:w="563" w:type="dxa"/>
                  <w:vMerge w:val="continue"/>
                  <w:vAlign w:val="center"/>
                </w:tcPr>
                <w:p w14:paraId="19A81BC9">
                  <w:pPr>
                    <w:pStyle w:val="12"/>
                    <w:adjustRightInd w:val="0"/>
                    <w:spacing w:before="0" w:after="0" w:line="240" w:lineRule="auto"/>
                    <w:ind w:right="0"/>
                    <w:jc w:val="center"/>
                    <w:rPr>
                      <w:rFonts w:eastAsiaTheme="minorEastAsia"/>
                      <w:szCs w:val="18"/>
                    </w:rPr>
                  </w:pPr>
                </w:p>
              </w:tc>
              <w:tc>
                <w:tcPr>
                  <w:tcW w:w="567" w:type="dxa"/>
                  <w:vMerge w:val="continue"/>
                  <w:vAlign w:val="center"/>
                </w:tcPr>
                <w:p w14:paraId="613EAA1C">
                  <w:pPr>
                    <w:pStyle w:val="12"/>
                    <w:adjustRightInd w:val="0"/>
                    <w:spacing w:before="0" w:after="0" w:line="240" w:lineRule="auto"/>
                    <w:ind w:right="0"/>
                    <w:jc w:val="center"/>
                    <w:rPr>
                      <w:rFonts w:eastAsiaTheme="minorEastAsia"/>
                      <w:szCs w:val="18"/>
                    </w:rPr>
                  </w:pPr>
                </w:p>
              </w:tc>
              <w:tc>
                <w:tcPr>
                  <w:tcW w:w="498" w:type="dxa"/>
                  <w:vMerge w:val="continue"/>
                  <w:vAlign w:val="center"/>
                </w:tcPr>
                <w:p w14:paraId="3C10E7F0">
                  <w:pPr>
                    <w:pStyle w:val="12"/>
                    <w:adjustRightInd w:val="0"/>
                    <w:spacing w:before="0" w:after="0" w:line="240" w:lineRule="auto"/>
                    <w:ind w:right="0"/>
                    <w:jc w:val="center"/>
                    <w:rPr>
                      <w:rFonts w:eastAsiaTheme="minorEastAsia"/>
                      <w:szCs w:val="18"/>
                    </w:rPr>
                  </w:pPr>
                </w:p>
              </w:tc>
              <w:tc>
                <w:tcPr>
                  <w:tcW w:w="561" w:type="dxa"/>
                  <w:vMerge w:val="continue"/>
                  <w:vAlign w:val="center"/>
                </w:tcPr>
                <w:p w14:paraId="6F9EAE03">
                  <w:pPr>
                    <w:pStyle w:val="12"/>
                    <w:adjustRightInd w:val="0"/>
                    <w:spacing w:before="0" w:after="0" w:line="240" w:lineRule="auto"/>
                    <w:ind w:right="0"/>
                    <w:jc w:val="center"/>
                    <w:rPr>
                      <w:rFonts w:eastAsiaTheme="minorEastAsia"/>
                      <w:szCs w:val="18"/>
                    </w:rPr>
                  </w:pPr>
                </w:p>
              </w:tc>
              <w:tc>
                <w:tcPr>
                  <w:tcW w:w="536" w:type="dxa"/>
                  <w:vAlign w:val="center"/>
                </w:tcPr>
                <w:p w14:paraId="3586A266">
                  <w:pPr>
                    <w:pStyle w:val="12"/>
                    <w:adjustRightInd w:val="0"/>
                    <w:spacing w:before="0" w:after="0" w:line="240" w:lineRule="auto"/>
                    <w:ind w:right="0"/>
                    <w:jc w:val="center"/>
                    <w:rPr>
                      <w:rFonts w:eastAsiaTheme="minorEastAsia"/>
                      <w:szCs w:val="18"/>
                    </w:rPr>
                  </w:pPr>
                  <w:r>
                    <w:rPr>
                      <w:rFonts w:eastAsiaTheme="minorEastAsia"/>
                      <w:szCs w:val="18"/>
                    </w:rPr>
                    <w:t>声压级/dB(A)</w:t>
                  </w:r>
                </w:p>
              </w:tc>
              <w:tc>
                <w:tcPr>
                  <w:tcW w:w="567" w:type="dxa"/>
                  <w:vAlign w:val="center"/>
                </w:tcPr>
                <w:p w14:paraId="0910FFE5">
                  <w:pPr>
                    <w:pStyle w:val="12"/>
                    <w:adjustRightInd w:val="0"/>
                    <w:spacing w:before="0" w:after="0" w:line="240" w:lineRule="auto"/>
                    <w:ind w:right="0"/>
                    <w:jc w:val="center"/>
                    <w:rPr>
                      <w:rFonts w:eastAsiaTheme="minorEastAsia"/>
                      <w:szCs w:val="18"/>
                    </w:rPr>
                  </w:pPr>
                  <w:r>
                    <w:rPr>
                      <w:rFonts w:eastAsiaTheme="minorEastAsia"/>
                      <w:szCs w:val="18"/>
                    </w:rPr>
                    <w:t>建筑物外距离</w:t>
                  </w:r>
                  <w:r>
                    <w:rPr>
                      <w:rFonts w:hint="eastAsia" w:eastAsiaTheme="minorEastAsia"/>
                      <w:szCs w:val="18"/>
                    </w:rPr>
                    <w:t>/m</w:t>
                  </w:r>
                </w:p>
              </w:tc>
            </w:tr>
            <w:tr w14:paraId="1835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restart"/>
                  <w:vAlign w:val="center"/>
                </w:tcPr>
                <w:p w14:paraId="79C09C41">
                  <w:pPr>
                    <w:pStyle w:val="12"/>
                    <w:adjustRightInd w:val="0"/>
                    <w:spacing w:before="0" w:after="0" w:line="240" w:lineRule="auto"/>
                    <w:ind w:right="0"/>
                    <w:jc w:val="center"/>
                    <w:rPr>
                      <w:rFonts w:eastAsiaTheme="minorEastAsia"/>
                      <w:szCs w:val="18"/>
                    </w:rPr>
                  </w:pPr>
                  <w:r>
                    <w:rPr>
                      <w:rFonts w:hint="eastAsia"/>
                      <w:szCs w:val="18"/>
                    </w:rPr>
                    <w:t>一车间（现有项目）</w:t>
                  </w:r>
                </w:p>
              </w:tc>
              <w:tc>
                <w:tcPr>
                  <w:tcW w:w="647" w:type="dxa"/>
                  <w:vAlign w:val="center"/>
                </w:tcPr>
                <w:p w14:paraId="6D376F48">
                  <w:pPr>
                    <w:pStyle w:val="12"/>
                    <w:adjustRightInd w:val="0"/>
                    <w:spacing w:before="0" w:after="0" w:line="240" w:lineRule="auto"/>
                    <w:ind w:right="0"/>
                    <w:jc w:val="center"/>
                    <w:rPr>
                      <w:rFonts w:eastAsiaTheme="minorEastAsia"/>
                      <w:szCs w:val="18"/>
                    </w:rPr>
                  </w:pPr>
                  <w:r>
                    <w:rPr>
                      <w:rFonts w:hint="eastAsia"/>
                      <w:szCs w:val="18"/>
                    </w:rPr>
                    <w:t>高频直缝焊管机组1</w:t>
                  </w:r>
                  <w:r>
                    <w:rPr>
                      <w:szCs w:val="18"/>
                    </w:rPr>
                    <w:t>#</w:t>
                  </w:r>
                </w:p>
              </w:tc>
              <w:tc>
                <w:tcPr>
                  <w:tcW w:w="724" w:type="dxa"/>
                  <w:vAlign w:val="center"/>
                </w:tcPr>
                <w:p w14:paraId="02B51F29">
                  <w:pPr>
                    <w:pStyle w:val="12"/>
                    <w:adjustRightInd w:val="0"/>
                    <w:spacing w:before="0" w:after="0" w:line="240" w:lineRule="auto"/>
                    <w:ind w:right="0"/>
                    <w:jc w:val="center"/>
                    <w:rPr>
                      <w:rFonts w:eastAsiaTheme="minorEastAsia"/>
                      <w:szCs w:val="18"/>
                    </w:rPr>
                  </w:pPr>
                  <w:r>
                    <w:rPr>
                      <w:rFonts w:hint="eastAsia" w:eastAsiaTheme="minorEastAsia"/>
                      <w:szCs w:val="18"/>
                    </w:rPr>
                    <w:t>7</w:t>
                  </w:r>
                  <w:r>
                    <w:rPr>
                      <w:rFonts w:eastAsiaTheme="minorEastAsia"/>
                      <w:szCs w:val="18"/>
                    </w:rPr>
                    <w:t>6</w:t>
                  </w:r>
                  <w:r>
                    <w:rPr>
                      <w:rFonts w:hint="eastAsia" w:eastAsiaTheme="minorEastAsia"/>
                      <w:szCs w:val="18"/>
                    </w:rPr>
                    <w:t>型</w:t>
                  </w:r>
                </w:p>
              </w:tc>
              <w:tc>
                <w:tcPr>
                  <w:tcW w:w="897" w:type="dxa"/>
                  <w:vAlign w:val="center"/>
                </w:tcPr>
                <w:p w14:paraId="79792110">
                  <w:pPr>
                    <w:pStyle w:val="12"/>
                    <w:adjustRightInd w:val="0"/>
                    <w:spacing w:before="0" w:after="0" w:line="240" w:lineRule="auto"/>
                    <w:ind w:right="0"/>
                    <w:jc w:val="center"/>
                    <w:rPr>
                      <w:rFonts w:eastAsiaTheme="minorEastAsia"/>
                      <w:szCs w:val="18"/>
                    </w:rPr>
                  </w:pPr>
                  <w:r>
                    <w:rPr>
                      <w:szCs w:val="18"/>
                    </w:rPr>
                    <w:t>85</w:t>
                  </w:r>
                </w:p>
              </w:tc>
              <w:tc>
                <w:tcPr>
                  <w:tcW w:w="772" w:type="dxa"/>
                  <w:vAlign w:val="center"/>
                </w:tcPr>
                <w:p w14:paraId="36F6535C">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22E8B43C">
                  <w:pPr>
                    <w:pStyle w:val="12"/>
                    <w:adjustRightInd w:val="0"/>
                    <w:spacing w:before="0" w:after="0" w:line="240" w:lineRule="auto"/>
                    <w:ind w:right="0"/>
                    <w:jc w:val="center"/>
                    <w:rPr>
                      <w:rFonts w:eastAsiaTheme="minorEastAsia"/>
                      <w:szCs w:val="18"/>
                    </w:rPr>
                  </w:pPr>
                  <w:r>
                    <w:rPr>
                      <w:rFonts w:eastAsiaTheme="minorEastAsia"/>
                      <w:szCs w:val="18"/>
                    </w:rPr>
                    <w:t>127.74</w:t>
                  </w:r>
                </w:p>
              </w:tc>
              <w:tc>
                <w:tcPr>
                  <w:tcW w:w="687" w:type="dxa"/>
                  <w:vAlign w:val="center"/>
                </w:tcPr>
                <w:p w14:paraId="54572408">
                  <w:pPr>
                    <w:pStyle w:val="12"/>
                    <w:adjustRightInd w:val="0"/>
                    <w:spacing w:before="0" w:after="0" w:line="240" w:lineRule="auto"/>
                    <w:ind w:right="0"/>
                    <w:jc w:val="center"/>
                    <w:rPr>
                      <w:rFonts w:eastAsiaTheme="minorEastAsia"/>
                      <w:szCs w:val="18"/>
                    </w:rPr>
                  </w:pPr>
                  <w:r>
                    <w:rPr>
                      <w:rFonts w:eastAsiaTheme="minorEastAsia"/>
                      <w:szCs w:val="18"/>
                    </w:rPr>
                    <w:t>247.84</w:t>
                  </w:r>
                </w:p>
              </w:tc>
              <w:tc>
                <w:tcPr>
                  <w:tcW w:w="592" w:type="dxa"/>
                  <w:vAlign w:val="center"/>
                </w:tcPr>
                <w:p w14:paraId="2E0E36A0">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72526B4B">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5EEB0DE9">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5.0</w:t>
                  </w:r>
                </w:p>
              </w:tc>
              <w:tc>
                <w:tcPr>
                  <w:tcW w:w="498" w:type="dxa"/>
                  <w:vMerge w:val="restart"/>
                  <w:vAlign w:val="center"/>
                </w:tcPr>
                <w:p w14:paraId="7A81929C">
                  <w:pPr>
                    <w:pStyle w:val="12"/>
                    <w:adjustRightInd w:val="0"/>
                    <w:spacing w:before="0" w:after="0" w:line="240" w:lineRule="auto"/>
                    <w:ind w:right="0"/>
                    <w:jc w:val="center"/>
                    <w:rPr>
                      <w:rFonts w:eastAsiaTheme="minorEastAsia"/>
                      <w:szCs w:val="18"/>
                    </w:rPr>
                  </w:pPr>
                  <w:r>
                    <w:rPr>
                      <w:rFonts w:hint="eastAsia" w:eastAsiaTheme="minorEastAsia"/>
                      <w:szCs w:val="18"/>
                    </w:rPr>
                    <w:t>0</w:t>
                  </w:r>
                  <w:r>
                    <w:rPr>
                      <w:rFonts w:eastAsiaTheme="minorEastAsia"/>
                      <w:szCs w:val="18"/>
                    </w:rPr>
                    <w:t>8:</w:t>
                  </w:r>
                  <w:r>
                    <w:rPr>
                      <w:rFonts w:hint="eastAsia" w:eastAsiaTheme="minorEastAsia"/>
                      <w:szCs w:val="18"/>
                    </w:rPr>
                    <w:t>0</w:t>
                  </w:r>
                  <w:r>
                    <w:rPr>
                      <w:rFonts w:eastAsiaTheme="minorEastAsia"/>
                      <w:szCs w:val="18"/>
                    </w:rPr>
                    <w:t>0~18:00,18:00~04:00</w:t>
                  </w:r>
                </w:p>
              </w:tc>
              <w:tc>
                <w:tcPr>
                  <w:tcW w:w="561" w:type="dxa"/>
                  <w:vAlign w:val="center"/>
                </w:tcPr>
                <w:p w14:paraId="57E26B3F">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24394467">
                  <w:pPr>
                    <w:pStyle w:val="12"/>
                    <w:adjustRightInd w:val="0"/>
                    <w:spacing w:before="0" w:after="0" w:line="240" w:lineRule="auto"/>
                    <w:ind w:right="0"/>
                    <w:jc w:val="center"/>
                    <w:rPr>
                      <w:rFonts w:eastAsiaTheme="minorEastAsia"/>
                      <w:szCs w:val="18"/>
                    </w:rPr>
                  </w:pPr>
                  <w:r>
                    <w:rPr>
                      <w:szCs w:val="18"/>
                    </w:rPr>
                    <w:t>39</w:t>
                  </w:r>
                </w:p>
              </w:tc>
              <w:tc>
                <w:tcPr>
                  <w:tcW w:w="567" w:type="dxa"/>
                  <w:vAlign w:val="center"/>
                </w:tcPr>
                <w:p w14:paraId="4401E834">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65D6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2471BFF7">
                  <w:pPr>
                    <w:pStyle w:val="12"/>
                    <w:adjustRightInd w:val="0"/>
                    <w:spacing w:before="0" w:after="0" w:line="240" w:lineRule="auto"/>
                    <w:ind w:right="0"/>
                    <w:jc w:val="center"/>
                    <w:rPr>
                      <w:rFonts w:eastAsiaTheme="minorEastAsia"/>
                      <w:szCs w:val="18"/>
                    </w:rPr>
                  </w:pPr>
                </w:p>
              </w:tc>
              <w:tc>
                <w:tcPr>
                  <w:tcW w:w="647" w:type="dxa"/>
                  <w:vAlign w:val="center"/>
                </w:tcPr>
                <w:p w14:paraId="3ADE34CE">
                  <w:pPr>
                    <w:pStyle w:val="12"/>
                    <w:adjustRightInd w:val="0"/>
                    <w:spacing w:before="0" w:after="0" w:line="240" w:lineRule="auto"/>
                    <w:ind w:right="0"/>
                    <w:jc w:val="center"/>
                    <w:rPr>
                      <w:szCs w:val="18"/>
                    </w:rPr>
                  </w:pPr>
                  <w:r>
                    <w:rPr>
                      <w:rFonts w:hint="eastAsia"/>
                      <w:kern w:val="24"/>
                      <w:szCs w:val="18"/>
                    </w:rPr>
                    <w:t>纵剪机组</w:t>
                  </w:r>
                  <w:r>
                    <w:rPr>
                      <w:rFonts w:hint="eastAsia"/>
                      <w:szCs w:val="18"/>
                    </w:rPr>
                    <w:t>1</w:t>
                  </w:r>
                  <w:r>
                    <w:rPr>
                      <w:szCs w:val="18"/>
                    </w:rPr>
                    <w:t>#</w:t>
                  </w:r>
                </w:p>
              </w:tc>
              <w:tc>
                <w:tcPr>
                  <w:tcW w:w="724" w:type="dxa"/>
                  <w:vAlign w:val="center"/>
                </w:tcPr>
                <w:p w14:paraId="799CA703">
                  <w:pPr>
                    <w:pStyle w:val="12"/>
                    <w:adjustRightInd w:val="0"/>
                    <w:spacing w:before="0" w:after="0" w:line="240" w:lineRule="auto"/>
                    <w:ind w:right="0"/>
                    <w:jc w:val="center"/>
                    <w:rPr>
                      <w:szCs w:val="18"/>
                    </w:rPr>
                  </w:pPr>
                  <w:r>
                    <w:rPr>
                      <w:rFonts w:hint="eastAsia"/>
                      <w:szCs w:val="18"/>
                    </w:rPr>
                    <w:t>/</w:t>
                  </w:r>
                </w:p>
              </w:tc>
              <w:tc>
                <w:tcPr>
                  <w:tcW w:w="897" w:type="dxa"/>
                  <w:vAlign w:val="center"/>
                </w:tcPr>
                <w:p w14:paraId="09C018AD">
                  <w:pPr>
                    <w:pStyle w:val="12"/>
                    <w:adjustRightInd w:val="0"/>
                    <w:spacing w:before="0" w:after="0" w:line="240" w:lineRule="auto"/>
                    <w:ind w:right="0"/>
                    <w:jc w:val="center"/>
                    <w:rPr>
                      <w:szCs w:val="18"/>
                    </w:rPr>
                  </w:pPr>
                  <w:r>
                    <w:rPr>
                      <w:szCs w:val="18"/>
                    </w:rPr>
                    <w:t>90</w:t>
                  </w:r>
                </w:p>
              </w:tc>
              <w:tc>
                <w:tcPr>
                  <w:tcW w:w="772" w:type="dxa"/>
                  <w:vAlign w:val="center"/>
                </w:tcPr>
                <w:p w14:paraId="297F5E9E">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165DAEF7">
                  <w:pPr>
                    <w:pStyle w:val="12"/>
                    <w:adjustRightInd w:val="0"/>
                    <w:spacing w:before="0" w:after="0" w:line="240" w:lineRule="auto"/>
                    <w:ind w:right="0"/>
                    <w:jc w:val="center"/>
                    <w:rPr>
                      <w:rFonts w:eastAsiaTheme="minorEastAsia"/>
                      <w:szCs w:val="18"/>
                    </w:rPr>
                  </w:pPr>
                  <w:r>
                    <w:rPr>
                      <w:rFonts w:eastAsiaTheme="minorEastAsia"/>
                      <w:szCs w:val="18"/>
                    </w:rPr>
                    <w:t>124.08</w:t>
                  </w:r>
                </w:p>
              </w:tc>
              <w:tc>
                <w:tcPr>
                  <w:tcW w:w="687" w:type="dxa"/>
                  <w:vAlign w:val="center"/>
                </w:tcPr>
                <w:p w14:paraId="230DEBDC">
                  <w:pPr>
                    <w:pStyle w:val="12"/>
                    <w:adjustRightInd w:val="0"/>
                    <w:spacing w:before="0" w:after="0" w:line="240" w:lineRule="auto"/>
                    <w:ind w:right="0"/>
                    <w:jc w:val="center"/>
                    <w:rPr>
                      <w:rFonts w:eastAsiaTheme="minorEastAsia"/>
                      <w:szCs w:val="18"/>
                    </w:rPr>
                  </w:pPr>
                  <w:r>
                    <w:rPr>
                      <w:rFonts w:eastAsiaTheme="minorEastAsia"/>
                      <w:szCs w:val="18"/>
                    </w:rPr>
                    <w:t>257.44</w:t>
                  </w:r>
                </w:p>
              </w:tc>
              <w:tc>
                <w:tcPr>
                  <w:tcW w:w="592" w:type="dxa"/>
                  <w:vAlign w:val="center"/>
                </w:tcPr>
                <w:p w14:paraId="681E1E40">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667B7A74">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2A15A1FD">
                  <w:pPr>
                    <w:pStyle w:val="12"/>
                    <w:adjustRightInd w:val="0"/>
                    <w:spacing w:before="0" w:after="0" w:line="240" w:lineRule="auto"/>
                    <w:ind w:right="0"/>
                    <w:jc w:val="center"/>
                    <w:rPr>
                      <w:rFonts w:eastAsiaTheme="minorEastAsia"/>
                      <w:szCs w:val="18"/>
                    </w:rPr>
                  </w:pPr>
                  <w:r>
                    <w:rPr>
                      <w:rFonts w:eastAsiaTheme="minorEastAsia"/>
                      <w:szCs w:val="18"/>
                    </w:rPr>
                    <w:t>70.0</w:t>
                  </w:r>
                </w:p>
              </w:tc>
              <w:tc>
                <w:tcPr>
                  <w:tcW w:w="498" w:type="dxa"/>
                  <w:vMerge w:val="continue"/>
                  <w:vAlign w:val="center"/>
                </w:tcPr>
                <w:p w14:paraId="1AF42554">
                  <w:pPr>
                    <w:pStyle w:val="12"/>
                    <w:adjustRightInd w:val="0"/>
                    <w:spacing w:before="0" w:after="0" w:line="240" w:lineRule="auto"/>
                    <w:ind w:right="0"/>
                    <w:jc w:val="center"/>
                    <w:rPr>
                      <w:rFonts w:eastAsiaTheme="minorEastAsia"/>
                      <w:szCs w:val="18"/>
                    </w:rPr>
                  </w:pPr>
                </w:p>
              </w:tc>
              <w:tc>
                <w:tcPr>
                  <w:tcW w:w="561" w:type="dxa"/>
                  <w:vAlign w:val="center"/>
                </w:tcPr>
                <w:p w14:paraId="2348C6C2">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39FDBFA4">
                  <w:pPr>
                    <w:pStyle w:val="12"/>
                    <w:adjustRightInd w:val="0"/>
                    <w:spacing w:before="0" w:after="0" w:line="240" w:lineRule="auto"/>
                    <w:ind w:right="0"/>
                    <w:jc w:val="center"/>
                    <w:rPr>
                      <w:rFonts w:eastAsiaTheme="minorEastAsia"/>
                      <w:szCs w:val="18"/>
                    </w:rPr>
                  </w:pPr>
                  <w:r>
                    <w:rPr>
                      <w:szCs w:val="18"/>
                    </w:rPr>
                    <w:t>44</w:t>
                  </w:r>
                </w:p>
              </w:tc>
              <w:tc>
                <w:tcPr>
                  <w:tcW w:w="567" w:type="dxa"/>
                  <w:vAlign w:val="center"/>
                </w:tcPr>
                <w:p w14:paraId="56ADD523">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488C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33AA955F">
                  <w:pPr>
                    <w:pStyle w:val="12"/>
                    <w:adjustRightInd w:val="0"/>
                    <w:spacing w:before="0" w:after="0" w:line="240" w:lineRule="auto"/>
                    <w:ind w:right="0"/>
                    <w:jc w:val="center"/>
                    <w:rPr>
                      <w:rFonts w:eastAsiaTheme="minorEastAsia"/>
                      <w:szCs w:val="18"/>
                    </w:rPr>
                  </w:pPr>
                </w:p>
              </w:tc>
              <w:tc>
                <w:tcPr>
                  <w:tcW w:w="647" w:type="dxa"/>
                  <w:vAlign w:val="center"/>
                </w:tcPr>
                <w:p w14:paraId="3231237F">
                  <w:pPr>
                    <w:pStyle w:val="12"/>
                    <w:adjustRightInd w:val="0"/>
                    <w:spacing w:before="0" w:after="0" w:line="240" w:lineRule="auto"/>
                    <w:ind w:right="0"/>
                    <w:jc w:val="center"/>
                    <w:rPr>
                      <w:rFonts w:eastAsiaTheme="minorEastAsia"/>
                      <w:szCs w:val="18"/>
                    </w:rPr>
                  </w:pPr>
                  <w:r>
                    <w:rPr>
                      <w:szCs w:val="18"/>
                    </w:rPr>
                    <w:t>校直机</w:t>
                  </w:r>
                  <w:r>
                    <w:rPr>
                      <w:rFonts w:hint="eastAsia"/>
                      <w:szCs w:val="18"/>
                    </w:rPr>
                    <w:t>1</w:t>
                  </w:r>
                  <w:r>
                    <w:rPr>
                      <w:szCs w:val="18"/>
                    </w:rPr>
                    <w:t>#</w:t>
                  </w:r>
                </w:p>
              </w:tc>
              <w:tc>
                <w:tcPr>
                  <w:tcW w:w="724" w:type="dxa"/>
                  <w:vAlign w:val="center"/>
                </w:tcPr>
                <w:p w14:paraId="222B8BA4">
                  <w:pPr>
                    <w:pStyle w:val="12"/>
                    <w:adjustRightInd w:val="0"/>
                    <w:spacing w:before="0" w:after="0" w:line="240" w:lineRule="auto"/>
                    <w:ind w:right="0"/>
                    <w:jc w:val="center"/>
                    <w:rPr>
                      <w:rFonts w:eastAsiaTheme="minorEastAsia"/>
                      <w:szCs w:val="18"/>
                    </w:rPr>
                  </w:pPr>
                  <w:r>
                    <w:rPr>
                      <w:rFonts w:hint="eastAsia"/>
                      <w:szCs w:val="18"/>
                    </w:rPr>
                    <w:t>/</w:t>
                  </w:r>
                </w:p>
              </w:tc>
              <w:tc>
                <w:tcPr>
                  <w:tcW w:w="897" w:type="dxa"/>
                  <w:vAlign w:val="center"/>
                </w:tcPr>
                <w:p w14:paraId="7B98D782">
                  <w:pPr>
                    <w:pStyle w:val="12"/>
                    <w:adjustRightInd w:val="0"/>
                    <w:spacing w:before="0" w:after="0" w:line="240" w:lineRule="auto"/>
                    <w:ind w:right="0"/>
                    <w:jc w:val="center"/>
                    <w:rPr>
                      <w:rFonts w:eastAsiaTheme="minorEastAsia"/>
                      <w:szCs w:val="18"/>
                    </w:rPr>
                  </w:pPr>
                  <w:r>
                    <w:rPr>
                      <w:szCs w:val="18"/>
                    </w:rPr>
                    <w:t>85</w:t>
                  </w:r>
                </w:p>
              </w:tc>
              <w:tc>
                <w:tcPr>
                  <w:tcW w:w="772" w:type="dxa"/>
                  <w:vAlign w:val="center"/>
                </w:tcPr>
                <w:p w14:paraId="31909AA0">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1388C478">
                  <w:pPr>
                    <w:pStyle w:val="12"/>
                    <w:adjustRightInd w:val="0"/>
                    <w:spacing w:before="0" w:after="0" w:line="240" w:lineRule="auto"/>
                    <w:ind w:right="0"/>
                    <w:jc w:val="center"/>
                    <w:rPr>
                      <w:rFonts w:eastAsiaTheme="minorEastAsia"/>
                      <w:szCs w:val="18"/>
                    </w:rPr>
                  </w:pPr>
                  <w:r>
                    <w:rPr>
                      <w:rFonts w:eastAsiaTheme="minorEastAsia"/>
                      <w:szCs w:val="18"/>
                    </w:rPr>
                    <w:t>123.87</w:t>
                  </w:r>
                </w:p>
              </w:tc>
              <w:tc>
                <w:tcPr>
                  <w:tcW w:w="687" w:type="dxa"/>
                  <w:vAlign w:val="center"/>
                </w:tcPr>
                <w:p w14:paraId="00E5E8FE">
                  <w:pPr>
                    <w:pStyle w:val="12"/>
                    <w:adjustRightInd w:val="0"/>
                    <w:spacing w:before="0" w:after="0" w:line="240" w:lineRule="auto"/>
                    <w:ind w:right="0"/>
                    <w:jc w:val="center"/>
                    <w:rPr>
                      <w:rFonts w:eastAsiaTheme="minorEastAsia"/>
                      <w:szCs w:val="18"/>
                    </w:rPr>
                  </w:pPr>
                  <w:r>
                    <w:rPr>
                      <w:rFonts w:eastAsiaTheme="minorEastAsia"/>
                      <w:szCs w:val="18"/>
                    </w:rPr>
                    <w:t>241.11</w:t>
                  </w:r>
                </w:p>
              </w:tc>
              <w:tc>
                <w:tcPr>
                  <w:tcW w:w="592" w:type="dxa"/>
                  <w:vAlign w:val="center"/>
                </w:tcPr>
                <w:p w14:paraId="0F2810FF">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0F20CD60">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1</w:t>
                  </w:r>
                </w:p>
              </w:tc>
              <w:tc>
                <w:tcPr>
                  <w:tcW w:w="567" w:type="dxa"/>
                  <w:vAlign w:val="center"/>
                </w:tcPr>
                <w:p w14:paraId="78738678">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4.2</w:t>
                  </w:r>
                </w:p>
              </w:tc>
              <w:tc>
                <w:tcPr>
                  <w:tcW w:w="498" w:type="dxa"/>
                  <w:vMerge w:val="continue"/>
                  <w:vAlign w:val="center"/>
                </w:tcPr>
                <w:p w14:paraId="02FAA0B2">
                  <w:pPr>
                    <w:pStyle w:val="12"/>
                    <w:adjustRightInd w:val="0"/>
                    <w:spacing w:before="0" w:after="0" w:line="240" w:lineRule="auto"/>
                    <w:ind w:right="0"/>
                    <w:jc w:val="center"/>
                    <w:rPr>
                      <w:rFonts w:eastAsiaTheme="minorEastAsia"/>
                      <w:szCs w:val="18"/>
                    </w:rPr>
                  </w:pPr>
                </w:p>
              </w:tc>
              <w:tc>
                <w:tcPr>
                  <w:tcW w:w="561" w:type="dxa"/>
                  <w:vAlign w:val="center"/>
                </w:tcPr>
                <w:p w14:paraId="63F38888">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10C9A845">
                  <w:pPr>
                    <w:pStyle w:val="12"/>
                    <w:adjustRightInd w:val="0"/>
                    <w:spacing w:before="0" w:after="0" w:line="240" w:lineRule="auto"/>
                    <w:ind w:right="0"/>
                    <w:jc w:val="center"/>
                    <w:rPr>
                      <w:rFonts w:eastAsiaTheme="minorEastAsia"/>
                      <w:szCs w:val="18"/>
                    </w:rPr>
                  </w:pPr>
                  <w:r>
                    <w:rPr>
                      <w:szCs w:val="18"/>
                    </w:rPr>
                    <w:t>38.2</w:t>
                  </w:r>
                </w:p>
              </w:tc>
              <w:tc>
                <w:tcPr>
                  <w:tcW w:w="567" w:type="dxa"/>
                  <w:vAlign w:val="center"/>
                </w:tcPr>
                <w:p w14:paraId="234927E6">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74C9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0DF50694">
                  <w:pPr>
                    <w:pStyle w:val="12"/>
                    <w:adjustRightInd w:val="0"/>
                    <w:spacing w:before="0" w:after="0" w:line="240" w:lineRule="auto"/>
                    <w:ind w:right="0"/>
                    <w:jc w:val="center"/>
                    <w:rPr>
                      <w:rFonts w:eastAsiaTheme="minorEastAsia"/>
                      <w:szCs w:val="18"/>
                    </w:rPr>
                  </w:pPr>
                </w:p>
              </w:tc>
              <w:tc>
                <w:tcPr>
                  <w:tcW w:w="647" w:type="dxa"/>
                  <w:vAlign w:val="center"/>
                </w:tcPr>
                <w:p w14:paraId="0C0A22E0">
                  <w:pPr>
                    <w:pStyle w:val="12"/>
                    <w:adjustRightInd w:val="0"/>
                    <w:spacing w:before="0" w:after="0" w:line="240" w:lineRule="auto"/>
                    <w:ind w:right="0"/>
                    <w:jc w:val="center"/>
                    <w:rPr>
                      <w:rFonts w:eastAsiaTheme="minorEastAsia"/>
                      <w:szCs w:val="18"/>
                    </w:rPr>
                  </w:pPr>
                  <w:r>
                    <w:rPr>
                      <w:szCs w:val="18"/>
                    </w:rPr>
                    <w:t>电动飞锯</w:t>
                  </w:r>
                  <w:r>
                    <w:rPr>
                      <w:rFonts w:hint="eastAsia"/>
                      <w:szCs w:val="18"/>
                    </w:rPr>
                    <w:t>1</w:t>
                  </w:r>
                  <w:r>
                    <w:rPr>
                      <w:szCs w:val="18"/>
                    </w:rPr>
                    <w:t>#</w:t>
                  </w:r>
                </w:p>
              </w:tc>
              <w:tc>
                <w:tcPr>
                  <w:tcW w:w="724" w:type="dxa"/>
                  <w:vAlign w:val="center"/>
                </w:tcPr>
                <w:p w14:paraId="7BE8AD4F">
                  <w:pPr>
                    <w:pStyle w:val="12"/>
                    <w:adjustRightInd w:val="0"/>
                    <w:spacing w:before="0" w:after="0" w:line="240" w:lineRule="auto"/>
                    <w:ind w:right="0"/>
                    <w:jc w:val="center"/>
                    <w:rPr>
                      <w:rFonts w:eastAsiaTheme="minorEastAsia"/>
                      <w:szCs w:val="18"/>
                    </w:rPr>
                  </w:pPr>
                  <w:r>
                    <w:rPr>
                      <w:rFonts w:hint="eastAsia"/>
                      <w:szCs w:val="18"/>
                    </w:rPr>
                    <w:t>/</w:t>
                  </w:r>
                </w:p>
              </w:tc>
              <w:tc>
                <w:tcPr>
                  <w:tcW w:w="897" w:type="dxa"/>
                  <w:vAlign w:val="center"/>
                </w:tcPr>
                <w:p w14:paraId="284DA9E9">
                  <w:pPr>
                    <w:pStyle w:val="12"/>
                    <w:adjustRightInd w:val="0"/>
                    <w:spacing w:before="0" w:after="0" w:line="240" w:lineRule="auto"/>
                    <w:ind w:right="0"/>
                    <w:jc w:val="center"/>
                    <w:rPr>
                      <w:rFonts w:eastAsiaTheme="minorEastAsia"/>
                      <w:szCs w:val="18"/>
                    </w:rPr>
                  </w:pPr>
                  <w:r>
                    <w:rPr>
                      <w:szCs w:val="18"/>
                    </w:rPr>
                    <w:t>85</w:t>
                  </w:r>
                </w:p>
              </w:tc>
              <w:tc>
                <w:tcPr>
                  <w:tcW w:w="772" w:type="dxa"/>
                  <w:vAlign w:val="center"/>
                </w:tcPr>
                <w:p w14:paraId="467C0D03">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200BFCDD">
                  <w:pPr>
                    <w:pStyle w:val="12"/>
                    <w:adjustRightInd w:val="0"/>
                    <w:spacing w:before="0" w:after="0" w:line="240" w:lineRule="auto"/>
                    <w:ind w:right="0"/>
                    <w:jc w:val="center"/>
                    <w:rPr>
                      <w:rFonts w:eastAsiaTheme="minorEastAsia"/>
                      <w:szCs w:val="18"/>
                    </w:rPr>
                  </w:pPr>
                  <w:r>
                    <w:rPr>
                      <w:rFonts w:eastAsiaTheme="minorEastAsia"/>
                      <w:szCs w:val="18"/>
                    </w:rPr>
                    <w:t>119</w:t>
                  </w:r>
                </w:p>
              </w:tc>
              <w:tc>
                <w:tcPr>
                  <w:tcW w:w="687" w:type="dxa"/>
                  <w:vAlign w:val="center"/>
                </w:tcPr>
                <w:p w14:paraId="06F07CC9">
                  <w:pPr>
                    <w:pStyle w:val="12"/>
                    <w:adjustRightInd w:val="0"/>
                    <w:spacing w:before="0" w:after="0" w:line="240" w:lineRule="auto"/>
                    <w:ind w:right="0"/>
                    <w:jc w:val="center"/>
                    <w:rPr>
                      <w:rFonts w:eastAsiaTheme="minorEastAsia"/>
                      <w:szCs w:val="18"/>
                    </w:rPr>
                  </w:pPr>
                  <w:r>
                    <w:rPr>
                      <w:rFonts w:eastAsiaTheme="minorEastAsia"/>
                      <w:szCs w:val="18"/>
                    </w:rPr>
                    <w:t>234.59</w:t>
                  </w:r>
                </w:p>
              </w:tc>
              <w:tc>
                <w:tcPr>
                  <w:tcW w:w="592" w:type="dxa"/>
                  <w:vAlign w:val="center"/>
                </w:tcPr>
                <w:p w14:paraId="52EFDDF8">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572360B6">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1</w:t>
                  </w:r>
                </w:p>
              </w:tc>
              <w:tc>
                <w:tcPr>
                  <w:tcW w:w="567" w:type="dxa"/>
                  <w:vAlign w:val="center"/>
                </w:tcPr>
                <w:p w14:paraId="03421C5C">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4.2</w:t>
                  </w:r>
                </w:p>
              </w:tc>
              <w:tc>
                <w:tcPr>
                  <w:tcW w:w="498" w:type="dxa"/>
                  <w:vMerge w:val="continue"/>
                  <w:vAlign w:val="center"/>
                </w:tcPr>
                <w:p w14:paraId="1A469AAA">
                  <w:pPr>
                    <w:pStyle w:val="12"/>
                    <w:adjustRightInd w:val="0"/>
                    <w:spacing w:before="0" w:after="0" w:line="240" w:lineRule="auto"/>
                    <w:ind w:right="0"/>
                    <w:jc w:val="center"/>
                    <w:rPr>
                      <w:rFonts w:eastAsiaTheme="minorEastAsia"/>
                      <w:szCs w:val="18"/>
                    </w:rPr>
                  </w:pPr>
                </w:p>
              </w:tc>
              <w:tc>
                <w:tcPr>
                  <w:tcW w:w="561" w:type="dxa"/>
                  <w:vAlign w:val="center"/>
                </w:tcPr>
                <w:p w14:paraId="21A829CE">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4B58773D">
                  <w:pPr>
                    <w:pStyle w:val="12"/>
                    <w:adjustRightInd w:val="0"/>
                    <w:spacing w:before="0" w:after="0" w:line="240" w:lineRule="auto"/>
                    <w:ind w:right="0"/>
                    <w:jc w:val="center"/>
                    <w:rPr>
                      <w:rFonts w:eastAsiaTheme="minorEastAsia"/>
                      <w:szCs w:val="18"/>
                    </w:rPr>
                  </w:pPr>
                  <w:r>
                    <w:rPr>
                      <w:szCs w:val="18"/>
                    </w:rPr>
                    <w:t>38.2</w:t>
                  </w:r>
                </w:p>
              </w:tc>
              <w:tc>
                <w:tcPr>
                  <w:tcW w:w="567" w:type="dxa"/>
                  <w:vAlign w:val="center"/>
                </w:tcPr>
                <w:p w14:paraId="1BE329DE">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4F47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79DA5E0C">
                  <w:pPr>
                    <w:pStyle w:val="12"/>
                    <w:adjustRightInd w:val="0"/>
                    <w:spacing w:before="0" w:after="0" w:line="240" w:lineRule="auto"/>
                    <w:ind w:right="0"/>
                    <w:jc w:val="center"/>
                    <w:rPr>
                      <w:rFonts w:eastAsiaTheme="minorEastAsia"/>
                      <w:szCs w:val="18"/>
                    </w:rPr>
                  </w:pPr>
                </w:p>
              </w:tc>
              <w:tc>
                <w:tcPr>
                  <w:tcW w:w="647" w:type="dxa"/>
                  <w:vAlign w:val="center"/>
                </w:tcPr>
                <w:p w14:paraId="4956E5AC">
                  <w:pPr>
                    <w:pStyle w:val="12"/>
                    <w:adjustRightInd w:val="0"/>
                    <w:spacing w:before="0" w:after="0" w:line="240" w:lineRule="auto"/>
                    <w:ind w:right="0"/>
                    <w:jc w:val="center"/>
                    <w:rPr>
                      <w:rFonts w:eastAsiaTheme="minorEastAsia"/>
                      <w:szCs w:val="18"/>
                    </w:rPr>
                  </w:pPr>
                  <w:r>
                    <w:rPr>
                      <w:rFonts w:hint="eastAsia"/>
                      <w:szCs w:val="18"/>
                      <w:lang w:bidi="ar"/>
                    </w:rPr>
                    <w:t>除尘器风机</w:t>
                  </w:r>
                  <w:r>
                    <w:rPr>
                      <w:rFonts w:hint="eastAsia"/>
                      <w:szCs w:val="18"/>
                    </w:rPr>
                    <w:t>1</w:t>
                  </w:r>
                  <w:r>
                    <w:rPr>
                      <w:szCs w:val="18"/>
                    </w:rPr>
                    <w:t>#</w:t>
                  </w:r>
                </w:p>
              </w:tc>
              <w:tc>
                <w:tcPr>
                  <w:tcW w:w="724" w:type="dxa"/>
                  <w:vAlign w:val="center"/>
                </w:tcPr>
                <w:p w14:paraId="25B5E64E">
                  <w:pPr>
                    <w:pStyle w:val="12"/>
                    <w:adjustRightInd w:val="0"/>
                    <w:spacing w:before="0" w:after="0" w:line="240" w:lineRule="auto"/>
                    <w:ind w:right="0"/>
                    <w:jc w:val="center"/>
                    <w:rPr>
                      <w:rFonts w:eastAsiaTheme="minorEastAsia"/>
                      <w:szCs w:val="18"/>
                    </w:rPr>
                  </w:pPr>
                  <w:r>
                    <w:rPr>
                      <w:rFonts w:hint="eastAsia"/>
                      <w:szCs w:val="18"/>
                    </w:rPr>
                    <w:t>/</w:t>
                  </w:r>
                </w:p>
              </w:tc>
              <w:tc>
                <w:tcPr>
                  <w:tcW w:w="897" w:type="dxa"/>
                  <w:vAlign w:val="center"/>
                </w:tcPr>
                <w:p w14:paraId="4E510A9D">
                  <w:pPr>
                    <w:pStyle w:val="12"/>
                    <w:adjustRightInd w:val="0"/>
                    <w:spacing w:before="0" w:after="0" w:line="240" w:lineRule="auto"/>
                    <w:ind w:right="0"/>
                    <w:jc w:val="center"/>
                    <w:rPr>
                      <w:rFonts w:eastAsiaTheme="minorEastAsia"/>
                      <w:szCs w:val="18"/>
                    </w:rPr>
                  </w:pPr>
                  <w:r>
                    <w:rPr>
                      <w:szCs w:val="18"/>
                    </w:rPr>
                    <w:t>85</w:t>
                  </w:r>
                </w:p>
              </w:tc>
              <w:tc>
                <w:tcPr>
                  <w:tcW w:w="772" w:type="dxa"/>
                  <w:vAlign w:val="center"/>
                </w:tcPr>
                <w:p w14:paraId="1610FF6E">
                  <w:pPr>
                    <w:pStyle w:val="12"/>
                    <w:adjustRightInd w:val="0"/>
                    <w:spacing w:before="0" w:after="0" w:line="240" w:lineRule="auto"/>
                    <w:ind w:right="0"/>
                    <w:jc w:val="center"/>
                    <w:rPr>
                      <w:rFonts w:eastAsiaTheme="minorEastAsia"/>
                      <w:szCs w:val="18"/>
                    </w:rPr>
                  </w:pPr>
                  <w:r>
                    <w:rPr>
                      <w:rFonts w:eastAsiaTheme="minorEastAsia"/>
                      <w:szCs w:val="18"/>
                    </w:rPr>
                    <w:t>基础减震</w:t>
                  </w:r>
                  <w:r>
                    <w:rPr>
                      <w:rFonts w:hint="eastAsia" w:eastAsiaTheme="minorEastAsia"/>
                      <w:szCs w:val="18"/>
                    </w:rPr>
                    <w:t>、</w:t>
                  </w:r>
                  <w:r>
                    <w:rPr>
                      <w:rFonts w:eastAsiaTheme="minorEastAsia"/>
                      <w:szCs w:val="18"/>
                    </w:rPr>
                    <w:t>厂房隔声、进风口消</w:t>
                  </w:r>
                  <w:r>
                    <w:rPr>
                      <w:rFonts w:hint="eastAsia" w:eastAsiaTheme="minorEastAsia"/>
                      <w:szCs w:val="18"/>
                    </w:rPr>
                    <w:t>声</w:t>
                  </w:r>
                  <w:r>
                    <w:rPr>
                      <w:rFonts w:eastAsiaTheme="minorEastAsia"/>
                      <w:szCs w:val="18"/>
                    </w:rPr>
                    <w:t>器</w:t>
                  </w:r>
                </w:p>
              </w:tc>
              <w:tc>
                <w:tcPr>
                  <w:tcW w:w="646" w:type="dxa"/>
                  <w:vAlign w:val="center"/>
                </w:tcPr>
                <w:p w14:paraId="2523E2FF">
                  <w:pPr>
                    <w:pStyle w:val="12"/>
                    <w:adjustRightInd w:val="0"/>
                    <w:spacing w:before="0" w:after="0" w:line="240" w:lineRule="auto"/>
                    <w:ind w:right="0"/>
                    <w:jc w:val="center"/>
                    <w:rPr>
                      <w:rFonts w:eastAsiaTheme="minorEastAsia"/>
                      <w:szCs w:val="18"/>
                    </w:rPr>
                  </w:pPr>
                  <w:r>
                    <w:rPr>
                      <w:rFonts w:eastAsiaTheme="minorEastAsia"/>
                      <w:szCs w:val="18"/>
                    </w:rPr>
                    <w:t>125.01</w:t>
                  </w:r>
                </w:p>
              </w:tc>
              <w:tc>
                <w:tcPr>
                  <w:tcW w:w="687" w:type="dxa"/>
                  <w:vAlign w:val="center"/>
                </w:tcPr>
                <w:p w14:paraId="6CC827C7">
                  <w:pPr>
                    <w:pStyle w:val="12"/>
                    <w:adjustRightInd w:val="0"/>
                    <w:spacing w:before="0" w:after="0" w:line="240" w:lineRule="auto"/>
                    <w:ind w:right="0"/>
                    <w:jc w:val="center"/>
                    <w:rPr>
                      <w:rFonts w:eastAsiaTheme="minorEastAsia"/>
                      <w:szCs w:val="18"/>
                    </w:rPr>
                  </w:pPr>
                  <w:r>
                    <w:rPr>
                      <w:rFonts w:eastAsiaTheme="minorEastAsia"/>
                      <w:szCs w:val="18"/>
                    </w:rPr>
                    <w:t>249.41</w:t>
                  </w:r>
                </w:p>
              </w:tc>
              <w:tc>
                <w:tcPr>
                  <w:tcW w:w="592" w:type="dxa"/>
                  <w:vAlign w:val="center"/>
                </w:tcPr>
                <w:p w14:paraId="55AAE0A6">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177914C0">
                  <w:pPr>
                    <w:pStyle w:val="12"/>
                    <w:adjustRightInd w:val="0"/>
                    <w:spacing w:before="0" w:after="0" w:line="240" w:lineRule="auto"/>
                    <w:ind w:right="0"/>
                    <w:jc w:val="center"/>
                    <w:rPr>
                      <w:rFonts w:eastAsiaTheme="minorEastAsia"/>
                      <w:szCs w:val="18"/>
                    </w:rPr>
                  </w:pPr>
                  <w:r>
                    <w:rPr>
                      <w:rFonts w:hint="eastAsia" w:eastAsiaTheme="minorEastAsia"/>
                      <w:szCs w:val="18"/>
                    </w:rPr>
                    <w:t>8</w:t>
                  </w:r>
                </w:p>
              </w:tc>
              <w:tc>
                <w:tcPr>
                  <w:tcW w:w="567" w:type="dxa"/>
                  <w:vAlign w:val="center"/>
                </w:tcPr>
                <w:p w14:paraId="1B1DD86D">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6.9</w:t>
                  </w:r>
                </w:p>
              </w:tc>
              <w:tc>
                <w:tcPr>
                  <w:tcW w:w="498" w:type="dxa"/>
                  <w:vMerge w:val="continue"/>
                  <w:vAlign w:val="center"/>
                </w:tcPr>
                <w:p w14:paraId="63049CCC">
                  <w:pPr>
                    <w:pStyle w:val="12"/>
                    <w:adjustRightInd w:val="0"/>
                    <w:spacing w:before="0" w:after="0" w:line="240" w:lineRule="auto"/>
                    <w:ind w:right="0"/>
                    <w:jc w:val="center"/>
                    <w:rPr>
                      <w:rFonts w:eastAsiaTheme="minorEastAsia"/>
                      <w:szCs w:val="18"/>
                    </w:rPr>
                  </w:pPr>
                </w:p>
              </w:tc>
              <w:tc>
                <w:tcPr>
                  <w:tcW w:w="561" w:type="dxa"/>
                  <w:vAlign w:val="center"/>
                </w:tcPr>
                <w:p w14:paraId="430017B9">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759AF756">
                  <w:pPr>
                    <w:pStyle w:val="12"/>
                    <w:adjustRightInd w:val="0"/>
                    <w:spacing w:before="0" w:after="0" w:line="240" w:lineRule="auto"/>
                    <w:ind w:right="0"/>
                    <w:jc w:val="center"/>
                    <w:rPr>
                      <w:rFonts w:eastAsiaTheme="minorEastAsia"/>
                      <w:szCs w:val="18"/>
                    </w:rPr>
                  </w:pPr>
                  <w:r>
                    <w:rPr>
                      <w:szCs w:val="18"/>
                    </w:rPr>
                    <w:t>40.9</w:t>
                  </w:r>
                </w:p>
              </w:tc>
              <w:tc>
                <w:tcPr>
                  <w:tcW w:w="567" w:type="dxa"/>
                  <w:vAlign w:val="center"/>
                </w:tcPr>
                <w:p w14:paraId="550F83FE">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470D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6A2B74B7">
                  <w:pPr>
                    <w:pStyle w:val="12"/>
                    <w:adjustRightInd w:val="0"/>
                    <w:spacing w:before="0" w:after="0" w:line="240" w:lineRule="auto"/>
                    <w:ind w:right="0"/>
                    <w:jc w:val="center"/>
                    <w:rPr>
                      <w:rFonts w:eastAsiaTheme="minorEastAsia"/>
                      <w:szCs w:val="18"/>
                    </w:rPr>
                  </w:pPr>
                </w:p>
              </w:tc>
              <w:tc>
                <w:tcPr>
                  <w:tcW w:w="647" w:type="dxa"/>
                  <w:vAlign w:val="center"/>
                </w:tcPr>
                <w:p w14:paraId="202971D1">
                  <w:pPr>
                    <w:pStyle w:val="12"/>
                    <w:adjustRightInd w:val="0"/>
                    <w:spacing w:before="0" w:after="0" w:line="240" w:lineRule="auto"/>
                    <w:ind w:right="0"/>
                    <w:jc w:val="center"/>
                    <w:rPr>
                      <w:szCs w:val="18"/>
                      <w:lang w:bidi="ar"/>
                    </w:rPr>
                  </w:pPr>
                  <w:r>
                    <w:rPr>
                      <w:rFonts w:hint="eastAsia"/>
                      <w:szCs w:val="18"/>
                    </w:rPr>
                    <w:t>高频直缝焊管机组</w:t>
                  </w:r>
                  <w:r>
                    <w:rPr>
                      <w:szCs w:val="18"/>
                    </w:rPr>
                    <w:t>2#</w:t>
                  </w:r>
                </w:p>
              </w:tc>
              <w:tc>
                <w:tcPr>
                  <w:tcW w:w="724" w:type="dxa"/>
                  <w:vAlign w:val="center"/>
                </w:tcPr>
                <w:p w14:paraId="71001087">
                  <w:pPr>
                    <w:pStyle w:val="12"/>
                    <w:adjustRightInd w:val="0"/>
                    <w:spacing w:before="0" w:after="0" w:line="240" w:lineRule="auto"/>
                    <w:ind w:right="0"/>
                    <w:jc w:val="center"/>
                    <w:rPr>
                      <w:rFonts w:eastAsiaTheme="minorEastAsia"/>
                      <w:szCs w:val="18"/>
                    </w:rPr>
                  </w:pPr>
                  <w:r>
                    <w:rPr>
                      <w:rFonts w:hint="eastAsia" w:eastAsiaTheme="minorEastAsia"/>
                      <w:szCs w:val="18"/>
                    </w:rPr>
                    <w:t>7</w:t>
                  </w:r>
                  <w:r>
                    <w:rPr>
                      <w:rFonts w:eastAsiaTheme="minorEastAsia"/>
                      <w:szCs w:val="18"/>
                    </w:rPr>
                    <w:t>6</w:t>
                  </w:r>
                  <w:r>
                    <w:rPr>
                      <w:rFonts w:hint="eastAsia" w:eastAsiaTheme="minorEastAsia"/>
                      <w:szCs w:val="18"/>
                    </w:rPr>
                    <w:t>型</w:t>
                  </w:r>
                </w:p>
              </w:tc>
              <w:tc>
                <w:tcPr>
                  <w:tcW w:w="897" w:type="dxa"/>
                  <w:vAlign w:val="center"/>
                </w:tcPr>
                <w:p w14:paraId="2A86EE53">
                  <w:pPr>
                    <w:pStyle w:val="12"/>
                    <w:adjustRightInd w:val="0"/>
                    <w:spacing w:before="0" w:after="0" w:line="240" w:lineRule="auto"/>
                    <w:ind w:right="0"/>
                    <w:jc w:val="center"/>
                    <w:rPr>
                      <w:rFonts w:eastAsiaTheme="minorEastAsia"/>
                      <w:szCs w:val="18"/>
                    </w:rPr>
                  </w:pPr>
                  <w:r>
                    <w:rPr>
                      <w:szCs w:val="18"/>
                    </w:rPr>
                    <w:t>85</w:t>
                  </w:r>
                </w:p>
              </w:tc>
              <w:tc>
                <w:tcPr>
                  <w:tcW w:w="772" w:type="dxa"/>
                  <w:vAlign w:val="center"/>
                </w:tcPr>
                <w:p w14:paraId="1571B38E">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46021A6A">
                  <w:pPr>
                    <w:pStyle w:val="12"/>
                    <w:adjustRightInd w:val="0"/>
                    <w:spacing w:before="0" w:after="0" w:line="240" w:lineRule="auto"/>
                    <w:ind w:right="0"/>
                    <w:jc w:val="center"/>
                    <w:rPr>
                      <w:rFonts w:eastAsiaTheme="minorEastAsia"/>
                      <w:szCs w:val="18"/>
                    </w:rPr>
                  </w:pPr>
                  <w:r>
                    <w:rPr>
                      <w:rFonts w:eastAsiaTheme="minorEastAsia"/>
                      <w:szCs w:val="18"/>
                    </w:rPr>
                    <w:t>111.76</w:t>
                  </w:r>
                </w:p>
              </w:tc>
              <w:tc>
                <w:tcPr>
                  <w:tcW w:w="687" w:type="dxa"/>
                  <w:vAlign w:val="center"/>
                </w:tcPr>
                <w:p w14:paraId="59BC2774">
                  <w:pPr>
                    <w:pStyle w:val="12"/>
                    <w:adjustRightInd w:val="0"/>
                    <w:spacing w:before="0" w:after="0" w:line="240" w:lineRule="auto"/>
                    <w:ind w:right="0"/>
                    <w:jc w:val="center"/>
                    <w:rPr>
                      <w:rFonts w:eastAsiaTheme="minorEastAsia"/>
                      <w:szCs w:val="18"/>
                    </w:rPr>
                  </w:pPr>
                  <w:r>
                    <w:rPr>
                      <w:rFonts w:eastAsiaTheme="minorEastAsia"/>
                      <w:szCs w:val="18"/>
                    </w:rPr>
                    <w:t>224.72</w:t>
                  </w:r>
                </w:p>
              </w:tc>
              <w:tc>
                <w:tcPr>
                  <w:tcW w:w="592" w:type="dxa"/>
                  <w:vAlign w:val="center"/>
                </w:tcPr>
                <w:p w14:paraId="224269E7">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68E597CF">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1</w:t>
                  </w:r>
                </w:p>
              </w:tc>
              <w:tc>
                <w:tcPr>
                  <w:tcW w:w="567" w:type="dxa"/>
                  <w:vAlign w:val="center"/>
                </w:tcPr>
                <w:p w14:paraId="4AFDD8AF">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4.2</w:t>
                  </w:r>
                </w:p>
              </w:tc>
              <w:tc>
                <w:tcPr>
                  <w:tcW w:w="498" w:type="dxa"/>
                  <w:vMerge w:val="continue"/>
                  <w:vAlign w:val="center"/>
                </w:tcPr>
                <w:p w14:paraId="076E8E6A">
                  <w:pPr>
                    <w:pStyle w:val="12"/>
                    <w:adjustRightInd w:val="0"/>
                    <w:spacing w:before="0" w:after="0" w:line="240" w:lineRule="auto"/>
                    <w:ind w:right="0"/>
                    <w:jc w:val="center"/>
                    <w:rPr>
                      <w:rFonts w:eastAsiaTheme="minorEastAsia"/>
                      <w:szCs w:val="18"/>
                    </w:rPr>
                  </w:pPr>
                </w:p>
              </w:tc>
              <w:tc>
                <w:tcPr>
                  <w:tcW w:w="561" w:type="dxa"/>
                  <w:vAlign w:val="center"/>
                </w:tcPr>
                <w:p w14:paraId="375A2E02">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19A3D0BB">
                  <w:pPr>
                    <w:pStyle w:val="12"/>
                    <w:adjustRightInd w:val="0"/>
                    <w:spacing w:before="0" w:after="0" w:line="240" w:lineRule="auto"/>
                    <w:ind w:right="0"/>
                    <w:jc w:val="center"/>
                    <w:rPr>
                      <w:rFonts w:eastAsiaTheme="minorEastAsia"/>
                      <w:szCs w:val="18"/>
                    </w:rPr>
                  </w:pPr>
                  <w:r>
                    <w:rPr>
                      <w:szCs w:val="18"/>
                    </w:rPr>
                    <w:t>38.2</w:t>
                  </w:r>
                </w:p>
              </w:tc>
              <w:tc>
                <w:tcPr>
                  <w:tcW w:w="567" w:type="dxa"/>
                  <w:vAlign w:val="center"/>
                </w:tcPr>
                <w:p w14:paraId="3C8B4CC8">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05D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1865D2C6">
                  <w:pPr>
                    <w:pStyle w:val="12"/>
                    <w:adjustRightInd w:val="0"/>
                    <w:spacing w:before="0" w:after="0" w:line="240" w:lineRule="auto"/>
                    <w:ind w:right="0"/>
                    <w:jc w:val="center"/>
                    <w:rPr>
                      <w:rFonts w:eastAsiaTheme="minorEastAsia"/>
                      <w:szCs w:val="18"/>
                    </w:rPr>
                  </w:pPr>
                </w:p>
              </w:tc>
              <w:tc>
                <w:tcPr>
                  <w:tcW w:w="647" w:type="dxa"/>
                  <w:vAlign w:val="center"/>
                </w:tcPr>
                <w:p w14:paraId="1553B253">
                  <w:pPr>
                    <w:pStyle w:val="12"/>
                    <w:adjustRightInd w:val="0"/>
                    <w:spacing w:before="0" w:after="0" w:line="240" w:lineRule="auto"/>
                    <w:ind w:right="0"/>
                    <w:jc w:val="center"/>
                    <w:rPr>
                      <w:szCs w:val="18"/>
                      <w:lang w:bidi="ar"/>
                    </w:rPr>
                  </w:pPr>
                  <w:r>
                    <w:rPr>
                      <w:rFonts w:hint="eastAsia"/>
                      <w:kern w:val="24"/>
                      <w:szCs w:val="18"/>
                    </w:rPr>
                    <w:t>纵剪机组</w:t>
                  </w:r>
                  <w:r>
                    <w:rPr>
                      <w:szCs w:val="18"/>
                    </w:rPr>
                    <w:t>2#</w:t>
                  </w:r>
                </w:p>
              </w:tc>
              <w:tc>
                <w:tcPr>
                  <w:tcW w:w="724" w:type="dxa"/>
                  <w:vAlign w:val="center"/>
                </w:tcPr>
                <w:p w14:paraId="46ECDD10">
                  <w:pPr>
                    <w:pStyle w:val="12"/>
                    <w:adjustRightInd w:val="0"/>
                    <w:spacing w:before="0" w:after="0" w:line="240" w:lineRule="auto"/>
                    <w:ind w:right="0"/>
                    <w:jc w:val="center"/>
                    <w:rPr>
                      <w:rFonts w:eastAsiaTheme="minorEastAsia"/>
                      <w:szCs w:val="18"/>
                    </w:rPr>
                  </w:pPr>
                  <w:r>
                    <w:rPr>
                      <w:rFonts w:hint="eastAsia"/>
                      <w:szCs w:val="18"/>
                    </w:rPr>
                    <w:t>/</w:t>
                  </w:r>
                </w:p>
              </w:tc>
              <w:tc>
                <w:tcPr>
                  <w:tcW w:w="897" w:type="dxa"/>
                  <w:vAlign w:val="center"/>
                </w:tcPr>
                <w:p w14:paraId="07E99086">
                  <w:pPr>
                    <w:pStyle w:val="12"/>
                    <w:adjustRightInd w:val="0"/>
                    <w:spacing w:before="0" w:after="0" w:line="240" w:lineRule="auto"/>
                    <w:ind w:right="0"/>
                    <w:jc w:val="center"/>
                    <w:rPr>
                      <w:rFonts w:eastAsiaTheme="minorEastAsia"/>
                      <w:szCs w:val="18"/>
                    </w:rPr>
                  </w:pPr>
                  <w:r>
                    <w:rPr>
                      <w:szCs w:val="18"/>
                    </w:rPr>
                    <w:t>90</w:t>
                  </w:r>
                </w:p>
              </w:tc>
              <w:tc>
                <w:tcPr>
                  <w:tcW w:w="772" w:type="dxa"/>
                  <w:vAlign w:val="center"/>
                </w:tcPr>
                <w:p w14:paraId="265A12C3">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688E9183">
                  <w:pPr>
                    <w:pStyle w:val="12"/>
                    <w:adjustRightInd w:val="0"/>
                    <w:spacing w:before="0" w:after="0" w:line="240" w:lineRule="auto"/>
                    <w:ind w:right="0"/>
                    <w:jc w:val="center"/>
                    <w:rPr>
                      <w:rFonts w:eastAsiaTheme="minorEastAsia"/>
                      <w:szCs w:val="18"/>
                    </w:rPr>
                  </w:pPr>
                  <w:r>
                    <w:rPr>
                      <w:rFonts w:eastAsiaTheme="minorEastAsia"/>
                      <w:szCs w:val="18"/>
                    </w:rPr>
                    <w:t>113.05</w:t>
                  </w:r>
                </w:p>
              </w:tc>
              <w:tc>
                <w:tcPr>
                  <w:tcW w:w="687" w:type="dxa"/>
                  <w:vAlign w:val="center"/>
                </w:tcPr>
                <w:p w14:paraId="40714427">
                  <w:pPr>
                    <w:pStyle w:val="12"/>
                    <w:adjustRightInd w:val="0"/>
                    <w:spacing w:before="0" w:after="0" w:line="240" w:lineRule="auto"/>
                    <w:ind w:right="0"/>
                    <w:jc w:val="center"/>
                    <w:rPr>
                      <w:rFonts w:eastAsiaTheme="minorEastAsia"/>
                      <w:szCs w:val="18"/>
                    </w:rPr>
                  </w:pPr>
                  <w:r>
                    <w:rPr>
                      <w:rFonts w:eastAsiaTheme="minorEastAsia"/>
                      <w:szCs w:val="18"/>
                    </w:rPr>
                    <w:t>216.13</w:t>
                  </w:r>
                </w:p>
              </w:tc>
              <w:tc>
                <w:tcPr>
                  <w:tcW w:w="592" w:type="dxa"/>
                  <w:vAlign w:val="center"/>
                </w:tcPr>
                <w:p w14:paraId="545065C8">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2B5D8CCA">
                  <w:pPr>
                    <w:pStyle w:val="12"/>
                    <w:adjustRightInd w:val="0"/>
                    <w:spacing w:before="0" w:after="0" w:line="240" w:lineRule="auto"/>
                    <w:ind w:right="0"/>
                    <w:jc w:val="center"/>
                    <w:rPr>
                      <w:rFonts w:eastAsiaTheme="minorEastAsia"/>
                      <w:szCs w:val="18"/>
                    </w:rPr>
                  </w:pPr>
                  <w:r>
                    <w:rPr>
                      <w:rFonts w:hint="eastAsia" w:eastAsiaTheme="minorEastAsia"/>
                      <w:szCs w:val="18"/>
                    </w:rPr>
                    <w:t>5</w:t>
                  </w:r>
                </w:p>
              </w:tc>
              <w:tc>
                <w:tcPr>
                  <w:tcW w:w="567" w:type="dxa"/>
                  <w:vAlign w:val="center"/>
                </w:tcPr>
                <w:p w14:paraId="3EEEE0C6">
                  <w:pPr>
                    <w:pStyle w:val="12"/>
                    <w:adjustRightInd w:val="0"/>
                    <w:spacing w:before="0" w:after="0" w:line="240" w:lineRule="auto"/>
                    <w:ind w:right="0"/>
                    <w:jc w:val="center"/>
                    <w:rPr>
                      <w:rFonts w:eastAsiaTheme="minorEastAsia"/>
                      <w:szCs w:val="18"/>
                    </w:rPr>
                  </w:pPr>
                  <w:r>
                    <w:rPr>
                      <w:rFonts w:hint="eastAsia" w:eastAsiaTheme="minorEastAsia"/>
                      <w:szCs w:val="18"/>
                    </w:rPr>
                    <w:t>7</w:t>
                  </w:r>
                  <w:r>
                    <w:rPr>
                      <w:rFonts w:eastAsiaTheme="minorEastAsia"/>
                      <w:szCs w:val="18"/>
                    </w:rPr>
                    <w:t>6.0</w:t>
                  </w:r>
                </w:p>
              </w:tc>
              <w:tc>
                <w:tcPr>
                  <w:tcW w:w="498" w:type="dxa"/>
                  <w:vMerge w:val="continue"/>
                  <w:vAlign w:val="center"/>
                </w:tcPr>
                <w:p w14:paraId="6D31D907">
                  <w:pPr>
                    <w:pStyle w:val="12"/>
                    <w:adjustRightInd w:val="0"/>
                    <w:spacing w:before="0" w:after="0" w:line="240" w:lineRule="auto"/>
                    <w:ind w:right="0"/>
                    <w:jc w:val="center"/>
                    <w:rPr>
                      <w:rFonts w:eastAsiaTheme="minorEastAsia"/>
                      <w:szCs w:val="18"/>
                    </w:rPr>
                  </w:pPr>
                </w:p>
              </w:tc>
              <w:tc>
                <w:tcPr>
                  <w:tcW w:w="561" w:type="dxa"/>
                  <w:vAlign w:val="center"/>
                </w:tcPr>
                <w:p w14:paraId="2C5FDE3A">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74DD1422">
                  <w:pPr>
                    <w:pStyle w:val="12"/>
                    <w:adjustRightInd w:val="0"/>
                    <w:spacing w:before="0" w:after="0" w:line="240" w:lineRule="auto"/>
                    <w:ind w:right="0"/>
                    <w:jc w:val="center"/>
                    <w:rPr>
                      <w:rFonts w:eastAsiaTheme="minorEastAsia"/>
                      <w:szCs w:val="18"/>
                    </w:rPr>
                  </w:pPr>
                  <w:r>
                    <w:rPr>
                      <w:szCs w:val="18"/>
                    </w:rPr>
                    <w:t>50</w:t>
                  </w:r>
                </w:p>
              </w:tc>
              <w:tc>
                <w:tcPr>
                  <w:tcW w:w="567" w:type="dxa"/>
                  <w:vAlign w:val="center"/>
                </w:tcPr>
                <w:p w14:paraId="605A5DFA">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0FD2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40D7CF7F">
                  <w:pPr>
                    <w:pStyle w:val="12"/>
                    <w:adjustRightInd w:val="0"/>
                    <w:spacing w:before="0" w:after="0" w:line="240" w:lineRule="auto"/>
                    <w:ind w:right="0"/>
                    <w:jc w:val="center"/>
                    <w:rPr>
                      <w:rFonts w:eastAsiaTheme="minorEastAsia"/>
                      <w:szCs w:val="18"/>
                    </w:rPr>
                  </w:pPr>
                </w:p>
              </w:tc>
              <w:tc>
                <w:tcPr>
                  <w:tcW w:w="647" w:type="dxa"/>
                  <w:vAlign w:val="center"/>
                </w:tcPr>
                <w:p w14:paraId="3240186C">
                  <w:pPr>
                    <w:pStyle w:val="12"/>
                    <w:adjustRightInd w:val="0"/>
                    <w:spacing w:before="0" w:after="0" w:line="240" w:lineRule="auto"/>
                    <w:ind w:right="0"/>
                    <w:jc w:val="center"/>
                    <w:rPr>
                      <w:szCs w:val="18"/>
                      <w:lang w:bidi="ar"/>
                    </w:rPr>
                  </w:pPr>
                  <w:r>
                    <w:rPr>
                      <w:szCs w:val="18"/>
                    </w:rPr>
                    <w:t>校直机2#</w:t>
                  </w:r>
                </w:p>
              </w:tc>
              <w:tc>
                <w:tcPr>
                  <w:tcW w:w="724" w:type="dxa"/>
                  <w:vAlign w:val="center"/>
                </w:tcPr>
                <w:p w14:paraId="5FF5C68B">
                  <w:pPr>
                    <w:pStyle w:val="12"/>
                    <w:adjustRightInd w:val="0"/>
                    <w:spacing w:before="0" w:after="0" w:line="240" w:lineRule="auto"/>
                    <w:ind w:right="0"/>
                    <w:jc w:val="center"/>
                    <w:rPr>
                      <w:rFonts w:eastAsiaTheme="minorEastAsia"/>
                      <w:szCs w:val="18"/>
                    </w:rPr>
                  </w:pPr>
                  <w:r>
                    <w:rPr>
                      <w:rFonts w:hint="eastAsia"/>
                      <w:szCs w:val="18"/>
                    </w:rPr>
                    <w:t>/</w:t>
                  </w:r>
                </w:p>
              </w:tc>
              <w:tc>
                <w:tcPr>
                  <w:tcW w:w="897" w:type="dxa"/>
                  <w:vAlign w:val="center"/>
                </w:tcPr>
                <w:p w14:paraId="72CE9E21">
                  <w:pPr>
                    <w:pStyle w:val="12"/>
                    <w:adjustRightInd w:val="0"/>
                    <w:spacing w:before="0" w:after="0" w:line="240" w:lineRule="auto"/>
                    <w:ind w:right="0"/>
                    <w:jc w:val="center"/>
                    <w:rPr>
                      <w:rFonts w:eastAsiaTheme="minorEastAsia"/>
                      <w:szCs w:val="18"/>
                    </w:rPr>
                  </w:pPr>
                  <w:r>
                    <w:rPr>
                      <w:szCs w:val="18"/>
                    </w:rPr>
                    <w:t>85</w:t>
                  </w:r>
                </w:p>
              </w:tc>
              <w:tc>
                <w:tcPr>
                  <w:tcW w:w="772" w:type="dxa"/>
                  <w:vAlign w:val="center"/>
                </w:tcPr>
                <w:p w14:paraId="7B955DCF">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2C3CB7ED">
                  <w:pPr>
                    <w:pStyle w:val="12"/>
                    <w:adjustRightInd w:val="0"/>
                    <w:spacing w:before="0" w:after="0" w:line="240" w:lineRule="auto"/>
                    <w:ind w:right="0"/>
                    <w:jc w:val="center"/>
                    <w:rPr>
                      <w:rFonts w:eastAsiaTheme="minorEastAsia"/>
                      <w:szCs w:val="18"/>
                    </w:rPr>
                  </w:pPr>
                  <w:r>
                    <w:rPr>
                      <w:rFonts w:eastAsiaTheme="minorEastAsia"/>
                      <w:szCs w:val="18"/>
                    </w:rPr>
                    <w:t>106.32</w:t>
                  </w:r>
                </w:p>
              </w:tc>
              <w:tc>
                <w:tcPr>
                  <w:tcW w:w="687" w:type="dxa"/>
                  <w:vAlign w:val="center"/>
                </w:tcPr>
                <w:p w14:paraId="3068BDF7">
                  <w:pPr>
                    <w:pStyle w:val="12"/>
                    <w:adjustRightInd w:val="0"/>
                    <w:spacing w:before="0" w:after="0" w:line="240" w:lineRule="auto"/>
                    <w:ind w:right="0"/>
                    <w:jc w:val="center"/>
                    <w:rPr>
                      <w:rFonts w:eastAsiaTheme="minorEastAsia"/>
                      <w:szCs w:val="18"/>
                    </w:rPr>
                  </w:pPr>
                  <w:r>
                    <w:rPr>
                      <w:rFonts w:eastAsiaTheme="minorEastAsia"/>
                      <w:szCs w:val="18"/>
                    </w:rPr>
                    <w:t>216.84</w:t>
                  </w:r>
                </w:p>
              </w:tc>
              <w:tc>
                <w:tcPr>
                  <w:tcW w:w="592" w:type="dxa"/>
                  <w:vAlign w:val="center"/>
                </w:tcPr>
                <w:p w14:paraId="3D4C6F6B">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385B28AC">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1C342F4B">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5.0</w:t>
                  </w:r>
                </w:p>
              </w:tc>
              <w:tc>
                <w:tcPr>
                  <w:tcW w:w="498" w:type="dxa"/>
                  <w:vMerge w:val="continue"/>
                  <w:vAlign w:val="center"/>
                </w:tcPr>
                <w:p w14:paraId="19071DCD">
                  <w:pPr>
                    <w:pStyle w:val="12"/>
                    <w:adjustRightInd w:val="0"/>
                    <w:spacing w:before="0" w:after="0" w:line="240" w:lineRule="auto"/>
                    <w:ind w:right="0"/>
                    <w:jc w:val="center"/>
                    <w:rPr>
                      <w:rFonts w:eastAsiaTheme="minorEastAsia"/>
                      <w:szCs w:val="18"/>
                    </w:rPr>
                  </w:pPr>
                </w:p>
              </w:tc>
              <w:tc>
                <w:tcPr>
                  <w:tcW w:w="561" w:type="dxa"/>
                  <w:vAlign w:val="center"/>
                </w:tcPr>
                <w:p w14:paraId="410EF4E0">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75D50013">
                  <w:pPr>
                    <w:pStyle w:val="12"/>
                    <w:adjustRightInd w:val="0"/>
                    <w:spacing w:before="0" w:after="0" w:line="240" w:lineRule="auto"/>
                    <w:ind w:right="0"/>
                    <w:jc w:val="center"/>
                    <w:rPr>
                      <w:rFonts w:eastAsiaTheme="minorEastAsia"/>
                      <w:szCs w:val="18"/>
                    </w:rPr>
                  </w:pPr>
                  <w:r>
                    <w:rPr>
                      <w:szCs w:val="18"/>
                    </w:rPr>
                    <w:t>39</w:t>
                  </w:r>
                </w:p>
              </w:tc>
              <w:tc>
                <w:tcPr>
                  <w:tcW w:w="567" w:type="dxa"/>
                  <w:vAlign w:val="center"/>
                </w:tcPr>
                <w:p w14:paraId="0770DCC8">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7530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1DB4437A">
                  <w:pPr>
                    <w:pStyle w:val="12"/>
                    <w:adjustRightInd w:val="0"/>
                    <w:spacing w:before="0" w:after="0" w:line="240" w:lineRule="auto"/>
                    <w:ind w:right="0"/>
                    <w:jc w:val="center"/>
                    <w:rPr>
                      <w:rFonts w:eastAsiaTheme="minorEastAsia"/>
                      <w:szCs w:val="18"/>
                    </w:rPr>
                  </w:pPr>
                </w:p>
              </w:tc>
              <w:tc>
                <w:tcPr>
                  <w:tcW w:w="647" w:type="dxa"/>
                  <w:vAlign w:val="center"/>
                </w:tcPr>
                <w:p w14:paraId="278D5D83">
                  <w:pPr>
                    <w:pStyle w:val="12"/>
                    <w:adjustRightInd w:val="0"/>
                    <w:spacing w:before="0" w:after="0" w:line="240" w:lineRule="auto"/>
                    <w:ind w:right="0"/>
                    <w:jc w:val="center"/>
                    <w:rPr>
                      <w:szCs w:val="18"/>
                      <w:lang w:bidi="ar"/>
                    </w:rPr>
                  </w:pPr>
                  <w:r>
                    <w:rPr>
                      <w:szCs w:val="18"/>
                    </w:rPr>
                    <w:t>电动飞锯2#</w:t>
                  </w:r>
                </w:p>
              </w:tc>
              <w:tc>
                <w:tcPr>
                  <w:tcW w:w="724" w:type="dxa"/>
                  <w:vAlign w:val="center"/>
                </w:tcPr>
                <w:p w14:paraId="75493B49">
                  <w:pPr>
                    <w:pStyle w:val="12"/>
                    <w:adjustRightInd w:val="0"/>
                    <w:spacing w:before="0" w:after="0" w:line="240" w:lineRule="auto"/>
                    <w:ind w:right="0"/>
                    <w:jc w:val="center"/>
                    <w:rPr>
                      <w:rFonts w:eastAsiaTheme="minorEastAsia"/>
                      <w:szCs w:val="18"/>
                    </w:rPr>
                  </w:pPr>
                  <w:r>
                    <w:rPr>
                      <w:rFonts w:hint="eastAsia"/>
                      <w:szCs w:val="18"/>
                    </w:rPr>
                    <w:t>/</w:t>
                  </w:r>
                </w:p>
              </w:tc>
              <w:tc>
                <w:tcPr>
                  <w:tcW w:w="897" w:type="dxa"/>
                  <w:vAlign w:val="center"/>
                </w:tcPr>
                <w:p w14:paraId="1574516A">
                  <w:pPr>
                    <w:pStyle w:val="12"/>
                    <w:adjustRightInd w:val="0"/>
                    <w:spacing w:before="0" w:after="0" w:line="240" w:lineRule="auto"/>
                    <w:ind w:right="0"/>
                    <w:jc w:val="center"/>
                    <w:rPr>
                      <w:rFonts w:eastAsiaTheme="minorEastAsia"/>
                      <w:szCs w:val="18"/>
                    </w:rPr>
                  </w:pPr>
                  <w:r>
                    <w:rPr>
                      <w:szCs w:val="18"/>
                    </w:rPr>
                    <w:t>85</w:t>
                  </w:r>
                </w:p>
              </w:tc>
              <w:tc>
                <w:tcPr>
                  <w:tcW w:w="772" w:type="dxa"/>
                  <w:vAlign w:val="center"/>
                </w:tcPr>
                <w:p w14:paraId="2A640695">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5A5D4903">
                  <w:pPr>
                    <w:pStyle w:val="12"/>
                    <w:adjustRightInd w:val="0"/>
                    <w:spacing w:before="0" w:after="0" w:line="240" w:lineRule="auto"/>
                    <w:ind w:right="0"/>
                    <w:jc w:val="center"/>
                    <w:rPr>
                      <w:rFonts w:eastAsiaTheme="minorEastAsia"/>
                      <w:szCs w:val="18"/>
                    </w:rPr>
                  </w:pPr>
                  <w:r>
                    <w:rPr>
                      <w:rFonts w:eastAsiaTheme="minorEastAsia"/>
                      <w:szCs w:val="18"/>
                    </w:rPr>
                    <w:t>101.16</w:t>
                  </w:r>
                </w:p>
              </w:tc>
              <w:tc>
                <w:tcPr>
                  <w:tcW w:w="687" w:type="dxa"/>
                  <w:vAlign w:val="center"/>
                </w:tcPr>
                <w:p w14:paraId="47C6CB7C">
                  <w:pPr>
                    <w:pStyle w:val="12"/>
                    <w:adjustRightInd w:val="0"/>
                    <w:spacing w:before="0" w:after="0" w:line="240" w:lineRule="auto"/>
                    <w:ind w:right="0"/>
                    <w:jc w:val="center"/>
                    <w:rPr>
                      <w:rFonts w:eastAsiaTheme="minorEastAsia"/>
                      <w:szCs w:val="18"/>
                    </w:rPr>
                  </w:pPr>
                  <w:r>
                    <w:rPr>
                      <w:rFonts w:eastAsiaTheme="minorEastAsia"/>
                      <w:szCs w:val="18"/>
                    </w:rPr>
                    <w:t>209.54</w:t>
                  </w:r>
                </w:p>
              </w:tc>
              <w:tc>
                <w:tcPr>
                  <w:tcW w:w="592" w:type="dxa"/>
                  <w:vAlign w:val="center"/>
                </w:tcPr>
                <w:p w14:paraId="30793442">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34D68425">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249853D0">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5.0</w:t>
                  </w:r>
                </w:p>
              </w:tc>
              <w:tc>
                <w:tcPr>
                  <w:tcW w:w="498" w:type="dxa"/>
                  <w:vMerge w:val="continue"/>
                  <w:vAlign w:val="center"/>
                </w:tcPr>
                <w:p w14:paraId="02D41A46">
                  <w:pPr>
                    <w:pStyle w:val="12"/>
                    <w:adjustRightInd w:val="0"/>
                    <w:spacing w:before="0" w:after="0" w:line="240" w:lineRule="auto"/>
                    <w:ind w:right="0"/>
                    <w:jc w:val="center"/>
                    <w:rPr>
                      <w:rFonts w:eastAsiaTheme="minorEastAsia"/>
                      <w:szCs w:val="18"/>
                    </w:rPr>
                  </w:pPr>
                </w:p>
              </w:tc>
              <w:tc>
                <w:tcPr>
                  <w:tcW w:w="561" w:type="dxa"/>
                  <w:vAlign w:val="center"/>
                </w:tcPr>
                <w:p w14:paraId="1E009C64">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187C5B36">
                  <w:pPr>
                    <w:pStyle w:val="12"/>
                    <w:adjustRightInd w:val="0"/>
                    <w:spacing w:before="0" w:after="0" w:line="240" w:lineRule="auto"/>
                    <w:ind w:right="0"/>
                    <w:jc w:val="center"/>
                    <w:rPr>
                      <w:rFonts w:eastAsiaTheme="minorEastAsia"/>
                      <w:szCs w:val="18"/>
                    </w:rPr>
                  </w:pPr>
                  <w:r>
                    <w:rPr>
                      <w:szCs w:val="18"/>
                    </w:rPr>
                    <w:t>39</w:t>
                  </w:r>
                </w:p>
              </w:tc>
              <w:tc>
                <w:tcPr>
                  <w:tcW w:w="567" w:type="dxa"/>
                  <w:vAlign w:val="center"/>
                </w:tcPr>
                <w:p w14:paraId="75C3D78B">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64F5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6CEA6DA1">
                  <w:pPr>
                    <w:pStyle w:val="12"/>
                    <w:adjustRightInd w:val="0"/>
                    <w:spacing w:before="0" w:after="0" w:line="240" w:lineRule="auto"/>
                    <w:ind w:right="0"/>
                    <w:jc w:val="center"/>
                    <w:rPr>
                      <w:rFonts w:eastAsiaTheme="minorEastAsia"/>
                      <w:szCs w:val="18"/>
                    </w:rPr>
                  </w:pPr>
                </w:p>
              </w:tc>
              <w:tc>
                <w:tcPr>
                  <w:tcW w:w="647" w:type="dxa"/>
                  <w:vAlign w:val="center"/>
                </w:tcPr>
                <w:p w14:paraId="787CAAED">
                  <w:pPr>
                    <w:pStyle w:val="12"/>
                    <w:adjustRightInd w:val="0"/>
                    <w:spacing w:before="0" w:after="0" w:line="240" w:lineRule="auto"/>
                    <w:ind w:right="0"/>
                    <w:jc w:val="center"/>
                    <w:rPr>
                      <w:szCs w:val="18"/>
                      <w:lang w:bidi="ar"/>
                    </w:rPr>
                  </w:pPr>
                  <w:r>
                    <w:rPr>
                      <w:rFonts w:hint="eastAsia"/>
                      <w:szCs w:val="18"/>
                      <w:lang w:bidi="ar"/>
                    </w:rPr>
                    <w:t>除尘器风机</w:t>
                  </w:r>
                  <w:r>
                    <w:rPr>
                      <w:szCs w:val="18"/>
                    </w:rPr>
                    <w:t>2#</w:t>
                  </w:r>
                </w:p>
              </w:tc>
              <w:tc>
                <w:tcPr>
                  <w:tcW w:w="724" w:type="dxa"/>
                  <w:vAlign w:val="center"/>
                </w:tcPr>
                <w:p w14:paraId="61B64699">
                  <w:pPr>
                    <w:pStyle w:val="12"/>
                    <w:adjustRightInd w:val="0"/>
                    <w:spacing w:before="0" w:after="0" w:line="240" w:lineRule="auto"/>
                    <w:ind w:right="0"/>
                    <w:jc w:val="center"/>
                    <w:rPr>
                      <w:rFonts w:eastAsiaTheme="minorEastAsia"/>
                      <w:szCs w:val="18"/>
                    </w:rPr>
                  </w:pPr>
                  <w:r>
                    <w:rPr>
                      <w:rFonts w:hint="eastAsia"/>
                      <w:szCs w:val="18"/>
                    </w:rPr>
                    <w:t>/</w:t>
                  </w:r>
                </w:p>
              </w:tc>
              <w:tc>
                <w:tcPr>
                  <w:tcW w:w="897" w:type="dxa"/>
                  <w:vAlign w:val="center"/>
                </w:tcPr>
                <w:p w14:paraId="28BF4934">
                  <w:pPr>
                    <w:pStyle w:val="12"/>
                    <w:adjustRightInd w:val="0"/>
                    <w:spacing w:before="0" w:after="0" w:line="240" w:lineRule="auto"/>
                    <w:ind w:right="0"/>
                    <w:jc w:val="center"/>
                    <w:rPr>
                      <w:rFonts w:eastAsiaTheme="minorEastAsia"/>
                      <w:szCs w:val="18"/>
                    </w:rPr>
                  </w:pPr>
                  <w:r>
                    <w:rPr>
                      <w:szCs w:val="18"/>
                    </w:rPr>
                    <w:t>85</w:t>
                  </w:r>
                </w:p>
              </w:tc>
              <w:tc>
                <w:tcPr>
                  <w:tcW w:w="772" w:type="dxa"/>
                  <w:vAlign w:val="center"/>
                </w:tcPr>
                <w:p w14:paraId="4D681FC4">
                  <w:pPr>
                    <w:pStyle w:val="12"/>
                    <w:adjustRightInd w:val="0"/>
                    <w:spacing w:before="0" w:after="0" w:line="240" w:lineRule="auto"/>
                    <w:ind w:right="0"/>
                    <w:jc w:val="center"/>
                    <w:rPr>
                      <w:rFonts w:eastAsiaTheme="minorEastAsia"/>
                      <w:szCs w:val="18"/>
                    </w:rPr>
                  </w:pPr>
                  <w:r>
                    <w:rPr>
                      <w:rFonts w:eastAsiaTheme="minorEastAsia"/>
                      <w:szCs w:val="18"/>
                    </w:rPr>
                    <w:t>基础减震</w:t>
                  </w:r>
                  <w:r>
                    <w:rPr>
                      <w:rFonts w:hint="eastAsia" w:eastAsiaTheme="minorEastAsia"/>
                      <w:szCs w:val="18"/>
                    </w:rPr>
                    <w:t>、</w:t>
                  </w:r>
                  <w:r>
                    <w:rPr>
                      <w:rFonts w:eastAsiaTheme="minorEastAsia"/>
                      <w:szCs w:val="18"/>
                    </w:rPr>
                    <w:t>厂房隔声、进风口消</w:t>
                  </w:r>
                  <w:r>
                    <w:rPr>
                      <w:rFonts w:hint="eastAsia" w:eastAsiaTheme="minorEastAsia"/>
                      <w:szCs w:val="18"/>
                    </w:rPr>
                    <w:t>声</w:t>
                  </w:r>
                  <w:r>
                    <w:rPr>
                      <w:rFonts w:eastAsiaTheme="minorEastAsia"/>
                      <w:szCs w:val="18"/>
                    </w:rPr>
                    <w:t>器</w:t>
                  </w:r>
                </w:p>
              </w:tc>
              <w:tc>
                <w:tcPr>
                  <w:tcW w:w="646" w:type="dxa"/>
                  <w:vAlign w:val="center"/>
                </w:tcPr>
                <w:p w14:paraId="2E976DCF">
                  <w:pPr>
                    <w:pStyle w:val="12"/>
                    <w:adjustRightInd w:val="0"/>
                    <w:spacing w:before="0" w:after="0" w:line="240" w:lineRule="auto"/>
                    <w:ind w:right="0"/>
                    <w:jc w:val="center"/>
                    <w:rPr>
                      <w:rFonts w:eastAsiaTheme="minorEastAsia"/>
                      <w:szCs w:val="18"/>
                    </w:rPr>
                  </w:pPr>
                  <w:r>
                    <w:rPr>
                      <w:rFonts w:eastAsiaTheme="minorEastAsia"/>
                      <w:szCs w:val="18"/>
                    </w:rPr>
                    <w:t>108.97</w:t>
                  </w:r>
                </w:p>
              </w:tc>
              <w:tc>
                <w:tcPr>
                  <w:tcW w:w="687" w:type="dxa"/>
                  <w:vAlign w:val="center"/>
                </w:tcPr>
                <w:p w14:paraId="025C5C3E">
                  <w:pPr>
                    <w:pStyle w:val="12"/>
                    <w:adjustRightInd w:val="0"/>
                    <w:spacing w:before="0" w:after="0" w:line="240" w:lineRule="auto"/>
                    <w:ind w:right="0"/>
                    <w:jc w:val="center"/>
                    <w:rPr>
                      <w:rFonts w:eastAsiaTheme="minorEastAsia"/>
                      <w:szCs w:val="18"/>
                    </w:rPr>
                  </w:pPr>
                  <w:r>
                    <w:rPr>
                      <w:rFonts w:eastAsiaTheme="minorEastAsia"/>
                      <w:szCs w:val="18"/>
                    </w:rPr>
                    <w:t>226.08</w:t>
                  </w:r>
                </w:p>
              </w:tc>
              <w:tc>
                <w:tcPr>
                  <w:tcW w:w="592" w:type="dxa"/>
                  <w:vAlign w:val="center"/>
                </w:tcPr>
                <w:p w14:paraId="2C4B7949">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6678B94A">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40693F93">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5.0</w:t>
                  </w:r>
                </w:p>
              </w:tc>
              <w:tc>
                <w:tcPr>
                  <w:tcW w:w="498" w:type="dxa"/>
                  <w:vMerge w:val="continue"/>
                  <w:vAlign w:val="center"/>
                </w:tcPr>
                <w:p w14:paraId="20B8AF44">
                  <w:pPr>
                    <w:pStyle w:val="12"/>
                    <w:adjustRightInd w:val="0"/>
                    <w:spacing w:before="0" w:after="0" w:line="240" w:lineRule="auto"/>
                    <w:ind w:right="0"/>
                    <w:jc w:val="center"/>
                    <w:rPr>
                      <w:rFonts w:eastAsiaTheme="minorEastAsia"/>
                      <w:szCs w:val="18"/>
                    </w:rPr>
                  </w:pPr>
                </w:p>
              </w:tc>
              <w:tc>
                <w:tcPr>
                  <w:tcW w:w="561" w:type="dxa"/>
                  <w:vAlign w:val="center"/>
                </w:tcPr>
                <w:p w14:paraId="68287468">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7306962A">
                  <w:pPr>
                    <w:pStyle w:val="12"/>
                    <w:adjustRightInd w:val="0"/>
                    <w:spacing w:before="0" w:after="0" w:line="240" w:lineRule="auto"/>
                    <w:ind w:right="0"/>
                    <w:jc w:val="center"/>
                    <w:rPr>
                      <w:rFonts w:eastAsiaTheme="minorEastAsia"/>
                      <w:szCs w:val="18"/>
                    </w:rPr>
                  </w:pPr>
                  <w:r>
                    <w:rPr>
                      <w:szCs w:val="18"/>
                    </w:rPr>
                    <w:t>39</w:t>
                  </w:r>
                </w:p>
              </w:tc>
              <w:tc>
                <w:tcPr>
                  <w:tcW w:w="567" w:type="dxa"/>
                  <w:vAlign w:val="center"/>
                </w:tcPr>
                <w:p w14:paraId="5EBBC809">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6FE9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restart"/>
                  <w:vAlign w:val="center"/>
                </w:tcPr>
                <w:p w14:paraId="53E8BFC6">
                  <w:pPr>
                    <w:pStyle w:val="12"/>
                    <w:adjustRightInd w:val="0"/>
                    <w:spacing w:before="0" w:after="0" w:line="240" w:lineRule="auto"/>
                    <w:ind w:right="0"/>
                    <w:jc w:val="center"/>
                    <w:rPr>
                      <w:szCs w:val="18"/>
                    </w:rPr>
                  </w:pPr>
                  <w:r>
                    <w:rPr>
                      <w:rFonts w:hint="eastAsia"/>
                      <w:szCs w:val="18"/>
                    </w:rPr>
                    <w:t>三车间、四车间（本项目）</w:t>
                  </w:r>
                </w:p>
              </w:tc>
              <w:tc>
                <w:tcPr>
                  <w:tcW w:w="647" w:type="dxa"/>
                  <w:vAlign w:val="center"/>
                </w:tcPr>
                <w:p w14:paraId="2311FFB3">
                  <w:pPr>
                    <w:pStyle w:val="12"/>
                    <w:adjustRightInd w:val="0"/>
                    <w:spacing w:before="0" w:after="0" w:line="240" w:lineRule="auto"/>
                    <w:ind w:right="0"/>
                    <w:jc w:val="center"/>
                    <w:rPr>
                      <w:rFonts w:eastAsiaTheme="minorEastAsia"/>
                      <w:szCs w:val="18"/>
                    </w:rPr>
                  </w:pPr>
                  <w:r>
                    <w:rPr>
                      <w:rFonts w:hint="eastAsia"/>
                      <w:szCs w:val="18"/>
                    </w:rPr>
                    <w:t>高频直缝焊管机组3</w:t>
                  </w:r>
                  <w:r>
                    <w:rPr>
                      <w:szCs w:val="18"/>
                    </w:rPr>
                    <w:t>#</w:t>
                  </w:r>
                </w:p>
              </w:tc>
              <w:tc>
                <w:tcPr>
                  <w:tcW w:w="724" w:type="dxa"/>
                  <w:vAlign w:val="center"/>
                </w:tcPr>
                <w:p w14:paraId="048B37AB">
                  <w:pPr>
                    <w:pStyle w:val="12"/>
                    <w:adjustRightInd w:val="0"/>
                    <w:spacing w:before="0" w:after="0" w:line="240" w:lineRule="auto"/>
                    <w:ind w:right="0"/>
                    <w:jc w:val="center"/>
                    <w:rPr>
                      <w:szCs w:val="18"/>
                    </w:rPr>
                  </w:pPr>
                  <w:r>
                    <w:rPr>
                      <w:rFonts w:hint="eastAsia" w:eastAsiaTheme="minorEastAsia"/>
                      <w:szCs w:val="18"/>
                    </w:rPr>
                    <w:t>7</w:t>
                  </w:r>
                  <w:r>
                    <w:rPr>
                      <w:rFonts w:eastAsiaTheme="minorEastAsia"/>
                      <w:szCs w:val="18"/>
                    </w:rPr>
                    <w:t>6</w:t>
                  </w:r>
                  <w:r>
                    <w:rPr>
                      <w:rFonts w:hint="eastAsia" w:eastAsiaTheme="minorEastAsia"/>
                      <w:szCs w:val="18"/>
                    </w:rPr>
                    <w:t>型</w:t>
                  </w:r>
                </w:p>
              </w:tc>
              <w:tc>
                <w:tcPr>
                  <w:tcW w:w="897" w:type="dxa"/>
                  <w:vAlign w:val="center"/>
                </w:tcPr>
                <w:p w14:paraId="6BE35317">
                  <w:pPr>
                    <w:pStyle w:val="12"/>
                    <w:adjustRightInd w:val="0"/>
                    <w:spacing w:before="0" w:after="0" w:line="240" w:lineRule="auto"/>
                    <w:ind w:right="0"/>
                    <w:jc w:val="center"/>
                    <w:rPr>
                      <w:kern w:val="24"/>
                      <w:szCs w:val="18"/>
                    </w:rPr>
                  </w:pPr>
                  <w:r>
                    <w:rPr>
                      <w:szCs w:val="18"/>
                    </w:rPr>
                    <w:t>85</w:t>
                  </w:r>
                </w:p>
              </w:tc>
              <w:tc>
                <w:tcPr>
                  <w:tcW w:w="772" w:type="dxa"/>
                  <w:vAlign w:val="center"/>
                </w:tcPr>
                <w:p w14:paraId="0AF78D7F">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55FC0997">
                  <w:pPr>
                    <w:pStyle w:val="12"/>
                    <w:adjustRightInd w:val="0"/>
                    <w:spacing w:before="0" w:after="0" w:line="240" w:lineRule="auto"/>
                    <w:ind w:right="0"/>
                    <w:jc w:val="center"/>
                    <w:rPr>
                      <w:rFonts w:eastAsiaTheme="minorEastAsia"/>
                      <w:szCs w:val="18"/>
                    </w:rPr>
                  </w:pPr>
                  <w:r>
                    <w:rPr>
                      <w:rFonts w:eastAsiaTheme="minorEastAsia"/>
                      <w:szCs w:val="18"/>
                    </w:rPr>
                    <w:t>-9.1</w:t>
                  </w:r>
                </w:p>
              </w:tc>
              <w:tc>
                <w:tcPr>
                  <w:tcW w:w="687" w:type="dxa"/>
                  <w:vAlign w:val="center"/>
                </w:tcPr>
                <w:p w14:paraId="4108D87F">
                  <w:pPr>
                    <w:pStyle w:val="12"/>
                    <w:adjustRightInd w:val="0"/>
                    <w:spacing w:before="0" w:after="0" w:line="240" w:lineRule="auto"/>
                    <w:ind w:right="0"/>
                    <w:jc w:val="center"/>
                    <w:rPr>
                      <w:rFonts w:eastAsiaTheme="minorEastAsia"/>
                      <w:szCs w:val="18"/>
                    </w:rPr>
                  </w:pPr>
                  <w:r>
                    <w:rPr>
                      <w:rFonts w:eastAsiaTheme="minorEastAsia"/>
                      <w:szCs w:val="18"/>
                    </w:rPr>
                    <w:t>39.3</w:t>
                  </w:r>
                </w:p>
              </w:tc>
              <w:tc>
                <w:tcPr>
                  <w:tcW w:w="592" w:type="dxa"/>
                  <w:vAlign w:val="center"/>
                </w:tcPr>
                <w:p w14:paraId="0B665688">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70126370">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1</w:t>
                  </w:r>
                </w:p>
              </w:tc>
              <w:tc>
                <w:tcPr>
                  <w:tcW w:w="567" w:type="dxa"/>
                  <w:vAlign w:val="center"/>
                </w:tcPr>
                <w:p w14:paraId="0C7DBD32">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4.2</w:t>
                  </w:r>
                </w:p>
              </w:tc>
              <w:tc>
                <w:tcPr>
                  <w:tcW w:w="498" w:type="dxa"/>
                  <w:vMerge w:val="restart"/>
                  <w:vAlign w:val="center"/>
                </w:tcPr>
                <w:p w14:paraId="4ECFE43B">
                  <w:pPr>
                    <w:pStyle w:val="12"/>
                    <w:adjustRightInd w:val="0"/>
                    <w:spacing w:before="0" w:after="0" w:line="240" w:lineRule="auto"/>
                    <w:ind w:right="0"/>
                    <w:jc w:val="center"/>
                    <w:rPr>
                      <w:rFonts w:eastAsiaTheme="minorEastAsia"/>
                      <w:szCs w:val="18"/>
                    </w:rPr>
                  </w:pPr>
                  <w:r>
                    <w:rPr>
                      <w:rFonts w:hint="eastAsia" w:eastAsiaTheme="minorEastAsia"/>
                      <w:szCs w:val="18"/>
                    </w:rPr>
                    <w:t>0</w:t>
                  </w:r>
                  <w:r>
                    <w:rPr>
                      <w:rFonts w:eastAsiaTheme="minorEastAsia"/>
                      <w:szCs w:val="18"/>
                    </w:rPr>
                    <w:t>8:</w:t>
                  </w:r>
                  <w:r>
                    <w:rPr>
                      <w:rFonts w:hint="eastAsia" w:eastAsiaTheme="minorEastAsia"/>
                      <w:szCs w:val="18"/>
                    </w:rPr>
                    <w:t>0</w:t>
                  </w:r>
                  <w:r>
                    <w:rPr>
                      <w:rFonts w:eastAsiaTheme="minorEastAsia"/>
                      <w:szCs w:val="18"/>
                    </w:rPr>
                    <w:t>0~18:00,18:00~04:00</w:t>
                  </w:r>
                </w:p>
              </w:tc>
              <w:tc>
                <w:tcPr>
                  <w:tcW w:w="561" w:type="dxa"/>
                  <w:vAlign w:val="center"/>
                </w:tcPr>
                <w:p w14:paraId="187386B3">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23033DA5">
                  <w:pPr>
                    <w:pStyle w:val="12"/>
                    <w:adjustRightInd w:val="0"/>
                    <w:spacing w:before="0" w:after="0" w:line="240" w:lineRule="auto"/>
                    <w:ind w:right="0"/>
                    <w:jc w:val="center"/>
                    <w:rPr>
                      <w:rFonts w:eastAsiaTheme="minorEastAsia"/>
                      <w:szCs w:val="18"/>
                    </w:rPr>
                  </w:pPr>
                  <w:r>
                    <w:rPr>
                      <w:szCs w:val="18"/>
                    </w:rPr>
                    <w:t>38.2</w:t>
                  </w:r>
                </w:p>
              </w:tc>
              <w:tc>
                <w:tcPr>
                  <w:tcW w:w="567" w:type="dxa"/>
                  <w:vAlign w:val="center"/>
                </w:tcPr>
                <w:p w14:paraId="4E60BAC2">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4C3D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44DD6289">
                  <w:pPr>
                    <w:pStyle w:val="12"/>
                    <w:adjustRightInd w:val="0"/>
                    <w:spacing w:before="0" w:after="0" w:line="240" w:lineRule="auto"/>
                    <w:ind w:right="0"/>
                    <w:jc w:val="center"/>
                    <w:rPr>
                      <w:szCs w:val="18"/>
                    </w:rPr>
                  </w:pPr>
                </w:p>
              </w:tc>
              <w:tc>
                <w:tcPr>
                  <w:tcW w:w="647" w:type="dxa"/>
                  <w:vAlign w:val="center"/>
                </w:tcPr>
                <w:p w14:paraId="7C1A0A97">
                  <w:pPr>
                    <w:pStyle w:val="12"/>
                    <w:adjustRightInd w:val="0"/>
                    <w:spacing w:before="0" w:after="0" w:line="240" w:lineRule="auto"/>
                    <w:ind w:right="0"/>
                    <w:jc w:val="center"/>
                    <w:rPr>
                      <w:rFonts w:eastAsiaTheme="minorEastAsia"/>
                      <w:szCs w:val="18"/>
                    </w:rPr>
                  </w:pPr>
                  <w:r>
                    <w:rPr>
                      <w:rFonts w:hint="eastAsia"/>
                      <w:kern w:val="24"/>
                      <w:szCs w:val="18"/>
                    </w:rPr>
                    <w:t>纵剪机组</w:t>
                  </w:r>
                  <w:r>
                    <w:rPr>
                      <w:rFonts w:hint="eastAsia"/>
                      <w:szCs w:val="18"/>
                    </w:rPr>
                    <w:t>3</w:t>
                  </w:r>
                  <w:r>
                    <w:rPr>
                      <w:szCs w:val="18"/>
                    </w:rPr>
                    <w:t>#</w:t>
                  </w:r>
                </w:p>
              </w:tc>
              <w:tc>
                <w:tcPr>
                  <w:tcW w:w="724" w:type="dxa"/>
                  <w:vAlign w:val="center"/>
                </w:tcPr>
                <w:p w14:paraId="0E15477B">
                  <w:pPr>
                    <w:pStyle w:val="12"/>
                    <w:adjustRightInd w:val="0"/>
                    <w:spacing w:before="0" w:after="0" w:line="240" w:lineRule="auto"/>
                    <w:ind w:right="0"/>
                    <w:jc w:val="center"/>
                    <w:rPr>
                      <w:szCs w:val="18"/>
                    </w:rPr>
                  </w:pPr>
                  <w:r>
                    <w:rPr>
                      <w:rFonts w:hint="eastAsia"/>
                      <w:szCs w:val="18"/>
                    </w:rPr>
                    <w:t>/</w:t>
                  </w:r>
                </w:p>
              </w:tc>
              <w:tc>
                <w:tcPr>
                  <w:tcW w:w="897" w:type="dxa"/>
                  <w:vAlign w:val="center"/>
                </w:tcPr>
                <w:p w14:paraId="616400A4">
                  <w:pPr>
                    <w:pStyle w:val="12"/>
                    <w:adjustRightInd w:val="0"/>
                    <w:spacing w:before="0" w:after="0" w:line="240" w:lineRule="auto"/>
                    <w:ind w:right="0"/>
                    <w:jc w:val="center"/>
                    <w:rPr>
                      <w:kern w:val="24"/>
                      <w:szCs w:val="18"/>
                    </w:rPr>
                  </w:pPr>
                  <w:r>
                    <w:rPr>
                      <w:szCs w:val="18"/>
                    </w:rPr>
                    <w:t>90</w:t>
                  </w:r>
                </w:p>
              </w:tc>
              <w:tc>
                <w:tcPr>
                  <w:tcW w:w="772" w:type="dxa"/>
                  <w:vAlign w:val="center"/>
                </w:tcPr>
                <w:p w14:paraId="54796DF1">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517B92A3">
                  <w:pPr>
                    <w:pStyle w:val="12"/>
                    <w:adjustRightInd w:val="0"/>
                    <w:spacing w:before="0" w:after="0" w:line="240" w:lineRule="auto"/>
                    <w:ind w:right="0"/>
                    <w:jc w:val="center"/>
                    <w:rPr>
                      <w:rFonts w:eastAsiaTheme="minorEastAsia"/>
                      <w:szCs w:val="18"/>
                    </w:rPr>
                  </w:pPr>
                  <w:r>
                    <w:rPr>
                      <w:rFonts w:eastAsiaTheme="minorEastAsia"/>
                      <w:szCs w:val="18"/>
                    </w:rPr>
                    <w:t>7.38</w:t>
                  </w:r>
                </w:p>
              </w:tc>
              <w:tc>
                <w:tcPr>
                  <w:tcW w:w="687" w:type="dxa"/>
                  <w:vAlign w:val="center"/>
                </w:tcPr>
                <w:p w14:paraId="0CB55A20">
                  <w:pPr>
                    <w:pStyle w:val="12"/>
                    <w:adjustRightInd w:val="0"/>
                    <w:spacing w:before="0" w:after="0" w:line="240" w:lineRule="auto"/>
                    <w:ind w:right="0"/>
                    <w:jc w:val="center"/>
                    <w:rPr>
                      <w:rFonts w:eastAsiaTheme="minorEastAsia"/>
                      <w:szCs w:val="18"/>
                    </w:rPr>
                  </w:pPr>
                  <w:r>
                    <w:rPr>
                      <w:rFonts w:eastAsiaTheme="minorEastAsia"/>
                      <w:szCs w:val="18"/>
                    </w:rPr>
                    <w:t>41.59</w:t>
                  </w:r>
                </w:p>
              </w:tc>
              <w:tc>
                <w:tcPr>
                  <w:tcW w:w="592" w:type="dxa"/>
                  <w:vAlign w:val="center"/>
                </w:tcPr>
                <w:p w14:paraId="244F281D">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0BC293A4">
                  <w:pPr>
                    <w:pStyle w:val="12"/>
                    <w:adjustRightInd w:val="0"/>
                    <w:spacing w:before="0" w:after="0" w:line="240" w:lineRule="auto"/>
                    <w:ind w:right="0"/>
                    <w:jc w:val="center"/>
                    <w:rPr>
                      <w:rFonts w:eastAsiaTheme="minorEastAsia"/>
                      <w:szCs w:val="18"/>
                    </w:rPr>
                  </w:pPr>
                  <w:r>
                    <w:rPr>
                      <w:rFonts w:hint="eastAsia" w:eastAsiaTheme="minorEastAsia"/>
                      <w:szCs w:val="18"/>
                    </w:rPr>
                    <w:t>2</w:t>
                  </w:r>
                  <w:r>
                    <w:rPr>
                      <w:rFonts w:eastAsiaTheme="minorEastAsia"/>
                      <w:szCs w:val="18"/>
                    </w:rPr>
                    <w:t>0</w:t>
                  </w:r>
                </w:p>
              </w:tc>
              <w:tc>
                <w:tcPr>
                  <w:tcW w:w="567" w:type="dxa"/>
                  <w:vAlign w:val="center"/>
                </w:tcPr>
                <w:p w14:paraId="42A6A969">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4.0</w:t>
                  </w:r>
                </w:p>
              </w:tc>
              <w:tc>
                <w:tcPr>
                  <w:tcW w:w="498" w:type="dxa"/>
                  <w:vMerge w:val="continue"/>
                  <w:vAlign w:val="center"/>
                </w:tcPr>
                <w:p w14:paraId="0EBDE8C8">
                  <w:pPr>
                    <w:pStyle w:val="12"/>
                    <w:adjustRightInd w:val="0"/>
                    <w:spacing w:before="0" w:after="0" w:line="240" w:lineRule="auto"/>
                    <w:ind w:right="0"/>
                    <w:jc w:val="center"/>
                    <w:rPr>
                      <w:rFonts w:eastAsiaTheme="minorEastAsia"/>
                      <w:szCs w:val="18"/>
                    </w:rPr>
                  </w:pPr>
                </w:p>
              </w:tc>
              <w:tc>
                <w:tcPr>
                  <w:tcW w:w="561" w:type="dxa"/>
                  <w:vAlign w:val="center"/>
                </w:tcPr>
                <w:p w14:paraId="2697E6A6">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2C78254E">
                  <w:pPr>
                    <w:pStyle w:val="12"/>
                    <w:adjustRightInd w:val="0"/>
                    <w:spacing w:before="0" w:after="0" w:line="240" w:lineRule="auto"/>
                    <w:ind w:right="0"/>
                    <w:jc w:val="center"/>
                    <w:rPr>
                      <w:rFonts w:eastAsiaTheme="minorEastAsia"/>
                      <w:szCs w:val="18"/>
                    </w:rPr>
                  </w:pPr>
                  <w:r>
                    <w:rPr>
                      <w:szCs w:val="18"/>
                    </w:rPr>
                    <w:t>38</w:t>
                  </w:r>
                </w:p>
              </w:tc>
              <w:tc>
                <w:tcPr>
                  <w:tcW w:w="567" w:type="dxa"/>
                  <w:vAlign w:val="center"/>
                </w:tcPr>
                <w:p w14:paraId="183BE141">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5C9E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21DE0C52">
                  <w:pPr>
                    <w:pStyle w:val="12"/>
                    <w:adjustRightInd w:val="0"/>
                    <w:spacing w:before="0" w:after="0" w:line="240" w:lineRule="auto"/>
                    <w:ind w:right="0"/>
                    <w:jc w:val="center"/>
                    <w:rPr>
                      <w:szCs w:val="18"/>
                    </w:rPr>
                  </w:pPr>
                </w:p>
              </w:tc>
              <w:tc>
                <w:tcPr>
                  <w:tcW w:w="647" w:type="dxa"/>
                  <w:vAlign w:val="center"/>
                </w:tcPr>
                <w:p w14:paraId="5E8B6B79">
                  <w:pPr>
                    <w:pStyle w:val="12"/>
                    <w:adjustRightInd w:val="0"/>
                    <w:spacing w:before="0" w:after="0" w:line="240" w:lineRule="auto"/>
                    <w:ind w:right="0"/>
                    <w:jc w:val="center"/>
                    <w:rPr>
                      <w:rFonts w:eastAsiaTheme="minorEastAsia"/>
                      <w:szCs w:val="18"/>
                    </w:rPr>
                  </w:pPr>
                  <w:r>
                    <w:rPr>
                      <w:szCs w:val="18"/>
                    </w:rPr>
                    <w:t>校直机</w:t>
                  </w:r>
                  <w:r>
                    <w:rPr>
                      <w:rFonts w:hint="eastAsia"/>
                      <w:szCs w:val="18"/>
                    </w:rPr>
                    <w:t>3</w:t>
                  </w:r>
                  <w:r>
                    <w:rPr>
                      <w:szCs w:val="18"/>
                    </w:rPr>
                    <w:t>#</w:t>
                  </w:r>
                </w:p>
              </w:tc>
              <w:tc>
                <w:tcPr>
                  <w:tcW w:w="724" w:type="dxa"/>
                  <w:vAlign w:val="center"/>
                </w:tcPr>
                <w:p w14:paraId="25A6D7F3">
                  <w:pPr>
                    <w:pStyle w:val="12"/>
                    <w:adjustRightInd w:val="0"/>
                    <w:spacing w:before="0" w:after="0" w:line="240" w:lineRule="auto"/>
                    <w:ind w:right="0"/>
                    <w:jc w:val="center"/>
                    <w:rPr>
                      <w:szCs w:val="18"/>
                    </w:rPr>
                  </w:pPr>
                  <w:r>
                    <w:rPr>
                      <w:rFonts w:hint="eastAsia"/>
                      <w:szCs w:val="18"/>
                    </w:rPr>
                    <w:t>/</w:t>
                  </w:r>
                </w:p>
              </w:tc>
              <w:tc>
                <w:tcPr>
                  <w:tcW w:w="897" w:type="dxa"/>
                  <w:vAlign w:val="center"/>
                </w:tcPr>
                <w:p w14:paraId="0CB75AB3">
                  <w:pPr>
                    <w:pStyle w:val="12"/>
                    <w:adjustRightInd w:val="0"/>
                    <w:spacing w:before="0" w:after="0" w:line="240" w:lineRule="auto"/>
                    <w:ind w:right="0"/>
                    <w:jc w:val="center"/>
                    <w:rPr>
                      <w:kern w:val="24"/>
                      <w:szCs w:val="18"/>
                    </w:rPr>
                  </w:pPr>
                  <w:r>
                    <w:rPr>
                      <w:szCs w:val="18"/>
                    </w:rPr>
                    <w:t>85</w:t>
                  </w:r>
                </w:p>
              </w:tc>
              <w:tc>
                <w:tcPr>
                  <w:tcW w:w="772" w:type="dxa"/>
                  <w:vAlign w:val="center"/>
                </w:tcPr>
                <w:p w14:paraId="711F3B33">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562EF9E1">
                  <w:pPr>
                    <w:pStyle w:val="12"/>
                    <w:adjustRightInd w:val="0"/>
                    <w:spacing w:before="0" w:after="0" w:line="240" w:lineRule="auto"/>
                    <w:ind w:right="0"/>
                    <w:jc w:val="center"/>
                    <w:rPr>
                      <w:rFonts w:eastAsiaTheme="minorEastAsia"/>
                      <w:szCs w:val="18"/>
                    </w:rPr>
                  </w:pPr>
                  <w:r>
                    <w:rPr>
                      <w:rFonts w:eastAsiaTheme="minorEastAsia"/>
                      <w:szCs w:val="18"/>
                    </w:rPr>
                    <w:t>17.82</w:t>
                  </w:r>
                </w:p>
              </w:tc>
              <w:tc>
                <w:tcPr>
                  <w:tcW w:w="687" w:type="dxa"/>
                  <w:vAlign w:val="center"/>
                </w:tcPr>
                <w:p w14:paraId="63350B5F">
                  <w:pPr>
                    <w:pStyle w:val="12"/>
                    <w:adjustRightInd w:val="0"/>
                    <w:spacing w:before="0" w:after="0" w:line="240" w:lineRule="auto"/>
                    <w:ind w:right="0"/>
                    <w:jc w:val="center"/>
                    <w:rPr>
                      <w:rFonts w:eastAsiaTheme="minorEastAsia"/>
                      <w:szCs w:val="18"/>
                    </w:rPr>
                  </w:pPr>
                  <w:r>
                    <w:rPr>
                      <w:rFonts w:eastAsiaTheme="minorEastAsia"/>
                      <w:szCs w:val="18"/>
                    </w:rPr>
                    <w:t>45.1</w:t>
                  </w:r>
                </w:p>
              </w:tc>
              <w:tc>
                <w:tcPr>
                  <w:tcW w:w="592" w:type="dxa"/>
                  <w:vAlign w:val="center"/>
                </w:tcPr>
                <w:p w14:paraId="0502252A">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3E587414">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6</w:t>
                  </w:r>
                </w:p>
              </w:tc>
              <w:tc>
                <w:tcPr>
                  <w:tcW w:w="567" w:type="dxa"/>
                  <w:vAlign w:val="center"/>
                </w:tcPr>
                <w:p w14:paraId="626A0977">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0.9</w:t>
                  </w:r>
                </w:p>
              </w:tc>
              <w:tc>
                <w:tcPr>
                  <w:tcW w:w="498" w:type="dxa"/>
                  <w:vMerge w:val="continue"/>
                  <w:vAlign w:val="center"/>
                </w:tcPr>
                <w:p w14:paraId="18FA1125">
                  <w:pPr>
                    <w:pStyle w:val="12"/>
                    <w:adjustRightInd w:val="0"/>
                    <w:spacing w:before="0" w:after="0" w:line="240" w:lineRule="auto"/>
                    <w:ind w:right="0"/>
                    <w:jc w:val="center"/>
                    <w:rPr>
                      <w:rFonts w:eastAsiaTheme="minorEastAsia"/>
                      <w:szCs w:val="18"/>
                    </w:rPr>
                  </w:pPr>
                </w:p>
              </w:tc>
              <w:tc>
                <w:tcPr>
                  <w:tcW w:w="561" w:type="dxa"/>
                  <w:vAlign w:val="center"/>
                </w:tcPr>
                <w:p w14:paraId="4C707608">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116CF696">
                  <w:pPr>
                    <w:pStyle w:val="12"/>
                    <w:adjustRightInd w:val="0"/>
                    <w:spacing w:before="0" w:after="0" w:line="240" w:lineRule="auto"/>
                    <w:ind w:right="0"/>
                    <w:jc w:val="center"/>
                    <w:rPr>
                      <w:rFonts w:eastAsiaTheme="minorEastAsia"/>
                      <w:szCs w:val="18"/>
                    </w:rPr>
                  </w:pPr>
                  <w:r>
                    <w:rPr>
                      <w:szCs w:val="18"/>
                    </w:rPr>
                    <w:t>34.9</w:t>
                  </w:r>
                </w:p>
              </w:tc>
              <w:tc>
                <w:tcPr>
                  <w:tcW w:w="567" w:type="dxa"/>
                  <w:vAlign w:val="center"/>
                </w:tcPr>
                <w:p w14:paraId="1C3C9EA1">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415A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7A6CE62E">
                  <w:pPr>
                    <w:pStyle w:val="12"/>
                    <w:adjustRightInd w:val="0"/>
                    <w:spacing w:before="0" w:after="0" w:line="240" w:lineRule="auto"/>
                    <w:ind w:right="0"/>
                    <w:jc w:val="center"/>
                    <w:rPr>
                      <w:szCs w:val="18"/>
                    </w:rPr>
                  </w:pPr>
                </w:p>
              </w:tc>
              <w:tc>
                <w:tcPr>
                  <w:tcW w:w="647" w:type="dxa"/>
                  <w:vAlign w:val="center"/>
                </w:tcPr>
                <w:p w14:paraId="3EC7631B">
                  <w:pPr>
                    <w:pStyle w:val="12"/>
                    <w:adjustRightInd w:val="0"/>
                    <w:spacing w:before="0" w:after="0" w:line="240" w:lineRule="auto"/>
                    <w:ind w:right="0"/>
                    <w:jc w:val="center"/>
                    <w:rPr>
                      <w:rFonts w:eastAsiaTheme="minorEastAsia"/>
                      <w:szCs w:val="18"/>
                    </w:rPr>
                  </w:pPr>
                  <w:r>
                    <w:rPr>
                      <w:szCs w:val="18"/>
                    </w:rPr>
                    <w:t>电动飞锯</w:t>
                  </w:r>
                  <w:r>
                    <w:rPr>
                      <w:rFonts w:hint="eastAsia"/>
                      <w:szCs w:val="18"/>
                    </w:rPr>
                    <w:t>3</w:t>
                  </w:r>
                  <w:r>
                    <w:rPr>
                      <w:szCs w:val="18"/>
                    </w:rPr>
                    <w:t>#</w:t>
                  </w:r>
                </w:p>
              </w:tc>
              <w:tc>
                <w:tcPr>
                  <w:tcW w:w="724" w:type="dxa"/>
                  <w:vAlign w:val="center"/>
                </w:tcPr>
                <w:p w14:paraId="0231C7F9">
                  <w:pPr>
                    <w:pStyle w:val="12"/>
                    <w:adjustRightInd w:val="0"/>
                    <w:spacing w:before="0" w:after="0" w:line="240" w:lineRule="auto"/>
                    <w:ind w:right="0"/>
                    <w:jc w:val="center"/>
                    <w:rPr>
                      <w:szCs w:val="18"/>
                    </w:rPr>
                  </w:pPr>
                  <w:r>
                    <w:rPr>
                      <w:rFonts w:hint="eastAsia"/>
                      <w:szCs w:val="18"/>
                    </w:rPr>
                    <w:t>/</w:t>
                  </w:r>
                </w:p>
              </w:tc>
              <w:tc>
                <w:tcPr>
                  <w:tcW w:w="897" w:type="dxa"/>
                  <w:vAlign w:val="center"/>
                </w:tcPr>
                <w:p w14:paraId="4AD141AC">
                  <w:pPr>
                    <w:pStyle w:val="12"/>
                    <w:adjustRightInd w:val="0"/>
                    <w:spacing w:before="0" w:after="0" w:line="240" w:lineRule="auto"/>
                    <w:ind w:right="0"/>
                    <w:jc w:val="center"/>
                    <w:rPr>
                      <w:kern w:val="24"/>
                      <w:szCs w:val="18"/>
                    </w:rPr>
                  </w:pPr>
                  <w:r>
                    <w:rPr>
                      <w:szCs w:val="18"/>
                    </w:rPr>
                    <w:t>85</w:t>
                  </w:r>
                </w:p>
              </w:tc>
              <w:tc>
                <w:tcPr>
                  <w:tcW w:w="772" w:type="dxa"/>
                  <w:vAlign w:val="center"/>
                </w:tcPr>
                <w:p w14:paraId="58D12F63">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6C13D9E1">
                  <w:pPr>
                    <w:pStyle w:val="12"/>
                    <w:adjustRightInd w:val="0"/>
                    <w:spacing w:before="0" w:after="0" w:line="240" w:lineRule="auto"/>
                    <w:ind w:right="0"/>
                    <w:jc w:val="center"/>
                    <w:rPr>
                      <w:rFonts w:eastAsiaTheme="minorEastAsia"/>
                      <w:szCs w:val="18"/>
                    </w:rPr>
                  </w:pPr>
                  <w:r>
                    <w:rPr>
                      <w:rFonts w:eastAsiaTheme="minorEastAsia"/>
                      <w:szCs w:val="18"/>
                    </w:rPr>
                    <w:t>25.34</w:t>
                  </w:r>
                </w:p>
              </w:tc>
              <w:tc>
                <w:tcPr>
                  <w:tcW w:w="687" w:type="dxa"/>
                  <w:vAlign w:val="center"/>
                </w:tcPr>
                <w:p w14:paraId="509A82AD">
                  <w:pPr>
                    <w:pStyle w:val="12"/>
                    <w:adjustRightInd w:val="0"/>
                    <w:spacing w:before="0" w:after="0" w:line="240" w:lineRule="auto"/>
                    <w:ind w:right="0"/>
                    <w:jc w:val="center"/>
                    <w:rPr>
                      <w:rFonts w:eastAsiaTheme="minorEastAsia"/>
                      <w:szCs w:val="18"/>
                    </w:rPr>
                  </w:pPr>
                  <w:r>
                    <w:rPr>
                      <w:rFonts w:eastAsiaTheme="minorEastAsia"/>
                      <w:szCs w:val="18"/>
                    </w:rPr>
                    <w:t>50.04</w:t>
                  </w:r>
                </w:p>
              </w:tc>
              <w:tc>
                <w:tcPr>
                  <w:tcW w:w="592" w:type="dxa"/>
                  <w:vAlign w:val="center"/>
                </w:tcPr>
                <w:p w14:paraId="5293FD17">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126137D2">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5</w:t>
                  </w:r>
                </w:p>
              </w:tc>
              <w:tc>
                <w:tcPr>
                  <w:tcW w:w="567" w:type="dxa"/>
                  <w:vAlign w:val="center"/>
                </w:tcPr>
                <w:p w14:paraId="36A72C4F">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1.5</w:t>
                  </w:r>
                </w:p>
              </w:tc>
              <w:tc>
                <w:tcPr>
                  <w:tcW w:w="498" w:type="dxa"/>
                  <w:vMerge w:val="continue"/>
                  <w:vAlign w:val="center"/>
                </w:tcPr>
                <w:p w14:paraId="465BB54E">
                  <w:pPr>
                    <w:pStyle w:val="12"/>
                    <w:adjustRightInd w:val="0"/>
                    <w:spacing w:before="0" w:after="0" w:line="240" w:lineRule="auto"/>
                    <w:ind w:right="0"/>
                    <w:jc w:val="center"/>
                    <w:rPr>
                      <w:rFonts w:eastAsiaTheme="minorEastAsia"/>
                      <w:szCs w:val="18"/>
                    </w:rPr>
                  </w:pPr>
                </w:p>
              </w:tc>
              <w:tc>
                <w:tcPr>
                  <w:tcW w:w="561" w:type="dxa"/>
                  <w:vAlign w:val="center"/>
                </w:tcPr>
                <w:p w14:paraId="47474CAC">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15554C70">
                  <w:pPr>
                    <w:pStyle w:val="12"/>
                    <w:adjustRightInd w:val="0"/>
                    <w:spacing w:before="0" w:after="0" w:line="240" w:lineRule="auto"/>
                    <w:ind w:right="0"/>
                    <w:jc w:val="center"/>
                    <w:rPr>
                      <w:rFonts w:eastAsiaTheme="minorEastAsia"/>
                      <w:szCs w:val="18"/>
                    </w:rPr>
                  </w:pPr>
                  <w:r>
                    <w:rPr>
                      <w:szCs w:val="18"/>
                    </w:rPr>
                    <w:t>35.5</w:t>
                  </w:r>
                </w:p>
              </w:tc>
              <w:tc>
                <w:tcPr>
                  <w:tcW w:w="567" w:type="dxa"/>
                  <w:vAlign w:val="center"/>
                </w:tcPr>
                <w:p w14:paraId="04621206">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6028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74C00421">
                  <w:pPr>
                    <w:pStyle w:val="12"/>
                    <w:adjustRightInd w:val="0"/>
                    <w:spacing w:before="0" w:after="0" w:line="240" w:lineRule="auto"/>
                    <w:ind w:right="0"/>
                    <w:jc w:val="center"/>
                    <w:rPr>
                      <w:szCs w:val="18"/>
                    </w:rPr>
                  </w:pPr>
                </w:p>
              </w:tc>
              <w:tc>
                <w:tcPr>
                  <w:tcW w:w="647" w:type="dxa"/>
                  <w:vAlign w:val="center"/>
                </w:tcPr>
                <w:p w14:paraId="056B6838">
                  <w:pPr>
                    <w:pStyle w:val="12"/>
                    <w:adjustRightInd w:val="0"/>
                    <w:spacing w:before="0" w:after="0" w:line="240" w:lineRule="auto"/>
                    <w:ind w:right="0"/>
                    <w:jc w:val="center"/>
                    <w:rPr>
                      <w:rFonts w:eastAsiaTheme="minorEastAsia"/>
                      <w:szCs w:val="18"/>
                    </w:rPr>
                  </w:pPr>
                  <w:r>
                    <w:rPr>
                      <w:rFonts w:hint="eastAsia"/>
                      <w:szCs w:val="18"/>
                      <w:lang w:bidi="ar"/>
                    </w:rPr>
                    <w:t>除尘器风机</w:t>
                  </w:r>
                  <w:r>
                    <w:rPr>
                      <w:rFonts w:hint="eastAsia"/>
                      <w:szCs w:val="18"/>
                    </w:rPr>
                    <w:t>3</w:t>
                  </w:r>
                  <w:r>
                    <w:rPr>
                      <w:szCs w:val="18"/>
                    </w:rPr>
                    <w:t>#</w:t>
                  </w:r>
                </w:p>
              </w:tc>
              <w:tc>
                <w:tcPr>
                  <w:tcW w:w="724" w:type="dxa"/>
                  <w:vAlign w:val="center"/>
                </w:tcPr>
                <w:p w14:paraId="0489D422">
                  <w:pPr>
                    <w:pStyle w:val="12"/>
                    <w:adjustRightInd w:val="0"/>
                    <w:spacing w:before="0" w:after="0" w:line="240" w:lineRule="auto"/>
                    <w:ind w:right="0"/>
                    <w:jc w:val="center"/>
                    <w:rPr>
                      <w:szCs w:val="18"/>
                    </w:rPr>
                  </w:pPr>
                  <w:r>
                    <w:rPr>
                      <w:rFonts w:hint="eastAsia"/>
                      <w:szCs w:val="18"/>
                    </w:rPr>
                    <w:t>/</w:t>
                  </w:r>
                </w:p>
              </w:tc>
              <w:tc>
                <w:tcPr>
                  <w:tcW w:w="897" w:type="dxa"/>
                  <w:vAlign w:val="center"/>
                </w:tcPr>
                <w:p w14:paraId="369BE123">
                  <w:pPr>
                    <w:pStyle w:val="12"/>
                    <w:adjustRightInd w:val="0"/>
                    <w:spacing w:before="0" w:after="0" w:line="240" w:lineRule="auto"/>
                    <w:ind w:right="0"/>
                    <w:jc w:val="center"/>
                    <w:rPr>
                      <w:kern w:val="24"/>
                      <w:szCs w:val="18"/>
                    </w:rPr>
                  </w:pPr>
                  <w:r>
                    <w:rPr>
                      <w:szCs w:val="18"/>
                    </w:rPr>
                    <w:t>85</w:t>
                  </w:r>
                </w:p>
              </w:tc>
              <w:tc>
                <w:tcPr>
                  <w:tcW w:w="772" w:type="dxa"/>
                  <w:vAlign w:val="center"/>
                </w:tcPr>
                <w:p w14:paraId="1518CBD1">
                  <w:pPr>
                    <w:pStyle w:val="12"/>
                    <w:adjustRightInd w:val="0"/>
                    <w:spacing w:before="0" w:after="0" w:line="240" w:lineRule="auto"/>
                    <w:ind w:right="0"/>
                    <w:jc w:val="center"/>
                    <w:rPr>
                      <w:rFonts w:eastAsiaTheme="minorEastAsia"/>
                      <w:szCs w:val="18"/>
                    </w:rPr>
                  </w:pPr>
                  <w:r>
                    <w:rPr>
                      <w:rFonts w:eastAsiaTheme="minorEastAsia"/>
                      <w:szCs w:val="18"/>
                    </w:rPr>
                    <w:t>基础减震</w:t>
                  </w:r>
                  <w:r>
                    <w:rPr>
                      <w:rFonts w:hint="eastAsia" w:eastAsiaTheme="minorEastAsia"/>
                      <w:szCs w:val="18"/>
                    </w:rPr>
                    <w:t>、</w:t>
                  </w:r>
                  <w:r>
                    <w:rPr>
                      <w:rFonts w:eastAsiaTheme="minorEastAsia"/>
                      <w:szCs w:val="18"/>
                    </w:rPr>
                    <w:t>厂房隔声、进风口消</w:t>
                  </w:r>
                  <w:r>
                    <w:rPr>
                      <w:rFonts w:hint="eastAsia" w:eastAsiaTheme="minorEastAsia"/>
                      <w:szCs w:val="18"/>
                    </w:rPr>
                    <w:t>声</w:t>
                  </w:r>
                  <w:r>
                    <w:rPr>
                      <w:rFonts w:eastAsiaTheme="minorEastAsia"/>
                      <w:szCs w:val="18"/>
                    </w:rPr>
                    <w:t>器</w:t>
                  </w:r>
                </w:p>
              </w:tc>
              <w:tc>
                <w:tcPr>
                  <w:tcW w:w="646" w:type="dxa"/>
                  <w:vAlign w:val="center"/>
                </w:tcPr>
                <w:p w14:paraId="734FCB11">
                  <w:pPr>
                    <w:pStyle w:val="12"/>
                    <w:adjustRightInd w:val="0"/>
                    <w:spacing w:before="0" w:after="0" w:line="240" w:lineRule="auto"/>
                    <w:ind w:right="0"/>
                    <w:jc w:val="center"/>
                    <w:rPr>
                      <w:rFonts w:eastAsiaTheme="minorEastAsia"/>
                      <w:szCs w:val="18"/>
                    </w:rPr>
                  </w:pPr>
                  <w:r>
                    <w:rPr>
                      <w:rFonts w:eastAsiaTheme="minorEastAsia"/>
                      <w:szCs w:val="18"/>
                    </w:rPr>
                    <w:t>-5.59</w:t>
                  </w:r>
                </w:p>
              </w:tc>
              <w:tc>
                <w:tcPr>
                  <w:tcW w:w="687" w:type="dxa"/>
                  <w:vAlign w:val="center"/>
                </w:tcPr>
                <w:p w14:paraId="572E4994">
                  <w:pPr>
                    <w:pStyle w:val="12"/>
                    <w:adjustRightInd w:val="0"/>
                    <w:spacing w:before="0" w:after="0" w:line="240" w:lineRule="auto"/>
                    <w:ind w:right="0"/>
                    <w:jc w:val="center"/>
                    <w:rPr>
                      <w:rFonts w:eastAsiaTheme="minorEastAsia"/>
                      <w:szCs w:val="18"/>
                    </w:rPr>
                  </w:pPr>
                  <w:r>
                    <w:rPr>
                      <w:rFonts w:eastAsiaTheme="minorEastAsia"/>
                      <w:szCs w:val="18"/>
                    </w:rPr>
                    <w:t>34.79</w:t>
                  </w:r>
                </w:p>
              </w:tc>
              <w:tc>
                <w:tcPr>
                  <w:tcW w:w="592" w:type="dxa"/>
                  <w:vAlign w:val="center"/>
                </w:tcPr>
                <w:p w14:paraId="25C99D17">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429C4B87">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010A6186">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5.0</w:t>
                  </w:r>
                </w:p>
              </w:tc>
              <w:tc>
                <w:tcPr>
                  <w:tcW w:w="498" w:type="dxa"/>
                  <w:vMerge w:val="continue"/>
                  <w:vAlign w:val="center"/>
                </w:tcPr>
                <w:p w14:paraId="064BFF3D">
                  <w:pPr>
                    <w:pStyle w:val="12"/>
                    <w:adjustRightInd w:val="0"/>
                    <w:spacing w:before="0" w:after="0" w:line="240" w:lineRule="auto"/>
                    <w:ind w:right="0"/>
                    <w:jc w:val="center"/>
                    <w:rPr>
                      <w:rFonts w:eastAsiaTheme="minorEastAsia"/>
                      <w:szCs w:val="18"/>
                    </w:rPr>
                  </w:pPr>
                </w:p>
              </w:tc>
              <w:tc>
                <w:tcPr>
                  <w:tcW w:w="561" w:type="dxa"/>
                  <w:vAlign w:val="center"/>
                </w:tcPr>
                <w:p w14:paraId="2C8B8B6C">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00707F6B">
                  <w:pPr>
                    <w:pStyle w:val="12"/>
                    <w:adjustRightInd w:val="0"/>
                    <w:spacing w:before="0" w:after="0" w:line="240" w:lineRule="auto"/>
                    <w:ind w:right="0"/>
                    <w:jc w:val="center"/>
                    <w:rPr>
                      <w:rFonts w:eastAsiaTheme="minorEastAsia"/>
                      <w:szCs w:val="18"/>
                    </w:rPr>
                  </w:pPr>
                  <w:r>
                    <w:rPr>
                      <w:szCs w:val="18"/>
                    </w:rPr>
                    <w:t>39</w:t>
                  </w:r>
                </w:p>
              </w:tc>
              <w:tc>
                <w:tcPr>
                  <w:tcW w:w="567" w:type="dxa"/>
                  <w:vAlign w:val="center"/>
                </w:tcPr>
                <w:p w14:paraId="76D4E381">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5C9E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restart"/>
                  <w:vAlign w:val="center"/>
                </w:tcPr>
                <w:p w14:paraId="32BA6517">
                  <w:pPr>
                    <w:pStyle w:val="12"/>
                    <w:adjustRightInd w:val="0"/>
                    <w:spacing w:before="0" w:after="0" w:line="240" w:lineRule="auto"/>
                    <w:ind w:right="0"/>
                    <w:jc w:val="center"/>
                    <w:rPr>
                      <w:szCs w:val="18"/>
                    </w:rPr>
                  </w:pPr>
                  <w:r>
                    <w:rPr>
                      <w:rFonts w:hint="eastAsia"/>
                      <w:szCs w:val="18"/>
                    </w:rPr>
                    <w:t>七车间（本项目）</w:t>
                  </w:r>
                </w:p>
              </w:tc>
              <w:tc>
                <w:tcPr>
                  <w:tcW w:w="647" w:type="dxa"/>
                  <w:vAlign w:val="center"/>
                </w:tcPr>
                <w:p w14:paraId="33C4F3FB">
                  <w:pPr>
                    <w:pStyle w:val="12"/>
                    <w:adjustRightInd w:val="0"/>
                    <w:spacing w:before="0" w:after="0" w:line="240" w:lineRule="auto"/>
                    <w:ind w:right="0"/>
                    <w:jc w:val="center"/>
                    <w:rPr>
                      <w:rFonts w:eastAsiaTheme="minorEastAsia"/>
                      <w:szCs w:val="18"/>
                    </w:rPr>
                  </w:pPr>
                  <w:r>
                    <w:rPr>
                      <w:rFonts w:hint="eastAsia"/>
                      <w:szCs w:val="18"/>
                    </w:rPr>
                    <w:t>高频直缝焊管机组4</w:t>
                  </w:r>
                  <w:r>
                    <w:rPr>
                      <w:szCs w:val="18"/>
                    </w:rPr>
                    <w:t>#</w:t>
                  </w:r>
                </w:p>
              </w:tc>
              <w:tc>
                <w:tcPr>
                  <w:tcW w:w="724" w:type="dxa"/>
                  <w:vAlign w:val="center"/>
                </w:tcPr>
                <w:p w14:paraId="25D0A8BF">
                  <w:pPr>
                    <w:pStyle w:val="12"/>
                    <w:adjustRightInd w:val="0"/>
                    <w:spacing w:before="0" w:after="0" w:line="240" w:lineRule="auto"/>
                    <w:ind w:right="0"/>
                    <w:jc w:val="center"/>
                    <w:rPr>
                      <w:szCs w:val="18"/>
                    </w:rPr>
                  </w:pPr>
                  <w:r>
                    <w:rPr>
                      <w:szCs w:val="18"/>
                    </w:rPr>
                    <w:t>165</w:t>
                  </w:r>
                  <w:r>
                    <w:rPr>
                      <w:rFonts w:hint="eastAsia"/>
                      <w:szCs w:val="18"/>
                    </w:rPr>
                    <w:t>型</w:t>
                  </w:r>
                </w:p>
              </w:tc>
              <w:tc>
                <w:tcPr>
                  <w:tcW w:w="897" w:type="dxa"/>
                  <w:vAlign w:val="center"/>
                </w:tcPr>
                <w:p w14:paraId="50E66294">
                  <w:pPr>
                    <w:pStyle w:val="12"/>
                    <w:adjustRightInd w:val="0"/>
                    <w:spacing w:before="0" w:after="0" w:line="240" w:lineRule="auto"/>
                    <w:ind w:right="0"/>
                    <w:jc w:val="center"/>
                    <w:rPr>
                      <w:kern w:val="24"/>
                      <w:szCs w:val="18"/>
                    </w:rPr>
                  </w:pPr>
                  <w:r>
                    <w:rPr>
                      <w:szCs w:val="18"/>
                    </w:rPr>
                    <w:t>85</w:t>
                  </w:r>
                </w:p>
              </w:tc>
              <w:tc>
                <w:tcPr>
                  <w:tcW w:w="772" w:type="dxa"/>
                  <w:vAlign w:val="center"/>
                </w:tcPr>
                <w:p w14:paraId="3160B4A3">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65FEA821">
                  <w:pPr>
                    <w:pStyle w:val="12"/>
                    <w:adjustRightInd w:val="0"/>
                    <w:spacing w:before="0" w:after="0" w:line="240" w:lineRule="auto"/>
                    <w:ind w:right="0"/>
                    <w:jc w:val="center"/>
                    <w:rPr>
                      <w:rFonts w:eastAsiaTheme="minorEastAsia"/>
                      <w:szCs w:val="18"/>
                    </w:rPr>
                  </w:pPr>
                  <w:r>
                    <w:rPr>
                      <w:rFonts w:eastAsiaTheme="minorEastAsia"/>
                      <w:szCs w:val="18"/>
                    </w:rPr>
                    <w:t>48.05</w:t>
                  </w:r>
                </w:p>
              </w:tc>
              <w:tc>
                <w:tcPr>
                  <w:tcW w:w="687" w:type="dxa"/>
                  <w:vAlign w:val="center"/>
                </w:tcPr>
                <w:p w14:paraId="7584EECC">
                  <w:pPr>
                    <w:pStyle w:val="12"/>
                    <w:adjustRightInd w:val="0"/>
                    <w:spacing w:before="0" w:after="0" w:line="240" w:lineRule="auto"/>
                    <w:ind w:right="0"/>
                    <w:jc w:val="center"/>
                    <w:rPr>
                      <w:rFonts w:eastAsiaTheme="minorEastAsia"/>
                      <w:szCs w:val="18"/>
                    </w:rPr>
                  </w:pPr>
                  <w:r>
                    <w:rPr>
                      <w:rFonts w:eastAsiaTheme="minorEastAsia"/>
                      <w:szCs w:val="18"/>
                    </w:rPr>
                    <w:t>77.17</w:t>
                  </w:r>
                </w:p>
              </w:tc>
              <w:tc>
                <w:tcPr>
                  <w:tcW w:w="592" w:type="dxa"/>
                  <w:vAlign w:val="center"/>
                </w:tcPr>
                <w:p w14:paraId="07CA0F22">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6DB34B1D">
                  <w:pPr>
                    <w:pStyle w:val="12"/>
                    <w:adjustRightInd w:val="0"/>
                    <w:spacing w:before="0" w:after="0" w:line="240" w:lineRule="auto"/>
                    <w:ind w:right="0"/>
                    <w:jc w:val="center"/>
                    <w:rPr>
                      <w:rFonts w:eastAsiaTheme="minorEastAsia"/>
                      <w:szCs w:val="18"/>
                    </w:rPr>
                  </w:pPr>
                  <w:r>
                    <w:rPr>
                      <w:rFonts w:hint="eastAsia" w:eastAsiaTheme="minorEastAsia"/>
                      <w:szCs w:val="18"/>
                    </w:rPr>
                    <w:t>5</w:t>
                  </w:r>
                </w:p>
              </w:tc>
              <w:tc>
                <w:tcPr>
                  <w:tcW w:w="567" w:type="dxa"/>
                  <w:vAlign w:val="center"/>
                </w:tcPr>
                <w:p w14:paraId="1255877B">
                  <w:pPr>
                    <w:pStyle w:val="12"/>
                    <w:adjustRightInd w:val="0"/>
                    <w:spacing w:before="0" w:after="0" w:line="240" w:lineRule="auto"/>
                    <w:ind w:right="0"/>
                    <w:jc w:val="center"/>
                    <w:rPr>
                      <w:rFonts w:eastAsiaTheme="minorEastAsia"/>
                      <w:szCs w:val="18"/>
                    </w:rPr>
                  </w:pPr>
                  <w:r>
                    <w:rPr>
                      <w:rFonts w:hint="eastAsia" w:eastAsiaTheme="minorEastAsia"/>
                      <w:szCs w:val="18"/>
                    </w:rPr>
                    <w:t>7</w:t>
                  </w:r>
                  <w:r>
                    <w:rPr>
                      <w:rFonts w:eastAsiaTheme="minorEastAsia"/>
                      <w:szCs w:val="18"/>
                    </w:rPr>
                    <w:t>1.0</w:t>
                  </w:r>
                </w:p>
              </w:tc>
              <w:tc>
                <w:tcPr>
                  <w:tcW w:w="498" w:type="dxa"/>
                  <w:vMerge w:val="restart"/>
                  <w:vAlign w:val="center"/>
                </w:tcPr>
                <w:p w14:paraId="763B3B8B">
                  <w:pPr>
                    <w:pStyle w:val="12"/>
                    <w:adjustRightInd w:val="0"/>
                    <w:spacing w:before="0" w:after="0" w:line="240" w:lineRule="auto"/>
                    <w:ind w:right="0"/>
                    <w:jc w:val="center"/>
                    <w:rPr>
                      <w:rFonts w:eastAsiaTheme="minorEastAsia"/>
                      <w:szCs w:val="18"/>
                    </w:rPr>
                  </w:pPr>
                  <w:r>
                    <w:rPr>
                      <w:rFonts w:hint="eastAsia" w:eastAsiaTheme="minorEastAsia"/>
                      <w:szCs w:val="18"/>
                    </w:rPr>
                    <w:t>0</w:t>
                  </w:r>
                  <w:r>
                    <w:rPr>
                      <w:rFonts w:eastAsiaTheme="minorEastAsia"/>
                      <w:szCs w:val="18"/>
                    </w:rPr>
                    <w:t>8:</w:t>
                  </w:r>
                  <w:r>
                    <w:rPr>
                      <w:rFonts w:hint="eastAsia" w:eastAsiaTheme="minorEastAsia"/>
                      <w:szCs w:val="18"/>
                    </w:rPr>
                    <w:t>0</w:t>
                  </w:r>
                  <w:r>
                    <w:rPr>
                      <w:rFonts w:eastAsiaTheme="minorEastAsia"/>
                      <w:szCs w:val="18"/>
                    </w:rPr>
                    <w:t>0~18:00,18:00~04:00</w:t>
                  </w:r>
                </w:p>
              </w:tc>
              <w:tc>
                <w:tcPr>
                  <w:tcW w:w="561" w:type="dxa"/>
                  <w:vAlign w:val="center"/>
                </w:tcPr>
                <w:p w14:paraId="596836BC">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0E08B23A">
                  <w:pPr>
                    <w:pStyle w:val="12"/>
                    <w:adjustRightInd w:val="0"/>
                    <w:spacing w:before="0" w:after="0" w:line="240" w:lineRule="auto"/>
                    <w:ind w:right="0"/>
                    <w:jc w:val="center"/>
                    <w:rPr>
                      <w:rFonts w:eastAsiaTheme="minorEastAsia"/>
                      <w:szCs w:val="18"/>
                    </w:rPr>
                  </w:pPr>
                  <w:r>
                    <w:rPr>
                      <w:szCs w:val="18"/>
                    </w:rPr>
                    <w:t>45</w:t>
                  </w:r>
                </w:p>
              </w:tc>
              <w:tc>
                <w:tcPr>
                  <w:tcW w:w="567" w:type="dxa"/>
                  <w:vAlign w:val="center"/>
                </w:tcPr>
                <w:p w14:paraId="7EAA0C12">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46D1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49B448FA">
                  <w:pPr>
                    <w:pStyle w:val="12"/>
                    <w:adjustRightInd w:val="0"/>
                    <w:spacing w:before="0" w:after="0" w:line="240" w:lineRule="auto"/>
                    <w:ind w:right="0"/>
                    <w:jc w:val="center"/>
                    <w:rPr>
                      <w:szCs w:val="18"/>
                    </w:rPr>
                  </w:pPr>
                </w:p>
              </w:tc>
              <w:tc>
                <w:tcPr>
                  <w:tcW w:w="647" w:type="dxa"/>
                  <w:vAlign w:val="center"/>
                </w:tcPr>
                <w:p w14:paraId="24608D1E">
                  <w:pPr>
                    <w:pStyle w:val="12"/>
                    <w:adjustRightInd w:val="0"/>
                    <w:spacing w:before="0" w:after="0" w:line="240" w:lineRule="auto"/>
                    <w:ind w:right="0"/>
                    <w:jc w:val="center"/>
                    <w:rPr>
                      <w:rFonts w:eastAsiaTheme="minorEastAsia"/>
                      <w:szCs w:val="18"/>
                    </w:rPr>
                  </w:pPr>
                  <w:r>
                    <w:rPr>
                      <w:rFonts w:hint="eastAsia"/>
                      <w:kern w:val="24"/>
                      <w:szCs w:val="18"/>
                    </w:rPr>
                    <w:t>纵剪机组</w:t>
                  </w:r>
                  <w:r>
                    <w:rPr>
                      <w:rFonts w:hint="eastAsia"/>
                      <w:szCs w:val="18"/>
                    </w:rPr>
                    <w:t>4</w:t>
                  </w:r>
                  <w:r>
                    <w:rPr>
                      <w:szCs w:val="18"/>
                    </w:rPr>
                    <w:t>#</w:t>
                  </w:r>
                </w:p>
              </w:tc>
              <w:tc>
                <w:tcPr>
                  <w:tcW w:w="724" w:type="dxa"/>
                  <w:vAlign w:val="center"/>
                </w:tcPr>
                <w:p w14:paraId="271279C3">
                  <w:pPr>
                    <w:pStyle w:val="12"/>
                    <w:adjustRightInd w:val="0"/>
                    <w:spacing w:before="0" w:after="0" w:line="240" w:lineRule="auto"/>
                    <w:ind w:right="0"/>
                    <w:jc w:val="center"/>
                    <w:rPr>
                      <w:szCs w:val="18"/>
                    </w:rPr>
                  </w:pPr>
                  <w:r>
                    <w:rPr>
                      <w:rFonts w:hint="eastAsia"/>
                      <w:szCs w:val="18"/>
                    </w:rPr>
                    <w:t>/</w:t>
                  </w:r>
                </w:p>
              </w:tc>
              <w:tc>
                <w:tcPr>
                  <w:tcW w:w="897" w:type="dxa"/>
                  <w:vAlign w:val="center"/>
                </w:tcPr>
                <w:p w14:paraId="0AD5FAB8">
                  <w:pPr>
                    <w:pStyle w:val="12"/>
                    <w:adjustRightInd w:val="0"/>
                    <w:spacing w:before="0" w:after="0" w:line="240" w:lineRule="auto"/>
                    <w:ind w:right="0"/>
                    <w:jc w:val="center"/>
                    <w:rPr>
                      <w:kern w:val="24"/>
                      <w:szCs w:val="18"/>
                    </w:rPr>
                  </w:pPr>
                  <w:r>
                    <w:rPr>
                      <w:szCs w:val="18"/>
                    </w:rPr>
                    <w:t>90</w:t>
                  </w:r>
                </w:p>
              </w:tc>
              <w:tc>
                <w:tcPr>
                  <w:tcW w:w="772" w:type="dxa"/>
                  <w:vAlign w:val="center"/>
                </w:tcPr>
                <w:p w14:paraId="4E002641">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76C87B67">
                  <w:pPr>
                    <w:pStyle w:val="12"/>
                    <w:adjustRightInd w:val="0"/>
                    <w:spacing w:before="0" w:after="0" w:line="240" w:lineRule="auto"/>
                    <w:ind w:right="0"/>
                    <w:jc w:val="center"/>
                    <w:rPr>
                      <w:rFonts w:eastAsiaTheme="minorEastAsia"/>
                      <w:szCs w:val="18"/>
                    </w:rPr>
                  </w:pPr>
                  <w:r>
                    <w:rPr>
                      <w:rFonts w:eastAsiaTheme="minorEastAsia"/>
                      <w:szCs w:val="18"/>
                    </w:rPr>
                    <w:t>55.07</w:t>
                  </w:r>
                </w:p>
              </w:tc>
              <w:tc>
                <w:tcPr>
                  <w:tcW w:w="687" w:type="dxa"/>
                  <w:vAlign w:val="center"/>
                </w:tcPr>
                <w:p w14:paraId="04331EED">
                  <w:pPr>
                    <w:pStyle w:val="12"/>
                    <w:adjustRightInd w:val="0"/>
                    <w:spacing w:before="0" w:after="0" w:line="240" w:lineRule="auto"/>
                    <w:ind w:right="0"/>
                    <w:jc w:val="center"/>
                    <w:rPr>
                      <w:rFonts w:eastAsiaTheme="minorEastAsia"/>
                      <w:szCs w:val="18"/>
                    </w:rPr>
                  </w:pPr>
                  <w:r>
                    <w:rPr>
                      <w:rFonts w:eastAsiaTheme="minorEastAsia"/>
                      <w:szCs w:val="18"/>
                    </w:rPr>
                    <w:t>81.39</w:t>
                  </w:r>
                </w:p>
              </w:tc>
              <w:tc>
                <w:tcPr>
                  <w:tcW w:w="592" w:type="dxa"/>
                  <w:vAlign w:val="center"/>
                </w:tcPr>
                <w:p w14:paraId="38360AFE">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0C508227">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5</w:t>
                  </w:r>
                </w:p>
              </w:tc>
              <w:tc>
                <w:tcPr>
                  <w:tcW w:w="567" w:type="dxa"/>
                  <w:vAlign w:val="center"/>
                </w:tcPr>
                <w:p w14:paraId="079DB769">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6.5</w:t>
                  </w:r>
                </w:p>
              </w:tc>
              <w:tc>
                <w:tcPr>
                  <w:tcW w:w="498" w:type="dxa"/>
                  <w:vMerge w:val="continue"/>
                  <w:vAlign w:val="center"/>
                </w:tcPr>
                <w:p w14:paraId="4891F52F">
                  <w:pPr>
                    <w:pStyle w:val="12"/>
                    <w:adjustRightInd w:val="0"/>
                    <w:spacing w:before="0" w:after="0" w:line="240" w:lineRule="auto"/>
                    <w:ind w:right="0"/>
                    <w:jc w:val="center"/>
                    <w:rPr>
                      <w:rFonts w:eastAsiaTheme="minorEastAsia"/>
                      <w:szCs w:val="18"/>
                    </w:rPr>
                  </w:pPr>
                </w:p>
              </w:tc>
              <w:tc>
                <w:tcPr>
                  <w:tcW w:w="561" w:type="dxa"/>
                  <w:vAlign w:val="center"/>
                </w:tcPr>
                <w:p w14:paraId="2277F533">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6F06794B">
                  <w:pPr>
                    <w:pStyle w:val="12"/>
                    <w:adjustRightInd w:val="0"/>
                    <w:spacing w:before="0" w:after="0" w:line="240" w:lineRule="auto"/>
                    <w:ind w:right="0"/>
                    <w:jc w:val="center"/>
                    <w:rPr>
                      <w:rFonts w:eastAsiaTheme="minorEastAsia"/>
                      <w:szCs w:val="18"/>
                    </w:rPr>
                  </w:pPr>
                  <w:r>
                    <w:rPr>
                      <w:szCs w:val="18"/>
                    </w:rPr>
                    <w:t>40.5</w:t>
                  </w:r>
                </w:p>
              </w:tc>
              <w:tc>
                <w:tcPr>
                  <w:tcW w:w="567" w:type="dxa"/>
                  <w:vAlign w:val="center"/>
                </w:tcPr>
                <w:p w14:paraId="6668354B">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3B4F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62B462AE">
                  <w:pPr>
                    <w:pStyle w:val="12"/>
                    <w:adjustRightInd w:val="0"/>
                    <w:spacing w:before="0" w:after="0" w:line="240" w:lineRule="auto"/>
                    <w:ind w:right="0"/>
                    <w:jc w:val="center"/>
                    <w:rPr>
                      <w:szCs w:val="18"/>
                    </w:rPr>
                  </w:pPr>
                </w:p>
              </w:tc>
              <w:tc>
                <w:tcPr>
                  <w:tcW w:w="647" w:type="dxa"/>
                  <w:vAlign w:val="center"/>
                </w:tcPr>
                <w:p w14:paraId="3D3A9D61">
                  <w:pPr>
                    <w:pStyle w:val="12"/>
                    <w:adjustRightInd w:val="0"/>
                    <w:spacing w:before="0" w:after="0" w:line="240" w:lineRule="auto"/>
                    <w:ind w:right="0"/>
                    <w:jc w:val="center"/>
                    <w:rPr>
                      <w:rFonts w:eastAsiaTheme="minorEastAsia"/>
                      <w:szCs w:val="18"/>
                    </w:rPr>
                  </w:pPr>
                  <w:r>
                    <w:rPr>
                      <w:szCs w:val="18"/>
                    </w:rPr>
                    <w:t>校直机</w:t>
                  </w:r>
                  <w:r>
                    <w:rPr>
                      <w:rFonts w:hint="eastAsia"/>
                      <w:szCs w:val="18"/>
                    </w:rPr>
                    <w:t>4</w:t>
                  </w:r>
                  <w:r>
                    <w:rPr>
                      <w:szCs w:val="18"/>
                    </w:rPr>
                    <w:t>#</w:t>
                  </w:r>
                </w:p>
              </w:tc>
              <w:tc>
                <w:tcPr>
                  <w:tcW w:w="724" w:type="dxa"/>
                  <w:vAlign w:val="center"/>
                </w:tcPr>
                <w:p w14:paraId="0CB468DC">
                  <w:pPr>
                    <w:pStyle w:val="12"/>
                    <w:adjustRightInd w:val="0"/>
                    <w:spacing w:before="0" w:after="0" w:line="240" w:lineRule="auto"/>
                    <w:ind w:right="0"/>
                    <w:jc w:val="center"/>
                    <w:rPr>
                      <w:szCs w:val="18"/>
                    </w:rPr>
                  </w:pPr>
                  <w:r>
                    <w:rPr>
                      <w:rFonts w:hint="eastAsia"/>
                      <w:szCs w:val="18"/>
                    </w:rPr>
                    <w:t>/</w:t>
                  </w:r>
                </w:p>
              </w:tc>
              <w:tc>
                <w:tcPr>
                  <w:tcW w:w="897" w:type="dxa"/>
                  <w:vAlign w:val="center"/>
                </w:tcPr>
                <w:p w14:paraId="00277281">
                  <w:pPr>
                    <w:pStyle w:val="12"/>
                    <w:adjustRightInd w:val="0"/>
                    <w:spacing w:before="0" w:after="0" w:line="240" w:lineRule="auto"/>
                    <w:ind w:right="0"/>
                    <w:jc w:val="center"/>
                    <w:rPr>
                      <w:kern w:val="24"/>
                      <w:szCs w:val="18"/>
                    </w:rPr>
                  </w:pPr>
                  <w:r>
                    <w:rPr>
                      <w:szCs w:val="18"/>
                    </w:rPr>
                    <w:t>85</w:t>
                  </w:r>
                </w:p>
              </w:tc>
              <w:tc>
                <w:tcPr>
                  <w:tcW w:w="772" w:type="dxa"/>
                  <w:vAlign w:val="center"/>
                </w:tcPr>
                <w:p w14:paraId="04606348">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00CD7F47">
                  <w:pPr>
                    <w:pStyle w:val="12"/>
                    <w:adjustRightInd w:val="0"/>
                    <w:spacing w:before="0" w:after="0" w:line="240" w:lineRule="auto"/>
                    <w:ind w:right="0"/>
                    <w:jc w:val="center"/>
                    <w:rPr>
                      <w:rFonts w:eastAsiaTheme="minorEastAsia"/>
                      <w:szCs w:val="18"/>
                    </w:rPr>
                  </w:pPr>
                  <w:r>
                    <w:rPr>
                      <w:rFonts w:eastAsiaTheme="minorEastAsia"/>
                      <w:szCs w:val="18"/>
                    </w:rPr>
                    <w:t>70.11</w:t>
                  </w:r>
                </w:p>
              </w:tc>
              <w:tc>
                <w:tcPr>
                  <w:tcW w:w="687" w:type="dxa"/>
                  <w:vAlign w:val="center"/>
                </w:tcPr>
                <w:p w14:paraId="66987887">
                  <w:pPr>
                    <w:pStyle w:val="12"/>
                    <w:adjustRightInd w:val="0"/>
                    <w:spacing w:before="0" w:after="0" w:line="240" w:lineRule="auto"/>
                    <w:ind w:right="0"/>
                    <w:jc w:val="center"/>
                    <w:rPr>
                      <w:rFonts w:eastAsiaTheme="minorEastAsia"/>
                      <w:szCs w:val="18"/>
                    </w:rPr>
                  </w:pPr>
                  <w:r>
                    <w:rPr>
                      <w:rFonts w:eastAsiaTheme="minorEastAsia"/>
                      <w:szCs w:val="18"/>
                    </w:rPr>
                    <w:t>89.2</w:t>
                  </w:r>
                </w:p>
              </w:tc>
              <w:tc>
                <w:tcPr>
                  <w:tcW w:w="592" w:type="dxa"/>
                  <w:vAlign w:val="center"/>
                </w:tcPr>
                <w:p w14:paraId="0254D3BE">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0B4BD23B">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5</w:t>
                  </w:r>
                </w:p>
              </w:tc>
              <w:tc>
                <w:tcPr>
                  <w:tcW w:w="567" w:type="dxa"/>
                  <w:vAlign w:val="center"/>
                </w:tcPr>
                <w:p w14:paraId="76CCC95F">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1.5</w:t>
                  </w:r>
                </w:p>
              </w:tc>
              <w:tc>
                <w:tcPr>
                  <w:tcW w:w="498" w:type="dxa"/>
                  <w:vMerge w:val="continue"/>
                  <w:vAlign w:val="center"/>
                </w:tcPr>
                <w:p w14:paraId="29562B3A">
                  <w:pPr>
                    <w:pStyle w:val="12"/>
                    <w:adjustRightInd w:val="0"/>
                    <w:spacing w:before="0" w:after="0" w:line="240" w:lineRule="auto"/>
                    <w:ind w:right="0"/>
                    <w:jc w:val="center"/>
                    <w:rPr>
                      <w:rFonts w:eastAsiaTheme="minorEastAsia"/>
                      <w:szCs w:val="18"/>
                    </w:rPr>
                  </w:pPr>
                </w:p>
              </w:tc>
              <w:tc>
                <w:tcPr>
                  <w:tcW w:w="561" w:type="dxa"/>
                  <w:vAlign w:val="center"/>
                </w:tcPr>
                <w:p w14:paraId="69C52603">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4B50280A">
                  <w:pPr>
                    <w:pStyle w:val="12"/>
                    <w:adjustRightInd w:val="0"/>
                    <w:spacing w:before="0" w:after="0" w:line="240" w:lineRule="auto"/>
                    <w:ind w:right="0"/>
                    <w:jc w:val="center"/>
                    <w:rPr>
                      <w:rFonts w:eastAsiaTheme="minorEastAsia"/>
                      <w:szCs w:val="18"/>
                    </w:rPr>
                  </w:pPr>
                  <w:r>
                    <w:rPr>
                      <w:szCs w:val="18"/>
                    </w:rPr>
                    <w:t>35.5</w:t>
                  </w:r>
                </w:p>
              </w:tc>
              <w:tc>
                <w:tcPr>
                  <w:tcW w:w="567" w:type="dxa"/>
                  <w:vAlign w:val="center"/>
                </w:tcPr>
                <w:p w14:paraId="5D1CF780">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26E5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119BD5BA">
                  <w:pPr>
                    <w:pStyle w:val="12"/>
                    <w:adjustRightInd w:val="0"/>
                    <w:spacing w:before="0" w:after="0" w:line="240" w:lineRule="auto"/>
                    <w:ind w:right="0"/>
                    <w:jc w:val="center"/>
                    <w:rPr>
                      <w:szCs w:val="18"/>
                    </w:rPr>
                  </w:pPr>
                </w:p>
              </w:tc>
              <w:tc>
                <w:tcPr>
                  <w:tcW w:w="647" w:type="dxa"/>
                  <w:vAlign w:val="center"/>
                </w:tcPr>
                <w:p w14:paraId="2262F7F2">
                  <w:pPr>
                    <w:pStyle w:val="12"/>
                    <w:adjustRightInd w:val="0"/>
                    <w:spacing w:before="0" w:after="0" w:line="240" w:lineRule="auto"/>
                    <w:ind w:right="0"/>
                    <w:jc w:val="center"/>
                    <w:rPr>
                      <w:rFonts w:eastAsiaTheme="minorEastAsia"/>
                      <w:szCs w:val="18"/>
                    </w:rPr>
                  </w:pPr>
                  <w:r>
                    <w:rPr>
                      <w:szCs w:val="18"/>
                    </w:rPr>
                    <w:t>电动飞锯</w:t>
                  </w:r>
                  <w:r>
                    <w:rPr>
                      <w:rFonts w:hint="eastAsia"/>
                      <w:szCs w:val="18"/>
                    </w:rPr>
                    <w:t>4</w:t>
                  </w:r>
                  <w:r>
                    <w:rPr>
                      <w:szCs w:val="18"/>
                    </w:rPr>
                    <w:t>#</w:t>
                  </w:r>
                </w:p>
              </w:tc>
              <w:tc>
                <w:tcPr>
                  <w:tcW w:w="724" w:type="dxa"/>
                  <w:vAlign w:val="center"/>
                </w:tcPr>
                <w:p w14:paraId="49CEBB4E">
                  <w:pPr>
                    <w:pStyle w:val="12"/>
                    <w:adjustRightInd w:val="0"/>
                    <w:spacing w:before="0" w:after="0" w:line="240" w:lineRule="auto"/>
                    <w:ind w:right="0"/>
                    <w:jc w:val="center"/>
                    <w:rPr>
                      <w:szCs w:val="18"/>
                    </w:rPr>
                  </w:pPr>
                  <w:r>
                    <w:rPr>
                      <w:rFonts w:hint="eastAsia"/>
                      <w:szCs w:val="18"/>
                    </w:rPr>
                    <w:t>/</w:t>
                  </w:r>
                </w:p>
              </w:tc>
              <w:tc>
                <w:tcPr>
                  <w:tcW w:w="897" w:type="dxa"/>
                  <w:vAlign w:val="center"/>
                </w:tcPr>
                <w:p w14:paraId="1AF4889D">
                  <w:pPr>
                    <w:pStyle w:val="12"/>
                    <w:adjustRightInd w:val="0"/>
                    <w:spacing w:before="0" w:after="0" w:line="240" w:lineRule="auto"/>
                    <w:ind w:right="0"/>
                    <w:jc w:val="center"/>
                    <w:rPr>
                      <w:kern w:val="24"/>
                      <w:szCs w:val="18"/>
                    </w:rPr>
                  </w:pPr>
                  <w:r>
                    <w:rPr>
                      <w:szCs w:val="18"/>
                    </w:rPr>
                    <w:t>85</w:t>
                  </w:r>
                </w:p>
              </w:tc>
              <w:tc>
                <w:tcPr>
                  <w:tcW w:w="772" w:type="dxa"/>
                  <w:vAlign w:val="center"/>
                </w:tcPr>
                <w:p w14:paraId="3229AA61">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037A1FB0">
                  <w:pPr>
                    <w:pStyle w:val="12"/>
                    <w:adjustRightInd w:val="0"/>
                    <w:spacing w:before="0" w:after="0" w:line="240" w:lineRule="auto"/>
                    <w:ind w:right="0"/>
                    <w:jc w:val="center"/>
                    <w:rPr>
                      <w:rFonts w:eastAsiaTheme="minorEastAsia"/>
                      <w:szCs w:val="18"/>
                    </w:rPr>
                  </w:pPr>
                  <w:r>
                    <w:rPr>
                      <w:rFonts w:eastAsiaTheme="minorEastAsia"/>
                      <w:szCs w:val="18"/>
                    </w:rPr>
                    <w:t>84.36</w:t>
                  </w:r>
                </w:p>
              </w:tc>
              <w:tc>
                <w:tcPr>
                  <w:tcW w:w="687" w:type="dxa"/>
                  <w:vAlign w:val="center"/>
                </w:tcPr>
                <w:p w14:paraId="7F1E4B3F">
                  <w:pPr>
                    <w:pStyle w:val="12"/>
                    <w:adjustRightInd w:val="0"/>
                    <w:spacing w:before="0" w:after="0" w:line="240" w:lineRule="auto"/>
                    <w:ind w:right="0"/>
                    <w:jc w:val="center"/>
                    <w:rPr>
                      <w:rFonts w:eastAsiaTheme="minorEastAsia"/>
                      <w:szCs w:val="18"/>
                    </w:rPr>
                  </w:pPr>
                  <w:r>
                    <w:rPr>
                      <w:rFonts w:eastAsiaTheme="minorEastAsia"/>
                      <w:szCs w:val="18"/>
                    </w:rPr>
                    <w:t>97.36</w:t>
                  </w:r>
                </w:p>
              </w:tc>
              <w:tc>
                <w:tcPr>
                  <w:tcW w:w="592" w:type="dxa"/>
                  <w:vAlign w:val="center"/>
                </w:tcPr>
                <w:p w14:paraId="4839A573">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668D0677">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5</w:t>
                  </w:r>
                </w:p>
              </w:tc>
              <w:tc>
                <w:tcPr>
                  <w:tcW w:w="567" w:type="dxa"/>
                  <w:vAlign w:val="center"/>
                </w:tcPr>
                <w:p w14:paraId="4B3DED54">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1.5</w:t>
                  </w:r>
                </w:p>
              </w:tc>
              <w:tc>
                <w:tcPr>
                  <w:tcW w:w="498" w:type="dxa"/>
                  <w:vMerge w:val="continue"/>
                  <w:vAlign w:val="center"/>
                </w:tcPr>
                <w:p w14:paraId="21C69126">
                  <w:pPr>
                    <w:pStyle w:val="12"/>
                    <w:adjustRightInd w:val="0"/>
                    <w:spacing w:before="0" w:after="0" w:line="240" w:lineRule="auto"/>
                    <w:ind w:right="0"/>
                    <w:jc w:val="center"/>
                    <w:rPr>
                      <w:rFonts w:eastAsiaTheme="minorEastAsia"/>
                      <w:szCs w:val="18"/>
                    </w:rPr>
                  </w:pPr>
                </w:p>
              </w:tc>
              <w:tc>
                <w:tcPr>
                  <w:tcW w:w="561" w:type="dxa"/>
                  <w:vAlign w:val="center"/>
                </w:tcPr>
                <w:p w14:paraId="59BB2C48">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7C9E98F3">
                  <w:pPr>
                    <w:pStyle w:val="12"/>
                    <w:adjustRightInd w:val="0"/>
                    <w:spacing w:before="0" w:after="0" w:line="240" w:lineRule="auto"/>
                    <w:ind w:right="0"/>
                    <w:jc w:val="center"/>
                    <w:rPr>
                      <w:rFonts w:eastAsiaTheme="minorEastAsia"/>
                      <w:szCs w:val="18"/>
                    </w:rPr>
                  </w:pPr>
                  <w:r>
                    <w:rPr>
                      <w:szCs w:val="18"/>
                    </w:rPr>
                    <w:t>35.5</w:t>
                  </w:r>
                </w:p>
              </w:tc>
              <w:tc>
                <w:tcPr>
                  <w:tcW w:w="567" w:type="dxa"/>
                  <w:vAlign w:val="center"/>
                </w:tcPr>
                <w:p w14:paraId="6B5E9776">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490A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796EBCC1">
                  <w:pPr>
                    <w:pStyle w:val="12"/>
                    <w:adjustRightInd w:val="0"/>
                    <w:spacing w:before="0" w:after="0" w:line="240" w:lineRule="auto"/>
                    <w:ind w:right="0"/>
                    <w:jc w:val="center"/>
                    <w:rPr>
                      <w:szCs w:val="18"/>
                    </w:rPr>
                  </w:pPr>
                </w:p>
              </w:tc>
              <w:tc>
                <w:tcPr>
                  <w:tcW w:w="647" w:type="dxa"/>
                  <w:vAlign w:val="center"/>
                </w:tcPr>
                <w:p w14:paraId="284C4402">
                  <w:pPr>
                    <w:pStyle w:val="12"/>
                    <w:adjustRightInd w:val="0"/>
                    <w:spacing w:before="0" w:after="0" w:line="240" w:lineRule="auto"/>
                    <w:ind w:right="0"/>
                    <w:jc w:val="center"/>
                    <w:rPr>
                      <w:rFonts w:eastAsiaTheme="minorEastAsia"/>
                      <w:szCs w:val="18"/>
                    </w:rPr>
                  </w:pPr>
                  <w:r>
                    <w:rPr>
                      <w:rFonts w:hint="eastAsia"/>
                      <w:szCs w:val="18"/>
                      <w:lang w:bidi="ar"/>
                    </w:rPr>
                    <w:t>除尘器风机</w:t>
                  </w:r>
                  <w:r>
                    <w:rPr>
                      <w:rFonts w:hint="eastAsia"/>
                      <w:szCs w:val="18"/>
                    </w:rPr>
                    <w:t>4</w:t>
                  </w:r>
                  <w:r>
                    <w:rPr>
                      <w:szCs w:val="18"/>
                    </w:rPr>
                    <w:t>#</w:t>
                  </w:r>
                </w:p>
              </w:tc>
              <w:tc>
                <w:tcPr>
                  <w:tcW w:w="724" w:type="dxa"/>
                  <w:vAlign w:val="center"/>
                </w:tcPr>
                <w:p w14:paraId="10D9B900">
                  <w:pPr>
                    <w:pStyle w:val="12"/>
                    <w:adjustRightInd w:val="0"/>
                    <w:spacing w:before="0" w:after="0" w:line="240" w:lineRule="auto"/>
                    <w:ind w:right="0"/>
                    <w:jc w:val="center"/>
                    <w:rPr>
                      <w:szCs w:val="18"/>
                    </w:rPr>
                  </w:pPr>
                  <w:r>
                    <w:rPr>
                      <w:rFonts w:hint="eastAsia"/>
                      <w:szCs w:val="18"/>
                    </w:rPr>
                    <w:t>/</w:t>
                  </w:r>
                </w:p>
              </w:tc>
              <w:tc>
                <w:tcPr>
                  <w:tcW w:w="897" w:type="dxa"/>
                  <w:vAlign w:val="center"/>
                </w:tcPr>
                <w:p w14:paraId="0B9AF84A">
                  <w:pPr>
                    <w:pStyle w:val="12"/>
                    <w:adjustRightInd w:val="0"/>
                    <w:spacing w:before="0" w:after="0" w:line="240" w:lineRule="auto"/>
                    <w:ind w:right="0"/>
                    <w:jc w:val="center"/>
                    <w:rPr>
                      <w:kern w:val="24"/>
                      <w:szCs w:val="18"/>
                    </w:rPr>
                  </w:pPr>
                  <w:r>
                    <w:rPr>
                      <w:szCs w:val="18"/>
                    </w:rPr>
                    <w:t>85</w:t>
                  </w:r>
                </w:p>
              </w:tc>
              <w:tc>
                <w:tcPr>
                  <w:tcW w:w="772" w:type="dxa"/>
                  <w:vAlign w:val="center"/>
                </w:tcPr>
                <w:p w14:paraId="5333E6B4">
                  <w:pPr>
                    <w:pStyle w:val="12"/>
                    <w:adjustRightInd w:val="0"/>
                    <w:spacing w:before="0" w:after="0" w:line="240" w:lineRule="auto"/>
                    <w:ind w:right="0"/>
                    <w:jc w:val="center"/>
                    <w:rPr>
                      <w:rFonts w:eastAsiaTheme="minorEastAsia"/>
                      <w:szCs w:val="18"/>
                    </w:rPr>
                  </w:pPr>
                  <w:r>
                    <w:rPr>
                      <w:rFonts w:eastAsiaTheme="minorEastAsia"/>
                      <w:szCs w:val="18"/>
                    </w:rPr>
                    <w:t>基础减震</w:t>
                  </w:r>
                  <w:r>
                    <w:rPr>
                      <w:rFonts w:hint="eastAsia" w:eastAsiaTheme="minorEastAsia"/>
                      <w:szCs w:val="18"/>
                    </w:rPr>
                    <w:t>、</w:t>
                  </w:r>
                  <w:r>
                    <w:rPr>
                      <w:rFonts w:eastAsiaTheme="minorEastAsia"/>
                      <w:szCs w:val="18"/>
                    </w:rPr>
                    <w:t>厂房隔声、进风口消</w:t>
                  </w:r>
                  <w:r>
                    <w:rPr>
                      <w:rFonts w:hint="eastAsia" w:eastAsiaTheme="minorEastAsia"/>
                      <w:szCs w:val="18"/>
                    </w:rPr>
                    <w:t>声</w:t>
                  </w:r>
                  <w:r>
                    <w:rPr>
                      <w:rFonts w:eastAsiaTheme="minorEastAsia"/>
                      <w:szCs w:val="18"/>
                    </w:rPr>
                    <w:t>器</w:t>
                  </w:r>
                </w:p>
              </w:tc>
              <w:tc>
                <w:tcPr>
                  <w:tcW w:w="646" w:type="dxa"/>
                  <w:vAlign w:val="center"/>
                </w:tcPr>
                <w:p w14:paraId="09266D99">
                  <w:pPr>
                    <w:pStyle w:val="12"/>
                    <w:adjustRightInd w:val="0"/>
                    <w:spacing w:before="0" w:after="0" w:line="240" w:lineRule="auto"/>
                    <w:ind w:right="0"/>
                    <w:jc w:val="center"/>
                    <w:rPr>
                      <w:rFonts w:eastAsiaTheme="minorEastAsia"/>
                      <w:szCs w:val="18"/>
                    </w:rPr>
                  </w:pPr>
                  <w:r>
                    <w:rPr>
                      <w:rFonts w:eastAsiaTheme="minorEastAsia"/>
                      <w:szCs w:val="18"/>
                    </w:rPr>
                    <w:t>46.38</w:t>
                  </w:r>
                </w:p>
              </w:tc>
              <w:tc>
                <w:tcPr>
                  <w:tcW w:w="687" w:type="dxa"/>
                  <w:vAlign w:val="center"/>
                </w:tcPr>
                <w:p w14:paraId="224730C5">
                  <w:pPr>
                    <w:pStyle w:val="12"/>
                    <w:adjustRightInd w:val="0"/>
                    <w:spacing w:before="0" w:after="0" w:line="240" w:lineRule="auto"/>
                    <w:ind w:right="0"/>
                    <w:jc w:val="center"/>
                    <w:rPr>
                      <w:rFonts w:eastAsiaTheme="minorEastAsia"/>
                      <w:szCs w:val="18"/>
                    </w:rPr>
                  </w:pPr>
                  <w:r>
                    <w:rPr>
                      <w:rFonts w:eastAsiaTheme="minorEastAsia"/>
                      <w:szCs w:val="18"/>
                    </w:rPr>
                    <w:t>78.65</w:t>
                  </w:r>
                </w:p>
              </w:tc>
              <w:tc>
                <w:tcPr>
                  <w:tcW w:w="592" w:type="dxa"/>
                  <w:vAlign w:val="center"/>
                </w:tcPr>
                <w:p w14:paraId="2026B329">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07B3EB36">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1C533CC1">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5.0</w:t>
                  </w:r>
                </w:p>
              </w:tc>
              <w:tc>
                <w:tcPr>
                  <w:tcW w:w="498" w:type="dxa"/>
                  <w:vMerge w:val="continue"/>
                  <w:vAlign w:val="center"/>
                </w:tcPr>
                <w:p w14:paraId="404E6C30">
                  <w:pPr>
                    <w:pStyle w:val="12"/>
                    <w:adjustRightInd w:val="0"/>
                    <w:spacing w:before="0" w:after="0" w:line="240" w:lineRule="auto"/>
                    <w:ind w:right="0"/>
                    <w:jc w:val="center"/>
                    <w:rPr>
                      <w:rFonts w:eastAsiaTheme="minorEastAsia"/>
                      <w:szCs w:val="18"/>
                    </w:rPr>
                  </w:pPr>
                </w:p>
              </w:tc>
              <w:tc>
                <w:tcPr>
                  <w:tcW w:w="561" w:type="dxa"/>
                  <w:vAlign w:val="center"/>
                </w:tcPr>
                <w:p w14:paraId="1B99507F">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63B1D08E">
                  <w:pPr>
                    <w:pStyle w:val="12"/>
                    <w:adjustRightInd w:val="0"/>
                    <w:spacing w:before="0" w:after="0" w:line="240" w:lineRule="auto"/>
                    <w:ind w:right="0"/>
                    <w:jc w:val="center"/>
                    <w:rPr>
                      <w:rFonts w:eastAsiaTheme="minorEastAsia"/>
                      <w:szCs w:val="18"/>
                    </w:rPr>
                  </w:pPr>
                  <w:r>
                    <w:rPr>
                      <w:szCs w:val="18"/>
                    </w:rPr>
                    <w:t>39</w:t>
                  </w:r>
                </w:p>
              </w:tc>
              <w:tc>
                <w:tcPr>
                  <w:tcW w:w="567" w:type="dxa"/>
                  <w:vAlign w:val="center"/>
                </w:tcPr>
                <w:p w14:paraId="379ACF2C">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5EE4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7467AC4D">
                  <w:pPr>
                    <w:pStyle w:val="12"/>
                    <w:adjustRightInd w:val="0"/>
                    <w:spacing w:before="0" w:after="0" w:line="240" w:lineRule="auto"/>
                    <w:ind w:right="0"/>
                    <w:jc w:val="center"/>
                    <w:rPr>
                      <w:szCs w:val="18"/>
                    </w:rPr>
                  </w:pPr>
                </w:p>
              </w:tc>
              <w:tc>
                <w:tcPr>
                  <w:tcW w:w="647" w:type="dxa"/>
                  <w:vAlign w:val="center"/>
                </w:tcPr>
                <w:p w14:paraId="4849F46B">
                  <w:pPr>
                    <w:pStyle w:val="12"/>
                    <w:adjustRightInd w:val="0"/>
                    <w:spacing w:before="0" w:after="0" w:line="240" w:lineRule="auto"/>
                    <w:ind w:right="0"/>
                    <w:jc w:val="center"/>
                    <w:rPr>
                      <w:szCs w:val="18"/>
                      <w:lang w:bidi="ar"/>
                    </w:rPr>
                  </w:pPr>
                  <w:r>
                    <w:rPr>
                      <w:rFonts w:hint="eastAsia"/>
                      <w:szCs w:val="18"/>
                    </w:rPr>
                    <w:t>高频直缝焊管机组</w:t>
                  </w:r>
                  <w:r>
                    <w:rPr>
                      <w:szCs w:val="18"/>
                    </w:rPr>
                    <w:t>5#</w:t>
                  </w:r>
                </w:p>
              </w:tc>
              <w:tc>
                <w:tcPr>
                  <w:tcW w:w="724" w:type="dxa"/>
                  <w:vAlign w:val="center"/>
                </w:tcPr>
                <w:p w14:paraId="58327CD2">
                  <w:pPr>
                    <w:pStyle w:val="12"/>
                    <w:adjustRightInd w:val="0"/>
                    <w:spacing w:before="0" w:after="0" w:line="240" w:lineRule="auto"/>
                    <w:ind w:right="0"/>
                    <w:jc w:val="center"/>
                    <w:rPr>
                      <w:szCs w:val="18"/>
                    </w:rPr>
                  </w:pPr>
                  <w:r>
                    <w:rPr>
                      <w:szCs w:val="18"/>
                    </w:rPr>
                    <w:t>50-76</w:t>
                  </w:r>
                  <w:r>
                    <w:rPr>
                      <w:rFonts w:hint="eastAsia"/>
                      <w:szCs w:val="18"/>
                    </w:rPr>
                    <w:t>型</w:t>
                  </w:r>
                </w:p>
              </w:tc>
              <w:tc>
                <w:tcPr>
                  <w:tcW w:w="897" w:type="dxa"/>
                  <w:vAlign w:val="center"/>
                </w:tcPr>
                <w:p w14:paraId="23EB56DD">
                  <w:pPr>
                    <w:pStyle w:val="12"/>
                    <w:adjustRightInd w:val="0"/>
                    <w:spacing w:before="0" w:after="0" w:line="240" w:lineRule="auto"/>
                    <w:ind w:right="0"/>
                    <w:jc w:val="center"/>
                    <w:rPr>
                      <w:kern w:val="24"/>
                      <w:szCs w:val="18"/>
                    </w:rPr>
                  </w:pPr>
                  <w:r>
                    <w:rPr>
                      <w:szCs w:val="18"/>
                    </w:rPr>
                    <w:t>85</w:t>
                  </w:r>
                </w:p>
              </w:tc>
              <w:tc>
                <w:tcPr>
                  <w:tcW w:w="772" w:type="dxa"/>
                  <w:vAlign w:val="center"/>
                </w:tcPr>
                <w:p w14:paraId="16701635">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6510B263">
                  <w:pPr>
                    <w:pStyle w:val="12"/>
                    <w:adjustRightInd w:val="0"/>
                    <w:spacing w:before="0" w:after="0" w:line="240" w:lineRule="auto"/>
                    <w:ind w:right="0"/>
                    <w:jc w:val="center"/>
                    <w:rPr>
                      <w:rFonts w:eastAsiaTheme="minorEastAsia"/>
                      <w:szCs w:val="18"/>
                    </w:rPr>
                  </w:pPr>
                  <w:r>
                    <w:rPr>
                      <w:rFonts w:eastAsiaTheme="minorEastAsia"/>
                      <w:szCs w:val="18"/>
                    </w:rPr>
                    <w:t>129.39</w:t>
                  </w:r>
                </w:p>
              </w:tc>
              <w:tc>
                <w:tcPr>
                  <w:tcW w:w="687" w:type="dxa"/>
                  <w:vAlign w:val="center"/>
                </w:tcPr>
                <w:p w14:paraId="4C987693">
                  <w:pPr>
                    <w:pStyle w:val="12"/>
                    <w:adjustRightInd w:val="0"/>
                    <w:spacing w:before="0" w:after="0" w:line="240" w:lineRule="auto"/>
                    <w:ind w:right="0"/>
                    <w:jc w:val="center"/>
                    <w:rPr>
                      <w:rFonts w:eastAsiaTheme="minorEastAsia"/>
                      <w:szCs w:val="18"/>
                    </w:rPr>
                  </w:pPr>
                  <w:r>
                    <w:rPr>
                      <w:rFonts w:eastAsiaTheme="minorEastAsia"/>
                      <w:szCs w:val="18"/>
                    </w:rPr>
                    <w:t>115.12</w:t>
                  </w:r>
                </w:p>
              </w:tc>
              <w:tc>
                <w:tcPr>
                  <w:tcW w:w="592" w:type="dxa"/>
                  <w:vAlign w:val="center"/>
                </w:tcPr>
                <w:p w14:paraId="1009D3DA">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6410FBA1">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7A923A7C">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5.0</w:t>
                  </w:r>
                </w:p>
              </w:tc>
              <w:tc>
                <w:tcPr>
                  <w:tcW w:w="498" w:type="dxa"/>
                  <w:vMerge w:val="continue"/>
                  <w:vAlign w:val="center"/>
                </w:tcPr>
                <w:p w14:paraId="56DA8F92">
                  <w:pPr>
                    <w:pStyle w:val="12"/>
                    <w:adjustRightInd w:val="0"/>
                    <w:spacing w:before="0" w:after="0" w:line="240" w:lineRule="auto"/>
                    <w:ind w:right="0"/>
                    <w:jc w:val="center"/>
                    <w:rPr>
                      <w:rFonts w:eastAsiaTheme="minorEastAsia"/>
                      <w:szCs w:val="18"/>
                    </w:rPr>
                  </w:pPr>
                </w:p>
              </w:tc>
              <w:tc>
                <w:tcPr>
                  <w:tcW w:w="561" w:type="dxa"/>
                  <w:vAlign w:val="center"/>
                </w:tcPr>
                <w:p w14:paraId="19C2BCDE">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5ED4488B">
                  <w:pPr>
                    <w:pStyle w:val="12"/>
                    <w:adjustRightInd w:val="0"/>
                    <w:spacing w:before="0" w:after="0" w:line="240" w:lineRule="auto"/>
                    <w:ind w:right="0"/>
                    <w:jc w:val="center"/>
                    <w:rPr>
                      <w:rFonts w:eastAsiaTheme="minorEastAsia"/>
                      <w:szCs w:val="18"/>
                    </w:rPr>
                  </w:pPr>
                  <w:r>
                    <w:rPr>
                      <w:szCs w:val="18"/>
                    </w:rPr>
                    <w:t>39</w:t>
                  </w:r>
                </w:p>
              </w:tc>
              <w:tc>
                <w:tcPr>
                  <w:tcW w:w="567" w:type="dxa"/>
                  <w:vAlign w:val="center"/>
                </w:tcPr>
                <w:p w14:paraId="10EFE9AB">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2189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31DA5859">
                  <w:pPr>
                    <w:pStyle w:val="12"/>
                    <w:adjustRightInd w:val="0"/>
                    <w:spacing w:before="0" w:after="0" w:line="240" w:lineRule="auto"/>
                    <w:ind w:right="0"/>
                    <w:jc w:val="center"/>
                    <w:rPr>
                      <w:szCs w:val="18"/>
                    </w:rPr>
                  </w:pPr>
                </w:p>
              </w:tc>
              <w:tc>
                <w:tcPr>
                  <w:tcW w:w="647" w:type="dxa"/>
                  <w:vAlign w:val="center"/>
                </w:tcPr>
                <w:p w14:paraId="207C2F71">
                  <w:pPr>
                    <w:pStyle w:val="12"/>
                    <w:adjustRightInd w:val="0"/>
                    <w:spacing w:before="0" w:after="0" w:line="240" w:lineRule="auto"/>
                    <w:ind w:right="0"/>
                    <w:jc w:val="center"/>
                    <w:rPr>
                      <w:szCs w:val="18"/>
                      <w:lang w:bidi="ar"/>
                    </w:rPr>
                  </w:pPr>
                  <w:r>
                    <w:rPr>
                      <w:rFonts w:hint="eastAsia"/>
                      <w:kern w:val="24"/>
                      <w:szCs w:val="18"/>
                    </w:rPr>
                    <w:t>纵剪机组</w:t>
                  </w:r>
                  <w:r>
                    <w:rPr>
                      <w:szCs w:val="18"/>
                    </w:rPr>
                    <w:t>5#</w:t>
                  </w:r>
                </w:p>
              </w:tc>
              <w:tc>
                <w:tcPr>
                  <w:tcW w:w="724" w:type="dxa"/>
                  <w:vAlign w:val="center"/>
                </w:tcPr>
                <w:p w14:paraId="5734C51C">
                  <w:pPr>
                    <w:pStyle w:val="12"/>
                    <w:adjustRightInd w:val="0"/>
                    <w:spacing w:before="0" w:after="0" w:line="240" w:lineRule="auto"/>
                    <w:ind w:right="0"/>
                    <w:jc w:val="center"/>
                    <w:rPr>
                      <w:szCs w:val="18"/>
                    </w:rPr>
                  </w:pPr>
                  <w:r>
                    <w:rPr>
                      <w:rFonts w:hint="eastAsia"/>
                      <w:szCs w:val="18"/>
                    </w:rPr>
                    <w:t>/</w:t>
                  </w:r>
                </w:p>
              </w:tc>
              <w:tc>
                <w:tcPr>
                  <w:tcW w:w="897" w:type="dxa"/>
                  <w:vAlign w:val="center"/>
                </w:tcPr>
                <w:p w14:paraId="1E7AB2D1">
                  <w:pPr>
                    <w:pStyle w:val="12"/>
                    <w:adjustRightInd w:val="0"/>
                    <w:spacing w:before="0" w:after="0" w:line="240" w:lineRule="auto"/>
                    <w:ind w:right="0"/>
                    <w:jc w:val="center"/>
                    <w:rPr>
                      <w:kern w:val="24"/>
                      <w:szCs w:val="18"/>
                    </w:rPr>
                  </w:pPr>
                  <w:r>
                    <w:rPr>
                      <w:szCs w:val="18"/>
                    </w:rPr>
                    <w:t>90</w:t>
                  </w:r>
                </w:p>
              </w:tc>
              <w:tc>
                <w:tcPr>
                  <w:tcW w:w="772" w:type="dxa"/>
                  <w:vAlign w:val="center"/>
                </w:tcPr>
                <w:p w14:paraId="642AC820">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584C6969">
                  <w:pPr>
                    <w:pStyle w:val="12"/>
                    <w:adjustRightInd w:val="0"/>
                    <w:spacing w:before="0" w:after="0" w:line="240" w:lineRule="auto"/>
                    <w:ind w:right="0"/>
                    <w:jc w:val="center"/>
                    <w:rPr>
                      <w:rFonts w:eastAsiaTheme="minorEastAsia"/>
                      <w:szCs w:val="18"/>
                    </w:rPr>
                  </w:pPr>
                  <w:r>
                    <w:rPr>
                      <w:rFonts w:eastAsiaTheme="minorEastAsia"/>
                      <w:szCs w:val="18"/>
                    </w:rPr>
                    <w:t>119.12</w:t>
                  </w:r>
                </w:p>
              </w:tc>
              <w:tc>
                <w:tcPr>
                  <w:tcW w:w="687" w:type="dxa"/>
                  <w:vAlign w:val="center"/>
                </w:tcPr>
                <w:p w14:paraId="0674CFAB">
                  <w:pPr>
                    <w:pStyle w:val="12"/>
                    <w:adjustRightInd w:val="0"/>
                    <w:spacing w:before="0" w:after="0" w:line="240" w:lineRule="auto"/>
                    <w:ind w:right="0"/>
                    <w:jc w:val="center"/>
                    <w:rPr>
                      <w:rFonts w:eastAsiaTheme="minorEastAsia"/>
                      <w:szCs w:val="18"/>
                    </w:rPr>
                  </w:pPr>
                  <w:r>
                    <w:rPr>
                      <w:rFonts w:eastAsiaTheme="minorEastAsia"/>
                      <w:szCs w:val="18"/>
                    </w:rPr>
                    <w:t>109.07</w:t>
                  </w:r>
                </w:p>
              </w:tc>
              <w:tc>
                <w:tcPr>
                  <w:tcW w:w="592" w:type="dxa"/>
                  <w:vAlign w:val="center"/>
                </w:tcPr>
                <w:p w14:paraId="4A4F8386">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6775928E">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2</w:t>
                  </w:r>
                </w:p>
              </w:tc>
              <w:tc>
                <w:tcPr>
                  <w:tcW w:w="567" w:type="dxa"/>
                  <w:vAlign w:val="center"/>
                </w:tcPr>
                <w:p w14:paraId="24843A7D">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8.4</w:t>
                  </w:r>
                </w:p>
              </w:tc>
              <w:tc>
                <w:tcPr>
                  <w:tcW w:w="498" w:type="dxa"/>
                  <w:vMerge w:val="continue"/>
                  <w:vAlign w:val="center"/>
                </w:tcPr>
                <w:p w14:paraId="7FC48C45">
                  <w:pPr>
                    <w:pStyle w:val="12"/>
                    <w:adjustRightInd w:val="0"/>
                    <w:spacing w:before="0" w:after="0" w:line="240" w:lineRule="auto"/>
                    <w:ind w:right="0"/>
                    <w:jc w:val="center"/>
                    <w:rPr>
                      <w:rFonts w:eastAsiaTheme="minorEastAsia"/>
                      <w:szCs w:val="18"/>
                    </w:rPr>
                  </w:pPr>
                </w:p>
              </w:tc>
              <w:tc>
                <w:tcPr>
                  <w:tcW w:w="561" w:type="dxa"/>
                  <w:vAlign w:val="center"/>
                </w:tcPr>
                <w:p w14:paraId="3246427B">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4C7135A2">
                  <w:pPr>
                    <w:pStyle w:val="12"/>
                    <w:adjustRightInd w:val="0"/>
                    <w:spacing w:before="0" w:after="0" w:line="240" w:lineRule="auto"/>
                    <w:ind w:right="0"/>
                    <w:jc w:val="center"/>
                    <w:rPr>
                      <w:rFonts w:eastAsiaTheme="minorEastAsia"/>
                      <w:szCs w:val="18"/>
                    </w:rPr>
                  </w:pPr>
                  <w:r>
                    <w:rPr>
                      <w:szCs w:val="18"/>
                    </w:rPr>
                    <w:t>42.4</w:t>
                  </w:r>
                </w:p>
              </w:tc>
              <w:tc>
                <w:tcPr>
                  <w:tcW w:w="567" w:type="dxa"/>
                  <w:vAlign w:val="center"/>
                </w:tcPr>
                <w:p w14:paraId="2E237699">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5A4D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3141B1BE">
                  <w:pPr>
                    <w:pStyle w:val="12"/>
                    <w:adjustRightInd w:val="0"/>
                    <w:spacing w:before="0" w:after="0" w:line="240" w:lineRule="auto"/>
                    <w:ind w:right="0"/>
                    <w:jc w:val="center"/>
                    <w:rPr>
                      <w:szCs w:val="18"/>
                    </w:rPr>
                  </w:pPr>
                </w:p>
              </w:tc>
              <w:tc>
                <w:tcPr>
                  <w:tcW w:w="647" w:type="dxa"/>
                  <w:vAlign w:val="center"/>
                </w:tcPr>
                <w:p w14:paraId="404C8C88">
                  <w:pPr>
                    <w:pStyle w:val="12"/>
                    <w:adjustRightInd w:val="0"/>
                    <w:spacing w:before="0" w:after="0" w:line="240" w:lineRule="auto"/>
                    <w:ind w:right="0"/>
                    <w:jc w:val="center"/>
                    <w:rPr>
                      <w:szCs w:val="18"/>
                      <w:lang w:bidi="ar"/>
                    </w:rPr>
                  </w:pPr>
                  <w:r>
                    <w:rPr>
                      <w:szCs w:val="18"/>
                    </w:rPr>
                    <w:t>校直机5#</w:t>
                  </w:r>
                </w:p>
              </w:tc>
              <w:tc>
                <w:tcPr>
                  <w:tcW w:w="724" w:type="dxa"/>
                  <w:vAlign w:val="center"/>
                </w:tcPr>
                <w:p w14:paraId="53B81452">
                  <w:pPr>
                    <w:pStyle w:val="12"/>
                    <w:adjustRightInd w:val="0"/>
                    <w:spacing w:before="0" w:after="0" w:line="240" w:lineRule="auto"/>
                    <w:ind w:right="0"/>
                    <w:jc w:val="center"/>
                    <w:rPr>
                      <w:szCs w:val="18"/>
                    </w:rPr>
                  </w:pPr>
                  <w:r>
                    <w:rPr>
                      <w:rFonts w:hint="eastAsia"/>
                      <w:szCs w:val="18"/>
                    </w:rPr>
                    <w:t>/</w:t>
                  </w:r>
                </w:p>
              </w:tc>
              <w:tc>
                <w:tcPr>
                  <w:tcW w:w="897" w:type="dxa"/>
                  <w:vAlign w:val="center"/>
                </w:tcPr>
                <w:p w14:paraId="57F0829A">
                  <w:pPr>
                    <w:pStyle w:val="12"/>
                    <w:adjustRightInd w:val="0"/>
                    <w:spacing w:before="0" w:after="0" w:line="240" w:lineRule="auto"/>
                    <w:ind w:right="0"/>
                    <w:jc w:val="center"/>
                    <w:rPr>
                      <w:kern w:val="24"/>
                      <w:szCs w:val="18"/>
                    </w:rPr>
                  </w:pPr>
                  <w:r>
                    <w:rPr>
                      <w:szCs w:val="18"/>
                    </w:rPr>
                    <w:t>85</w:t>
                  </w:r>
                </w:p>
              </w:tc>
              <w:tc>
                <w:tcPr>
                  <w:tcW w:w="772" w:type="dxa"/>
                  <w:vAlign w:val="center"/>
                </w:tcPr>
                <w:p w14:paraId="40CF2E9A">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673BAFEC">
                  <w:pPr>
                    <w:pStyle w:val="12"/>
                    <w:adjustRightInd w:val="0"/>
                    <w:spacing w:before="0" w:after="0" w:line="240" w:lineRule="auto"/>
                    <w:ind w:right="0"/>
                    <w:jc w:val="center"/>
                    <w:rPr>
                      <w:rFonts w:eastAsiaTheme="minorEastAsia"/>
                      <w:szCs w:val="18"/>
                    </w:rPr>
                  </w:pPr>
                  <w:r>
                    <w:rPr>
                      <w:rFonts w:eastAsiaTheme="minorEastAsia"/>
                      <w:szCs w:val="18"/>
                    </w:rPr>
                    <w:t>109.54</w:t>
                  </w:r>
                </w:p>
              </w:tc>
              <w:tc>
                <w:tcPr>
                  <w:tcW w:w="687" w:type="dxa"/>
                  <w:vAlign w:val="center"/>
                </w:tcPr>
                <w:p w14:paraId="77D8D2BD">
                  <w:pPr>
                    <w:pStyle w:val="12"/>
                    <w:adjustRightInd w:val="0"/>
                    <w:spacing w:before="0" w:after="0" w:line="240" w:lineRule="auto"/>
                    <w:ind w:right="0"/>
                    <w:jc w:val="center"/>
                    <w:rPr>
                      <w:rFonts w:eastAsiaTheme="minorEastAsia"/>
                      <w:szCs w:val="18"/>
                    </w:rPr>
                  </w:pPr>
                  <w:r>
                    <w:rPr>
                      <w:rFonts w:eastAsiaTheme="minorEastAsia"/>
                      <w:szCs w:val="18"/>
                    </w:rPr>
                    <w:t>102.54</w:t>
                  </w:r>
                </w:p>
              </w:tc>
              <w:tc>
                <w:tcPr>
                  <w:tcW w:w="592" w:type="dxa"/>
                  <w:vAlign w:val="center"/>
                </w:tcPr>
                <w:p w14:paraId="54198CFA">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73423772">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6</w:t>
                  </w:r>
                </w:p>
              </w:tc>
              <w:tc>
                <w:tcPr>
                  <w:tcW w:w="567" w:type="dxa"/>
                  <w:vAlign w:val="center"/>
                </w:tcPr>
                <w:p w14:paraId="4E560E71">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0.9</w:t>
                  </w:r>
                </w:p>
              </w:tc>
              <w:tc>
                <w:tcPr>
                  <w:tcW w:w="498" w:type="dxa"/>
                  <w:vMerge w:val="continue"/>
                  <w:vAlign w:val="center"/>
                </w:tcPr>
                <w:p w14:paraId="5674F2F8">
                  <w:pPr>
                    <w:pStyle w:val="12"/>
                    <w:adjustRightInd w:val="0"/>
                    <w:spacing w:before="0" w:after="0" w:line="240" w:lineRule="auto"/>
                    <w:ind w:right="0"/>
                    <w:jc w:val="center"/>
                    <w:rPr>
                      <w:rFonts w:eastAsiaTheme="minorEastAsia"/>
                      <w:szCs w:val="18"/>
                    </w:rPr>
                  </w:pPr>
                </w:p>
              </w:tc>
              <w:tc>
                <w:tcPr>
                  <w:tcW w:w="561" w:type="dxa"/>
                  <w:vAlign w:val="center"/>
                </w:tcPr>
                <w:p w14:paraId="5F99FFD7">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31F8BC97">
                  <w:pPr>
                    <w:pStyle w:val="12"/>
                    <w:adjustRightInd w:val="0"/>
                    <w:spacing w:before="0" w:after="0" w:line="240" w:lineRule="auto"/>
                    <w:ind w:right="0"/>
                    <w:jc w:val="center"/>
                    <w:rPr>
                      <w:rFonts w:eastAsiaTheme="minorEastAsia"/>
                      <w:szCs w:val="18"/>
                    </w:rPr>
                  </w:pPr>
                  <w:r>
                    <w:rPr>
                      <w:szCs w:val="18"/>
                    </w:rPr>
                    <w:t>34.9</w:t>
                  </w:r>
                </w:p>
              </w:tc>
              <w:tc>
                <w:tcPr>
                  <w:tcW w:w="567" w:type="dxa"/>
                  <w:vAlign w:val="center"/>
                </w:tcPr>
                <w:p w14:paraId="2E67AC65">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4C57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11AC0A64">
                  <w:pPr>
                    <w:pStyle w:val="12"/>
                    <w:adjustRightInd w:val="0"/>
                    <w:spacing w:before="0" w:after="0" w:line="240" w:lineRule="auto"/>
                    <w:ind w:right="0"/>
                    <w:jc w:val="center"/>
                    <w:rPr>
                      <w:szCs w:val="18"/>
                    </w:rPr>
                  </w:pPr>
                </w:p>
              </w:tc>
              <w:tc>
                <w:tcPr>
                  <w:tcW w:w="647" w:type="dxa"/>
                  <w:vAlign w:val="center"/>
                </w:tcPr>
                <w:p w14:paraId="1017618B">
                  <w:pPr>
                    <w:pStyle w:val="12"/>
                    <w:adjustRightInd w:val="0"/>
                    <w:spacing w:before="0" w:after="0" w:line="240" w:lineRule="auto"/>
                    <w:ind w:right="0"/>
                    <w:jc w:val="center"/>
                    <w:rPr>
                      <w:szCs w:val="18"/>
                      <w:lang w:bidi="ar"/>
                    </w:rPr>
                  </w:pPr>
                  <w:r>
                    <w:rPr>
                      <w:szCs w:val="18"/>
                    </w:rPr>
                    <w:t>电动飞锯5#</w:t>
                  </w:r>
                </w:p>
              </w:tc>
              <w:tc>
                <w:tcPr>
                  <w:tcW w:w="724" w:type="dxa"/>
                  <w:vAlign w:val="center"/>
                </w:tcPr>
                <w:p w14:paraId="6C05C259">
                  <w:pPr>
                    <w:pStyle w:val="12"/>
                    <w:adjustRightInd w:val="0"/>
                    <w:spacing w:before="0" w:after="0" w:line="240" w:lineRule="auto"/>
                    <w:ind w:right="0"/>
                    <w:jc w:val="center"/>
                    <w:rPr>
                      <w:szCs w:val="18"/>
                    </w:rPr>
                  </w:pPr>
                  <w:r>
                    <w:rPr>
                      <w:rFonts w:hint="eastAsia"/>
                      <w:szCs w:val="18"/>
                    </w:rPr>
                    <w:t>/</w:t>
                  </w:r>
                </w:p>
              </w:tc>
              <w:tc>
                <w:tcPr>
                  <w:tcW w:w="897" w:type="dxa"/>
                  <w:vAlign w:val="center"/>
                </w:tcPr>
                <w:p w14:paraId="33FDBAA8">
                  <w:pPr>
                    <w:pStyle w:val="12"/>
                    <w:adjustRightInd w:val="0"/>
                    <w:spacing w:before="0" w:after="0" w:line="240" w:lineRule="auto"/>
                    <w:ind w:right="0"/>
                    <w:jc w:val="center"/>
                    <w:rPr>
                      <w:kern w:val="24"/>
                      <w:szCs w:val="18"/>
                    </w:rPr>
                  </w:pPr>
                  <w:r>
                    <w:rPr>
                      <w:szCs w:val="18"/>
                    </w:rPr>
                    <w:t>85</w:t>
                  </w:r>
                </w:p>
              </w:tc>
              <w:tc>
                <w:tcPr>
                  <w:tcW w:w="772" w:type="dxa"/>
                  <w:vAlign w:val="center"/>
                </w:tcPr>
                <w:p w14:paraId="27EE8F48">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05FB853E">
                  <w:pPr>
                    <w:pStyle w:val="12"/>
                    <w:adjustRightInd w:val="0"/>
                    <w:spacing w:before="0" w:after="0" w:line="240" w:lineRule="auto"/>
                    <w:ind w:right="0"/>
                    <w:jc w:val="center"/>
                    <w:rPr>
                      <w:rFonts w:eastAsiaTheme="minorEastAsia"/>
                      <w:szCs w:val="18"/>
                    </w:rPr>
                  </w:pPr>
                  <w:r>
                    <w:rPr>
                      <w:rFonts w:eastAsiaTheme="minorEastAsia"/>
                      <w:szCs w:val="18"/>
                    </w:rPr>
                    <w:t>100.16</w:t>
                  </w:r>
                </w:p>
              </w:tc>
              <w:tc>
                <w:tcPr>
                  <w:tcW w:w="687" w:type="dxa"/>
                  <w:vAlign w:val="center"/>
                </w:tcPr>
                <w:p w14:paraId="1D3344F6">
                  <w:pPr>
                    <w:pStyle w:val="12"/>
                    <w:adjustRightInd w:val="0"/>
                    <w:spacing w:before="0" w:after="0" w:line="240" w:lineRule="auto"/>
                    <w:ind w:right="0"/>
                    <w:jc w:val="center"/>
                    <w:rPr>
                      <w:rFonts w:eastAsiaTheme="minorEastAsia"/>
                      <w:szCs w:val="18"/>
                    </w:rPr>
                  </w:pPr>
                  <w:r>
                    <w:rPr>
                      <w:rFonts w:eastAsiaTheme="minorEastAsia"/>
                      <w:szCs w:val="18"/>
                    </w:rPr>
                    <w:t>96.59</w:t>
                  </w:r>
                </w:p>
              </w:tc>
              <w:tc>
                <w:tcPr>
                  <w:tcW w:w="592" w:type="dxa"/>
                  <w:vAlign w:val="center"/>
                </w:tcPr>
                <w:p w14:paraId="52E95600">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5C952686">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6</w:t>
                  </w:r>
                </w:p>
              </w:tc>
              <w:tc>
                <w:tcPr>
                  <w:tcW w:w="567" w:type="dxa"/>
                  <w:vAlign w:val="center"/>
                </w:tcPr>
                <w:p w14:paraId="60F3CB6E">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0.9</w:t>
                  </w:r>
                </w:p>
              </w:tc>
              <w:tc>
                <w:tcPr>
                  <w:tcW w:w="498" w:type="dxa"/>
                  <w:vMerge w:val="continue"/>
                  <w:vAlign w:val="center"/>
                </w:tcPr>
                <w:p w14:paraId="03D01242">
                  <w:pPr>
                    <w:pStyle w:val="12"/>
                    <w:adjustRightInd w:val="0"/>
                    <w:spacing w:before="0" w:after="0" w:line="240" w:lineRule="auto"/>
                    <w:ind w:right="0"/>
                    <w:jc w:val="center"/>
                    <w:rPr>
                      <w:rFonts w:eastAsiaTheme="minorEastAsia"/>
                      <w:szCs w:val="18"/>
                    </w:rPr>
                  </w:pPr>
                </w:p>
              </w:tc>
              <w:tc>
                <w:tcPr>
                  <w:tcW w:w="561" w:type="dxa"/>
                  <w:vAlign w:val="center"/>
                </w:tcPr>
                <w:p w14:paraId="6059128A">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54292A8C">
                  <w:pPr>
                    <w:pStyle w:val="12"/>
                    <w:adjustRightInd w:val="0"/>
                    <w:spacing w:before="0" w:after="0" w:line="240" w:lineRule="auto"/>
                    <w:ind w:right="0"/>
                    <w:jc w:val="center"/>
                    <w:rPr>
                      <w:rFonts w:eastAsiaTheme="minorEastAsia"/>
                      <w:szCs w:val="18"/>
                    </w:rPr>
                  </w:pPr>
                  <w:r>
                    <w:rPr>
                      <w:szCs w:val="18"/>
                    </w:rPr>
                    <w:t>34.9</w:t>
                  </w:r>
                </w:p>
              </w:tc>
              <w:tc>
                <w:tcPr>
                  <w:tcW w:w="567" w:type="dxa"/>
                  <w:vAlign w:val="center"/>
                </w:tcPr>
                <w:p w14:paraId="4A5224B6">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22B1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55AB179A">
                  <w:pPr>
                    <w:pStyle w:val="12"/>
                    <w:adjustRightInd w:val="0"/>
                    <w:spacing w:before="0" w:after="0" w:line="240" w:lineRule="auto"/>
                    <w:ind w:right="0"/>
                    <w:jc w:val="center"/>
                    <w:rPr>
                      <w:szCs w:val="18"/>
                    </w:rPr>
                  </w:pPr>
                </w:p>
              </w:tc>
              <w:tc>
                <w:tcPr>
                  <w:tcW w:w="647" w:type="dxa"/>
                  <w:vAlign w:val="center"/>
                </w:tcPr>
                <w:p w14:paraId="1FB553BA">
                  <w:pPr>
                    <w:pStyle w:val="12"/>
                    <w:adjustRightInd w:val="0"/>
                    <w:spacing w:before="0" w:after="0" w:line="240" w:lineRule="auto"/>
                    <w:ind w:right="0"/>
                    <w:jc w:val="center"/>
                    <w:rPr>
                      <w:szCs w:val="18"/>
                      <w:lang w:bidi="ar"/>
                    </w:rPr>
                  </w:pPr>
                  <w:r>
                    <w:rPr>
                      <w:rFonts w:hint="eastAsia"/>
                      <w:szCs w:val="18"/>
                      <w:lang w:bidi="ar"/>
                    </w:rPr>
                    <w:t>除尘器风机</w:t>
                  </w:r>
                  <w:r>
                    <w:rPr>
                      <w:szCs w:val="18"/>
                    </w:rPr>
                    <w:t>5#</w:t>
                  </w:r>
                </w:p>
              </w:tc>
              <w:tc>
                <w:tcPr>
                  <w:tcW w:w="724" w:type="dxa"/>
                  <w:vAlign w:val="center"/>
                </w:tcPr>
                <w:p w14:paraId="0A59C5D0">
                  <w:pPr>
                    <w:pStyle w:val="12"/>
                    <w:adjustRightInd w:val="0"/>
                    <w:spacing w:before="0" w:after="0" w:line="240" w:lineRule="auto"/>
                    <w:ind w:right="0"/>
                    <w:jc w:val="center"/>
                    <w:rPr>
                      <w:szCs w:val="18"/>
                    </w:rPr>
                  </w:pPr>
                  <w:r>
                    <w:rPr>
                      <w:rFonts w:hint="eastAsia"/>
                      <w:szCs w:val="18"/>
                    </w:rPr>
                    <w:t>/</w:t>
                  </w:r>
                </w:p>
              </w:tc>
              <w:tc>
                <w:tcPr>
                  <w:tcW w:w="897" w:type="dxa"/>
                  <w:vAlign w:val="center"/>
                </w:tcPr>
                <w:p w14:paraId="31067BBA">
                  <w:pPr>
                    <w:pStyle w:val="12"/>
                    <w:adjustRightInd w:val="0"/>
                    <w:spacing w:before="0" w:after="0" w:line="240" w:lineRule="auto"/>
                    <w:ind w:right="0"/>
                    <w:jc w:val="center"/>
                    <w:rPr>
                      <w:kern w:val="24"/>
                      <w:szCs w:val="18"/>
                    </w:rPr>
                  </w:pPr>
                  <w:r>
                    <w:rPr>
                      <w:szCs w:val="18"/>
                    </w:rPr>
                    <w:t>85</w:t>
                  </w:r>
                </w:p>
              </w:tc>
              <w:tc>
                <w:tcPr>
                  <w:tcW w:w="772" w:type="dxa"/>
                  <w:vAlign w:val="center"/>
                </w:tcPr>
                <w:p w14:paraId="60C56D21">
                  <w:pPr>
                    <w:pStyle w:val="12"/>
                    <w:adjustRightInd w:val="0"/>
                    <w:spacing w:before="0" w:after="0" w:line="240" w:lineRule="auto"/>
                    <w:ind w:right="0"/>
                    <w:jc w:val="center"/>
                    <w:rPr>
                      <w:rFonts w:eastAsiaTheme="minorEastAsia"/>
                      <w:szCs w:val="18"/>
                    </w:rPr>
                  </w:pPr>
                  <w:r>
                    <w:rPr>
                      <w:rFonts w:eastAsiaTheme="minorEastAsia"/>
                      <w:szCs w:val="18"/>
                    </w:rPr>
                    <w:t>基础减震</w:t>
                  </w:r>
                  <w:r>
                    <w:rPr>
                      <w:rFonts w:hint="eastAsia" w:eastAsiaTheme="minorEastAsia"/>
                      <w:szCs w:val="18"/>
                    </w:rPr>
                    <w:t>、</w:t>
                  </w:r>
                  <w:r>
                    <w:rPr>
                      <w:rFonts w:eastAsiaTheme="minorEastAsia"/>
                      <w:szCs w:val="18"/>
                    </w:rPr>
                    <w:t>厂房隔声、进风口消</w:t>
                  </w:r>
                  <w:r>
                    <w:rPr>
                      <w:rFonts w:hint="eastAsia" w:eastAsiaTheme="minorEastAsia"/>
                      <w:szCs w:val="18"/>
                    </w:rPr>
                    <w:t>声</w:t>
                  </w:r>
                  <w:r>
                    <w:rPr>
                      <w:rFonts w:eastAsiaTheme="minorEastAsia"/>
                      <w:szCs w:val="18"/>
                    </w:rPr>
                    <w:t>器</w:t>
                  </w:r>
                </w:p>
              </w:tc>
              <w:tc>
                <w:tcPr>
                  <w:tcW w:w="646" w:type="dxa"/>
                  <w:vAlign w:val="center"/>
                </w:tcPr>
                <w:p w14:paraId="10F86DAC">
                  <w:pPr>
                    <w:pStyle w:val="12"/>
                    <w:adjustRightInd w:val="0"/>
                    <w:spacing w:before="0" w:after="0" w:line="240" w:lineRule="auto"/>
                    <w:ind w:right="0"/>
                    <w:jc w:val="center"/>
                    <w:rPr>
                      <w:rFonts w:eastAsiaTheme="minorEastAsia"/>
                      <w:szCs w:val="18"/>
                    </w:rPr>
                  </w:pPr>
                  <w:r>
                    <w:rPr>
                      <w:rFonts w:eastAsiaTheme="minorEastAsia"/>
                      <w:szCs w:val="18"/>
                    </w:rPr>
                    <w:t>127.52</w:t>
                  </w:r>
                </w:p>
              </w:tc>
              <w:tc>
                <w:tcPr>
                  <w:tcW w:w="687" w:type="dxa"/>
                  <w:vAlign w:val="center"/>
                </w:tcPr>
                <w:p w14:paraId="25941B6E">
                  <w:pPr>
                    <w:pStyle w:val="12"/>
                    <w:adjustRightInd w:val="0"/>
                    <w:spacing w:before="0" w:after="0" w:line="240" w:lineRule="auto"/>
                    <w:ind w:right="0"/>
                    <w:jc w:val="center"/>
                    <w:rPr>
                      <w:rFonts w:eastAsiaTheme="minorEastAsia"/>
                      <w:szCs w:val="18"/>
                    </w:rPr>
                  </w:pPr>
                  <w:r>
                    <w:rPr>
                      <w:rFonts w:eastAsiaTheme="minorEastAsia"/>
                      <w:szCs w:val="18"/>
                    </w:rPr>
                    <w:t>117.15</w:t>
                  </w:r>
                </w:p>
              </w:tc>
              <w:tc>
                <w:tcPr>
                  <w:tcW w:w="592" w:type="dxa"/>
                  <w:vAlign w:val="center"/>
                </w:tcPr>
                <w:p w14:paraId="3DED0A6D">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49B5CBAB">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5E533151">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5.0</w:t>
                  </w:r>
                </w:p>
              </w:tc>
              <w:tc>
                <w:tcPr>
                  <w:tcW w:w="498" w:type="dxa"/>
                  <w:vMerge w:val="continue"/>
                  <w:vAlign w:val="center"/>
                </w:tcPr>
                <w:p w14:paraId="3897D43B">
                  <w:pPr>
                    <w:pStyle w:val="12"/>
                    <w:adjustRightInd w:val="0"/>
                    <w:spacing w:before="0" w:after="0" w:line="240" w:lineRule="auto"/>
                    <w:ind w:right="0"/>
                    <w:jc w:val="center"/>
                    <w:rPr>
                      <w:rFonts w:eastAsiaTheme="minorEastAsia"/>
                      <w:szCs w:val="18"/>
                    </w:rPr>
                  </w:pPr>
                </w:p>
              </w:tc>
              <w:tc>
                <w:tcPr>
                  <w:tcW w:w="561" w:type="dxa"/>
                  <w:vAlign w:val="center"/>
                </w:tcPr>
                <w:p w14:paraId="33B5B32D">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5CA793B9">
                  <w:pPr>
                    <w:pStyle w:val="12"/>
                    <w:adjustRightInd w:val="0"/>
                    <w:spacing w:before="0" w:after="0" w:line="240" w:lineRule="auto"/>
                    <w:ind w:right="0"/>
                    <w:jc w:val="center"/>
                    <w:rPr>
                      <w:rFonts w:eastAsiaTheme="minorEastAsia"/>
                      <w:szCs w:val="18"/>
                    </w:rPr>
                  </w:pPr>
                  <w:r>
                    <w:rPr>
                      <w:szCs w:val="18"/>
                    </w:rPr>
                    <w:t>39</w:t>
                  </w:r>
                </w:p>
              </w:tc>
              <w:tc>
                <w:tcPr>
                  <w:tcW w:w="567" w:type="dxa"/>
                  <w:vAlign w:val="center"/>
                </w:tcPr>
                <w:p w14:paraId="23DAF9E6">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5E0F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73D2E1A2">
                  <w:pPr>
                    <w:pStyle w:val="12"/>
                    <w:adjustRightInd w:val="0"/>
                    <w:spacing w:before="0" w:after="0" w:line="240" w:lineRule="auto"/>
                    <w:ind w:right="0"/>
                    <w:jc w:val="center"/>
                    <w:rPr>
                      <w:szCs w:val="18"/>
                    </w:rPr>
                  </w:pPr>
                </w:p>
              </w:tc>
              <w:tc>
                <w:tcPr>
                  <w:tcW w:w="647" w:type="dxa"/>
                  <w:vAlign w:val="center"/>
                </w:tcPr>
                <w:p w14:paraId="7C26F2BE">
                  <w:pPr>
                    <w:pStyle w:val="12"/>
                    <w:adjustRightInd w:val="0"/>
                    <w:spacing w:before="0" w:after="0" w:line="240" w:lineRule="auto"/>
                    <w:ind w:right="0"/>
                    <w:jc w:val="center"/>
                    <w:rPr>
                      <w:szCs w:val="18"/>
                      <w:lang w:bidi="ar"/>
                    </w:rPr>
                  </w:pPr>
                  <w:r>
                    <w:rPr>
                      <w:rFonts w:hint="eastAsia"/>
                      <w:szCs w:val="18"/>
                    </w:rPr>
                    <w:t>高频直缝焊管机组</w:t>
                  </w:r>
                  <w:r>
                    <w:rPr>
                      <w:szCs w:val="18"/>
                    </w:rPr>
                    <w:t>6#</w:t>
                  </w:r>
                </w:p>
              </w:tc>
              <w:tc>
                <w:tcPr>
                  <w:tcW w:w="724" w:type="dxa"/>
                  <w:vAlign w:val="center"/>
                </w:tcPr>
                <w:p w14:paraId="7D3B5CA1">
                  <w:pPr>
                    <w:pStyle w:val="12"/>
                    <w:adjustRightInd w:val="0"/>
                    <w:spacing w:before="0" w:after="0" w:line="240" w:lineRule="auto"/>
                    <w:ind w:right="0"/>
                    <w:jc w:val="center"/>
                    <w:rPr>
                      <w:szCs w:val="18"/>
                    </w:rPr>
                  </w:pPr>
                  <w:r>
                    <w:rPr>
                      <w:szCs w:val="18"/>
                    </w:rPr>
                    <w:t>76-89</w:t>
                  </w:r>
                  <w:r>
                    <w:rPr>
                      <w:rFonts w:hint="eastAsia"/>
                      <w:szCs w:val="18"/>
                    </w:rPr>
                    <w:t>型</w:t>
                  </w:r>
                </w:p>
              </w:tc>
              <w:tc>
                <w:tcPr>
                  <w:tcW w:w="897" w:type="dxa"/>
                  <w:vAlign w:val="center"/>
                </w:tcPr>
                <w:p w14:paraId="695D8532">
                  <w:pPr>
                    <w:pStyle w:val="12"/>
                    <w:adjustRightInd w:val="0"/>
                    <w:spacing w:before="0" w:after="0" w:line="240" w:lineRule="auto"/>
                    <w:ind w:right="0"/>
                    <w:jc w:val="center"/>
                    <w:rPr>
                      <w:kern w:val="24"/>
                      <w:szCs w:val="18"/>
                    </w:rPr>
                  </w:pPr>
                  <w:r>
                    <w:rPr>
                      <w:szCs w:val="18"/>
                    </w:rPr>
                    <w:t>85</w:t>
                  </w:r>
                </w:p>
              </w:tc>
              <w:tc>
                <w:tcPr>
                  <w:tcW w:w="772" w:type="dxa"/>
                  <w:vAlign w:val="center"/>
                </w:tcPr>
                <w:p w14:paraId="43CBC0FB">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7AB733A6">
                  <w:pPr>
                    <w:pStyle w:val="12"/>
                    <w:adjustRightInd w:val="0"/>
                    <w:spacing w:before="0" w:after="0" w:line="240" w:lineRule="auto"/>
                    <w:ind w:right="0"/>
                    <w:jc w:val="center"/>
                    <w:rPr>
                      <w:rFonts w:eastAsiaTheme="minorEastAsia"/>
                      <w:szCs w:val="18"/>
                    </w:rPr>
                  </w:pPr>
                  <w:r>
                    <w:rPr>
                      <w:rFonts w:eastAsiaTheme="minorEastAsia"/>
                      <w:szCs w:val="18"/>
                    </w:rPr>
                    <w:t>59.97</w:t>
                  </w:r>
                </w:p>
              </w:tc>
              <w:tc>
                <w:tcPr>
                  <w:tcW w:w="687" w:type="dxa"/>
                  <w:vAlign w:val="center"/>
                </w:tcPr>
                <w:p w14:paraId="614558AB">
                  <w:pPr>
                    <w:pStyle w:val="12"/>
                    <w:adjustRightInd w:val="0"/>
                    <w:spacing w:before="0" w:after="0" w:line="240" w:lineRule="auto"/>
                    <w:ind w:right="0"/>
                    <w:jc w:val="center"/>
                    <w:rPr>
                      <w:rFonts w:eastAsiaTheme="minorEastAsia"/>
                      <w:szCs w:val="18"/>
                    </w:rPr>
                  </w:pPr>
                  <w:r>
                    <w:rPr>
                      <w:rFonts w:eastAsiaTheme="minorEastAsia"/>
                      <w:szCs w:val="18"/>
                    </w:rPr>
                    <w:t>61.17</w:t>
                  </w:r>
                </w:p>
              </w:tc>
              <w:tc>
                <w:tcPr>
                  <w:tcW w:w="592" w:type="dxa"/>
                  <w:vAlign w:val="center"/>
                </w:tcPr>
                <w:p w14:paraId="3C679195">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6C48C576">
                  <w:pPr>
                    <w:pStyle w:val="12"/>
                    <w:adjustRightInd w:val="0"/>
                    <w:spacing w:before="0" w:after="0" w:line="240" w:lineRule="auto"/>
                    <w:ind w:right="0"/>
                    <w:jc w:val="center"/>
                    <w:rPr>
                      <w:rFonts w:eastAsiaTheme="minorEastAsia"/>
                      <w:szCs w:val="18"/>
                    </w:rPr>
                  </w:pPr>
                  <w:r>
                    <w:rPr>
                      <w:rFonts w:hint="eastAsia" w:eastAsiaTheme="minorEastAsia"/>
                      <w:szCs w:val="18"/>
                    </w:rPr>
                    <w:t>7</w:t>
                  </w:r>
                </w:p>
              </w:tc>
              <w:tc>
                <w:tcPr>
                  <w:tcW w:w="567" w:type="dxa"/>
                  <w:vAlign w:val="center"/>
                </w:tcPr>
                <w:p w14:paraId="3ECC32E2">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8.1</w:t>
                  </w:r>
                </w:p>
              </w:tc>
              <w:tc>
                <w:tcPr>
                  <w:tcW w:w="498" w:type="dxa"/>
                  <w:vMerge w:val="continue"/>
                  <w:vAlign w:val="center"/>
                </w:tcPr>
                <w:p w14:paraId="3AC8DB0C">
                  <w:pPr>
                    <w:pStyle w:val="12"/>
                    <w:adjustRightInd w:val="0"/>
                    <w:spacing w:before="0" w:after="0" w:line="240" w:lineRule="auto"/>
                    <w:ind w:right="0"/>
                    <w:jc w:val="center"/>
                    <w:rPr>
                      <w:rFonts w:eastAsiaTheme="minorEastAsia"/>
                      <w:szCs w:val="18"/>
                    </w:rPr>
                  </w:pPr>
                </w:p>
              </w:tc>
              <w:tc>
                <w:tcPr>
                  <w:tcW w:w="561" w:type="dxa"/>
                  <w:vAlign w:val="center"/>
                </w:tcPr>
                <w:p w14:paraId="4688381F">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72DDD227">
                  <w:pPr>
                    <w:pStyle w:val="12"/>
                    <w:adjustRightInd w:val="0"/>
                    <w:spacing w:before="0" w:after="0" w:line="240" w:lineRule="auto"/>
                    <w:ind w:right="0"/>
                    <w:jc w:val="center"/>
                    <w:rPr>
                      <w:rFonts w:eastAsiaTheme="minorEastAsia"/>
                      <w:szCs w:val="18"/>
                    </w:rPr>
                  </w:pPr>
                  <w:r>
                    <w:rPr>
                      <w:szCs w:val="18"/>
                    </w:rPr>
                    <w:t>42.1</w:t>
                  </w:r>
                </w:p>
              </w:tc>
              <w:tc>
                <w:tcPr>
                  <w:tcW w:w="567" w:type="dxa"/>
                  <w:vAlign w:val="center"/>
                </w:tcPr>
                <w:p w14:paraId="42D41AA7">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23B3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62BC7038">
                  <w:pPr>
                    <w:pStyle w:val="12"/>
                    <w:adjustRightInd w:val="0"/>
                    <w:spacing w:before="0" w:after="0" w:line="240" w:lineRule="auto"/>
                    <w:ind w:right="0"/>
                    <w:jc w:val="center"/>
                    <w:rPr>
                      <w:szCs w:val="18"/>
                    </w:rPr>
                  </w:pPr>
                </w:p>
              </w:tc>
              <w:tc>
                <w:tcPr>
                  <w:tcW w:w="647" w:type="dxa"/>
                  <w:vAlign w:val="center"/>
                </w:tcPr>
                <w:p w14:paraId="7229FC57">
                  <w:pPr>
                    <w:pStyle w:val="12"/>
                    <w:adjustRightInd w:val="0"/>
                    <w:spacing w:before="0" w:after="0" w:line="240" w:lineRule="auto"/>
                    <w:ind w:right="0"/>
                    <w:jc w:val="center"/>
                    <w:rPr>
                      <w:szCs w:val="18"/>
                      <w:lang w:bidi="ar"/>
                    </w:rPr>
                  </w:pPr>
                  <w:r>
                    <w:rPr>
                      <w:rFonts w:hint="eastAsia"/>
                      <w:kern w:val="24"/>
                      <w:szCs w:val="18"/>
                    </w:rPr>
                    <w:t>纵剪机组</w:t>
                  </w:r>
                  <w:r>
                    <w:rPr>
                      <w:szCs w:val="18"/>
                    </w:rPr>
                    <w:t>6#</w:t>
                  </w:r>
                </w:p>
              </w:tc>
              <w:tc>
                <w:tcPr>
                  <w:tcW w:w="724" w:type="dxa"/>
                  <w:vAlign w:val="center"/>
                </w:tcPr>
                <w:p w14:paraId="4FC29A4E">
                  <w:pPr>
                    <w:pStyle w:val="12"/>
                    <w:adjustRightInd w:val="0"/>
                    <w:spacing w:before="0" w:after="0" w:line="240" w:lineRule="auto"/>
                    <w:ind w:right="0"/>
                    <w:jc w:val="center"/>
                    <w:rPr>
                      <w:szCs w:val="18"/>
                    </w:rPr>
                  </w:pPr>
                  <w:r>
                    <w:rPr>
                      <w:rFonts w:hint="eastAsia"/>
                      <w:szCs w:val="18"/>
                    </w:rPr>
                    <w:t>/</w:t>
                  </w:r>
                </w:p>
              </w:tc>
              <w:tc>
                <w:tcPr>
                  <w:tcW w:w="897" w:type="dxa"/>
                  <w:vAlign w:val="center"/>
                </w:tcPr>
                <w:p w14:paraId="77A6702F">
                  <w:pPr>
                    <w:pStyle w:val="12"/>
                    <w:adjustRightInd w:val="0"/>
                    <w:spacing w:before="0" w:after="0" w:line="240" w:lineRule="auto"/>
                    <w:ind w:right="0"/>
                    <w:jc w:val="center"/>
                    <w:rPr>
                      <w:kern w:val="24"/>
                      <w:szCs w:val="18"/>
                    </w:rPr>
                  </w:pPr>
                  <w:r>
                    <w:rPr>
                      <w:szCs w:val="18"/>
                    </w:rPr>
                    <w:t>90</w:t>
                  </w:r>
                </w:p>
              </w:tc>
              <w:tc>
                <w:tcPr>
                  <w:tcW w:w="772" w:type="dxa"/>
                  <w:vAlign w:val="center"/>
                </w:tcPr>
                <w:p w14:paraId="472AB0B6">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4BCA16D9">
                  <w:pPr>
                    <w:pStyle w:val="12"/>
                    <w:adjustRightInd w:val="0"/>
                    <w:spacing w:before="0" w:after="0" w:line="240" w:lineRule="auto"/>
                    <w:ind w:right="0"/>
                    <w:jc w:val="center"/>
                    <w:rPr>
                      <w:rFonts w:eastAsiaTheme="minorEastAsia"/>
                      <w:szCs w:val="18"/>
                    </w:rPr>
                  </w:pPr>
                  <w:r>
                    <w:rPr>
                      <w:rFonts w:eastAsiaTheme="minorEastAsia"/>
                      <w:szCs w:val="18"/>
                    </w:rPr>
                    <w:t>63.46</w:t>
                  </w:r>
                </w:p>
              </w:tc>
              <w:tc>
                <w:tcPr>
                  <w:tcW w:w="687" w:type="dxa"/>
                  <w:vAlign w:val="center"/>
                </w:tcPr>
                <w:p w14:paraId="22DB6FC8">
                  <w:pPr>
                    <w:pStyle w:val="12"/>
                    <w:adjustRightInd w:val="0"/>
                    <w:spacing w:before="0" w:after="0" w:line="240" w:lineRule="auto"/>
                    <w:ind w:right="0"/>
                    <w:jc w:val="center"/>
                    <w:rPr>
                      <w:rFonts w:eastAsiaTheme="minorEastAsia"/>
                      <w:szCs w:val="18"/>
                    </w:rPr>
                  </w:pPr>
                  <w:r>
                    <w:rPr>
                      <w:rFonts w:eastAsiaTheme="minorEastAsia"/>
                      <w:szCs w:val="18"/>
                    </w:rPr>
                    <w:t>69.98</w:t>
                  </w:r>
                </w:p>
              </w:tc>
              <w:tc>
                <w:tcPr>
                  <w:tcW w:w="592" w:type="dxa"/>
                  <w:vAlign w:val="center"/>
                </w:tcPr>
                <w:p w14:paraId="575C032D">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7FF2C609">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4</w:t>
                  </w:r>
                </w:p>
              </w:tc>
              <w:tc>
                <w:tcPr>
                  <w:tcW w:w="567" w:type="dxa"/>
                  <w:vAlign w:val="center"/>
                </w:tcPr>
                <w:p w14:paraId="1FA44EAB">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7.1</w:t>
                  </w:r>
                </w:p>
              </w:tc>
              <w:tc>
                <w:tcPr>
                  <w:tcW w:w="498" w:type="dxa"/>
                  <w:vMerge w:val="continue"/>
                  <w:vAlign w:val="center"/>
                </w:tcPr>
                <w:p w14:paraId="7D6AB249">
                  <w:pPr>
                    <w:pStyle w:val="12"/>
                    <w:adjustRightInd w:val="0"/>
                    <w:spacing w:before="0" w:after="0" w:line="240" w:lineRule="auto"/>
                    <w:ind w:right="0"/>
                    <w:jc w:val="center"/>
                    <w:rPr>
                      <w:rFonts w:eastAsiaTheme="minorEastAsia"/>
                      <w:szCs w:val="18"/>
                    </w:rPr>
                  </w:pPr>
                </w:p>
              </w:tc>
              <w:tc>
                <w:tcPr>
                  <w:tcW w:w="561" w:type="dxa"/>
                  <w:vAlign w:val="center"/>
                </w:tcPr>
                <w:p w14:paraId="01469542">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0BD8A679">
                  <w:pPr>
                    <w:pStyle w:val="12"/>
                    <w:adjustRightInd w:val="0"/>
                    <w:spacing w:before="0" w:after="0" w:line="240" w:lineRule="auto"/>
                    <w:ind w:right="0"/>
                    <w:jc w:val="center"/>
                    <w:rPr>
                      <w:rFonts w:eastAsiaTheme="minorEastAsia"/>
                      <w:szCs w:val="18"/>
                    </w:rPr>
                  </w:pPr>
                  <w:r>
                    <w:rPr>
                      <w:szCs w:val="18"/>
                    </w:rPr>
                    <w:t>41.1</w:t>
                  </w:r>
                </w:p>
              </w:tc>
              <w:tc>
                <w:tcPr>
                  <w:tcW w:w="567" w:type="dxa"/>
                  <w:vAlign w:val="center"/>
                </w:tcPr>
                <w:p w14:paraId="11772ADB">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4264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6528B3CC">
                  <w:pPr>
                    <w:pStyle w:val="12"/>
                    <w:adjustRightInd w:val="0"/>
                    <w:spacing w:before="0" w:after="0" w:line="240" w:lineRule="auto"/>
                    <w:ind w:right="0"/>
                    <w:jc w:val="center"/>
                    <w:rPr>
                      <w:szCs w:val="18"/>
                    </w:rPr>
                  </w:pPr>
                </w:p>
              </w:tc>
              <w:tc>
                <w:tcPr>
                  <w:tcW w:w="647" w:type="dxa"/>
                  <w:vAlign w:val="center"/>
                </w:tcPr>
                <w:p w14:paraId="65868DEC">
                  <w:pPr>
                    <w:pStyle w:val="12"/>
                    <w:adjustRightInd w:val="0"/>
                    <w:spacing w:before="0" w:after="0" w:line="240" w:lineRule="auto"/>
                    <w:ind w:right="0"/>
                    <w:jc w:val="center"/>
                    <w:rPr>
                      <w:szCs w:val="18"/>
                      <w:lang w:bidi="ar"/>
                    </w:rPr>
                  </w:pPr>
                  <w:r>
                    <w:rPr>
                      <w:szCs w:val="18"/>
                    </w:rPr>
                    <w:t>校直机6#</w:t>
                  </w:r>
                </w:p>
              </w:tc>
              <w:tc>
                <w:tcPr>
                  <w:tcW w:w="724" w:type="dxa"/>
                  <w:vAlign w:val="center"/>
                </w:tcPr>
                <w:p w14:paraId="75FF7764">
                  <w:pPr>
                    <w:pStyle w:val="12"/>
                    <w:adjustRightInd w:val="0"/>
                    <w:spacing w:before="0" w:after="0" w:line="240" w:lineRule="auto"/>
                    <w:ind w:right="0"/>
                    <w:jc w:val="center"/>
                    <w:rPr>
                      <w:szCs w:val="18"/>
                    </w:rPr>
                  </w:pPr>
                  <w:r>
                    <w:rPr>
                      <w:rFonts w:hint="eastAsia"/>
                      <w:szCs w:val="18"/>
                    </w:rPr>
                    <w:t>/</w:t>
                  </w:r>
                </w:p>
              </w:tc>
              <w:tc>
                <w:tcPr>
                  <w:tcW w:w="897" w:type="dxa"/>
                  <w:vAlign w:val="center"/>
                </w:tcPr>
                <w:p w14:paraId="64941D4E">
                  <w:pPr>
                    <w:pStyle w:val="12"/>
                    <w:adjustRightInd w:val="0"/>
                    <w:spacing w:before="0" w:after="0" w:line="240" w:lineRule="auto"/>
                    <w:ind w:right="0"/>
                    <w:jc w:val="center"/>
                    <w:rPr>
                      <w:kern w:val="24"/>
                      <w:szCs w:val="18"/>
                    </w:rPr>
                  </w:pPr>
                  <w:r>
                    <w:rPr>
                      <w:szCs w:val="18"/>
                    </w:rPr>
                    <w:t>85</w:t>
                  </w:r>
                </w:p>
              </w:tc>
              <w:tc>
                <w:tcPr>
                  <w:tcW w:w="772" w:type="dxa"/>
                  <w:vAlign w:val="center"/>
                </w:tcPr>
                <w:p w14:paraId="21351B6B">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0D69A8CC">
                  <w:pPr>
                    <w:pStyle w:val="12"/>
                    <w:adjustRightInd w:val="0"/>
                    <w:spacing w:before="0" w:after="0" w:line="240" w:lineRule="auto"/>
                    <w:ind w:right="0"/>
                    <w:jc w:val="center"/>
                    <w:rPr>
                      <w:rFonts w:eastAsiaTheme="minorEastAsia"/>
                      <w:szCs w:val="18"/>
                    </w:rPr>
                  </w:pPr>
                  <w:r>
                    <w:rPr>
                      <w:rFonts w:eastAsiaTheme="minorEastAsia"/>
                      <w:szCs w:val="18"/>
                    </w:rPr>
                    <w:t>79.24</w:t>
                  </w:r>
                </w:p>
              </w:tc>
              <w:tc>
                <w:tcPr>
                  <w:tcW w:w="687" w:type="dxa"/>
                  <w:vAlign w:val="center"/>
                </w:tcPr>
                <w:p w14:paraId="297D542E">
                  <w:pPr>
                    <w:pStyle w:val="12"/>
                    <w:adjustRightInd w:val="0"/>
                    <w:spacing w:before="0" w:after="0" w:line="240" w:lineRule="auto"/>
                    <w:ind w:right="0"/>
                    <w:jc w:val="center"/>
                    <w:rPr>
                      <w:rFonts w:eastAsiaTheme="minorEastAsia"/>
                      <w:szCs w:val="18"/>
                    </w:rPr>
                  </w:pPr>
                  <w:r>
                    <w:rPr>
                      <w:rFonts w:eastAsiaTheme="minorEastAsia"/>
                      <w:szCs w:val="18"/>
                    </w:rPr>
                    <w:t>73.49</w:t>
                  </w:r>
                </w:p>
              </w:tc>
              <w:tc>
                <w:tcPr>
                  <w:tcW w:w="592" w:type="dxa"/>
                  <w:vAlign w:val="center"/>
                </w:tcPr>
                <w:p w14:paraId="481339C8">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249C9C07">
                  <w:pPr>
                    <w:pStyle w:val="12"/>
                    <w:adjustRightInd w:val="0"/>
                    <w:spacing w:before="0" w:after="0" w:line="240" w:lineRule="auto"/>
                    <w:ind w:right="0"/>
                    <w:jc w:val="center"/>
                    <w:rPr>
                      <w:rFonts w:eastAsiaTheme="minorEastAsia"/>
                      <w:szCs w:val="18"/>
                    </w:rPr>
                  </w:pPr>
                  <w:r>
                    <w:rPr>
                      <w:rFonts w:hint="eastAsia" w:eastAsiaTheme="minorEastAsia"/>
                      <w:szCs w:val="18"/>
                    </w:rPr>
                    <w:t>8</w:t>
                  </w:r>
                </w:p>
              </w:tc>
              <w:tc>
                <w:tcPr>
                  <w:tcW w:w="567" w:type="dxa"/>
                  <w:vAlign w:val="center"/>
                </w:tcPr>
                <w:p w14:paraId="271A8160">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6.9</w:t>
                  </w:r>
                </w:p>
              </w:tc>
              <w:tc>
                <w:tcPr>
                  <w:tcW w:w="498" w:type="dxa"/>
                  <w:vMerge w:val="continue"/>
                  <w:vAlign w:val="center"/>
                </w:tcPr>
                <w:p w14:paraId="3EE208A1">
                  <w:pPr>
                    <w:pStyle w:val="12"/>
                    <w:adjustRightInd w:val="0"/>
                    <w:spacing w:before="0" w:after="0" w:line="240" w:lineRule="auto"/>
                    <w:ind w:right="0"/>
                    <w:jc w:val="center"/>
                    <w:rPr>
                      <w:rFonts w:eastAsiaTheme="minorEastAsia"/>
                      <w:szCs w:val="18"/>
                    </w:rPr>
                  </w:pPr>
                </w:p>
              </w:tc>
              <w:tc>
                <w:tcPr>
                  <w:tcW w:w="561" w:type="dxa"/>
                  <w:vAlign w:val="center"/>
                </w:tcPr>
                <w:p w14:paraId="0071F0A5">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2E29897D">
                  <w:pPr>
                    <w:pStyle w:val="12"/>
                    <w:adjustRightInd w:val="0"/>
                    <w:spacing w:before="0" w:after="0" w:line="240" w:lineRule="auto"/>
                    <w:ind w:right="0"/>
                    <w:jc w:val="center"/>
                    <w:rPr>
                      <w:rFonts w:eastAsiaTheme="minorEastAsia"/>
                      <w:szCs w:val="18"/>
                    </w:rPr>
                  </w:pPr>
                  <w:r>
                    <w:rPr>
                      <w:szCs w:val="18"/>
                    </w:rPr>
                    <w:t>40.9</w:t>
                  </w:r>
                </w:p>
              </w:tc>
              <w:tc>
                <w:tcPr>
                  <w:tcW w:w="567" w:type="dxa"/>
                  <w:vAlign w:val="center"/>
                </w:tcPr>
                <w:p w14:paraId="0A8C45F3">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182D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6CAD9B37">
                  <w:pPr>
                    <w:pStyle w:val="12"/>
                    <w:adjustRightInd w:val="0"/>
                    <w:spacing w:before="0" w:after="0" w:line="240" w:lineRule="auto"/>
                    <w:ind w:right="0"/>
                    <w:jc w:val="center"/>
                    <w:rPr>
                      <w:szCs w:val="18"/>
                    </w:rPr>
                  </w:pPr>
                </w:p>
              </w:tc>
              <w:tc>
                <w:tcPr>
                  <w:tcW w:w="647" w:type="dxa"/>
                  <w:vAlign w:val="center"/>
                </w:tcPr>
                <w:p w14:paraId="5B28805E">
                  <w:pPr>
                    <w:pStyle w:val="12"/>
                    <w:adjustRightInd w:val="0"/>
                    <w:spacing w:before="0" w:after="0" w:line="240" w:lineRule="auto"/>
                    <w:ind w:right="0"/>
                    <w:jc w:val="center"/>
                    <w:rPr>
                      <w:szCs w:val="18"/>
                      <w:lang w:bidi="ar"/>
                    </w:rPr>
                  </w:pPr>
                  <w:r>
                    <w:rPr>
                      <w:szCs w:val="18"/>
                    </w:rPr>
                    <w:t>电动飞锯6#</w:t>
                  </w:r>
                </w:p>
              </w:tc>
              <w:tc>
                <w:tcPr>
                  <w:tcW w:w="724" w:type="dxa"/>
                  <w:vAlign w:val="center"/>
                </w:tcPr>
                <w:p w14:paraId="3BD18BDD">
                  <w:pPr>
                    <w:pStyle w:val="12"/>
                    <w:adjustRightInd w:val="0"/>
                    <w:spacing w:before="0" w:after="0" w:line="240" w:lineRule="auto"/>
                    <w:ind w:right="0"/>
                    <w:jc w:val="center"/>
                    <w:rPr>
                      <w:szCs w:val="18"/>
                    </w:rPr>
                  </w:pPr>
                  <w:r>
                    <w:rPr>
                      <w:rFonts w:hint="eastAsia"/>
                      <w:szCs w:val="18"/>
                    </w:rPr>
                    <w:t>/</w:t>
                  </w:r>
                </w:p>
              </w:tc>
              <w:tc>
                <w:tcPr>
                  <w:tcW w:w="897" w:type="dxa"/>
                  <w:vAlign w:val="center"/>
                </w:tcPr>
                <w:p w14:paraId="70EF5E78">
                  <w:pPr>
                    <w:pStyle w:val="12"/>
                    <w:adjustRightInd w:val="0"/>
                    <w:spacing w:before="0" w:after="0" w:line="240" w:lineRule="auto"/>
                    <w:ind w:right="0"/>
                    <w:jc w:val="center"/>
                    <w:rPr>
                      <w:kern w:val="24"/>
                      <w:szCs w:val="18"/>
                    </w:rPr>
                  </w:pPr>
                  <w:r>
                    <w:rPr>
                      <w:szCs w:val="18"/>
                    </w:rPr>
                    <w:t>85</w:t>
                  </w:r>
                </w:p>
              </w:tc>
              <w:tc>
                <w:tcPr>
                  <w:tcW w:w="772" w:type="dxa"/>
                  <w:vAlign w:val="center"/>
                </w:tcPr>
                <w:p w14:paraId="2A0822D9">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152D9F0C">
                  <w:pPr>
                    <w:pStyle w:val="12"/>
                    <w:adjustRightInd w:val="0"/>
                    <w:spacing w:before="0" w:after="0" w:line="240" w:lineRule="auto"/>
                    <w:ind w:right="0"/>
                    <w:jc w:val="center"/>
                    <w:rPr>
                      <w:rFonts w:eastAsiaTheme="minorEastAsia"/>
                      <w:szCs w:val="18"/>
                    </w:rPr>
                  </w:pPr>
                  <w:r>
                    <w:rPr>
                      <w:rFonts w:eastAsiaTheme="minorEastAsia"/>
                      <w:szCs w:val="18"/>
                    </w:rPr>
                    <w:t>91.55</w:t>
                  </w:r>
                </w:p>
              </w:tc>
              <w:tc>
                <w:tcPr>
                  <w:tcW w:w="687" w:type="dxa"/>
                  <w:vAlign w:val="center"/>
                </w:tcPr>
                <w:p w14:paraId="123B5C64">
                  <w:pPr>
                    <w:pStyle w:val="12"/>
                    <w:adjustRightInd w:val="0"/>
                    <w:spacing w:before="0" w:after="0" w:line="240" w:lineRule="auto"/>
                    <w:ind w:right="0"/>
                    <w:jc w:val="center"/>
                    <w:rPr>
                      <w:rFonts w:eastAsiaTheme="minorEastAsia"/>
                      <w:szCs w:val="18"/>
                    </w:rPr>
                  </w:pPr>
                  <w:r>
                    <w:rPr>
                      <w:rFonts w:eastAsiaTheme="minorEastAsia"/>
                      <w:szCs w:val="18"/>
                    </w:rPr>
                    <w:t>82.72</w:t>
                  </w:r>
                </w:p>
              </w:tc>
              <w:tc>
                <w:tcPr>
                  <w:tcW w:w="592" w:type="dxa"/>
                  <w:vAlign w:val="center"/>
                </w:tcPr>
                <w:p w14:paraId="0A541151">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5629119D">
                  <w:pPr>
                    <w:pStyle w:val="12"/>
                    <w:adjustRightInd w:val="0"/>
                    <w:spacing w:before="0" w:after="0" w:line="240" w:lineRule="auto"/>
                    <w:ind w:right="0"/>
                    <w:jc w:val="center"/>
                    <w:rPr>
                      <w:rFonts w:eastAsiaTheme="minorEastAsia"/>
                      <w:szCs w:val="18"/>
                    </w:rPr>
                  </w:pPr>
                  <w:r>
                    <w:rPr>
                      <w:rFonts w:hint="eastAsia" w:eastAsiaTheme="minorEastAsia"/>
                      <w:szCs w:val="18"/>
                    </w:rPr>
                    <w:t>8</w:t>
                  </w:r>
                </w:p>
              </w:tc>
              <w:tc>
                <w:tcPr>
                  <w:tcW w:w="567" w:type="dxa"/>
                  <w:vAlign w:val="center"/>
                </w:tcPr>
                <w:p w14:paraId="00958EED">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6.9</w:t>
                  </w:r>
                </w:p>
              </w:tc>
              <w:tc>
                <w:tcPr>
                  <w:tcW w:w="498" w:type="dxa"/>
                  <w:vMerge w:val="continue"/>
                  <w:vAlign w:val="center"/>
                </w:tcPr>
                <w:p w14:paraId="0498DA3D">
                  <w:pPr>
                    <w:pStyle w:val="12"/>
                    <w:adjustRightInd w:val="0"/>
                    <w:spacing w:before="0" w:after="0" w:line="240" w:lineRule="auto"/>
                    <w:ind w:right="0"/>
                    <w:jc w:val="center"/>
                    <w:rPr>
                      <w:rFonts w:eastAsiaTheme="minorEastAsia"/>
                      <w:szCs w:val="18"/>
                    </w:rPr>
                  </w:pPr>
                </w:p>
              </w:tc>
              <w:tc>
                <w:tcPr>
                  <w:tcW w:w="561" w:type="dxa"/>
                  <w:vAlign w:val="center"/>
                </w:tcPr>
                <w:p w14:paraId="76F91C37">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4DBC6F4F">
                  <w:pPr>
                    <w:pStyle w:val="12"/>
                    <w:adjustRightInd w:val="0"/>
                    <w:spacing w:before="0" w:after="0" w:line="240" w:lineRule="auto"/>
                    <w:ind w:right="0"/>
                    <w:jc w:val="center"/>
                    <w:rPr>
                      <w:rFonts w:eastAsiaTheme="minorEastAsia"/>
                      <w:szCs w:val="18"/>
                    </w:rPr>
                  </w:pPr>
                  <w:r>
                    <w:rPr>
                      <w:szCs w:val="18"/>
                    </w:rPr>
                    <w:t>40.9</w:t>
                  </w:r>
                </w:p>
              </w:tc>
              <w:tc>
                <w:tcPr>
                  <w:tcW w:w="567" w:type="dxa"/>
                  <w:vAlign w:val="center"/>
                </w:tcPr>
                <w:p w14:paraId="510717EB">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50E2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5C0A060B">
                  <w:pPr>
                    <w:pStyle w:val="12"/>
                    <w:adjustRightInd w:val="0"/>
                    <w:spacing w:before="0" w:after="0" w:line="240" w:lineRule="auto"/>
                    <w:ind w:right="0"/>
                    <w:jc w:val="center"/>
                    <w:rPr>
                      <w:szCs w:val="18"/>
                    </w:rPr>
                  </w:pPr>
                </w:p>
              </w:tc>
              <w:tc>
                <w:tcPr>
                  <w:tcW w:w="647" w:type="dxa"/>
                  <w:vAlign w:val="center"/>
                </w:tcPr>
                <w:p w14:paraId="0796BB40">
                  <w:pPr>
                    <w:pStyle w:val="12"/>
                    <w:adjustRightInd w:val="0"/>
                    <w:spacing w:before="0" w:after="0" w:line="240" w:lineRule="auto"/>
                    <w:ind w:right="0"/>
                    <w:jc w:val="center"/>
                    <w:rPr>
                      <w:szCs w:val="18"/>
                      <w:lang w:bidi="ar"/>
                    </w:rPr>
                  </w:pPr>
                  <w:r>
                    <w:rPr>
                      <w:rFonts w:hint="eastAsia"/>
                      <w:szCs w:val="18"/>
                      <w:lang w:bidi="ar"/>
                    </w:rPr>
                    <w:t>除尘器风机</w:t>
                  </w:r>
                  <w:r>
                    <w:rPr>
                      <w:szCs w:val="18"/>
                    </w:rPr>
                    <w:t>6#</w:t>
                  </w:r>
                </w:p>
              </w:tc>
              <w:tc>
                <w:tcPr>
                  <w:tcW w:w="724" w:type="dxa"/>
                  <w:vAlign w:val="center"/>
                </w:tcPr>
                <w:p w14:paraId="3C9A4544">
                  <w:pPr>
                    <w:pStyle w:val="12"/>
                    <w:adjustRightInd w:val="0"/>
                    <w:spacing w:before="0" w:after="0" w:line="240" w:lineRule="auto"/>
                    <w:ind w:right="0"/>
                    <w:jc w:val="center"/>
                    <w:rPr>
                      <w:szCs w:val="18"/>
                    </w:rPr>
                  </w:pPr>
                  <w:r>
                    <w:rPr>
                      <w:rFonts w:hint="eastAsia"/>
                      <w:szCs w:val="18"/>
                    </w:rPr>
                    <w:t>/</w:t>
                  </w:r>
                </w:p>
              </w:tc>
              <w:tc>
                <w:tcPr>
                  <w:tcW w:w="897" w:type="dxa"/>
                  <w:vAlign w:val="center"/>
                </w:tcPr>
                <w:p w14:paraId="05601254">
                  <w:pPr>
                    <w:pStyle w:val="12"/>
                    <w:adjustRightInd w:val="0"/>
                    <w:spacing w:before="0" w:after="0" w:line="240" w:lineRule="auto"/>
                    <w:ind w:right="0"/>
                    <w:jc w:val="center"/>
                    <w:rPr>
                      <w:kern w:val="24"/>
                      <w:szCs w:val="18"/>
                    </w:rPr>
                  </w:pPr>
                  <w:r>
                    <w:rPr>
                      <w:szCs w:val="18"/>
                    </w:rPr>
                    <w:t>85</w:t>
                  </w:r>
                </w:p>
              </w:tc>
              <w:tc>
                <w:tcPr>
                  <w:tcW w:w="772" w:type="dxa"/>
                  <w:vAlign w:val="center"/>
                </w:tcPr>
                <w:p w14:paraId="51ABE513">
                  <w:pPr>
                    <w:pStyle w:val="12"/>
                    <w:adjustRightInd w:val="0"/>
                    <w:spacing w:before="0" w:after="0" w:line="240" w:lineRule="auto"/>
                    <w:ind w:right="0"/>
                    <w:jc w:val="center"/>
                    <w:rPr>
                      <w:rFonts w:eastAsiaTheme="minorEastAsia"/>
                      <w:szCs w:val="18"/>
                    </w:rPr>
                  </w:pPr>
                  <w:r>
                    <w:rPr>
                      <w:rFonts w:eastAsiaTheme="minorEastAsia"/>
                      <w:szCs w:val="18"/>
                    </w:rPr>
                    <w:t>基础减震</w:t>
                  </w:r>
                  <w:r>
                    <w:rPr>
                      <w:rFonts w:hint="eastAsia" w:eastAsiaTheme="minorEastAsia"/>
                      <w:szCs w:val="18"/>
                    </w:rPr>
                    <w:t>、</w:t>
                  </w:r>
                  <w:r>
                    <w:rPr>
                      <w:rFonts w:eastAsiaTheme="minorEastAsia"/>
                      <w:szCs w:val="18"/>
                    </w:rPr>
                    <w:t>厂房隔声、进风口消</w:t>
                  </w:r>
                  <w:r>
                    <w:rPr>
                      <w:rFonts w:hint="eastAsia" w:eastAsiaTheme="minorEastAsia"/>
                      <w:szCs w:val="18"/>
                    </w:rPr>
                    <w:t>声</w:t>
                  </w:r>
                  <w:r>
                    <w:rPr>
                      <w:rFonts w:eastAsiaTheme="minorEastAsia"/>
                      <w:szCs w:val="18"/>
                    </w:rPr>
                    <w:t>器</w:t>
                  </w:r>
                </w:p>
              </w:tc>
              <w:tc>
                <w:tcPr>
                  <w:tcW w:w="646" w:type="dxa"/>
                  <w:vAlign w:val="center"/>
                </w:tcPr>
                <w:p w14:paraId="4A7FEB75">
                  <w:pPr>
                    <w:pStyle w:val="12"/>
                    <w:adjustRightInd w:val="0"/>
                    <w:spacing w:before="0" w:after="0" w:line="240" w:lineRule="auto"/>
                    <w:ind w:right="0"/>
                    <w:jc w:val="center"/>
                    <w:rPr>
                      <w:rFonts w:eastAsiaTheme="minorEastAsia"/>
                      <w:szCs w:val="18"/>
                    </w:rPr>
                  </w:pPr>
                  <w:r>
                    <w:rPr>
                      <w:rFonts w:eastAsiaTheme="minorEastAsia"/>
                      <w:szCs w:val="18"/>
                    </w:rPr>
                    <w:t>58.75</w:t>
                  </w:r>
                </w:p>
              </w:tc>
              <w:tc>
                <w:tcPr>
                  <w:tcW w:w="687" w:type="dxa"/>
                  <w:vAlign w:val="center"/>
                </w:tcPr>
                <w:p w14:paraId="2878D460">
                  <w:pPr>
                    <w:pStyle w:val="12"/>
                    <w:adjustRightInd w:val="0"/>
                    <w:spacing w:before="0" w:after="0" w:line="240" w:lineRule="auto"/>
                    <w:ind w:right="0"/>
                    <w:jc w:val="center"/>
                    <w:rPr>
                      <w:rFonts w:eastAsiaTheme="minorEastAsia"/>
                      <w:szCs w:val="18"/>
                    </w:rPr>
                  </w:pPr>
                  <w:r>
                    <w:rPr>
                      <w:rFonts w:eastAsiaTheme="minorEastAsia"/>
                      <w:szCs w:val="18"/>
                    </w:rPr>
                    <w:t>62.6</w:t>
                  </w:r>
                </w:p>
              </w:tc>
              <w:tc>
                <w:tcPr>
                  <w:tcW w:w="592" w:type="dxa"/>
                  <w:vAlign w:val="center"/>
                </w:tcPr>
                <w:p w14:paraId="3E783DCB">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25E76333">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0</w:t>
                  </w:r>
                </w:p>
              </w:tc>
              <w:tc>
                <w:tcPr>
                  <w:tcW w:w="567" w:type="dxa"/>
                  <w:vAlign w:val="center"/>
                </w:tcPr>
                <w:p w14:paraId="38D555D3">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5.0</w:t>
                  </w:r>
                </w:p>
              </w:tc>
              <w:tc>
                <w:tcPr>
                  <w:tcW w:w="498" w:type="dxa"/>
                  <w:vMerge w:val="continue"/>
                  <w:vAlign w:val="center"/>
                </w:tcPr>
                <w:p w14:paraId="6B4A3F44">
                  <w:pPr>
                    <w:pStyle w:val="12"/>
                    <w:adjustRightInd w:val="0"/>
                    <w:spacing w:before="0" w:after="0" w:line="240" w:lineRule="auto"/>
                    <w:ind w:right="0"/>
                    <w:jc w:val="center"/>
                    <w:rPr>
                      <w:rFonts w:eastAsiaTheme="minorEastAsia"/>
                      <w:szCs w:val="18"/>
                    </w:rPr>
                  </w:pPr>
                </w:p>
              </w:tc>
              <w:tc>
                <w:tcPr>
                  <w:tcW w:w="561" w:type="dxa"/>
                  <w:vAlign w:val="center"/>
                </w:tcPr>
                <w:p w14:paraId="1A69F5B6">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6E041112">
                  <w:pPr>
                    <w:pStyle w:val="12"/>
                    <w:adjustRightInd w:val="0"/>
                    <w:spacing w:before="0" w:after="0" w:line="240" w:lineRule="auto"/>
                    <w:ind w:right="0"/>
                    <w:jc w:val="center"/>
                    <w:rPr>
                      <w:rFonts w:eastAsiaTheme="minorEastAsia"/>
                      <w:szCs w:val="18"/>
                    </w:rPr>
                  </w:pPr>
                  <w:r>
                    <w:rPr>
                      <w:szCs w:val="18"/>
                    </w:rPr>
                    <w:t>39</w:t>
                  </w:r>
                </w:p>
              </w:tc>
              <w:tc>
                <w:tcPr>
                  <w:tcW w:w="567" w:type="dxa"/>
                  <w:vAlign w:val="center"/>
                </w:tcPr>
                <w:p w14:paraId="2D0FC418">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0A1F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restart"/>
                  <w:vAlign w:val="center"/>
                </w:tcPr>
                <w:p w14:paraId="44D3C427">
                  <w:pPr>
                    <w:pStyle w:val="12"/>
                    <w:adjustRightInd w:val="0"/>
                    <w:spacing w:before="0" w:after="0" w:line="240" w:lineRule="auto"/>
                    <w:ind w:right="0"/>
                    <w:jc w:val="center"/>
                    <w:rPr>
                      <w:szCs w:val="18"/>
                    </w:rPr>
                  </w:pPr>
                  <w:r>
                    <w:rPr>
                      <w:rFonts w:hint="eastAsia"/>
                      <w:szCs w:val="18"/>
                    </w:rPr>
                    <w:t>八车间（本项目）</w:t>
                  </w:r>
                </w:p>
              </w:tc>
              <w:tc>
                <w:tcPr>
                  <w:tcW w:w="647" w:type="dxa"/>
                  <w:vAlign w:val="center"/>
                </w:tcPr>
                <w:p w14:paraId="0B18E7CF">
                  <w:pPr>
                    <w:pStyle w:val="12"/>
                    <w:adjustRightInd w:val="0"/>
                    <w:spacing w:before="0" w:after="0" w:line="240" w:lineRule="auto"/>
                    <w:ind w:right="0"/>
                    <w:jc w:val="center"/>
                    <w:rPr>
                      <w:rFonts w:eastAsiaTheme="minorEastAsia"/>
                      <w:szCs w:val="18"/>
                    </w:rPr>
                  </w:pPr>
                  <w:r>
                    <w:rPr>
                      <w:rFonts w:hint="eastAsia"/>
                      <w:szCs w:val="18"/>
                    </w:rPr>
                    <w:t>高频直缝焊管机组7</w:t>
                  </w:r>
                  <w:r>
                    <w:rPr>
                      <w:szCs w:val="18"/>
                    </w:rPr>
                    <w:t>#</w:t>
                  </w:r>
                </w:p>
              </w:tc>
              <w:tc>
                <w:tcPr>
                  <w:tcW w:w="724" w:type="dxa"/>
                  <w:vAlign w:val="center"/>
                </w:tcPr>
                <w:p w14:paraId="5581A94B">
                  <w:pPr>
                    <w:pStyle w:val="12"/>
                    <w:adjustRightInd w:val="0"/>
                    <w:spacing w:before="0" w:after="0" w:line="240" w:lineRule="auto"/>
                    <w:ind w:right="0"/>
                    <w:jc w:val="center"/>
                    <w:rPr>
                      <w:szCs w:val="18"/>
                    </w:rPr>
                  </w:pPr>
                  <w:r>
                    <w:rPr>
                      <w:rFonts w:hint="eastAsia"/>
                      <w:szCs w:val="18"/>
                    </w:rPr>
                    <w:t>3</w:t>
                  </w:r>
                  <w:r>
                    <w:rPr>
                      <w:szCs w:val="18"/>
                    </w:rPr>
                    <w:t>2</w:t>
                  </w:r>
                  <w:r>
                    <w:rPr>
                      <w:rFonts w:hint="eastAsia"/>
                      <w:szCs w:val="18"/>
                    </w:rPr>
                    <w:t>型</w:t>
                  </w:r>
                </w:p>
              </w:tc>
              <w:tc>
                <w:tcPr>
                  <w:tcW w:w="897" w:type="dxa"/>
                  <w:vAlign w:val="center"/>
                </w:tcPr>
                <w:p w14:paraId="6A488BD1">
                  <w:pPr>
                    <w:pStyle w:val="12"/>
                    <w:adjustRightInd w:val="0"/>
                    <w:spacing w:before="0" w:after="0" w:line="240" w:lineRule="auto"/>
                    <w:ind w:right="0"/>
                    <w:jc w:val="center"/>
                    <w:rPr>
                      <w:kern w:val="24"/>
                      <w:szCs w:val="18"/>
                    </w:rPr>
                  </w:pPr>
                  <w:r>
                    <w:rPr>
                      <w:szCs w:val="18"/>
                    </w:rPr>
                    <w:t>85</w:t>
                  </w:r>
                </w:p>
              </w:tc>
              <w:tc>
                <w:tcPr>
                  <w:tcW w:w="772" w:type="dxa"/>
                  <w:vAlign w:val="center"/>
                </w:tcPr>
                <w:p w14:paraId="7C28CE81">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44871530">
                  <w:pPr>
                    <w:pStyle w:val="12"/>
                    <w:adjustRightInd w:val="0"/>
                    <w:spacing w:before="0" w:after="0" w:line="240" w:lineRule="auto"/>
                    <w:ind w:right="0"/>
                    <w:jc w:val="center"/>
                    <w:rPr>
                      <w:rFonts w:eastAsiaTheme="minorEastAsia"/>
                      <w:szCs w:val="18"/>
                    </w:rPr>
                  </w:pPr>
                  <w:r>
                    <w:rPr>
                      <w:rFonts w:eastAsiaTheme="minorEastAsia"/>
                      <w:szCs w:val="18"/>
                    </w:rPr>
                    <w:t>142.7</w:t>
                  </w:r>
                </w:p>
              </w:tc>
              <w:tc>
                <w:tcPr>
                  <w:tcW w:w="687" w:type="dxa"/>
                  <w:vAlign w:val="center"/>
                </w:tcPr>
                <w:p w14:paraId="0D44A2B0">
                  <w:pPr>
                    <w:pStyle w:val="12"/>
                    <w:adjustRightInd w:val="0"/>
                    <w:spacing w:before="0" w:after="0" w:line="240" w:lineRule="auto"/>
                    <w:ind w:right="0"/>
                    <w:jc w:val="center"/>
                    <w:rPr>
                      <w:rFonts w:eastAsiaTheme="minorEastAsia"/>
                      <w:szCs w:val="18"/>
                    </w:rPr>
                  </w:pPr>
                  <w:r>
                    <w:rPr>
                      <w:rFonts w:eastAsiaTheme="minorEastAsia"/>
                      <w:szCs w:val="18"/>
                    </w:rPr>
                    <w:t>126.53</w:t>
                  </w:r>
                </w:p>
              </w:tc>
              <w:tc>
                <w:tcPr>
                  <w:tcW w:w="592" w:type="dxa"/>
                  <w:vAlign w:val="center"/>
                </w:tcPr>
                <w:p w14:paraId="1D220205">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3CB4499E">
                  <w:pPr>
                    <w:pStyle w:val="12"/>
                    <w:adjustRightInd w:val="0"/>
                    <w:spacing w:before="0" w:after="0" w:line="240" w:lineRule="auto"/>
                    <w:ind w:right="0"/>
                    <w:jc w:val="center"/>
                    <w:rPr>
                      <w:rFonts w:eastAsiaTheme="minorEastAsia"/>
                      <w:szCs w:val="18"/>
                    </w:rPr>
                  </w:pPr>
                  <w:r>
                    <w:rPr>
                      <w:rFonts w:hint="eastAsia" w:eastAsiaTheme="minorEastAsia"/>
                      <w:szCs w:val="18"/>
                    </w:rPr>
                    <w:t>6</w:t>
                  </w:r>
                </w:p>
              </w:tc>
              <w:tc>
                <w:tcPr>
                  <w:tcW w:w="567" w:type="dxa"/>
                  <w:vAlign w:val="center"/>
                </w:tcPr>
                <w:p w14:paraId="6B78F708">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9.4</w:t>
                  </w:r>
                </w:p>
              </w:tc>
              <w:tc>
                <w:tcPr>
                  <w:tcW w:w="498" w:type="dxa"/>
                  <w:vMerge w:val="restart"/>
                  <w:vAlign w:val="center"/>
                </w:tcPr>
                <w:p w14:paraId="1AA9D66F">
                  <w:pPr>
                    <w:pStyle w:val="12"/>
                    <w:adjustRightInd w:val="0"/>
                    <w:spacing w:before="0" w:after="0" w:line="240" w:lineRule="auto"/>
                    <w:ind w:right="0"/>
                    <w:jc w:val="center"/>
                    <w:rPr>
                      <w:rFonts w:eastAsiaTheme="minorEastAsia"/>
                      <w:szCs w:val="18"/>
                    </w:rPr>
                  </w:pPr>
                  <w:r>
                    <w:rPr>
                      <w:rFonts w:hint="eastAsia" w:eastAsiaTheme="minorEastAsia"/>
                      <w:szCs w:val="18"/>
                    </w:rPr>
                    <w:t>0</w:t>
                  </w:r>
                  <w:r>
                    <w:rPr>
                      <w:rFonts w:eastAsiaTheme="minorEastAsia"/>
                      <w:szCs w:val="18"/>
                    </w:rPr>
                    <w:t>8:</w:t>
                  </w:r>
                  <w:r>
                    <w:rPr>
                      <w:rFonts w:hint="eastAsia" w:eastAsiaTheme="minorEastAsia"/>
                      <w:szCs w:val="18"/>
                    </w:rPr>
                    <w:t>0</w:t>
                  </w:r>
                  <w:r>
                    <w:rPr>
                      <w:rFonts w:eastAsiaTheme="minorEastAsia"/>
                      <w:szCs w:val="18"/>
                    </w:rPr>
                    <w:t>0~18:00,18:00~04:00</w:t>
                  </w:r>
                </w:p>
              </w:tc>
              <w:tc>
                <w:tcPr>
                  <w:tcW w:w="561" w:type="dxa"/>
                  <w:vAlign w:val="center"/>
                </w:tcPr>
                <w:p w14:paraId="009422CA">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4E075747">
                  <w:pPr>
                    <w:pStyle w:val="12"/>
                    <w:adjustRightInd w:val="0"/>
                    <w:spacing w:before="0" w:after="0" w:line="240" w:lineRule="auto"/>
                    <w:ind w:right="0"/>
                    <w:jc w:val="center"/>
                    <w:rPr>
                      <w:rFonts w:eastAsiaTheme="minorEastAsia"/>
                      <w:szCs w:val="18"/>
                    </w:rPr>
                  </w:pPr>
                  <w:r>
                    <w:rPr>
                      <w:szCs w:val="18"/>
                    </w:rPr>
                    <w:t>43.4</w:t>
                  </w:r>
                </w:p>
              </w:tc>
              <w:tc>
                <w:tcPr>
                  <w:tcW w:w="567" w:type="dxa"/>
                  <w:vAlign w:val="center"/>
                </w:tcPr>
                <w:p w14:paraId="0AAC2BF8">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74A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4DB55C9D">
                  <w:pPr>
                    <w:pStyle w:val="12"/>
                    <w:adjustRightInd w:val="0"/>
                    <w:spacing w:before="0" w:after="0" w:line="240" w:lineRule="auto"/>
                    <w:ind w:right="0"/>
                    <w:jc w:val="center"/>
                    <w:rPr>
                      <w:szCs w:val="18"/>
                    </w:rPr>
                  </w:pPr>
                </w:p>
              </w:tc>
              <w:tc>
                <w:tcPr>
                  <w:tcW w:w="647" w:type="dxa"/>
                  <w:vAlign w:val="center"/>
                </w:tcPr>
                <w:p w14:paraId="41AEBFC3">
                  <w:pPr>
                    <w:pStyle w:val="12"/>
                    <w:adjustRightInd w:val="0"/>
                    <w:spacing w:before="0" w:after="0" w:line="240" w:lineRule="auto"/>
                    <w:ind w:right="0"/>
                    <w:jc w:val="center"/>
                    <w:rPr>
                      <w:rFonts w:eastAsiaTheme="minorEastAsia"/>
                      <w:szCs w:val="18"/>
                    </w:rPr>
                  </w:pPr>
                  <w:r>
                    <w:rPr>
                      <w:rFonts w:hint="eastAsia"/>
                      <w:kern w:val="24"/>
                      <w:szCs w:val="18"/>
                    </w:rPr>
                    <w:t>纵剪机组</w:t>
                  </w:r>
                  <w:r>
                    <w:rPr>
                      <w:rFonts w:hint="eastAsia"/>
                      <w:szCs w:val="18"/>
                    </w:rPr>
                    <w:t>7</w:t>
                  </w:r>
                  <w:r>
                    <w:rPr>
                      <w:szCs w:val="18"/>
                    </w:rPr>
                    <w:t>#</w:t>
                  </w:r>
                </w:p>
              </w:tc>
              <w:tc>
                <w:tcPr>
                  <w:tcW w:w="724" w:type="dxa"/>
                  <w:vAlign w:val="center"/>
                </w:tcPr>
                <w:p w14:paraId="67FF75AD">
                  <w:pPr>
                    <w:pStyle w:val="12"/>
                    <w:adjustRightInd w:val="0"/>
                    <w:spacing w:before="0" w:after="0" w:line="240" w:lineRule="auto"/>
                    <w:ind w:right="0"/>
                    <w:jc w:val="center"/>
                    <w:rPr>
                      <w:szCs w:val="18"/>
                    </w:rPr>
                  </w:pPr>
                  <w:r>
                    <w:rPr>
                      <w:rFonts w:hint="eastAsia"/>
                      <w:szCs w:val="18"/>
                    </w:rPr>
                    <w:t>/</w:t>
                  </w:r>
                </w:p>
              </w:tc>
              <w:tc>
                <w:tcPr>
                  <w:tcW w:w="897" w:type="dxa"/>
                  <w:vAlign w:val="center"/>
                </w:tcPr>
                <w:p w14:paraId="4E5265E2">
                  <w:pPr>
                    <w:pStyle w:val="12"/>
                    <w:adjustRightInd w:val="0"/>
                    <w:spacing w:before="0" w:after="0" w:line="240" w:lineRule="auto"/>
                    <w:ind w:right="0"/>
                    <w:jc w:val="center"/>
                    <w:rPr>
                      <w:kern w:val="24"/>
                      <w:szCs w:val="18"/>
                    </w:rPr>
                  </w:pPr>
                  <w:r>
                    <w:rPr>
                      <w:szCs w:val="18"/>
                    </w:rPr>
                    <w:t>90</w:t>
                  </w:r>
                </w:p>
              </w:tc>
              <w:tc>
                <w:tcPr>
                  <w:tcW w:w="772" w:type="dxa"/>
                  <w:vAlign w:val="center"/>
                </w:tcPr>
                <w:p w14:paraId="4A1B687E">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18847800">
                  <w:pPr>
                    <w:pStyle w:val="12"/>
                    <w:adjustRightInd w:val="0"/>
                    <w:spacing w:before="0" w:after="0" w:line="240" w:lineRule="auto"/>
                    <w:ind w:right="0"/>
                    <w:jc w:val="center"/>
                    <w:rPr>
                      <w:rFonts w:eastAsiaTheme="minorEastAsia"/>
                      <w:szCs w:val="18"/>
                    </w:rPr>
                  </w:pPr>
                  <w:r>
                    <w:rPr>
                      <w:rFonts w:eastAsiaTheme="minorEastAsia"/>
                      <w:szCs w:val="18"/>
                    </w:rPr>
                    <w:t>155.24</w:t>
                  </w:r>
                </w:p>
              </w:tc>
              <w:tc>
                <w:tcPr>
                  <w:tcW w:w="687" w:type="dxa"/>
                  <w:vAlign w:val="center"/>
                </w:tcPr>
                <w:p w14:paraId="2CFC63C1">
                  <w:pPr>
                    <w:pStyle w:val="12"/>
                    <w:adjustRightInd w:val="0"/>
                    <w:spacing w:before="0" w:after="0" w:line="240" w:lineRule="auto"/>
                    <w:ind w:right="0"/>
                    <w:jc w:val="center"/>
                    <w:rPr>
                      <w:rFonts w:eastAsiaTheme="minorEastAsia"/>
                      <w:szCs w:val="18"/>
                    </w:rPr>
                  </w:pPr>
                  <w:r>
                    <w:rPr>
                      <w:rFonts w:eastAsiaTheme="minorEastAsia"/>
                      <w:szCs w:val="18"/>
                    </w:rPr>
                    <w:t>133.05</w:t>
                  </w:r>
                </w:p>
              </w:tc>
              <w:tc>
                <w:tcPr>
                  <w:tcW w:w="592" w:type="dxa"/>
                  <w:vAlign w:val="center"/>
                </w:tcPr>
                <w:p w14:paraId="698BAF17">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2EC8E63D">
                  <w:pPr>
                    <w:pStyle w:val="12"/>
                    <w:adjustRightInd w:val="0"/>
                    <w:spacing w:before="0" w:after="0" w:line="240" w:lineRule="auto"/>
                    <w:ind w:right="0"/>
                    <w:jc w:val="center"/>
                    <w:rPr>
                      <w:rFonts w:eastAsiaTheme="minorEastAsia"/>
                      <w:szCs w:val="18"/>
                    </w:rPr>
                  </w:pPr>
                  <w:r>
                    <w:rPr>
                      <w:rFonts w:hint="eastAsia" w:eastAsiaTheme="minorEastAsia"/>
                      <w:szCs w:val="18"/>
                    </w:rPr>
                    <w:t>6</w:t>
                  </w:r>
                </w:p>
              </w:tc>
              <w:tc>
                <w:tcPr>
                  <w:tcW w:w="567" w:type="dxa"/>
                  <w:vAlign w:val="center"/>
                </w:tcPr>
                <w:p w14:paraId="6C3586AD">
                  <w:pPr>
                    <w:pStyle w:val="12"/>
                    <w:adjustRightInd w:val="0"/>
                    <w:spacing w:before="0" w:after="0" w:line="240" w:lineRule="auto"/>
                    <w:ind w:right="0"/>
                    <w:jc w:val="center"/>
                    <w:rPr>
                      <w:rFonts w:eastAsiaTheme="minorEastAsia"/>
                      <w:szCs w:val="18"/>
                    </w:rPr>
                  </w:pPr>
                  <w:r>
                    <w:rPr>
                      <w:rFonts w:hint="eastAsia" w:eastAsiaTheme="minorEastAsia"/>
                      <w:szCs w:val="18"/>
                    </w:rPr>
                    <w:t>7</w:t>
                  </w:r>
                  <w:r>
                    <w:rPr>
                      <w:rFonts w:eastAsiaTheme="minorEastAsia"/>
                      <w:szCs w:val="18"/>
                    </w:rPr>
                    <w:t>4.4</w:t>
                  </w:r>
                </w:p>
              </w:tc>
              <w:tc>
                <w:tcPr>
                  <w:tcW w:w="498" w:type="dxa"/>
                  <w:vMerge w:val="continue"/>
                  <w:vAlign w:val="center"/>
                </w:tcPr>
                <w:p w14:paraId="5C7C96DA">
                  <w:pPr>
                    <w:pStyle w:val="12"/>
                    <w:adjustRightInd w:val="0"/>
                    <w:spacing w:before="0" w:after="0" w:line="240" w:lineRule="auto"/>
                    <w:ind w:right="0"/>
                    <w:jc w:val="center"/>
                    <w:rPr>
                      <w:rFonts w:eastAsiaTheme="minorEastAsia"/>
                      <w:szCs w:val="18"/>
                    </w:rPr>
                  </w:pPr>
                </w:p>
              </w:tc>
              <w:tc>
                <w:tcPr>
                  <w:tcW w:w="561" w:type="dxa"/>
                  <w:vAlign w:val="center"/>
                </w:tcPr>
                <w:p w14:paraId="32B41AB6">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42719913">
                  <w:pPr>
                    <w:pStyle w:val="12"/>
                    <w:adjustRightInd w:val="0"/>
                    <w:spacing w:before="0" w:after="0" w:line="240" w:lineRule="auto"/>
                    <w:ind w:right="0"/>
                    <w:jc w:val="center"/>
                    <w:rPr>
                      <w:rFonts w:eastAsiaTheme="minorEastAsia"/>
                      <w:szCs w:val="18"/>
                    </w:rPr>
                  </w:pPr>
                  <w:r>
                    <w:rPr>
                      <w:szCs w:val="18"/>
                    </w:rPr>
                    <w:t>48.4</w:t>
                  </w:r>
                </w:p>
              </w:tc>
              <w:tc>
                <w:tcPr>
                  <w:tcW w:w="567" w:type="dxa"/>
                  <w:vAlign w:val="center"/>
                </w:tcPr>
                <w:p w14:paraId="1B0A4964">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161E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0964E432">
                  <w:pPr>
                    <w:pStyle w:val="12"/>
                    <w:adjustRightInd w:val="0"/>
                    <w:spacing w:before="0" w:after="0" w:line="240" w:lineRule="auto"/>
                    <w:ind w:right="0"/>
                    <w:jc w:val="center"/>
                    <w:rPr>
                      <w:szCs w:val="18"/>
                    </w:rPr>
                  </w:pPr>
                </w:p>
              </w:tc>
              <w:tc>
                <w:tcPr>
                  <w:tcW w:w="647" w:type="dxa"/>
                  <w:vAlign w:val="center"/>
                </w:tcPr>
                <w:p w14:paraId="7E92FC45">
                  <w:pPr>
                    <w:pStyle w:val="12"/>
                    <w:adjustRightInd w:val="0"/>
                    <w:spacing w:before="0" w:after="0" w:line="240" w:lineRule="auto"/>
                    <w:ind w:right="0"/>
                    <w:jc w:val="center"/>
                    <w:rPr>
                      <w:rFonts w:eastAsiaTheme="minorEastAsia"/>
                      <w:szCs w:val="18"/>
                    </w:rPr>
                  </w:pPr>
                  <w:r>
                    <w:rPr>
                      <w:szCs w:val="18"/>
                    </w:rPr>
                    <w:t>校直机</w:t>
                  </w:r>
                  <w:r>
                    <w:rPr>
                      <w:rFonts w:hint="eastAsia"/>
                      <w:szCs w:val="18"/>
                    </w:rPr>
                    <w:t>7</w:t>
                  </w:r>
                  <w:r>
                    <w:rPr>
                      <w:szCs w:val="18"/>
                    </w:rPr>
                    <w:t>#</w:t>
                  </w:r>
                </w:p>
              </w:tc>
              <w:tc>
                <w:tcPr>
                  <w:tcW w:w="724" w:type="dxa"/>
                  <w:vAlign w:val="center"/>
                </w:tcPr>
                <w:p w14:paraId="67E4E66A">
                  <w:pPr>
                    <w:pStyle w:val="12"/>
                    <w:adjustRightInd w:val="0"/>
                    <w:spacing w:before="0" w:after="0" w:line="240" w:lineRule="auto"/>
                    <w:ind w:right="0"/>
                    <w:jc w:val="center"/>
                    <w:rPr>
                      <w:szCs w:val="18"/>
                    </w:rPr>
                  </w:pPr>
                  <w:r>
                    <w:rPr>
                      <w:rFonts w:hint="eastAsia"/>
                      <w:szCs w:val="18"/>
                    </w:rPr>
                    <w:t>/</w:t>
                  </w:r>
                </w:p>
              </w:tc>
              <w:tc>
                <w:tcPr>
                  <w:tcW w:w="897" w:type="dxa"/>
                  <w:vAlign w:val="center"/>
                </w:tcPr>
                <w:p w14:paraId="53685A61">
                  <w:pPr>
                    <w:pStyle w:val="12"/>
                    <w:adjustRightInd w:val="0"/>
                    <w:spacing w:before="0" w:after="0" w:line="240" w:lineRule="auto"/>
                    <w:ind w:right="0"/>
                    <w:jc w:val="center"/>
                    <w:rPr>
                      <w:kern w:val="24"/>
                      <w:szCs w:val="18"/>
                    </w:rPr>
                  </w:pPr>
                  <w:r>
                    <w:rPr>
                      <w:szCs w:val="18"/>
                    </w:rPr>
                    <w:t>85</w:t>
                  </w:r>
                </w:p>
              </w:tc>
              <w:tc>
                <w:tcPr>
                  <w:tcW w:w="772" w:type="dxa"/>
                  <w:vAlign w:val="center"/>
                </w:tcPr>
                <w:p w14:paraId="65602E54">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35DE265B">
                  <w:pPr>
                    <w:pStyle w:val="12"/>
                    <w:adjustRightInd w:val="0"/>
                    <w:spacing w:before="0" w:after="0" w:line="240" w:lineRule="auto"/>
                    <w:ind w:right="0"/>
                    <w:jc w:val="center"/>
                    <w:rPr>
                      <w:rFonts w:eastAsiaTheme="minorEastAsia"/>
                      <w:szCs w:val="18"/>
                    </w:rPr>
                  </w:pPr>
                  <w:r>
                    <w:rPr>
                      <w:rFonts w:eastAsiaTheme="minorEastAsia"/>
                      <w:szCs w:val="18"/>
                    </w:rPr>
                    <w:t>168.99</w:t>
                  </w:r>
                </w:p>
              </w:tc>
              <w:tc>
                <w:tcPr>
                  <w:tcW w:w="687" w:type="dxa"/>
                  <w:vAlign w:val="center"/>
                </w:tcPr>
                <w:p w14:paraId="267242BB">
                  <w:pPr>
                    <w:pStyle w:val="12"/>
                    <w:adjustRightInd w:val="0"/>
                    <w:spacing w:before="0" w:after="0" w:line="240" w:lineRule="auto"/>
                    <w:ind w:right="0"/>
                    <w:jc w:val="center"/>
                    <w:rPr>
                      <w:rFonts w:eastAsiaTheme="minorEastAsia"/>
                      <w:szCs w:val="18"/>
                    </w:rPr>
                  </w:pPr>
                  <w:r>
                    <w:rPr>
                      <w:rFonts w:eastAsiaTheme="minorEastAsia"/>
                      <w:szCs w:val="18"/>
                    </w:rPr>
                    <w:t>138.49</w:t>
                  </w:r>
                </w:p>
              </w:tc>
              <w:tc>
                <w:tcPr>
                  <w:tcW w:w="592" w:type="dxa"/>
                  <w:vAlign w:val="center"/>
                </w:tcPr>
                <w:p w14:paraId="0876D954">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527C1360">
                  <w:pPr>
                    <w:pStyle w:val="12"/>
                    <w:adjustRightInd w:val="0"/>
                    <w:spacing w:before="0" w:after="0" w:line="240" w:lineRule="auto"/>
                    <w:ind w:right="0"/>
                    <w:jc w:val="center"/>
                    <w:rPr>
                      <w:rFonts w:eastAsiaTheme="minorEastAsia"/>
                      <w:szCs w:val="18"/>
                    </w:rPr>
                  </w:pPr>
                  <w:r>
                    <w:rPr>
                      <w:rFonts w:eastAsiaTheme="minorEastAsia"/>
                      <w:szCs w:val="18"/>
                    </w:rPr>
                    <w:t>7</w:t>
                  </w:r>
                </w:p>
              </w:tc>
              <w:tc>
                <w:tcPr>
                  <w:tcW w:w="567" w:type="dxa"/>
                  <w:vAlign w:val="center"/>
                </w:tcPr>
                <w:p w14:paraId="7D003BFD">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8.1</w:t>
                  </w:r>
                </w:p>
              </w:tc>
              <w:tc>
                <w:tcPr>
                  <w:tcW w:w="498" w:type="dxa"/>
                  <w:vMerge w:val="continue"/>
                  <w:vAlign w:val="center"/>
                </w:tcPr>
                <w:p w14:paraId="0D0A4B41">
                  <w:pPr>
                    <w:pStyle w:val="12"/>
                    <w:adjustRightInd w:val="0"/>
                    <w:spacing w:before="0" w:after="0" w:line="240" w:lineRule="auto"/>
                    <w:ind w:right="0"/>
                    <w:jc w:val="center"/>
                    <w:rPr>
                      <w:rFonts w:eastAsiaTheme="minorEastAsia"/>
                      <w:szCs w:val="18"/>
                    </w:rPr>
                  </w:pPr>
                </w:p>
              </w:tc>
              <w:tc>
                <w:tcPr>
                  <w:tcW w:w="561" w:type="dxa"/>
                  <w:vAlign w:val="center"/>
                </w:tcPr>
                <w:p w14:paraId="5EF5B748">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1385279D">
                  <w:pPr>
                    <w:pStyle w:val="12"/>
                    <w:adjustRightInd w:val="0"/>
                    <w:spacing w:before="0" w:after="0" w:line="240" w:lineRule="auto"/>
                    <w:ind w:right="0"/>
                    <w:jc w:val="center"/>
                    <w:rPr>
                      <w:rFonts w:eastAsiaTheme="minorEastAsia"/>
                      <w:szCs w:val="18"/>
                    </w:rPr>
                  </w:pPr>
                  <w:r>
                    <w:rPr>
                      <w:szCs w:val="18"/>
                    </w:rPr>
                    <w:t>42.1</w:t>
                  </w:r>
                </w:p>
              </w:tc>
              <w:tc>
                <w:tcPr>
                  <w:tcW w:w="567" w:type="dxa"/>
                  <w:vAlign w:val="center"/>
                </w:tcPr>
                <w:p w14:paraId="764D7F6F">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08FF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73035B48">
                  <w:pPr>
                    <w:pStyle w:val="12"/>
                    <w:adjustRightInd w:val="0"/>
                    <w:spacing w:before="0" w:after="0" w:line="240" w:lineRule="auto"/>
                    <w:ind w:right="0"/>
                    <w:jc w:val="center"/>
                    <w:rPr>
                      <w:szCs w:val="18"/>
                    </w:rPr>
                  </w:pPr>
                </w:p>
              </w:tc>
              <w:tc>
                <w:tcPr>
                  <w:tcW w:w="647" w:type="dxa"/>
                  <w:vAlign w:val="center"/>
                </w:tcPr>
                <w:p w14:paraId="62D1CF17">
                  <w:pPr>
                    <w:pStyle w:val="12"/>
                    <w:adjustRightInd w:val="0"/>
                    <w:spacing w:before="0" w:after="0" w:line="240" w:lineRule="auto"/>
                    <w:ind w:right="0"/>
                    <w:jc w:val="center"/>
                    <w:rPr>
                      <w:rFonts w:eastAsiaTheme="minorEastAsia"/>
                      <w:szCs w:val="18"/>
                    </w:rPr>
                  </w:pPr>
                  <w:r>
                    <w:rPr>
                      <w:szCs w:val="18"/>
                    </w:rPr>
                    <w:t>电动飞锯</w:t>
                  </w:r>
                  <w:r>
                    <w:rPr>
                      <w:rFonts w:hint="eastAsia"/>
                      <w:szCs w:val="18"/>
                    </w:rPr>
                    <w:t>7</w:t>
                  </w:r>
                  <w:r>
                    <w:rPr>
                      <w:szCs w:val="18"/>
                    </w:rPr>
                    <w:t>#</w:t>
                  </w:r>
                </w:p>
              </w:tc>
              <w:tc>
                <w:tcPr>
                  <w:tcW w:w="724" w:type="dxa"/>
                  <w:vAlign w:val="center"/>
                </w:tcPr>
                <w:p w14:paraId="2602A1F7">
                  <w:pPr>
                    <w:pStyle w:val="12"/>
                    <w:adjustRightInd w:val="0"/>
                    <w:spacing w:before="0" w:after="0" w:line="240" w:lineRule="auto"/>
                    <w:ind w:right="0"/>
                    <w:jc w:val="center"/>
                    <w:rPr>
                      <w:szCs w:val="18"/>
                    </w:rPr>
                  </w:pPr>
                  <w:r>
                    <w:rPr>
                      <w:rFonts w:hint="eastAsia"/>
                      <w:szCs w:val="18"/>
                    </w:rPr>
                    <w:t>/</w:t>
                  </w:r>
                </w:p>
              </w:tc>
              <w:tc>
                <w:tcPr>
                  <w:tcW w:w="897" w:type="dxa"/>
                  <w:vAlign w:val="center"/>
                </w:tcPr>
                <w:p w14:paraId="4E0C36D4">
                  <w:pPr>
                    <w:pStyle w:val="12"/>
                    <w:adjustRightInd w:val="0"/>
                    <w:spacing w:before="0" w:after="0" w:line="240" w:lineRule="auto"/>
                    <w:ind w:right="0"/>
                    <w:jc w:val="center"/>
                    <w:rPr>
                      <w:kern w:val="24"/>
                      <w:szCs w:val="18"/>
                    </w:rPr>
                  </w:pPr>
                  <w:r>
                    <w:rPr>
                      <w:szCs w:val="18"/>
                    </w:rPr>
                    <w:t>85</w:t>
                  </w:r>
                </w:p>
              </w:tc>
              <w:tc>
                <w:tcPr>
                  <w:tcW w:w="772" w:type="dxa"/>
                  <w:vAlign w:val="center"/>
                </w:tcPr>
                <w:p w14:paraId="45A04266">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302025A9">
                  <w:pPr>
                    <w:pStyle w:val="12"/>
                    <w:adjustRightInd w:val="0"/>
                    <w:spacing w:before="0" w:after="0" w:line="240" w:lineRule="auto"/>
                    <w:ind w:right="0"/>
                    <w:jc w:val="center"/>
                    <w:rPr>
                      <w:rFonts w:eastAsiaTheme="minorEastAsia"/>
                      <w:szCs w:val="18"/>
                    </w:rPr>
                  </w:pPr>
                  <w:r>
                    <w:rPr>
                      <w:rFonts w:eastAsiaTheme="minorEastAsia"/>
                      <w:szCs w:val="18"/>
                    </w:rPr>
                    <w:t>184.03</w:t>
                  </w:r>
                </w:p>
              </w:tc>
              <w:tc>
                <w:tcPr>
                  <w:tcW w:w="687" w:type="dxa"/>
                  <w:vAlign w:val="center"/>
                </w:tcPr>
                <w:p w14:paraId="5C519FBB">
                  <w:pPr>
                    <w:pStyle w:val="12"/>
                    <w:adjustRightInd w:val="0"/>
                    <w:spacing w:before="0" w:after="0" w:line="240" w:lineRule="auto"/>
                    <w:ind w:right="0"/>
                    <w:jc w:val="center"/>
                    <w:rPr>
                      <w:rFonts w:eastAsiaTheme="minorEastAsia"/>
                      <w:szCs w:val="18"/>
                    </w:rPr>
                  </w:pPr>
                  <w:r>
                    <w:rPr>
                      <w:rFonts w:eastAsiaTheme="minorEastAsia"/>
                      <w:szCs w:val="18"/>
                    </w:rPr>
                    <w:t>144.15</w:t>
                  </w:r>
                </w:p>
              </w:tc>
              <w:tc>
                <w:tcPr>
                  <w:tcW w:w="592" w:type="dxa"/>
                  <w:vAlign w:val="center"/>
                </w:tcPr>
                <w:p w14:paraId="4269B2E2">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6C005BCB">
                  <w:pPr>
                    <w:pStyle w:val="12"/>
                    <w:adjustRightInd w:val="0"/>
                    <w:spacing w:before="0" w:after="0" w:line="240" w:lineRule="auto"/>
                    <w:ind w:right="0"/>
                    <w:jc w:val="center"/>
                    <w:rPr>
                      <w:rFonts w:eastAsiaTheme="minorEastAsia"/>
                      <w:szCs w:val="18"/>
                    </w:rPr>
                  </w:pPr>
                  <w:r>
                    <w:rPr>
                      <w:rFonts w:hint="eastAsia" w:eastAsiaTheme="minorEastAsia"/>
                      <w:szCs w:val="18"/>
                    </w:rPr>
                    <w:t>8</w:t>
                  </w:r>
                </w:p>
              </w:tc>
              <w:tc>
                <w:tcPr>
                  <w:tcW w:w="567" w:type="dxa"/>
                  <w:vAlign w:val="center"/>
                </w:tcPr>
                <w:p w14:paraId="64CE76D3">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6.9</w:t>
                  </w:r>
                </w:p>
              </w:tc>
              <w:tc>
                <w:tcPr>
                  <w:tcW w:w="498" w:type="dxa"/>
                  <w:vMerge w:val="continue"/>
                  <w:vAlign w:val="center"/>
                </w:tcPr>
                <w:p w14:paraId="5FB1750F">
                  <w:pPr>
                    <w:pStyle w:val="12"/>
                    <w:adjustRightInd w:val="0"/>
                    <w:spacing w:before="0" w:after="0" w:line="240" w:lineRule="auto"/>
                    <w:ind w:right="0"/>
                    <w:jc w:val="center"/>
                    <w:rPr>
                      <w:rFonts w:eastAsiaTheme="minorEastAsia"/>
                      <w:szCs w:val="18"/>
                    </w:rPr>
                  </w:pPr>
                </w:p>
              </w:tc>
              <w:tc>
                <w:tcPr>
                  <w:tcW w:w="561" w:type="dxa"/>
                  <w:vAlign w:val="center"/>
                </w:tcPr>
                <w:p w14:paraId="35E4BCAE">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23273F32">
                  <w:pPr>
                    <w:pStyle w:val="12"/>
                    <w:adjustRightInd w:val="0"/>
                    <w:spacing w:before="0" w:after="0" w:line="240" w:lineRule="auto"/>
                    <w:ind w:right="0"/>
                    <w:jc w:val="center"/>
                    <w:rPr>
                      <w:rFonts w:eastAsiaTheme="minorEastAsia"/>
                      <w:szCs w:val="18"/>
                    </w:rPr>
                  </w:pPr>
                  <w:r>
                    <w:rPr>
                      <w:szCs w:val="18"/>
                    </w:rPr>
                    <w:t>40.9</w:t>
                  </w:r>
                </w:p>
              </w:tc>
              <w:tc>
                <w:tcPr>
                  <w:tcW w:w="567" w:type="dxa"/>
                  <w:vAlign w:val="center"/>
                </w:tcPr>
                <w:p w14:paraId="33B02ECA">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0250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20A68FA5">
                  <w:pPr>
                    <w:pStyle w:val="12"/>
                    <w:adjustRightInd w:val="0"/>
                    <w:spacing w:before="0" w:after="0" w:line="240" w:lineRule="auto"/>
                    <w:ind w:right="0"/>
                    <w:jc w:val="center"/>
                    <w:rPr>
                      <w:szCs w:val="18"/>
                    </w:rPr>
                  </w:pPr>
                </w:p>
              </w:tc>
              <w:tc>
                <w:tcPr>
                  <w:tcW w:w="647" w:type="dxa"/>
                  <w:vAlign w:val="center"/>
                </w:tcPr>
                <w:p w14:paraId="30E17F5E">
                  <w:pPr>
                    <w:pStyle w:val="12"/>
                    <w:adjustRightInd w:val="0"/>
                    <w:spacing w:before="0" w:after="0" w:line="240" w:lineRule="auto"/>
                    <w:ind w:right="0"/>
                    <w:jc w:val="center"/>
                    <w:rPr>
                      <w:rFonts w:eastAsiaTheme="minorEastAsia"/>
                      <w:szCs w:val="18"/>
                    </w:rPr>
                  </w:pPr>
                  <w:r>
                    <w:rPr>
                      <w:rFonts w:hint="eastAsia"/>
                      <w:szCs w:val="18"/>
                      <w:lang w:bidi="ar"/>
                    </w:rPr>
                    <w:t>除尘器风机</w:t>
                  </w:r>
                  <w:r>
                    <w:rPr>
                      <w:rFonts w:hint="eastAsia"/>
                      <w:szCs w:val="18"/>
                    </w:rPr>
                    <w:t>7</w:t>
                  </w:r>
                  <w:r>
                    <w:rPr>
                      <w:szCs w:val="18"/>
                    </w:rPr>
                    <w:t>#</w:t>
                  </w:r>
                </w:p>
              </w:tc>
              <w:tc>
                <w:tcPr>
                  <w:tcW w:w="724" w:type="dxa"/>
                  <w:vAlign w:val="center"/>
                </w:tcPr>
                <w:p w14:paraId="55DFFC22">
                  <w:pPr>
                    <w:pStyle w:val="12"/>
                    <w:adjustRightInd w:val="0"/>
                    <w:spacing w:before="0" w:after="0" w:line="240" w:lineRule="auto"/>
                    <w:ind w:right="0"/>
                    <w:jc w:val="center"/>
                    <w:rPr>
                      <w:szCs w:val="18"/>
                    </w:rPr>
                  </w:pPr>
                  <w:r>
                    <w:rPr>
                      <w:rFonts w:hint="eastAsia"/>
                      <w:szCs w:val="18"/>
                    </w:rPr>
                    <w:t>/</w:t>
                  </w:r>
                </w:p>
              </w:tc>
              <w:tc>
                <w:tcPr>
                  <w:tcW w:w="897" w:type="dxa"/>
                  <w:vAlign w:val="center"/>
                </w:tcPr>
                <w:p w14:paraId="0CD88D08">
                  <w:pPr>
                    <w:pStyle w:val="12"/>
                    <w:adjustRightInd w:val="0"/>
                    <w:spacing w:before="0" w:after="0" w:line="240" w:lineRule="auto"/>
                    <w:ind w:right="0"/>
                    <w:jc w:val="center"/>
                    <w:rPr>
                      <w:kern w:val="24"/>
                      <w:szCs w:val="18"/>
                    </w:rPr>
                  </w:pPr>
                  <w:r>
                    <w:rPr>
                      <w:szCs w:val="18"/>
                    </w:rPr>
                    <w:t>85</w:t>
                  </w:r>
                </w:p>
              </w:tc>
              <w:tc>
                <w:tcPr>
                  <w:tcW w:w="772" w:type="dxa"/>
                  <w:vAlign w:val="center"/>
                </w:tcPr>
                <w:p w14:paraId="6AA715DD">
                  <w:pPr>
                    <w:pStyle w:val="12"/>
                    <w:adjustRightInd w:val="0"/>
                    <w:spacing w:before="0" w:after="0" w:line="240" w:lineRule="auto"/>
                    <w:ind w:right="0"/>
                    <w:jc w:val="center"/>
                    <w:rPr>
                      <w:rFonts w:eastAsiaTheme="minorEastAsia"/>
                      <w:szCs w:val="18"/>
                    </w:rPr>
                  </w:pPr>
                  <w:r>
                    <w:rPr>
                      <w:rFonts w:eastAsiaTheme="minorEastAsia"/>
                      <w:szCs w:val="18"/>
                    </w:rPr>
                    <w:t>基础减震</w:t>
                  </w:r>
                  <w:r>
                    <w:rPr>
                      <w:rFonts w:hint="eastAsia" w:eastAsiaTheme="minorEastAsia"/>
                      <w:szCs w:val="18"/>
                    </w:rPr>
                    <w:t>、</w:t>
                  </w:r>
                  <w:r>
                    <w:rPr>
                      <w:rFonts w:eastAsiaTheme="minorEastAsia"/>
                      <w:szCs w:val="18"/>
                    </w:rPr>
                    <w:t>厂房隔声、进风口消</w:t>
                  </w:r>
                  <w:r>
                    <w:rPr>
                      <w:rFonts w:hint="eastAsia" w:eastAsiaTheme="minorEastAsia"/>
                      <w:szCs w:val="18"/>
                    </w:rPr>
                    <w:t>声</w:t>
                  </w:r>
                  <w:r>
                    <w:rPr>
                      <w:rFonts w:eastAsiaTheme="minorEastAsia"/>
                      <w:szCs w:val="18"/>
                    </w:rPr>
                    <w:t>器</w:t>
                  </w:r>
                </w:p>
              </w:tc>
              <w:tc>
                <w:tcPr>
                  <w:tcW w:w="646" w:type="dxa"/>
                  <w:vAlign w:val="center"/>
                </w:tcPr>
                <w:p w14:paraId="26FEB4B3">
                  <w:pPr>
                    <w:pStyle w:val="12"/>
                    <w:adjustRightInd w:val="0"/>
                    <w:spacing w:before="0" w:after="0" w:line="240" w:lineRule="auto"/>
                    <w:ind w:right="0"/>
                    <w:jc w:val="center"/>
                    <w:rPr>
                      <w:rFonts w:eastAsiaTheme="minorEastAsia"/>
                      <w:szCs w:val="18"/>
                    </w:rPr>
                  </w:pPr>
                  <w:r>
                    <w:rPr>
                      <w:rFonts w:eastAsiaTheme="minorEastAsia"/>
                      <w:szCs w:val="18"/>
                    </w:rPr>
                    <w:t>142.01</w:t>
                  </w:r>
                </w:p>
              </w:tc>
              <w:tc>
                <w:tcPr>
                  <w:tcW w:w="687" w:type="dxa"/>
                  <w:vAlign w:val="center"/>
                </w:tcPr>
                <w:p w14:paraId="146702B5">
                  <w:pPr>
                    <w:pStyle w:val="12"/>
                    <w:adjustRightInd w:val="0"/>
                    <w:spacing w:before="0" w:after="0" w:line="240" w:lineRule="auto"/>
                    <w:ind w:right="0"/>
                    <w:jc w:val="center"/>
                    <w:rPr>
                      <w:rFonts w:eastAsiaTheme="minorEastAsia"/>
                      <w:szCs w:val="18"/>
                    </w:rPr>
                  </w:pPr>
                  <w:r>
                    <w:rPr>
                      <w:rFonts w:eastAsiaTheme="minorEastAsia"/>
                      <w:szCs w:val="18"/>
                    </w:rPr>
                    <w:t>127.32</w:t>
                  </w:r>
                </w:p>
              </w:tc>
              <w:tc>
                <w:tcPr>
                  <w:tcW w:w="592" w:type="dxa"/>
                  <w:vAlign w:val="center"/>
                </w:tcPr>
                <w:p w14:paraId="4EDF9EC3">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73DA83D7">
                  <w:pPr>
                    <w:pStyle w:val="12"/>
                    <w:adjustRightInd w:val="0"/>
                    <w:spacing w:before="0" w:after="0" w:line="240" w:lineRule="auto"/>
                    <w:ind w:right="0"/>
                    <w:jc w:val="center"/>
                    <w:rPr>
                      <w:rFonts w:eastAsiaTheme="minorEastAsia"/>
                      <w:szCs w:val="18"/>
                    </w:rPr>
                  </w:pPr>
                  <w:r>
                    <w:rPr>
                      <w:rFonts w:hint="eastAsia" w:eastAsiaTheme="minorEastAsia"/>
                      <w:szCs w:val="18"/>
                    </w:rPr>
                    <w:t>5</w:t>
                  </w:r>
                </w:p>
              </w:tc>
              <w:tc>
                <w:tcPr>
                  <w:tcW w:w="567" w:type="dxa"/>
                  <w:vAlign w:val="center"/>
                </w:tcPr>
                <w:p w14:paraId="2100C99E">
                  <w:pPr>
                    <w:pStyle w:val="12"/>
                    <w:adjustRightInd w:val="0"/>
                    <w:spacing w:before="0" w:after="0" w:line="240" w:lineRule="auto"/>
                    <w:ind w:right="0"/>
                    <w:jc w:val="center"/>
                    <w:rPr>
                      <w:rFonts w:eastAsiaTheme="minorEastAsia"/>
                      <w:szCs w:val="18"/>
                    </w:rPr>
                  </w:pPr>
                  <w:r>
                    <w:rPr>
                      <w:rFonts w:hint="eastAsia" w:eastAsiaTheme="minorEastAsia"/>
                      <w:szCs w:val="18"/>
                    </w:rPr>
                    <w:t>7</w:t>
                  </w:r>
                  <w:r>
                    <w:rPr>
                      <w:rFonts w:eastAsiaTheme="minorEastAsia"/>
                      <w:szCs w:val="18"/>
                    </w:rPr>
                    <w:t>1.0</w:t>
                  </w:r>
                </w:p>
              </w:tc>
              <w:tc>
                <w:tcPr>
                  <w:tcW w:w="498" w:type="dxa"/>
                  <w:vMerge w:val="continue"/>
                  <w:vAlign w:val="center"/>
                </w:tcPr>
                <w:p w14:paraId="36436547">
                  <w:pPr>
                    <w:pStyle w:val="12"/>
                    <w:adjustRightInd w:val="0"/>
                    <w:spacing w:before="0" w:after="0" w:line="240" w:lineRule="auto"/>
                    <w:ind w:right="0"/>
                    <w:jc w:val="center"/>
                    <w:rPr>
                      <w:rFonts w:eastAsiaTheme="minorEastAsia"/>
                      <w:szCs w:val="18"/>
                    </w:rPr>
                  </w:pPr>
                </w:p>
              </w:tc>
              <w:tc>
                <w:tcPr>
                  <w:tcW w:w="561" w:type="dxa"/>
                  <w:vAlign w:val="center"/>
                </w:tcPr>
                <w:p w14:paraId="52911515">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22E29AA0">
                  <w:pPr>
                    <w:pStyle w:val="12"/>
                    <w:adjustRightInd w:val="0"/>
                    <w:spacing w:before="0" w:after="0" w:line="240" w:lineRule="auto"/>
                    <w:ind w:right="0"/>
                    <w:jc w:val="center"/>
                    <w:rPr>
                      <w:rFonts w:eastAsiaTheme="minorEastAsia"/>
                      <w:szCs w:val="18"/>
                    </w:rPr>
                  </w:pPr>
                  <w:r>
                    <w:rPr>
                      <w:szCs w:val="18"/>
                    </w:rPr>
                    <w:t>45</w:t>
                  </w:r>
                </w:p>
              </w:tc>
              <w:tc>
                <w:tcPr>
                  <w:tcW w:w="567" w:type="dxa"/>
                  <w:vAlign w:val="center"/>
                </w:tcPr>
                <w:p w14:paraId="6A52B75A">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1C97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6DB68CBE">
                  <w:pPr>
                    <w:pStyle w:val="12"/>
                    <w:adjustRightInd w:val="0"/>
                    <w:spacing w:before="0" w:after="0" w:line="240" w:lineRule="auto"/>
                    <w:ind w:right="0"/>
                    <w:jc w:val="center"/>
                    <w:rPr>
                      <w:szCs w:val="18"/>
                    </w:rPr>
                  </w:pPr>
                </w:p>
              </w:tc>
              <w:tc>
                <w:tcPr>
                  <w:tcW w:w="647" w:type="dxa"/>
                  <w:vAlign w:val="center"/>
                </w:tcPr>
                <w:p w14:paraId="0F4249C4">
                  <w:pPr>
                    <w:pStyle w:val="12"/>
                    <w:adjustRightInd w:val="0"/>
                    <w:spacing w:before="0" w:after="0" w:line="240" w:lineRule="auto"/>
                    <w:ind w:right="0"/>
                    <w:jc w:val="center"/>
                    <w:rPr>
                      <w:szCs w:val="18"/>
                      <w:lang w:bidi="ar"/>
                    </w:rPr>
                  </w:pPr>
                  <w:r>
                    <w:rPr>
                      <w:rFonts w:hint="eastAsia"/>
                      <w:szCs w:val="18"/>
                    </w:rPr>
                    <w:t>高频直缝焊管机组</w:t>
                  </w:r>
                  <w:r>
                    <w:rPr>
                      <w:szCs w:val="18"/>
                    </w:rPr>
                    <w:t>8#</w:t>
                  </w:r>
                </w:p>
              </w:tc>
              <w:tc>
                <w:tcPr>
                  <w:tcW w:w="724" w:type="dxa"/>
                  <w:vAlign w:val="center"/>
                </w:tcPr>
                <w:p w14:paraId="7D1497AD">
                  <w:pPr>
                    <w:pStyle w:val="12"/>
                    <w:adjustRightInd w:val="0"/>
                    <w:spacing w:before="0" w:after="0" w:line="240" w:lineRule="auto"/>
                    <w:ind w:right="0"/>
                    <w:jc w:val="center"/>
                    <w:rPr>
                      <w:szCs w:val="18"/>
                    </w:rPr>
                  </w:pPr>
                  <w:r>
                    <w:rPr>
                      <w:szCs w:val="18"/>
                    </w:rPr>
                    <w:t>28</w:t>
                  </w:r>
                  <w:r>
                    <w:rPr>
                      <w:rFonts w:hint="eastAsia"/>
                      <w:szCs w:val="18"/>
                    </w:rPr>
                    <w:t>型</w:t>
                  </w:r>
                </w:p>
              </w:tc>
              <w:tc>
                <w:tcPr>
                  <w:tcW w:w="897" w:type="dxa"/>
                  <w:vAlign w:val="center"/>
                </w:tcPr>
                <w:p w14:paraId="1A0BBFE3">
                  <w:pPr>
                    <w:pStyle w:val="12"/>
                    <w:adjustRightInd w:val="0"/>
                    <w:spacing w:before="0" w:after="0" w:line="240" w:lineRule="auto"/>
                    <w:ind w:right="0"/>
                    <w:jc w:val="center"/>
                    <w:rPr>
                      <w:kern w:val="24"/>
                      <w:szCs w:val="18"/>
                    </w:rPr>
                  </w:pPr>
                  <w:r>
                    <w:rPr>
                      <w:szCs w:val="18"/>
                    </w:rPr>
                    <w:t>85</w:t>
                  </w:r>
                </w:p>
              </w:tc>
              <w:tc>
                <w:tcPr>
                  <w:tcW w:w="772" w:type="dxa"/>
                  <w:vAlign w:val="center"/>
                </w:tcPr>
                <w:p w14:paraId="4FCD1AA4">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0A83E1BE">
                  <w:pPr>
                    <w:pStyle w:val="12"/>
                    <w:adjustRightInd w:val="0"/>
                    <w:spacing w:before="0" w:after="0" w:line="240" w:lineRule="auto"/>
                    <w:ind w:right="0"/>
                    <w:jc w:val="center"/>
                    <w:rPr>
                      <w:rFonts w:eastAsiaTheme="minorEastAsia"/>
                      <w:szCs w:val="18"/>
                    </w:rPr>
                  </w:pPr>
                  <w:r>
                    <w:rPr>
                      <w:rFonts w:eastAsiaTheme="minorEastAsia"/>
                      <w:szCs w:val="18"/>
                    </w:rPr>
                    <w:t>197.79</w:t>
                  </w:r>
                </w:p>
              </w:tc>
              <w:tc>
                <w:tcPr>
                  <w:tcW w:w="687" w:type="dxa"/>
                  <w:vAlign w:val="center"/>
                </w:tcPr>
                <w:p w14:paraId="0077F98A">
                  <w:pPr>
                    <w:pStyle w:val="12"/>
                    <w:adjustRightInd w:val="0"/>
                    <w:spacing w:before="0" w:after="0" w:line="240" w:lineRule="auto"/>
                    <w:ind w:right="0"/>
                    <w:jc w:val="center"/>
                    <w:rPr>
                      <w:rFonts w:eastAsiaTheme="minorEastAsia"/>
                      <w:szCs w:val="18"/>
                    </w:rPr>
                  </w:pPr>
                  <w:r>
                    <w:rPr>
                      <w:rFonts w:eastAsiaTheme="minorEastAsia"/>
                      <w:szCs w:val="18"/>
                    </w:rPr>
                    <w:t>140.55</w:t>
                  </w:r>
                </w:p>
              </w:tc>
              <w:tc>
                <w:tcPr>
                  <w:tcW w:w="592" w:type="dxa"/>
                  <w:vAlign w:val="center"/>
                </w:tcPr>
                <w:p w14:paraId="15ACC980">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20BAE6FB">
                  <w:pPr>
                    <w:pStyle w:val="12"/>
                    <w:adjustRightInd w:val="0"/>
                    <w:spacing w:before="0" w:after="0" w:line="240" w:lineRule="auto"/>
                    <w:ind w:right="0"/>
                    <w:jc w:val="center"/>
                    <w:rPr>
                      <w:rFonts w:eastAsiaTheme="minorEastAsia"/>
                      <w:szCs w:val="18"/>
                    </w:rPr>
                  </w:pPr>
                  <w:r>
                    <w:rPr>
                      <w:rFonts w:hint="eastAsia" w:eastAsiaTheme="minorEastAsia"/>
                      <w:szCs w:val="18"/>
                    </w:rPr>
                    <w:t>9</w:t>
                  </w:r>
                </w:p>
              </w:tc>
              <w:tc>
                <w:tcPr>
                  <w:tcW w:w="567" w:type="dxa"/>
                  <w:vAlign w:val="center"/>
                </w:tcPr>
                <w:p w14:paraId="3D3BE1FE">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5.9</w:t>
                  </w:r>
                </w:p>
              </w:tc>
              <w:tc>
                <w:tcPr>
                  <w:tcW w:w="498" w:type="dxa"/>
                  <w:vMerge w:val="continue"/>
                  <w:vAlign w:val="center"/>
                </w:tcPr>
                <w:p w14:paraId="3D59B550">
                  <w:pPr>
                    <w:pStyle w:val="12"/>
                    <w:adjustRightInd w:val="0"/>
                    <w:spacing w:before="0" w:after="0" w:line="240" w:lineRule="auto"/>
                    <w:ind w:right="0"/>
                    <w:jc w:val="center"/>
                    <w:rPr>
                      <w:rFonts w:eastAsiaTheme="minorEastAsia"/>
                      <w:szCs w:val="18"/>
                    </w:rPr>
                  </w:pPr>
                </w:p>
              </w:tc>
              <w:tc>
                <w:tcPr>
                  <w:tcW w:w="561" w:type="dxa"/>
                  <w:vAlign w:val="center"/>
                </w:tcPr>
                <w:p w14:paraId="358D8CBD">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125CFDDD">
                  <w:pPr>
                    <w:pStyle w:val="12"/>
                    <w:adjustRightInd w:val="0"/>
                    <w:spacing w:before="0" w:after="0" w:line="240" w:lineRule="auto"/>
                    <w:ind w:right="0"/>
                    <w:jc w:val="center"/>
                    <w:rPr>
                      <w:rFonts w:eastAsiaTheme="minorEastAsia"/>
                      <w:szCs w:val="18"/>
                    </w:rPr>
                  </w:pPr>
                  <w:r>
                    <w:rPr>
                      <w:szCs w:val="18"/>
                    </w:rPr>
                    <w:t>39.9</w:t>
                  </w:r>
                </w:p>
              </w:tc>
              <w:tc>
                <w:tcPr>
                  <w:tcW w:w="567" w:type="dxa"/>
                  <w:vAlign w:val="center"/>
                </w:tcPr>
                <w:p w14:paraId="1483BA8A">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65AF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21C9B556">
                  <w:pPr>
                    <w:pStyle w:val="12"/>
                    <w:adjustRightInd w:val="0"/>
                    <w:spacing w:before="0" w:after="0" w:line="240" w:lineRule="auto"/>
                    <w:ind w:right="0"/>
                    <w:jc w:val="center"/>
                    <w:rPr>
                      <w:szCs w:val="18"/>
                    </w:rPr>
                  </w:pPr>
                </w:p>
              </w:tc>
              <w:tc>
                <w:tcPr>
                  <w:tcW w:w="647" w:type="dxa"/>
                  <w:vAlign w:val="center"/>
                </w:tcPr>
                <w:p w14:paraId="523E594A">
                  <w:pPr>
                    <w:pStyle w:val="12"/>
                    <w:adjustRightInd w:val="0"/>
                    <w:spacing w:before="0" w:after="0" w:line="240" w:lineRule="auto"/>
                    <w:ind w:right="0"/>
                    <w:jc w:val="center"/>
                    <w:rPr>
                      <w:szCs w:val="18"/>
                      <w:lang w:bidi="ar"/>
                    </w:rPr>
                  </w:pPr>
                  <w:r>
                    <w:rPr>
                      <w:rFonts w:hint="eastAsia"/>
                      <w:kern w:val="24"/>
                      <w:szCs w:val="18"/>
                    </w:rPr>
                    <w:t>纵剪机组</w:t>
                  </w:r>
                  <w:r>
                    <w:rPr>
                      <w:szCs w:val="18"/>
                    </w:rPr>
                    <w:t>8#</w:t>
                  </w:r>
                </w:p>
              </w:tc>
              <w:tc>
                <w:tcPr>
                  <w:tcW w:w="724" w:type="dxa"/>
                  <w:vAlign w:val="center"/>
                </w:tcPr>
                <w:p w14:paraId="3CF45CCD">
                  <w:pPr>
                    <w:pStyle w:val="12"/>
                    <w:adjustRightInd w:val="0"/>
                    <w:spacing w:before="0" w:after="0" w:line="240" w:lineRule="auto"/>
                    <w:ind w:right="0"/>
                    <w:jc w:val="center"/>
                    <w:rPr>
                      <w:szCs w:val="18"/>
                    </w:rPr>
                  </w:pPr>
                  <w:r>
                    <w:rPr>
                      <w:rFonts w:hint="eastAsia"/>
                      <w:szCs w:val="18"/>
                    </w:rPr>
                    <w:t>/</w:t>
                  </w:r>
                </w:p>
              </w:tc>
              <w:tc>
                <w:tcPr>
                  <w:tcW w:w="897" w:type="dxa"/>
                  <w:vAlign w:val="center"/>
                </w:tcPr>
                <w:p w14:paraId="0598F40D">
                  <w:pPr>
                    <w:pStyle w:val="12"/>
                    <w:adjustRightInd w:val="0"/>
                    <w:spacing w:before="0" w:after="0" w:line="240" w:lineRule="auto"/>
                    <w:ind w:right="0"/>
                    <w:jc w:val="center"/>
                    <w:rPr>
                      <w:kern w:val="24"/>
                      <w:szCs w:val="18"/>
                    </w:rPr>
                  </w:pPr>
                  <w:r>
                    <w:rPr>
                      <w:szCs w:val="18"/>
                    </w:rPr>
                    <w:t>90</w:t>
                  </w:r>
                </w:p>
              </w:tc>
              <w:tc>
                <w:tcPr>
                  <w:tcW w:w="772" w:type="dxa"/>
                  <w:vAlign w:val="center"/>
                </w:tcPr>
                <w:p w14:paraId="57D74673">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78B69EAA">
                  <w:pPr>
                    <w:pStyle w:val="12"/>
                    <w:adjustRightInd w:val="0"/>
                    <w:spacing w:before="0" w:after="0" w:line="240" w:lineRule="auto"/>
                    <w:ind w:right="0"/>
                    <w:jc w:val="center"/>
                    <w:rPr>
                      <w:rFonts w:eastAsiaTheme="minorEastAsia"/>
                      <w:szCs w:val="18"/>
                    </w:rPr>
                  </w:pPr>
                  <w:r>
                    <w:rPr>
                      <w:rFonts w:eastAsiaTheme="minorEastAsia"/>
                      <w:szCs w:val="18"/>
                    </w:rPr>
                    <w:t>179.48</w:t>
                  </w:r>
                </w:p>
              </w:tc>
              <w:tc>
                <w:tcPr>
                  <w:tcW w:w="687" w:type="dxa"/>
                  <w:vAlign w:val="center"/>
                </w:tcPr>
                <w:p w14:paraId="10F1C763">
                  <w:pPr>
                    <w:pStyle w:val="12"/>
                    <w:adjustRightInd w:val="0"/>
                    <w:spacing w:before="0" w:after="0" w:line="240" w:lineRule="auto"/>
                    <w:ind w:right="0"/>
                    <w:jc w:val="center"/>
                    <w:rPr>
                      <w:rFonts w:eastAsiaTheme="minorEastAsia"/>
                      <w:szCs w:val="18"/>
                    </w:rPr>
                  </w:pPr>
                  <w:r>
                    <w:rPr>
                      <w:rFonts w:eastAsiaTheme="minorEastAsia"/>
                      <w:szCs w:val="18"/>
                    </w:rPr>
                    <w:t>136.26</w:t>
                  </w:r>
                </w:p>
              </w:tc>
              <w:tc>
                <w:tcPr>
                  <w:tcW w:w="592" w:type="dxa"/>
                  <w:vAlign w:val="center"/>
                </w:tcPr>
                <w:p w14:paraId="267ADC89">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526B36C1">
                  <w:pPr>
                    <w:pStyle w:val="12"/>
                    <w:adjustRightInd w:val="0"/>
                    <w:spacing w:before="0" w:after="0" w:line="240" w:lineRule="auto"/>
                    <w:ind w:right="0"/>
                    <w:jc w:val="center"/>
                    <w:rPr>
                      <w:rFonts w:eastAsiaTheme="minorEastAsia"/>
                      <w:szCs w:val="18"/>
                    </w:rPr>
                  </w:pPr>
                  <w:r>
                    <w:rPr>
                      <w:rFonts w:hint="eastAsia" w:eastAsiaTheme="minorEastAsia"/>
                      <w:szCs w:val="18"/>
                    </w:rPr>
                    <w:t>1</w:t>
                  </w:r>
                  <w:r>
                    <w:rPr>
                      <w:rFonts w:eastAsiaTheme="minorEastAsia"/>
                      <w:szCs w:val="18"/>
                    </w:rPr>
                    <w:t>2</w:t>
                  </w:r>
                </w:p>
              </w:tc>
              <w:tc>
                <w:tcPr>
                  <w:tcW w:w="567" w:type="dxa"/>
                  <w:vAlign w:val="center"/>
                </w:tcPr>
                <w:p w14:paraId="762072C9">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8.4</w:t>
                  </w:r>
                </w:p>
              </w:tc>
              <w:tc>
                <w:tcPr>
                  <w:tcW w:w="498" w:type="dxa"/>
                  <w:vMerge w:val="continue"/>
                  <w:vAlign w:val="center"/>
                </w:tcPr>
                <w:p w14:paraId="55E07FB4">
                  <w:pPr>
                    <w:pStyle w:val="12"/>
                    <w:adjustRightInd w:val="0"/>
                    <w:spacing w:before="0" w:after="0" w:line="240" w:lineRule="auto"/>
                    <w:ind w:right="0"/>
                    <w:jc w:val="center"/>
                    <w:rPr>
                      <w:rFonts w:eastAsiaTheme="minorEastAsia"/>
                      <w:szCs w:val="18"/>
                    </w:rPr>
                  </w:pPr>
                </w:p>
              </w:tc>
              <w:tc>
                <w:tcPr>
                  <w:tcW w:w="561" w:type="dxa"/>
                  <w:vAlign w:val="center"/>
                </w:tcPr>
                <w:p w14:paraId="209011CE">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5207D783">
                  <w:pPr>
                    <w:pStyle w:val="12"/>
                    <w:adjustRightInd w:val="0"/>
                    <w:spacing w:before="0" w:after="0" w:line="240" w:lineRule="auto"/>
                    <w:ind w:right="0"/>
                    <w:jc w:val="center"/>
                    <w:rPr>
                      <w:rFonts w:eastAsiaTheme="minorEastAsia"/>
                      <w:szCs w:val="18"/>
                    </w:rPr>
                  </w:pPr>
                  <w:r>
                    <w:rPr>
                      <w:szCs w:val="18"/>
                    </w:rPr>
                    <w:t>42.4</w:t>
                  </w:r>
                </w:p>
              </w:tc>
              <w:tc>
                <w:tcPr>
                  <w:tcW w:w="567" w:type="dxa"/>
                  <w:vAlign w:val="center"/>
                </w:tcPr>
                <w:p w14:paraId="11E3A7F7">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3A5A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33E51F4B">
                  <w:pPr>
                    <w:pStyle w:val="12"/>
                    <w:adjustRightInd w:val="0"/>
                    <w:spacing w:before="0" w:after="0" w:line="240" w:lineRule="auto"/>
                    <w:ind w:right="0"/>
                    <w:jc w:val="center"/>
                    <w:rPr>
                      <w:szCs w:val="18"/>
                    </w:rPr>
                  </w:pPr>
                </w:p>
              </w:tc>
              <w:tc>
                <w:tcPr>
                  <w:tcW w:w="647" w:type="dxa"/>
                  <w:vAlign w:val="center"/>
                </w:tcPr>
                <w:p w14:paraId="77EE40AE">
                  <w:pPr>
                    <w:pStyle w:val="12"/>
                    <w:adjustRightInd w:val="0"/>
                    <w:spacing w:before="0" w:after="0" w:line="240" w:lineRule="auto"/>
                    <w:ind w:right="0"/>
                    <w:jc w:val="center"/>
                    <w:rPr>
                      <w:szCs w:val="18"/>
                      <w:lang w:bidi="ar"/>
                    </w:rPr>
                  </w:pPr>
                  <w:r>
                    <w:rPr>
                      <w:szCs w:val="18"/>
                    </w:rPr>
                    <w:t>校直机8#</w:t>
                  </w:r>
                </w:p>
              </w:tc>
              <w:tc>
                <w:tcPr>
                  <w:tcW w:w="724" w:type="dxa"/>
                  <w:vAlign w:val="center"/>
                </w:tcPr>
                <w:p w14:paraId="0A345B82">
                  <w:pPr>
                    <w:pStyle w:val="12"/>
                    <w:adjustRightInd w:val="0"/>
                    <w:spacing w:before="0" w:after="0" w:line="240" w:lineRule="auto"/>
                    <w:ind w:right="0"/>
                    <w:jc w:val="center"/>
                    <w:rPr>
                      <w:szCs w:val="18"/>
                    </w:rPr>
                  </w:pPr>
                  <w:r>
                    <w:rPr>
                      <w:rFonts w:hint="eastAsia"/>
                      <w:szCs w:val="18"/>
                    </w:rPr>
                    <w:t>/</w:t>
                  </w:r>
                </w:p>
              </w:tc>
              <w:tc>
                <w:tcPr>
                  <w:tcW w:w="897" w:type="dxa"/>
                  <w:vAlign w:val="center"/>
                </w:tcPr>
                <w:p w14:paraId="15A74D4A">
                  <w:pPr>
                    <w:pStyle w:val="12"/>
                    <w:adjustRightInd w:val="0"/>
                    <w:spacing w:before="0" w:after="0" w:line="240" w:lineRule="auto"/>
                    <w:ind w:right="0"/>
                    <w:jc w:val="center"/>
                    <w:rPr>
                      <w:kern w:val="24"/>
                      <w:szCs w:val="18"/>
                    </w:rPr>
                  </w:pPr>
                  <w:r>
                    <w:rPr>
                      <w:szCs w:val="18"/>
                    </w:rPr>
                    <w:t>85</w:t>
                  </w:r>
                </w:p>
              </w:tc>
              <w:tc>
                <w:tcPr>
                  <w:tcW w:w="772" w:type="dxa"/>
                  <w:vAlign w:val="center"/>
                </w:tcPr>
                <w:p w14:paraId="4E4CD92A">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7533EC75">
                  <w:pPr>
                    <w:pStyle w:val="12"/>
                    <w:adjustRightInd w:val="0"/>
                    <w:spacing w:before="0" w:after="0" w:line="240" w:lineRule="auto"/>
                    <w:ind w:right="0"/>
                    <w:jc w:val="center"/>
                    <w:rPr>
                      <w:rFonts w:eastAsiaTheme="minorEastAsia"/>
                      <w:szCs w:val="18"/>
                    </w:rPr>
                  </w:pPr>
                  <w:r>
                    <w:rPr>
                      <w:rFonts w:eastAsiaTheme="minorEastAsia"/>
                      <w:szCs w:val="18"/>
                    </w:rPr>
                    <w:t>166.85</w:t>
                  </w:r>
                </w:p>
              </w:tc>
              <w:tc>
                <w:tcPr>
                  <w:tcW w:w="687" w:type="dxa"/>
                  <w:vAlign w:val="center"/>
                </w:tcPr>
                <w:p w14:paraId="64033A4A">
                  <w:pPr>
                    <w:pStyle w:val="12"/>
                    <w:adjustRightInd w:val="0"/>
                    <w:spacing w:before="0" w:after="0" w:line="240" w:lineRule="auto"/>
                    <w:ind w:right="0"/>
                    <w:jc w:val="center"/>
                    <w:rPr>
                      <w:rFonts w:eastAsiaTheme="minorEastAsia"/>
                      <w:szCs w:val="18"/>
                    </w:rPr>
                  </w:pPr>
                  <w:r>
                    <w:rPr>
                      <w:rFonts w:eastAsiaTheme="minorEastAsia"/>
                      <w:szCs w:val="18"/>
                    </w:rPr>
                    <w:t>127.16</w:t>
                  </w:r>
                </w:p>
              </w:tc>
              <w:tc>
                <w:tcPr>
                  <w:tcW w:w="592" w:type="dxa"/>
                  <w:vAlign w:val="center"/>
                </w:tcPr>
                <w:p w14:paraId="6AE01766">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31EEA130">
                  <w:pPr>
                    <w:pStyle w:val="12"/>
                    <w:adjustRightInd w:val="0"/>
                    <w:spacing w:before="0" w:after="0" w:line="240" w:lineRule="auto"/>
                    <w:ind w:right="0"/>
                    <w:jc w:val="center"/>
                    <w:rPr>
                      <w:rFonts w:eastAsiaTheme="minorEastAsia"/>
                      <w:szCs w:val="18"/>
                    </w:rPr>
                  </w:pPr>
                  <w:r>
                    <w:rPr>
                      <w:rFonts w:hint="eastAsia" w:eastAsiaTheme="minorEastAsia"/>
                      <w:szCs w:val="18"/>
                    </w:rPr>
                    <w:t>9</w:t>
                  </w:r>
                </w:p>
              </w:tc>
              <w:tc>
                <w:tcPr>
                  <w:tcW w:w="567" w:type="dxa"/>
                  <w:vAlign w:val="center"/>
                </w:tcPr>
                <w:p w14:paraId="2AAA6F1A">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5.9</w:t>
                  </w:r>
                </w:p>
              </w:tc>
              <w:tc>
                <w:tcPr>
                  <w:tcW w:w="498" w:type="dxa"/>
                  <w:vMerge w:val="continue"/>
                  <w:vAlign w:val="center"/>
                </w:tcPr>
                <w:p w14:paraId="677508EB">
                  <w:pPr>
                    <w:pStyle w:val="12"/>
                    <w:adjustRightInd w:val="0"/>
                    <w:spacing w:before="0" w:after="0" w:line="240" w:lineRule="auto"/>
                    <w:ind w:right="0"/>
                    <w:jc w:val="center"/>
                    <w:rPr>
                      <w:rFonts w:eastAsiaTheme="minorEastAsia"/>
                      <w:szCs w:val="18"/>
                    </w:rPr>
                  </w:pPr>
                </w:p>
              </w:tc>
              <w:tc>
                <w:tcPr>
                  <w:tcW w:w="561" w:type="dxa"/>
                  <w:vAlign w:val="center"/>
                </w:tcPr>
                <w:p w14:paraId="0FE3FC5C">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385518DC">
                  <w:pPr>
                    <w:pStyle w:val="12"/>
                    <w:adjustRightInd w:val="0"/>
                    <w:spacing w:before="0" w:after="0" w:line="240" w:lineRule="auto"/>
                    <w:ind w:right="0"/>
                    <w:jc w:val="center"/>
                    <w:rPr>
                      <w:rFonts w:eastAsiaTheme="minorEastAsia"/>
                      <w:szCs w:val="18"/>
                    </w:rPr>
                  </w:pPr>
                  <w:r>
                    <w:rPr>
                      <w:szCs w:val="18"/>
                    </w:rPr>
                    <w:t>39.9</w:t>
                  </w:r>
                </w:p>
              </w:tc>
              <w:tc>
                <w:tcPr>
                  <w:tcW w:w="567" w:type="dxa"/>
                  <w:vAlign w:val="center"/>
                </w:tcPr>
                <w:p w14:paraId="33A775AE">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3160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1F6E365F">
                  <w:pPr>
                    <w:pStyle w:val="12"/>
                    <w:adjustRightInd w:val="0"/>
                    <w:spacing w:before="0" w:after="0" w:line="240" w:lineRule="auto"/>
                    <w:ind w:right="0"/>
                    <w:jc w:val="center"/>
                    <w:rPr>
                      <w:szCs w:val="18"/>
                    </w:rPr>
                  </w:pPr>
                </w:p>
              </w:tc>
              <w:tc>
                <w:tcPr>
                  <w:tcW w:w="647" w:type="dxa"/>
                  <w:vAlign w:val="center"/>
                </w:tcPr>
                <w:p w14:paraId="62288B97">
                  <w:pPr>
                    <w:pStyle w:val="12"/>
                    <w:adjustRightInd w:val="0"/>
                    <w:spacing w:before="0" w:after="0" w:line="240" w:lineRule="auto"/>
                    <w:ind w:right="0"/>
                    <w:jc w:val="center"/>
                    <w:rPr>
                      <w:szCs w:val="18"/>
                      <w:lang w:bidi="ar"/>
                    </w:rPr>
                  </w:pPr>
                  <w:r>
                    <w:rPr>
                      <w:szCs w:val="18"/>
                    </w:rPr>
                    <w:t>电动飞锯8#</w:t>
                  </w:r>
                </w:p>
              </w:tc>
              <w:tc>
                <w:tcPr>
                  <w:tcW w:w="724" w:type="dxa"/>
                  <w:vAlign w:val="center"/>
                </w:tcPr>
                <w:p w14:paraId="487FF8B8">
                  <w:pPr>
                    <w:pStyle w:val="12"/>
                    <w:adjustRightInd w:val="0"/>
                    <w:spacing w:before="0" w:after="0" w:line="240" w:lineRule="auto"/>
                    <w:ind w:right="0"/>
                    <w:jc w:val="center"/>
                    <w:rPr>
                      <w:szCs w:val="18"/>
                    </w:rPr>
                  </w:pPr>
                  <w:r>
                    <w:rPr>
                      <w:rFonts w:hint="eastAsia"/>
                      <w:szCs w:val="18"/>
                    </w:rPr>
                    <w:t>/</w:t>
                  </w:r>
                </w:p>
              </w:tc>
              <w:tc>
                <w:tcPr>
                  <w:tcW w:w="897" w:type="dxa"/>
                  <w:vAlign w:val="center"/>
                </w:tcPr>
                <w:p w14:paraId="70759504">
                  <w:pPr>
                    <w:pStyle w:val="12"/>
                    <w:adjustRightInd w:val="0"/>
                    <w:spacing w:before="0" w:after="0" w:line="240" w:lineRule="auto"/>
                    <w:ind w:right="0"/>
                    <w:jc w:val="center"/>
                    <w:rPr>
                      <w:kern w:val="24"/>
                      <w:szCs w:val="18"/>
                    </w:rPr>
                  </w:pPr>
                  <w:r>
                    <w:rPr>
                      <w:szCs w:val="18"/>
                    </w:rPr>
                    <w:t>85</w:t>
                  </w:r>
                </w:p>
              </w:tc>
              <w:tc>
                <w:tcPr>
                  <w:tcW w:w="772" w:type="dxa"/>
                  <w:vAlign w:val="center"/>
                </w:tcPr>
                <w:p w14:paraId="69E2A30D">
                  <w:pPr>
                    <w:pStyle w:val="12"/>
                    <w:adjustRightInd w:val="0"/>
                    <w:spacing w:before="0" w:after="0" w:line="240" w:lineRule="auto"/>
                    <w:ind w:right="0"/>
                    <w:jc w:val="center"/>
                    <w:rPr>
                      <w:rFonts w:eastAsiaTheme="minorEastAsia"/>
                      <w:szCs w:val="18"/>
                    </w:rPr>
                  </w:pPr>
                  <w:r>
                    <w:rPr>
                      <w:rFonts w:eastAsiaTheme="minorEastAsia"/>
                      <w:szCs w:val="18"/>
                    </w:rPr>
                    <w:t>基础</w:t>
                  </w:r>
                  <w:r>
                    <w:rPr>
                      <w:rFonts w:hint="eastAsia" w:eastAsiaTheme="minorEastAsia"/>
                      <w:szCs w:val="18"/>
                    </w:rPr>
                    <w:t>减振、</w:t>
                  </w:r>
                  <w:r>
                    <w:rPr>
                      <w:rFonts w:eastAsiaTheme="minorEastAsia"/>
                      <w:szCs w:val="18"/>
                    </w:rPr>
                    <w:t>厂房隔声</w:t>
                  </w:r>
                </w:p>
              </w:tc>
              <w:tc>
                <w:tcPr>
                  <w:tcW w:w="646" w:type="dxa"/>
                  <w:vAlign w:val="center"/>
                </w:tcPr>
                <w:p w14:paraId="36961971">
                  <w:pPr>
                    <w:pStyle w:val="12"/>
                    <w:adjustRightInd w:val="0"/>
                    <w:spacing w:before="0" w:after="0" w:line="240" w:lineRule="auto"/>
                    <w:ind w:right="0"/>
                    <w:jc w:val="center"/>
                    <w:rPr>
                      <w:rFonts w:eastAsiaTheme="minorEastAsia"/>
                      <w:szCs w:val="18"/>
                    </w:rPr>
                  </w:pPr>
                  <w:r>
                    <w:rPr>
                      <w:rFonts w:eastAsiaTheme="minorEastAsia"/>
                      <w:szCs w:val="18"/>
                    </w:rPr>
                    <w:t>157.66</w:t>
                  </w:r>
                </w:p>
              </w:tc>
              <w:tc>
                <w:tcPr>
                  <w:tcW w:w="687" w:type="dxa"/>
                  <w:vAlign w:val="center"/>
                </w:tcPr>
                <w:p w14:paraId="375AD739">
                  <w:pPr>
                    <w:pStyle w:val="12"/>
                    <w:adjustRightInd w:val="0"/>
                    <w:spacing w:before="0" w:after="0" w:line="240" w:lineRule="auto"/>
                    <w:ind w:right="0"/>
                    <w:jc w:val="center"/>
                    <w:rPr>
                      <w:rFonts w:eastAsiaTheme="minorEastAsia"/>
                      <w:szCs w:val="18"/>
                    </w:rPr>
                  </w:pPr>
                  <w:r>
                    <w:rPr>
                      <w:rFonts w:eastAsiaTheme="minorEastAsia"/>
                      <w:szCs w:val="18"/>
                    </w:rPr>
                    <w:t>121.99</w:t>
                  </w:r>
                </w:p>
              </w:tc>
              <w:tc>
                <w:tcPr>
                  <w:tcW w:w="592" w:type="dxa"/>
                  <w:vAlign w:val="center"/>
                </w:tcPr>
                <w:p w14:paraId="32FF7103">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0C9F48A0">
                  <w:pPr>
                    <w:pStyle w:val="12"/>
                    <w:adjustRightInd w:val="0"/>
                    <w:spacing w:before="0" w:after="0" w:line="240" w:lineRule="auto"/>
                    <w:ind w:right="0"/>
                    <w:jc w:val="center"/>
                    <w:rPr>
                      <w:rFonts w:eastAsiaTheme="minorEastAsia"/>
                      <w:szCs w:val="18"/>
                    </w:rPr>
                  </w:pPr>
                  <w:r>
                    <w:rPr>
                      <w:rFonts w:hint="eastAsia" w:eastAsiaTheme="minorEastAsia"/>
                      <w:szCs w:val="18"/>
                    </w:rPr>
                    <w:t>8</w:t>
                  </w:r>
                </w:p>
              </w:tc>
              <w:tc>
                <w:tcPr>
                  <w:tcW w:w="567" w:type="dxa"/>
                  <w:vAlign w:val="center"/>
                </w:tcPr>
                <w:p w14:paraId="55B1CF02">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6.9</w:t>
                  </w:r>
                </w:p>
              </w:tc>
              <w:tc>
                <w:tcPr>
                  <w:tcW w:w="498" w:type="dxa"/>
                  <w:vMerge w:val="continue"/>
                  <w:vAlign w:val="center"/>
                </w:tcPr>
                <w:p w14:paraId="215F5200">
                  <w:pPr>
                    <w:pStyle w:val="12"/>
                    <w:adjustRightInd w:val="0"/>
                    <w:spacing w:before="0" w:after="0" w:line="240" w:lineRule="auto"/>
                    <w:ind w:right="0"/>
                    <w:jc w:val="center"/>
                    <w:rPr>
                      <w:rFonts w:eastAsiaTheme="minorEastAsia"/>
                      <w:szCs w:val="18"/>
                    </w:rPr>
                  </w:pPr>
                </w:p>
              </w:tc>
              <w:tc>
                <w:tcPr>
                  <w:tcW w:w="561" w:type="dxa"/>
                  <w:vAlign w:val="center"/>
                </w:tcPr>
                <w:p w14:paraId="60D98E68">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153925C4">
                  <w:pPr>
                    <w:pStyle w:val="12"/>
                    <w:adjustRightInd w:val="0"/>
                    <w:spacing w:before="0" w:after="0" w:line="240" w:lineRule="auto"/>
                    <w:ind w:right="0"/>
                    <w:jc w:val="center"/>
                    <w:rPr>
                      <w:rFonts w:eastAsiaTheme="minorEastAsia"/>
                      <w:szCs w:val="18"/>
                    </w:rPr>
                  </w:pPr>
                  <w:r>
                    <w:rPr>
                      <w:szCs w:val="18"/>
                    </w:rPr>
                    <w:t>40.9</w:t>
                  </w:r>
                </w:p>
              </w:tc>
              <w:tc>
                <w:tcPr>
                  <w:tcW w:w="567" w:type="dxa"/>
                  <w:vAlign w:val="center"/>
                </w:tcPr>
                <w:p w14:paraId="4C6A9EF4">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r w14:paraId="05DA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vAlign w:val="center"/>
                </w:tcPr>
                <w:p w14:paraId="4C45F3D3">
                  <w:pPr>
                    <w:pStyle w:val="12"/>
                    <w:adjustRightInd w:val="0"/>
                    <w:spacing w:before="0" w:after="0" w:line="240" w:lineRule="auto"/>
                    <w:ind w:right="0"/>
                    <w:jc w:val="center"/>
                    <w:rPr>
                      <w:szCs w:val="18"/>
                    </w:rPr>
                  </w:pPr>
                </w:p>
              </w:tc>
              <w:tc>
                <w:tcPr>
                  <w:tcW w:w="647" w:type="dxa"/>
                  <w:vAlign w:val="center"/>
                </w:tcPr>
                <w:p w14:paraId="32A7B23B">
                  <w:pPr>
                    <w:pStyle w:val="12"/>
                    <w:adjustRightInd w:val="0"/>
                    <w:spacing w:before="0" w:after="0" w:line="240" w:lineRule="auto"/>
                    <w:ind w:right="0"/>
                    <w:jc w:val="center"/>
                    <w:rPr>
                      <w:szCs w:val="18"/>
                      <w:lang w:bidi="ar"/>
                    </w:rPr>
                  </w:pPr>
                  <w:r>
                    <w:rPr>
                      <w:rFonts w:hint="eastAsia"/>
                      <w:szCs w:val="18"/>
                      <w:lang w:bidi="ar"/>
                    </w:rPr>
                    <w:t>除尘器风机</w:t>
                  </w:r>
                  <w:r>
                    <w:rPr>
                      <w:szCs w:val="18"/>
                    </w:rPr>
                    <w:t>8#</w:t>
                  </w:r>
                </w:p>
              </w:tc>
              <w:tc>
                <w:tcPr>
                  <w:tcW w:w="724" w:type="dxa"/>
                  <w:vAlign w:val="center"/>
                </w:tcPr>
                <w:p w14:paraId="666D4D55">
                  <w:pPr>
                    <w:pStyle w:val="12"/>
                    <w:adjustRightInd w:val="0"/>
                    <w:spacing w:before="0" w:after="0" w:line="240" w:lineRule="auto"/>
                    <w:ind w:right="0"/>
                    <w:jc w:val="center"/>
                    <w:rPr>
                      <w:szCs w:val="18"/>
                    </w:rPr>
                  </w:pPr>
                  <w:r>
                    <w:rPr>
                      <w:rFonts w:hint="eastAsia"/>
                      <w:szCs w:val="18"/>
                    </w:rPr>
                    <w:t>/</w:t>
                  </w:r>
                </w:p>
              </w:tc>
              <w:tc>
                <w:tcPr>
                  <w:tcW w:w="897" w:type="dxa"/>
                  <w:vAlign w:val="center"/>
                </w:tcPr>
                <w:p w14:paraId="0A3CB629">
                  <w:pPr>
                    <w:pStyle w:val="12"/>
                    <w:adjustRightInd w:val="0"/>
                    <w:spacing w:before="0" w:after="0" w:line="240" w:lineRule="auto"/>
                    <w:ind w:right="0"/>
                    <w:jc w:val="center"/>
                    <w:rPr>
                      <w:kern w:val="24"/>
                      <w:szCs w:val="18"/>
                    </w:rPr>
                  </w:pPr>
                  <w:r>
                    <w:rPr>
                      <w:szCs w:val="18"/>
                    </w:rPr>
                    <w:t>85</w:t>
                  </w:r>
                </w:p>
              </w:tc>
              <w:tc>
                <w:tcPr>
                  <w:tcW w:w="772" w:type="dxa"/>
                  <w:vAlign w:val="center"/>
                </w:tcPr>
                <w:p w14:paraId="5624F52C">
                  <w:pPr>
                    <w:pStyle w:val="12"/>
                    <w:adjustRightInd w:val="0"/>
                    <w:spacing w:before="0" w:after="0" w:line="240" w:lineRule="auto"/>
                    <w:ind w:right="0"/>
                    <w:jc w:val="center"/>
                    <w:rPr>
                      <w:rFonts w:eastAsiaTheme="minorEastAsia"/>
                      <w:szCs w:val="18"/>
                    </w:rPr>
                  </w:pPr>
                  <w:r>
                    <w:rPr>
                      <w:rFonts w:eastAsiaTheme="minorEastAsia"/>
                      <w:szCs w:val="18"/>
                    </w:rPr>
                    <w:t>基础减震</w:t>
                  </w:r>
                  <w:r>
                    <w:rPr>
                      <w:rFonts w:hint="eastAsia" w:eastAsiaTheme="minorEastAsia"/>
                      <w:szCs w:val="18"/>
                    </w:rPr>
                    <w:t>、</w:t>
                  </w:r>
                  <w:r>
                    <w:rPr>
                      <w:rFonts w:eastAsiaTheme="minorEastAsia"/>
                      <w:szCs w:val="18"/>
                    </w:rPr>
                    <w:t>厂房隔声、进风口消</w:t>
                  </w:r>
                  <w:r>
                    <w:rPr>
                      <w:rFonts w:hint="eastAsia" w:eastAsiaTheme="minorEastAsia"/>
                      <w:szCs w:val="18"/>
                    </w:rPr>
                    <w:t>声</w:t>
                  </w:r>
                  <w:r>
                    <w:rPr>
                      <w:rFonts w:eastAsiaTheme="minorEastAsia"/>
                      <w:szCs w:val="18"/>
                    </w:rPr>
                    <w:t>器</w:t>
                  </w:r>
                </w:p>
              </w:tc>
              <w:tc>
                <w:tcPr>
                  <w:tcW w:w="646" w:type="dxa"/>
                  <w:vAlign w:val="center"/>
                </w:tcPr>
                <w:p w14:paraId="62DE6E40">
                  <w:pPr>
                    <w:pStyle w:val="12"/>
                    <w:adjustRightInd w:val="0"/>
                    <w:spacing w:before="0" w:after="0" w:line="240" w:lineRule="auto"/>
                    <w:ind w:right="0"/>
                    <w:jc w:val="center"/>
                    <w:rPr>
                      <w:rFonts w:eastAsiaTheme="minorEastAsia"/>
                      <w:szCs w:val="18"/>
                    </w:rPr>
                  </w:pPr>
                  <w:r>
                    <w:rPr>
                      <w:rFonts w:eastAsiaTheme="minorEastAsia"/>
                      <w:szCs w:val="18"/>
                    </w:rPr>
                    <w:t>157.66</w:t>
                  </w:r>
                </w:p>
              </w:tc>
              <w:tc>
                <w:tcPr>
                  <w:tcW w:w="687" w:type="dxa"/>
                  <w:vAlign w:val="center"/>
                </w:tcPr>
                <w:p w14:paraId="0A388237">
                  <w:pPr>
                    <w:pStyle w:val="12"/>
                    <w:adjustRightInd w:val="0"/>
                    <w:spacing w:before="0" w:after="0" w:line="240" w:lineRule="auto"/>
                    <w:ind w:right="0"/>
                    <w:jc w:val="center"/>
                    <w:rPr>
                      <w:rFonts w:eastAsiaTheme="minorEastAsia"/>
                      <w:szCs w:val="18"/>
                    </w:rPr>
                  </w:pPr>
                  <w:r>
                    <w:rPr>
                      <w:rFonts w:eastAsiaTheme="minorEastAsia"/>
                      <w:szCs w:val="18"/>
                    </w:rPr>
                    <w:t>121.99</w:t>
                  </w:r>
                </w:p>
              </w:tc>
              <w:tc>
                <w:tcPr>
                  <w:tcW w:w="592" w:type="dxa"/>
                  <w:vAlign w:val="center"/>
                </w:tcPr>
                <w:p w14:paraId="34E84036">
                  <w:pPr>
                    <w:pStyle w:val="12"/>
                    <w:adjustRightInd w:val="0"/>
                    <w:spacing w:before="0" w:after="0" w:line="240" w:lineRule="auto"/>
                    <w:ind w:right="0"/>
                    <w:jc w:val="center"/>
                    <w:rPr>
                      <w:rFonts w:eastAsiaTheme="minorEastAsia"/>
                      <w:szCs w:val="18"/>
                    </w:rPr>
                  </w:pPr>
                  <w:r>
                    <w:rPr>
                      <w:rFonts w:hint="eastAsia" w:eastAsiaTheme="minorEastAsia"/>
                      <w:szCs w:val="18"/>
                    </w:rPr>
                    <w:t>1</w:t>
                  </w:r>
                </w:p>
              </w:tc>
              <w:tc>
                <w:tcPr>
                  <w:tcW w:w="563" w:type="dxa"/>
                  <w:vAlign w:val="center"/>
                </w:tcPr>
                <w:p w14:paraId="4CF4355A">
                  <w:pPr>
                    <w:pStyle w:val="12"/>
                    <w:adjustRightInd w:val="0"/>
                    <w:spacing w:before="0" w:after="0" w:line="240" w:lineRule="auto"/>
                    <w:ind w:right="0"/>
                    <w:jc w:val="center"/>
                    <w:rPr>
                      <w:rFonts w:eastAsiaTheme="minorEastAsia"/>
                      <w:szCs w:val="18"/>
                    </w:rPr>
                  </w:pPr>
                  <w:r>
                    <w:rPr>
                      <w:rFonts w:hint="eastAsia" w:eastAsiaTheme="minorEastAsia"/>
                      <w:szCs w:val="18"/>
                    </w:rPr>
                    <w:t>9</w:t>
                  </w:r>
                </w:p>
              </w:tc>
              <w:tc>
                <w:tcPr>
                  <w:tcW w:w="567" w:type="dxa"/>
                  <w:vAlign w:val="center"/>
                </w:tcPr>
                <w:p w14:paraId="4FAFA073">
                  <w:pPr>
                    <w:pStyle w:val="12"/>
                    <w:adjustRightInd w:val="0"/>
                    <w:spacing w:before="0" w:after="0" w:line="240" w:lineRule="auto"/>
                    <w:ind w:right="0"/>
                    <w:jc w:val="center"/>
                    <w:rPr>
                      <w:rFonts w:eastAsiaTheme="minorEastAsia"/>
                      <w:szCs w:val="18"/>
                    </w:rPr>
                  </w:pPr>
                  <w:r>
                    <w:rPr>
                      <w:rFonts w:hint="eastAsia" w:eastAsiaTheme="minorEastAsia"/>
                      <w:szCs w:val="18"/>
                    </w:rPr>
                    <w:t>6</w:t>
                  </w:r>
                  <w:r>
                    <w:rPr>
                      <w:rFonts w:eastAsiaTheme="minorEastAsia"/>
                      <w:szCs w:val="18"/>
                    </w:rPr>
                    <w:t>5.9</w:t>
                  </w:r>
                </w:p>
              </w:tc>
              <w:tc>
                <w:tcPr>
                  <w:tcW w:w="498" w:type="dxa"/>
                  <w:vMerge w:val="continue"/>
                  <w:vAlign w:val="center"/>
                </w:tcPr>
                <w:p w14:paraId="1FAB450E">
                  <w:pPr>
                    <w:pStyle w:val="12"/>
                    <w:adjustRightInd w:val="0"/>
                    <w:spacing w:before="0" w:after="0" w:line="240" w:lineRule="auto"/>
                    <w:ind w:right="0"/>
                    <w:jc w:val="center"/>
                    <w:rPr>
                      <w:rFonts w:eastAsiaTheme="minorEastAsia"/>
                      <w:szCs w:val="18"/>
                    </w:rPr>
                  </w:pPr>
                </w:p>
              </w:tc>
              <w:tc>
                <w:tcPr>
                  <w:tcW w:w="561" w:type="dxa"/>
                  <w:vAlign w:val="center"/>
                </w:tcPr>
                <w:p w14:paraId="0884E56F">
                  <w:pPr>
                    <w:pStyle w:val="12"/>
                    <w:adjustRightInd w:val="0"/>
                    <w:spacing w:before="0" w:after="0" w:line="240" w:lineRule="auto"/>
                    <w:ind w:right="0"/>
                    <w:jc w:val="center"/>
                    <w:rPr>
                      <w:rFonts w:eastAsiaTheme="minorEastAsia"/>
                      <w:szCs w:val="18"/>
                    </w:rPr>
                  </w:pPr>
                  <w:r>
                    <w:rPr>
                      <w:rFonts w:eastAsiaTheme="minorEastAsia"/>
                      <w:szCs w:val="18"/>
                    </w:rPr>
                    <w:t>26</w:t>
                  </w:r>
                </w:p>
              </w:tc>
              <w:tc>
                <w:tcPr>
                  <w:tcW w:w="536" w:type="dxa"/>
                  <w:vAlign w:val="center"/>
                </w:tcPr>
                <w:p w14:paraId="6D628167">
                  <w:pPr>
                    <w:pStyle w:val="12"/>
                    <w:adjustRightInd w:val="0"/>
                    <w:spacing w:before="0" w:after="0" w:line="240" w:lineRule="auto"/>
                    <w:ind w:right="0"/>
                    <w:jc w:val="center"/>
                    <w:rPr>
                      <w:rFonts w:eastAsiaTheme="minorEastAsia"/>
                      <w:szCs w:val="18"/>
                    </w:rPr>
                  </w:pPr>
                  <w:r>
                    <w:rPr>
                      <w:szCs w:val="18"/>
                    </w:rPr>
                    <w:t>39.9</w:t>
                  </w:r>
                </w:p>
              </w:tc>
              <w:tc>
                <w:tcPr>
                  <w:tcW w:w="567" w:type="dxa"/>
                  <w:vAlign w:val="center"/>
                </w:tcPr>
                <w:p w14:paraId="770B4174">
                  <w:pPr>
                    <w:pStyle w:val="12"/>
                    <w:adjustRightInd w:val="0"/>
                    <w:spacing w:before="0" w:after="0" w:line="240" w:lineRule="auto"/>
                    <w:ind w:right="0"/>
                    <w:jc w:val="center"/>
                    <w:rPr>
                      <w:rFonts w:eastAsiaTheme="minorEastAsia"/>
                      <w:szCs w:val="18"/>
                    </w:rPr>
                  </w:pPr>
                  <w:r>
                    <w:rPr>
                      <w:rFonts w:hint="eastAsia" w:eastAsiaTheme="minorEastAsia"/>
                      <w:szCs w:val="18"/>
                    </w:rPr>
                    <w:t>1</w:t>
                  </w:r>
                </w:p>
              </w:tc>
            </w:tr>
          </w:tbl>
          <w:p w14:paraId="19CFE423">
            <w:pPr>
              <w:adjustRightInd w:val="0"/>
              <w:snapToGrid w:val="0"/>
              <w:spacing w:line="360" w:lineRule="auto"/>
              <w:rPr>
                <w:sz w:val="24"/>
              </w:rPr>
            </w:pPr>
          </w:p>
          <w:p w14:paraId="67AAD1C5">
            <w:pPr>
              <w:adjustRightInd w:val="0"/>
              <w:snapToGrid w:val="0"/>
              <w:spacing w:line="360" w:lineRule="auto"/>
              <w:ind w:firstLine="480" w:firstLineChars="200"/>
              <w:rPr>
                <w:sz w:val="24"/>
              </w:rPr>
            </w:pPr>
            <w:r>
              <w:rPr>
                <w:rFonts w:hint="eastAsia"/>
                <w:sz w:val="24"/>
              </w:rPr>
              <w:t>（3）环境数据</w:t>
            </w:r>
          </w:p>
          <w:p w14:paraId="10258188">
            <w:pPr>
              <w:pStyle w:val="83"/>
              <w:ind w:firstLine="480"/>
            </w:pPr>
            <w:r>
              <w:t>项目噪声环境影响预测基础数据见表4-1</w:t>
            </w:r>
            <w:r>
              <w:rPr>
                <w:rFonts w:hint="eastAsia"/>
              </w:rPr>
              <w:t>4</w:t>
            </w:r>
            <w:r>
              <w:t>。</w:t>
            </w:r>
          </w:p>
          <w:p w14:paraId="09E6F568">
            <w:pPr>
              <w:adjustRightInd w:val="0"/>
              <w:snapToGrid w:val="0"/>
              <w:spacing w:line="360" w:lineRule="auto"/>
              <w:ind w:firstLine="482" w:firstLineChars="200"/>
              <w:jc w:val="center"/>
              <w:rPr>
                <w:b/>
                <w:bCs/>
                <w:kern w:val="24"/>
                <w:sz w:val="24"/>
              </w:rPr>
            </w:pPr>
            <w:r>
              <w:rPr>
                <w:b/>
                <w:bCs/>
                <w:kern w:val="24"/>
                <w:sz w:val="24"/>
              </w:rPr>
              <w:t>表4-1</w:t>
            </w:r>
            <w:r>
              <w:rPr>
                <w:rFonts w:hint="eastAsia"/>
                <w:b/>
                <w:bCs/>
                <w:kern w:val="24"/>
                <w:sz w:val="24"/>
              </w:rPr>
              <w:t>4</w:t>
            </w:r>
            <w:r>
              <w:rPr>
                <w:b/>
                <w:bCs/>
                <w:kern w:val="24"/>
                <w:sz w:val="24"/>
              </w:rPr>
              <w:t xml:space="preserve"> </w:t>
            </w:r>
            <w:r>
              <w:rPr>
                <w:rFonts w:hint="eastAsia"/>
                <w:b/>
                <w:bCs/>
                <w:kern w:val="24"/>
                <w:sz w:val="24"/>
              </w:rPr>
              <w:t xml:space="preserve">  </w:t>
            </w:r>
            <w:r>
              <w:rPr>
                <w:b/>
                <w:bCs/>
                <w:kern w:val="24"/>
                <w:sz w:val="24"/>
              </w:rPr>
              <w:t>项目噪声环境影响预测基础数据表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222"/>
              <w:gridCol w:w="2222"/>
              <w:gridCol w:w="2222"/>
            </w:tblGrid>
            <w:tr w14:paraId="362E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24" w:type="dxa"/>
                  <w:vAlign w:val="center"/>
                </w:tcPr>
                <w:p w14:paraId="7C6156B1">
                  <w:pPr>
                    <w:pStyle w:val="30"/>
                    <w:adjustRightInd w:val="0"/>
                    <w:spacing w:after="0"/>
                    <w:ind w:firstLine="0" w:firstLineChars="0"/>
                    <w:jc w:val="center"/>
                    <w:rPr>
                      <w:szCs w:val="21"/>
                    </w:rPr>
                  </w:pPr>
                  <w:r>
                    <w:rPr>
                      <w:szCs w:val="21"/>
                    </w:rPr>
                    <w:t>序号</w:t>
                  </w:r>
                </w:p>
              </w:tc>
              <w:tc>
                <w:tcPr>
                  <w:tcW w:w="2222" w:type="dxa"/>
                  <w:vAlign w:val="center"/>
                </w:tcPr>
                <w:p w14:paraId="3D47C22E">
                  <w:pPr>
                    <w:pStyle w:val="30"/>
                    <w:adjustRightInd w:val="0"/>
                    <w:spacing w:after="0"/>
                    <w:ind w:firstLine="0" w:firstLineChars="0"/>
                    <w:jc w:val="center"/>
                    <w:rPr>
                      <w:szCs w:val="21"/>
                    </w:rPr>
                  </w:pPr>
                  <w:r>
                    <w:rPr>
                      <w:szCs w:val="21"/>
                    </w:rPr>
                    <w:t>名称</w:t>
                  </w:r>
                </w:p>
              </w:tc>
              <w:tc>
                <w:tcPr>
                  <w:tcW w:w="2222" w:type="dxa"/>
                  <w:vAlign w:val="center"/>
                </w:tcPr>
                <w:p w14:paraId="04F13E8C">
                  <w:pPr>
                    <w:pStyle w:val="30"/>
                    <w:adjustRightInd w:val="0"/>
                    <w:spacing w:after="0"/>
                    <w:ind w:firstLine="0" w:firstLineChars="0"/>
                    <w:jc w:val="center"/>
                    <w:rPr>
                      <w:szCs w:val="21"/>
                    </w:rPr>
                  </w:pPr>
                  <w:r>
                    <w:rPr>
                      <w:szCs w:val="21"/>
                    </w:rPr>
                    <w:t>单位</w:t>
                  </w:r>
                </w:p>
              </w:tc>
              <w:tc>
                <w:tcPr>
                  <w:tcW w:w="2222" w:type="dxa"/>
                  <w:vAlign w:val="center"/>
                </w:tcPr>
                <w:p w14:paraId="35F9408D">
                  <w:pPr>
                    <w:pStyle w:val="30"/>
                    <w:adjustRightInd w:val="0"/>
                    <w:spacing w:after="0"/>
                    <w:ind w:firstLine="0" w:firstLineChars="0"/>
                    <w:jc w:val="center"/>
                    <w:rPr>
                      <w:szCs w:val="21"/>
                    </w:rPr>
                  </w:pPr>
                  <w:r>
                    <w:rPr>
                      <w:szCs w:val="21"/>
                    </w:rPr>
                    <w:t>数据</w:t>
                  </w:r>
                </w:p>
              </w:tc>
            </w:tr>
            <w:tr w14:paraId="0293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vAlign w:val="center"/>
                </w:tcPr>
                <w:p w14:paraId="23218E94">
                  <w:pPr>
                    <w:pStyle w:val="30"/>
                    <w:adjustRightInd w:val="0"/>
                    <w:spacing w:after="0"/>
                    <w:ind w:firstLine="0" w:firstLineChars="0"/>
                    <w:jc w:val="center"/>
                    <w:rPr>
                      <w:szCs w:val="21"/>
                    </w:rPr>
                  </w:pPr>
                  <w:r>
                    <w:rPr>
                      <w:rFonts w:hint="eastAsia"/>
                      <w:szCs w:val="21"/>
                    </w:rPr>
                    <w:t>1</w:t>
                  </w:r>
                </w:p>
              </w:tc>
              <w:tc>
                <w:tcPr>
                  <w:tcW w:w="2222" w:type="dxa"/>
                  <w:vAlign w:val="center"/>
                </w:tcPr>
                <w:p w14:paraId="59678254">
                  <w:pPr>
                    <w:pStyle w:val="30"/>
                    <w:adjustRightInd w:val="0"/>
                    <w:spacing w:after="0"/>
                    <w:ind w:firstLine="0" w:firstLineChars="0"/>
                    <w:jc w:val="center"/>
                    <w:rPr>
                      <w:szCs w:val="21"/>
                    </w:rPr>
                  </w:pPr>
                  <w:r>
                    <w:rPr>
                      <w:spacing w:val="-3"/>
                      <w:szCs w:val="21"/>
                    </w:rPr>
                    <w:t>年平均风速</w:t>
                  </w:r>
                </w:p>
              </w:tc>
              <w:tc>
                <w:tcPr>
                  <w:tcW w:w="2222" w:type="dxa"/>
                  <w:vAlign w:val="center"/>
                </w:tcPr>
                <w:p w14:paraId="72FFC40D">
                  <w:pPr>
                    <w:pStyle w:val="30"/>
                    <w:adjustRightInd w:val="0"/>
                    <w:spacing w:after="0"/>
                    <w:ind w:firstLine="0" w:firstLineChars="0"/>
                    <w:jc w:val="center"/>
                    <w:rPr>
                      <w:szCs w:val="21"/>
                    </w:rPr>
                  </w:pPr>
                  <w:r>
                    <w:rPr>
                      <w:szCs w:val="21"/>
                    </w:rPr>
                    <w:t>m/s</w:t>
                  </w:r>
                </w:p>
              </w:tc>
              <w:tc>
                <w:tcPr>
                  <w:tcW w:w="2222" w:type="dxa"/>
                </w:tcPr>
                <w:p w14:paraId="59112A5F">
                  <w:pPr>
                    <w:pStyle w:val="30"/>
                    <w:adjustRightInd w:val="0"/>
                    <w:spacing w:after="0"/>
                    <w:ind w:firstLine="0" w:firstLineChars="0"/>
                    <w:jc w:val="center"/>
                    <w:rPr>
                      <w:szCs w:val="21"/>
                    </w:rPr>
                  </w:pPr>
                  <w:r>
                    <w:t>2.6</w:t>
                  </w:r>
                </w:p>
              </w:tc>
            </w:tr>
            <w:tr w14:paraId="07D3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vAlign w:val="center"/>
                </w:tcPr>
                <w:p w14:paraId="6A85FCCB">
                  <w:pPr>
                    <w:pStyle w:val="30"/>
                    <w:adjustRightInd w:val="0"/>
                    <w:spacing w:after="0"/>
                    <w:ind w:firstLine="0" w:firstLineChars="0"/>
                    <w:jc w:val="center"/>
                    <w:rPr>
                      <w:szCs w:val="21"/>
                    </w:rPr>
                  </w:pPr>
                  <w:r>
                    <w:rPr>
                      <w:rFonts w:hint="eastAsia"/>
                      <w:szCs w:val="21"/>
                    </w:rPr>
                    <w:t>2</w:t>
                  </w:r>
                </w:p>
              </w:tc>
              <w:tc>
                <w:tcPr>
                  <w:tcW w:w="2222" w:type="dxa"/>
                  <w:vAlign w:val="center"/>
                </w:tcPr>
                <w:p w14:paraId="313FF973">
                  <w:pPr>
                    <w:pStyle w:val="30"/>
                    <w:adjustRightInd w:val="0"/>
                    <w:spacing w:after="0"/>
                    <w:ind w:firstLine="0" w:firstLineChars="0"/>
                    <w:jc w:val="center"/>
                    <w:rPr>
                      <w:szCs w:val="21"/>
                    </w:rPr>
                  </w:pPr>
                  <w:r>
                    <w:rPr>
                      <w:spacing w:val="-3"/>
                      <w:szCs w:val="21"/>
                    </w:rPr>
                    <w:t>主导风向</w:t>
                  </w:r>
                </w:p>
              </w:tc>
              <w:tc>
                <w:tcPr>
                  <w:tcW w:w="2222" w:type="dxa"/>
                  <w:vAlign w:val="center"/>
                </w:tcPr>
                <w:p w14:paraId="7E518B5D">
                  <w:pPr>
                    <w:pStyle w:val="30"/>
                    <w:adjustRightInd w:val="0"/>
                    <w:spacing w:after="0"/>
                    <w:ind w:firstLine="0" w:firstLineChars="0"/>
                    <w:jc w:val="center"/>
                    <w:rPr>
                      <w:szCs w:val="21"/>
                    </w:rPr>
                  </w:pPr>
                  <w:r>
                    <w:rPr>
                      <w:szCs w:val="21"/>
                    </w:rPr>
                    <w:t>/</w:t>
                  </w:r>
                </w:p>
              </w:tc>
              <w:tc>
                <w:tcPr>
                  <w:tcW w:w="2222" w:type="dxa"/>
                </w:tcPr>
                <w:p w14:paraId="195C5FC8">
                  <w:pPr>
                    <w:pStyle w:val="30"/>
                    <w:adjustRightInd w:val="0"/>
                    <w:spacing w:after="0"/>
                    <w:ind w:firstLine="0" w:firstLineChars="0"/>
                    <w:jc w:val="center"/>
                    <w:rPr>
                      <w:szCs w:val="21"/>
                    </w:rPr>
                  </w:pPr>
                  <w:r>
                    <w:rPr>
                      <w:rFonts w:hint="eastAsia"/>
                    </w:rPr>
                    <w:t>南风</w:t>
                  </w:r>
                </w:p>
              </w:tc>
            </w:tr>
            <w:tr w14:paraId="6C04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vAlign w:val="center"/>
                </w:tcPr>
                <w:p w14:paraId="4B4582B7">
                  <w:pPr>
                    <w:pStyle w:val="30"/>
                    <w:adjustRightInd w:val="0"/>
                    <w:spacing w:after="0"/>
                    <w:ind w:firstLine="0" w:firstLineChars="0"/>
                    <w:jc w:val="center"/>
                    <w:rPr>
                      <w:szCs w:val="21"/>
                    </w:rPr>
                  </w:pPr>
                  <w:r>
                    <w:rPr>
                      <w:rFonts w:hint="eastAsia"/>
                      <w:szCs w:val="21"/>
                    </w:rPr>
                    <w:t>3</w:t>
                  </w:r>
                </w:p>
              </w:tc>
              <w:tc>
                <w:tcPr>
                  <w:tcW w:w="2222" w:type="dxa"/>
                  <w:vAlign w:val="center"/>
                </w:tcPr>
                <w:p w14:paraId="44B47561">
                  <w:pPr>
                    <w:pStyle w:val="30"/>
                    <w:adjustRightInd w:val="0"/>
                    <w:spacing w:after="0"/>
                    <w:ind w:firstLine="0" w:firstLineChars="0"/>
                    <w:jc w:val="center"/>
                    <w:rPr>
                      <w:szCs w:val="21"/>
                    </w:rPr>
                  </w:pPr>
                  <w:r>
                    <w:rPr>
                      <w:spacing w:val="-3"/>
                      <w:szCs w:val="21"/>
                    </w:rPr>
                    <w:t>年平均气温</w:t>
                  </w:r>
                </w:p>
              </w:tc>
              <w:tc>
                <w:tcPr>
                  <w:tcW w:w="2222" w:type="dxa"/>
                  <w:vAlign w:val="center"/>
                </w:tcPr>
                <w:p w14:paraId="5A07EE57">
                  <w:pPr>
                    <w:pStyle w:val="30"/>
                    <w:adjustRightInd w:val="0"/>
                    <w:spacing w:after="0"/>
                    <w:ind w:firstLine="0" w:firstLineChars="0"/>
                    <w:jc w:val="center"/>
                    <w:rPr>
                      <w:szCs w:val="21"/>
                    </w:rPr>
                  </w:pPr>
                  <w:r>
                    <w:rPr>
                      <w:rFonts w:hint="eastAsia" w:ascii="宋体" w:hAnsi="宋体" w:cs="宋体"/>
                      <w:szCs w:val="21"/>
                    </w:rPr>
                    <w:t>℃</w:t>
                  </w:r>
                </w:p>
              </w:tc>
              <w:tc>
                <w:tcPr>
                  <w:tcW w:w="2222" w:type="dxa"/>
                </w:tcPr>
                <w:p w14:paraId="7D4F7337">
                  <w:pPr>
                    <w:pStyle w:val="30"/>
                    <w:adjustRightInd w:val="0"/>
                    <w:spacing w:after="0"/>
                    <w:ind w:firstLine="0" w:firstLineChars="0"/>
                    <w:jc w:val="center"/>
                    <w:rPr>
                      <w:szCs w:val="21"/>
                    </w:rPr>
                  </w:pPr>
                  <w:r>
                    <w:t>16.5</w:t>
                  </w:r>
                </w:p>
              </w:tc>
            </w:tr>
            <w:tr w14:paraId="1430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vAlign w:val="center"/>
                </w:tcPr>
                <w:p w14:paraId="72D73BEB">
                  <w:pPr>
                    <w:pStyle w:val="30"/>
                    <w:adjustRightInd w:val="0"/>
                    <w:spacing w:after="0"/>
                    <w:ind w:firstLine="0" w:firstLineChars="0"/>
                    <w:jc w:val="center"/>
                    <w:rPr>
                      <w:szCs w:val="21"/>
                    </w:rPr>
                  </w:pPr>
                  <w:r>
                    <w:rPr>
                      <w:rFonts w:hint="eastAsia"/>
                      <w:szCs w:val="21"/>
                    </w:rPr>
                    <w:t>4</w:t>
                  </w:r>
                </w:p>
              </w:tc>
              <w:tc>
                <w:tcPr>
                  <w:tcW w:w="2222" w:type="dxa"/>
                  <w:vAlign w:val="center"/>
                </w:tcPr>
                <w:p w14:paraId="46229065">
                  <w:pPr>
                    <w:pStyle w:val="30"/>
                    <w:adjustRightInd w:val="0"/>
                    <w:spacing w:after="0"/>
                    <w:ind w:firstLine="0" w:firstLineChars="0"/>
                    <w:jc w:val="center"/>
                    <w:rPr>
                      <w:spacing w:val="-3"/>
                      <w:szCs w:val="21"/>
                    </w:rPr>
                  </w:pPr>
                  <w:r>
                    <w:rPr>
                      <w:spacing w:val="-3"/>
                      <w:szCs w:val="21"/>
                    </w:rPr>
                    <w:t>年平均相对湿度</w:t>
                  </w:r>
                </w:p>
              </w:tc>
              <w:tc>
                <w:tcPr>
                  <w:tcW w:w="2222" w:type="dxa"/>
                  <w:vAlign w:val="center"/>
                </w:tcPr>
                <w:p w14:paraId="370A4D6E">
                  <w:pPr>
                    <w:pStyle w:val="30"/>
                    <w:adjustRightInd w:val="0"/>
                    <w:spacing w:after="0"/>
                    <w:ind w:firstLine="0" w:firstLineChars="0"/>
                    <w:jc w:val="center"/>
                    <w:rPr>
                      <w:rFonts w:hint="eastAsia" w:ascii="宋体" w:hAnsi="宋体" w:cs="宋体"/>
                      <w:szCs w:val="21"/>
                    </w:rPr>
                  </w:pPr>
                  <w:r>
                    <w:rPr>
                      <w:szCs w:val="21"/>
                    </w:rPr>
                    <w:t>%</w:t>
                  </w:r>
                </w:p>
              </w:tc>
              <w:tc>
                <w:tcPr>
                  <w:tcW w:w="2222" w:type="dxa"/>
                </w:tcPr>
                <w:p w14:paraId="21494D87">
                  <w:pPr>
                    <w:pStyle w:val="30"/>
                    <w:adjustRightInd w:val="0"/>
                    <w:spacing w:after="0"/>
                    <w:ind w:firstLine="0" w:firstLineChars="0"/>
                    <w:jc w:val="center"/>
                    <w:rPr>
                      <w:szCs w:val="21"/>
                    </w:rPr>
                  </w:pPr>
                  <w:r>
                    <w:t>72</w:t>
                  </w:r>
                </w:p>
              </w:tc>
            </w:tr>
            <w:tr w14:paraId="1C22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vAlign w:val="center"/>
                </w:tcPr>
                <w:p w14:paraId="10D6BCB1">
                  <w:pPr>
                    <w:pStyle w:val="30"/>
                    <w:adjustRightInd w:val="0"/>
                    <w:spacing w:after="0"/>
                    <w:ind w:firstLine="0" w:firstLineChars="0"/>
                    <w:jc w:val="center"/>
                    <w:rPr>
                      <w:szCs w:val="21"/>
                    </w:rPr>
                  </w:pPr>
                  <w:r>
                    <w:rPr>
                      <w:rFonts w:hint="eastAsia"/>
                      <w:szCs w:val="21"/>
                    </w:rPr>
                    <w:t>5</w:t>
                  </w:r>
                </w:p>
              </w:tc>
              <w:tc>
                <w:tcPr>
                  <w:tcW w:w="2222" w:type="dxa"/>
                  <w:vAlign w:val="center"/>
                </w:tcPr>
                <w:p w14:paraId="19119A29">
                  <w:pPr>
                    <w:pStyle w:val="30"/>
                    <w:adjustRightInd w:val="0"/>
                    <w:spacing w:after="0"/>
                    <w:ind w:firstLine="0" w:firstLineChars="0"/>
                    <w:jc w:val="center"/>
                    <w:rPr>
                      <w:szCs w:val="21"/>
                    </w:rPr>
                  </w:pPr>
                  <w:r>
                    <w:rPr>
                      <w:spacing w:val="-3"/>
                      <w:szCs w:val="21"/>
                    </w:rPr>
                    <w:t>大气压强</w:t>
                  </w:r>
                </w:p>
              </w:tc>
              <w:tc>
                <w:tcPr>
                  <w:tcW w:w="2222" w:type="dxa"/>
                  <w:vAlign w:val="center"/>
                </w:tcPr>
                <w:p w14:paraId="5353D1CA">
                  <w:pPr>
                    <w:pStyle w:val="30"/>
                    <w:adjustRightInd w:val="0"/>
                    <w:spacing w:after="0"/>
                    <w:ind w:firstLine="0" w:firstLineChars="0"/>
                    <w:jc w:val="center"/>
                    <w:rPr>
                      <w:szCs w:val="21"/>
                    </w:rPr>
                  </w:pPr>
                  <w:r>
                    <w:rPr>
                      <w:rFonts w:hint="eastAsia"/>
                      <w:szCs w:val="21"/>
                    </w:rPr>
                    <w:t>hPa</w:t>
                  </w:r>
                </w:p>
              </w:tc>
              <w:tc>
                <w:tcPr>
                  <w:tcW w:w="2222" w:type="dxa"/>
                </w:tcPr>
                <w:p w14:paraId="51A40361">
                  <w:pPr>
                    <w:pStyle w:val="30"/>
                    <w:adjustRightInd w:val="0"/>
                    <w:spacing w:after="0"/>
                    <w:ind w:firstLine="0" w:firstLineChars="0"/>
                    <w:jc w:val="center"/>
                    <w:rPr>
                      <w:szCs w:val="21"/>
                    </w:rPr>
                  </w:pPr>
                  <w:r>
                    <w:t>778.6</w:t>
                  </w:r>
                </w:p>
              </w:tc>
            </w:tr>
          </w:tbl>
          <w:p w14:paraId="73BA6B87">
            <w:pPr>
              <w:adjustRightInd w:val="0"/>
              <w:snapToGrid w:val="0"/>
              <w:spacing w:line="360" w:lineRule="auto"/>
              <w:ind w:firstLine="480" w:firstLineChars="200"/>
              <w:rPr>
                <w:sz w:val="24"/>
              </w:rPr>
            </w:pPr>
          </w:p>
          <w:p w14:paraId="3C6F97A7">
            <w:pPr>
              <w:adjustRightInd w:val="0"/>
              <w:snapToGrid w:val="0"/>
              <w:spacing w:line="360" w:lineRule="auto"/>
              <w:ind w:firstLine="480" w:firstLineChars="200"/>
              <w:rPr>
                <w:sz w:val="24"/>
              </w:rPr>
            </w:pPr>
            <w:r>
              <w:rPr>
                <w:sz w:val="24"/>
              </w:rPr>
              <w:t>（</w:t>
            </w:r>
            <w:r>
              <w:rPr>
                <w:rFonts w:hint="eastAsia"/>
                <w:sz w:val="24"/>
              </w:rPr>
              <w:t>4</w:t>
            </w:r>
            <w:r>
              <w:rPr>
                <w:sz w:val="24"/>
              </w:rPr>
              <w:t>）</w:t>
            </w:r>
            <w:r>
              <w:rPr>
                <w:rFonts w:hint="eastAsia"/>
                <w:sz w:val="24"/>
              </w:rPr>
              <w:t>厂界达标分析</w:t>
            </w:r>
          </w:p>
          <w:p w14:paraId="2019ACE6">
            <w:pPr>
              <w:adjustRightInd w:val="0"/>
              <w:snapToGrid w:val="0"/>
              <w:spacing w:line="360" w:lineRule="auto"/>
              <w:ind w:firstLine="480" w:firstLineChars="200"/>
              <w:rPr>
                <w:sz w:val="24"/>
              </w:rPr>
            </w:pPr>
            <w:r>
              <w:rPr>
                <w:rFonts w:hint="eastAsia"/>
                <w:sz w:val="24"/>
              </w:rPr>
              <w:t>通过预测模型计算，项目厂界噪声的最大值预测结果与达标分析见表4-</w:t>
            </w:r>
            <w:r>
              <w:rPr>
                <w:sz w:val="24"/>
              </w:rPr>
              <w:t>1</w:t>
            </w:r>
            <w:r>
              <w:rPr>
                <w:rFonts w:hint="eastAsia"/>
                <w:sz w:val="24"/>
              </w:rPr>
              <w:t>5。</w:t>
            </w:r>
          </w:p>
          <w:p w14:paraId="4DA4FA27">
            <w:pPr>
              <w:adjustRightInd w:val="0"/>
              <w:snapToGrid w:val="0"/>
              <w:spacing w:line="360" w:lineRule="auto"/>
              <w:ind w:firstLine="482" w:firstLineChars="200"/>
              <w:jc w:val="center"/>
              <w:rPr>
                <w:b/>
                <w:bCs/>
                <w:kern w:val="24"/>
                <w:sz w:val="24"/>
              </w:rPr>
            </w:pPr>
            <w:r>
              <w:rPr>
                <w:b/>
                <w:bCs/>
                <w:kern w:val="24"/>
                <w:sz w:val="24"/>
              </w:rPr>
              <w:t>表4-1</w:t>
            </w:r>
            <w:r>
              <w:rPr>
                <w:rFonts w:hint="eastAsia"/>
                <w:b/>
                <w:bCs/>
                <w:kern w:val="24"/>
                <w:sz w:val="24"/>
              </w:rPr>
              <w:t>5</w:t>
            </w:r>
            <w:r>
              <w:rPr>
                <w:b/>
                <w:bCs/>
                <w:kern w:val="24"/>
                <w:sz w:val="24"/>
              </w:rPr>
              <w:t xml:space="preserve">  厂界噪声预测结果与达标分析表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59"/>
              <w:gridCol w:w="886"/>
              <w:gridCol w:w="880"/>
              <w:gridCol w:w="1109"/>
              <w:gridCol w:w="1584"/>
              <w:gridCol w:w="1585"/>
              <w:gridCol w:w="829"/>
            </w:tblGrid>
            <w:tr w14:paraId="5D4A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8" w:type="dxa"/>
                  <w:vMerge w:val="restart"/>
                  <w:vAlign w:val="center"/>
                </w:tcPr>
                <w:p w14:paraId="4D1D9B62">
                  <w:pPr>
                    <w:pStyle w:val="155"/>
                  </w:pPr>
                  <w:r>
                    <w:rPr>
                      <w:rFonts w:hint="eastAsia"/>
                    </w:rPr>
                    <w:t>预测点</w:t>
                  </w:r>
                </w:p>
              </w:tc>
              <w:tc>
                <w:tcPr>
                  <w:tcW w:w="2725" w:type="dxa"/>
                  <w:gridSpan w:val="3"/>
                  <w:vAlign w:val="center"/>
                </w:tcPr>
                <w:p w14:paraId="03DEEA0D">
                  <w:pPr>
                    <w:pStyle w:val="155"/>
                  </w:pPr>
                  <w:r>
                    <w:rPr>
                      <w:rFonts w:hint="eastAsia"/>
                    </w:rPr>
                    <w:t>空间相对位置/m</w:t>
                  </w:r>
                </w:p>
              </w:tc>
              <w:tc>
                <w:tcPr>
                  <w:tcW w:w="1109" w:type="dxa"/>
                  <w:vMerge w:val="restart"/>
                  <w:vAlign w:val="center"/>
                </w:tcPr>
                <w:p w14:paraId="19C5BA55">
                  <w:pPr>
                    <w:pStyle w:val="155"/>
                  </w:pPr>
                  <w:r>
                    <w:rPr>
                      <w:rFonts w:hint="eastAsia"/>
                    </w:rPr>
                    <w:t>时段</w:t>
                  </w:r>
                </w:p>
              </w:tc>
              <w:tc>
                <w:tcPr>
                  <w:tcW w:w="1584" w:type="dxa"/>
                  <w:vMerge w:val="restart"/>
                  <w:vAlign w:val="center"/>
                </w:tcPr>
                <w:p w14:paraId="518A1EE7">
                  <w:pPr>
                    <w:pStyle w:val="155"/>
                  </w:pPr>
                  <w:r>
                    <w:rPr>
                      <w:rFonts w:hint="eastAsia"/>
                    </w:rPr>
                    <w:t>噪声贡献值/</w:t>
                  </w:r>
                  <w:r>
                    <w:t>dB(A)</w:t>
                  </w:r>
                </w:p>
              </w:tc>
              <w:tc>
                <w:tcPr>
                  <w:tcW w:w="1585" w:type="dxa"/>
                  <w:vMerge w:val="restart"/>
                  <w:vAlign w:val="center"/>
                </w:tcPr>
                <w:p w14:paraId="3AD05D75">
                  <w:pPr>
                    <w:pStyle w:val="155"/>
                  </w:pPr>
                  <w:r>
                    <w:rPr>
                      <w:rFonts w:hint="eastAsia"/>
                    </w:rPr>
                    <w:t>噪声标准值/</w:t>
                  </w:r>
                  <w:r>
                    <w:t>dB(A)</w:t>
                  </w:r>
                </w:p>
              </w:tc>
              <w:tc>
                <w:tcPr>
                  <w:tcW w:w="829" w:type="dxa"/>
                  <w:vMerge w:val="restart"/>
                  <w:vAlign w:val="center"/>
                </w:tcPr>
                <w:p w14:paraId="669E2DAA">
                  <w:pPr>
                    <w:pStyle w:val="155"/>
                  </w:pPr>
                  <w:r>
                    <w:rPr>
                      <w:rFonts w:hint="eastAsia"/>
                    </w:rPr>
                    <w:t>达标情况</w:t>
                  </w:r>
                </w:p>
              </w:tc>
            </w:tr>
            <w:tr w14:paraId="7A25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vAlign w:val="center"/>
                </w:tcPr>
                <w:p w14:paraId="17335F95">
                  <w:pPr>
                    <w:pStyle w:val="155"/>
                  </w:pPr>
                </w:p>
              </w:tc>
              <w:tc>
                <w:tcPr>
                  <w:tcW w:w="959" w:type="dxa"/>
                  <w:vAlign w:val="center"/>
                </w:tcPr>
                <w:p w14:paraId="28E68A9B">
                  <w:pPr>
                    <w:pStyle w:val="155"/>
                  </w:pPr>
                  <w:r>
                    <w:rPr>
                      <w:rFonts w:hint="eastAsia"/>
                    </w:rPr>
                    <w:t>X</w:t>
                  </w:r>
                </w:p>
              </w:tc>
              <w:tc>
                <w:tcPr>
                  <w:tcW w:w="886" w:type="dxa"/>
                  <w:vAlign w:val="center"/>
                </w:tcPr>
                <w:p w14:paraId="2F602DFB">
                  <w:pPr>
                    <w:pStyle w:val="155"/>
                  </w:pPr>
                  <w:r>
                    <w:rPr>
                      <w:rFonts w:hint="eastAsia"/>
                    </w:rPr>
                    <w:t>Y</w:t>
                  </w:r>
                </w:p>
              </w:tc>
              <w:tc>
                <w:tcPr>
                  <w:tcW w:w="880" w:type="dxa"/>
                  <w:vAlign w:val="center"/>
                </w:tcPr>
                <w:p w14:paraId="17D0CF93">
                  <w:pPr>
                    <w:pStyle w:val="155"/>
                  </w:pPr>
                  <w:r>
                    <w:rPr>
                      <w:rFonts w:hint="eastAsia"/>
                    </w:rPr>
                    <w:t>Z</w:t>
                  </w:r>
                </w:p>
              </w:tc>
              <w:tc>
                <w:tcPr>
                  <w:tcW w:w="1109" w:type="dxa"/>
                  <w:vMerge w:val="continue"/>
                  <w:vAlign w:val="center"/>
                </w:tcPr>
                <w:p w14:paraId="40B808A1">
                  <w:pPr>
                    <w:pStyle w:val="155"/>
                  </w:pPr>
                </w:p>
              </w:tc>
              <w:tc>
                <w:tcPr>
                  <w:tcW w:w="1584" w:type="dxa"/>
                  <w:vMerge w:val="continue"/>
                  <w:vAlign w:val="center"/>
                </w:tcPr>
                <w:p w14:paraId="6F2FD43D">
                  <w:pPr>
                    <w:pStyle w:val="155"/>
                  </w:pPr>
                </w:p>
              </w:tc>
              <w:tc>
                <w:tcPr>
                  <w:tcW w:w="1585" w:type="dxa"/>
                  <w:vMerge w:val="continue"/>
                  <w:vAlign w:val="center"/>
                </w:tcPr>
                <w:p w14:paraId="18EE1A81">
                  <w:pPr>
                    <w:pStyle w:val="155"/>
                  </w:pPr>
                </w:p>
              </w:tc>
              <w:tc>
                <w:tcPr>
                  <w:tcW w:w="829" w:type="dxa"/>
                  <w:vMerge w:val="continue"/>
                  <w:vAlign w:val="center"/>
                </w:tcPr>
                <w:p w14:paraId="017B8189">
                  <w:pPr>
                    <w:pStyle w:val="155"/>
                  </w:pPr>
                </w:p>
              </w:tc>
            </w:tr>
            <w:tr w14:paraId="6B4B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restart"/>
                  <w:vAlign w:val="center"/>
                </w:tcPr>
                <w:p w14:paraId="7D6A8BAF">
                  <w:pPr>
                    <w:pStyle w:val="155"/>
                  </w:pPr>
                  <w:r>
                    <w:t>东</w:t>
                  </w:r>
                  <w:r>
                    <w:rPr>
                      <w:rFonts w:hint="eastAsia"/>
                    </w:rPr>
                    <w:t>北</w:t>
                  </w:r>
                  <w:r>
                    <w:t>厂界</w:t>
                  </w:r>
                </w:p>
              </w:tc>
              <w:tc>
                <w:tcPr>
                  <w:tcW w:w="959" w:type="dxa"/>
                  <w:vMerge w:val="restart"/>
                  <w:vAlign w:val="center"/>
                </w:tcPr>
                <w:p w14:paraId="7B7DB660">
                  <w:pPr>
                    <w:pStyle w:val="155"/>
                  </w:pPr>
                  <w:r>
                    <w:t>125.03</w:t>
                  </w:r>
                </w:p>
              </w:tc>
              <w:tc>
                <w:tcPr>
                  <w:tcW w:w="886" w:type="dxa"/>
                  <w:vMerge w:val="restart"/>
                  <w:vAlign w:val="center"/>
                </w:tcPr>
                <w:p w14:paraId="20CA802E">
                  <w:pPr>
                    <w:pStyle w:val="155"/>
                  </w:pPr>
                  <w:r>
                    <w:t>282.75</w:t>
                  </w:r>
                </w:p>
              </w:tc>
              <w:tc>
                <w:tcPr>
                  <w:tcW w:w="880" w:type="dxa"/>
                  <w:vMerge w:val="restart"/>
                  <w:vAlign w:val="center"/>
                </w:tcPr>
                <w:p w14:paraId="13A42F91">
                  <w:pPr>
                    <w:pStyle w:val="155"/>
                  </w:pPr>
                  <w:r>
                    <w:t>1.2</w:t>
                  </w:r>
                </w:p>
              </w:tc>
              <w:tc>
                <w:tcPr>
                  <w:tcW w:w="1109" w:type="dxa"/>
                  <w:vAlign w:val="center"/>
                </w:tcPr>
                <w:p w14:paraId="1CC192C3">
                  <w:pPr>
                    <w:pStyle w:val="155"/>
                  </w:pPr>
                  <w:r>
                    <w:t>昼间</w:t>
                  </w:r>
                </w:p>
              </w:tc>
              <w:tc>
                <w:tcPr>
                  <w:tcW w:w="1584" w:type="dxa"/>
                  <w:vAlign w:val="center"/>
                </w:tcPr>
                <w:p w14:paraId="49280873">
                  <w:pPr>
                    <w:pStyle w:val="155"/>
                  </w:pPr>
                  <w:r>
                    <w:t>45.67</w:t>
                  </w:r>
                </w:p>
              </w:tc>
              <w:tc>
                <w:tcPr>
                  <w:tcW w:w="1585" w:type="dxa"/>
                  <w:vAlign w:val="center"/>
                </w:tcPr>
                <w:p w14:paraId="1FD8F3CE">
                  <w:pPr>
                    <w:pStyle w:val="155"/>
                  </w:pPr>
                  <w:r>
                    <w:rPr>
                      <w:rFonts w:hint="eastAsia"/>
                    </w:rPr>
                    <w:t>6</w:t>
                  </w:r>
                  <w:r>
                    <w:t>0</w:t>
                  </w:r>
                </w:p>
              </w:tc>
              <w:tc>
                <w:tcPr>
                  <w:tcW w:w="829" w:type="dxa"/>
                  <w:vAlign w:val="center"/>
                </w:tcPr>
                <w:p w14:paraId="610DD903">
                  <w:pPr>
                    <w:pStyle w:val="155"/>
                  </w:pPr>
                  <w:r>
                    <w:t>达标</w:t>
                  </w:r>
                </w:p>
              </w:tc>
            </w:tr>
            <w:tr w14:paraId="365A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vAlign w:val="center"/>
                </w:tcPr>
                <w:p w14:paraId="3CBA9520">
                  <w:pPr>
                    <w:pStyle w:val="155"/>
                  </w:pPr>
                </w:p>
              </w:tc>
              <w:tc>
                <w:tcPr>
                  <w:tcW w:w="959" w:type="dxa"/>
                  <w:vMerge w:val="continue"/>
                  <w:vAlign w:val="center"/>
                </w:tcPr>
                <w:p w14:paraId="5CF7B96D">
                  <w:pPr>
                    <w:pStyle w:val="155"/>
                  </w:pPr>
                </w:p>
              </w:tc>
              <w:tc>
                <w:tcPr>
                  <w:tcW w:w="886" w:type="dxa"/>
                  <w:vMerge w:val="continue"/>
                  <w:vAlign w:val="center"/>
                </w:tcPr>
                <w:p w14:paraId="26916B68">
                  <w:pPr>
                    <w:pStyle w:val="155"/>
                  </w:pPr>
                </w:p>
              </w:tc>
              <w:tc>
                <w:tcPr>
                  <w:tcW w:w="880" w:type="dxa"/>
                  <w:vMerge w:val="continue"/>
                  <w:vAlign w:val="center"/>
                </w:tcPr>
                <w:p w14:paraId="33D24255">
                  <w:pPr>
                    <w:pStyle w:val="155"/>
                  </w:pPr>
                </w:p>
              </w:tc>
              <w:tc>
                <w:tcPr>
                  <w:tcW w:w="1109" w:type="dxa"/>
                  <w:vAlign w:val="center"/>
                </w:tcPr>
                <w:p w14:paraId="244790A5">
                  <w:pPr>
                    <w:pStyle w:val="155"/>
                  </w:pPr>
                  <w:r>
                    <w:t>夜间</w:t>
                  </w:r>
                </w:p>
              </w:tc>
              <w:tc>
                <w:tcPr>
                  <w:tcW w:w="1584" w:type="dxa"/>
                  <w:vAlign w:val="center"/>
                </w:tcPr>
                <w:p w14:paraId="6884D4A5">
                  <w:pPr>
                    <w:pStyle w:val="155"/>
                  </w:pPr>
                  <w:r>
                    <w:t>45.67</w:t>
                  </w:r>
                </w:p>
              </w:tc>
              <w:tc>
                <w:tcPr>
                  <w:tcW w:w="1585" w:type="dxa"/>
                  <w:vAlign w:val="center"/>
                </w:tcPr>
                <w:p w14:paraId="4ADE9B74">
                  <w:pPr>
                    <w:pStyle w:val="155"/>
                  </w:pPr>
                  <w:r>
                    <w:rPr>
                      <w:rFonts w:hint="eastAsia"/>
                    </w:rPr>
                    <w:t>5</w:t>
                  </w:r>
                  <w:r>
                    <w:t>0</w:t>
                  </w:r>
                </w:p>
              </w:tc>
              <w:tc>
                <w:tcPr>
                  <w:tcW w:w="829" w:type="dxa"/>
                  <w:vAlign w:val="center"/>
                </w:tcPr>
                <w:p w14:paraId="58FE7EFD">
                  <w:pPr>
                    <w:pStyle w:val="155"/>
                  </w:pPr>
                  <w:r>
                    <w:t>达标</w:t>
                  </w:r>
                </w:p>
              </w:tc>
            </w:tr>
            <w:tr w14:paraId="56B8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restart"/>
                  <w:vAlign w:val="center"/>
                </w:tcPr>
                <w:p w14:paraId="4E8DCC71">
                  <w:pPr>
                    <w:pStyle w:val="155"/>
                  </w:pPr>
                  <w:r>
                    <w:rPr>
                      <w:rFonts w:hint="eastAsia"/>
                    </w:rPr>
                    <w:t>东南</w:t>
                  </w:r>
                  <w:r>
                    <w:t>厂界</w:t>
                  </w:r>
                </w:p>
              </w:tc>
              <w:tc>
                <w:tcPr>
                  <w:tcW w:w="959" w:type="dxa"/>
                  <w:vMerge w:val="restart"/>
                  <w:vAlign w:val="center"/>
                </w:tcPr>
                <w:p w14:paraId="30E8EA10">
                  <w:pPr>
                    <w:pStyle w:val="155"/>
                  </w:pPr>
                  <w:r>
                    <w:t>196.51</w:t>
                  </w:r>
                </w:p>
              </w:tc>
              <w:tc>
                <w:tcPr>
                  <w:tcW w:w="886" w:type="dxa"/>
                  <w:vMerge w:val="restart"/>
                  <w:vAlign w:val="center"/>
                </w:tcPr>
                <w:p w14:paraId="72682793">
                  <w:pPr>
                    <w:pStyle w:val="155"/>
                  </w:pPr>
                  <w:r>
                    <w:t>119.74</w:t>
                  </w:r>
                </w:p>
              </w:tc>
              <w:tc>
                <w:tcPr>
                  <w:tcW w:w="880" w:type="dxa"/>
                  <w:vMerge w:val="restart"/>
                  <w:vAlign w:val="center"/>
                </w:tcPr>
                <w:p w14:paraId="20C32259">
                  <w:pPr>
                    <w:pStyle w:val="155"/>
                  </w:pPr>
                  <w:r>
                    <w:t>1.2</w:t>
                  </w:r>
                </w:p>
              </w:tc>
              <w:tc>
                <w:tcPr>
                  <w:tcW w:w="1109" w:type="dxa"/>
                  <w:vAlign w:val="center"/>
                </w:tcPr>
                <w:p w14:paraId="79097231">
                  <w:pPr>
                    <w:pStyle w:val="155"/>
                  </w:pPr>
                  <w:r>
                    <w:t>昼间</w:t>
                  </w:r>
                </w:p>
              </w:tc>
              <w:tc>
                <w:tcPr>
                  <w:tcW w:w="1584" w:type="dxa"/>
                  <w:vAlign w:val="center"/>
                </w:tcPr>
                <w:p w14:paraId="7A6EB50A">
                  <w:pPr>
                    <w:pStyle w:val="155"/>
                  </w:pPr>
                  <w:r>
                    <w:t>49.25</w:t>
                  </w:r>
                </w:p>
              </w:tc>
              <w:tc>
                <w:tcPr>
                  <w:tcW w:w="1585" w:type="dxa"/>
                  <w:vAlign w:val="center"/>
                </w:tcPr>
                <w:p w14:paraId="04242890">
                  <w:pPr>
                    <w:pStyle w:val="155"/>
                  </w:pPr>
                  <w:r>
                    <w:rPr>
                      <w:rFonts w:hint="eastAsia"/>
                    </w:rPr>
                    <w:t>6</w:t>
                  </w:r>
                  <w:r>
                    <w:t>0</w:t>
                  </w:r>
                </w:p>
              </w:tc>
              <w:tc>
                <w:tcPr>
                  <w:tcW w:w="829" w:type="dxa"/>
                  <w:vAlign w:val="center"/>
                </w:tcPr>
                <w:p w14:paraId="7A34CD63">
                  <w:pPr>
                    <w:pStyle w:val="155"/>
                  </w:pPr>
                  <w:r>
                    <w:t>达标</w:t>
                  </w:r>
                </w:p>
              </w:tc>
            </w:tr>
            <w:tr w14:paraId="0DBF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vAlign w:val="center"/>
                </w:tcPr>
                <w:p w14:paraId="779C981F">
                  <w:pPr>
                    <w:pStyle w:val="155"/>
                  </w:pPr>
                </w:p>
              </w:tc>
              <w:tc>
                <w:tcPr>
                  <w:tcW w:w="959" w:type="dxa"/>
                  <w:vMerge w:val="continue"/>
                  <w:vAlign w:val="center"/>
                </w:tcPr>
                <w:p w14:paraId="4D84D3CC">
                  <w:pPr>
                    <w:pStyle w:val="155"/>
                  </w:pPr>
                </w:p>
              </w:tc>
              <w:tc>
                <w:tcPr>
                  <w:tcW w:w="886" w:type="dxa"/>
                  <w:vMerge w:val="continue"/>
                  <w:vAlign w:val="center"/>
                </w:tcPr>
                <w:p w14:paraId="7BBE20BB">
                  <w:pPr>
                    <w:pStyle w:val="155"/>
                  </w:pPr>
                </w:p>
              </w:tc>
              <w:tc>
                <w:tcPr>
                  <w:tcW w:w="880" w:type="dxa"/>
                  <w:vMerge w:val="continue"/>
                  <w:vAlign w:val="center"/>
                </w:tcPr>
                <w:p w14:paraId="47FAAE27">
                  <w:pPr>
                    <w:pStyle w:val="155"/>
                  </w:pPr>
                </w:p>
              </w:tc>
              <w:tc>
                <w:tcPr>
                  <w:tcW w:w="1109" w:type="dxa"/>
                  <w:vAlign w:val="center"/>
                </w:tcPr>
                <w:p w14:paraId="76F7F0B2">
                  <w:pPr>
                    <w:pStyle w:val="155"/>
                  </w:pPr>
                  <w:r>
                    <w:t>夜间</w:t>
                  </w:r>
                </w:p>
              </w:tc>
              <w:tc>
                <w:tcPr>
                  <w:tcW w:w="1584" w:type="dxa"/>
                  <w:vAlign w:val="center"/>
                </w:tcPr>
                <w:p w14:paraId="20D9D766">
                  <w:pPr>
                    <w:pStyle w:val="155"/>
                  </w:pPr>
                  <w:r>
                    <w:t>49.25</w:t>
                  </w:r>
                </w:p>
              </w:tc>
              <w:tc>
                <w:tcPr>
                  <w:tcW w:w="1585" w:type="dxa"/>
                  <w:vAlign w:val="center"/>
                </w:tcPr>
                <w:p w14:paraId="60292BE9">
                  <w:pPr>
                    <w:pStyle w:val="155"/>
                  </w:pPr>
                  <w:r>
                    <w:rPr>
                      <w:rFonts w:hint="eastAsia"/>
                    </w:rPr>
                    <w:t>5</w:t>
                  </w:r>
                  <w:r>
                    <w:t>0</w:t>
                  </w:r>
                </w:p>
              </w:tc>
              <w:tc>
                <w:tcPr>
                  <w:tcW w:w="829" w:type="dxa"/>
                  <w:vAlign w:val="center"/>
                </w:tcPr>
                <w:p w14:paraId="26866AE7">
                  <w:pPr>
                    <w:pStyle w:val="155"/>
                  </w:pPr>
                  <w:r>
                    <w:t>达标</w:t>
                  </w:r>
                </w:p>
              </w:tc>
            </w:tr>
            <w:tr w14:paraId="18AC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restart"/>
                  <w:vAlign w:val="center"/>
                </w:tcPr>
                <w:p w14:paraId="178A2869">
                  <w:pPr>
                    <w:pStyle w:val="155"/>
                  </w:pPr>
                  <w:r>
                    <w:t>西</w:t>
                  </w:r>
                  <w:r>
                    <w:rPr>
                      <w:rFonts w:hint="eastAsia"/>
                    </w:rPr>
                    <w:t>南</w:t>
                  </w:r>
                  <w:r>
                    <w:t>厂界</w:t>
                  </w:r>
                </w:p>
              </w:tc>
              <w:tc>
                <w:tcPr>
                  <w:tcW w:w="959" w:type="dxa"/>
                  <w:vMerge w:val="restart"/>
                  <w:vAlign w:val="center"/>
                </w:tcPr>
                <w:p w14:paraId="2A3D1119">
                  <w:pPr>
                    <w:pStyle w:val="155"/>
                  </w:pPr>
                  <w:r>
                    <w:t>-13.54</w:t>
                  </w:r>
                </w:p>
              </w:tc>
              <w:tc>
                <w:tcPr>
                  <w:tcW w:w="886" w:type="dxa"/>
                  <w:vMerge w:val="restart"/>
                  <w:vAlign w:val="center"/>
                </w:tcPr>
                <w:p w14:paraId="03C5B477">
                  <w:pPr>
                    <w:pStyle w:val="155"/>
                  </w:pPr>
                  <w:r>
                    <w:t>14.53</w:t>
                  </w:r>
                </w:p>
              </w:tc>
              <w:tc>
                <w:tcPr>
                  <w:tcW w:w="880" w:type="dxa"/>
                  <w:vMerge w:val="restart"/>
                  <w:vAlign w:val="center"/>
                </w:tcPr>
                <w:p w14:paraId="52A8FE8A">
                  <w:pPr>
                    <w:pStyle w:val="155"/>
                  </w:pPr>
                  <w:r>
                    <w:t>1.2</w:t>
                  </w:r>
                </w:p>
              </w:tc>
              <w:tc>
                <w:tcPr>
                  <w:tcW w:w="1109" w:type="dxa"/>
                  <w:vAlign w:val="center"/>
                </w:tcPr>
                <w:p w14:paraId="3839CEA6">
                  <w:pPr>
                    <w:pStyle w:val="155"/>
                  </w:pPr>
                  <w:r>
                    <w:t>昼间</w:t>
                  </w:r>
                </w:p>
              </w:tc>
              <w:tc>
                <w:tcPr>
                  <w:tcW w:w="1584" w:type="dxa"/>
                  <w:vAlign w:val="center"/>
                </w:tcPr>
                <w:p w14:paraId="1CB979F8">
                  <w:pPr>
                    <w:pStyle w:val="155"/>
                  </w:pPr>
                  <w:r>
                    <w:t>44.57</w:t>
                  </w:r>
                </w:p>
              </w:tc>
              <w:tc>
                <w:tcPr>
                  <w:tcW w:w="1585" w:type="dxa"/>
                  <w:vAlign w:val="center"/>
                </w:tcPr>
                <w:p w14:paraId="1288D366">
                  <w:pPr>
                    <w:pStyle w:val="155"/>
                  </w:pPr>
                  <w:r>
                    <w:rPr>
                      <w:rFonts w:hint="eastAsia"/>
                    </w:rPr>
                    <w:t>6</w:t>
                  </w:r>
                  <w:r>
                    <w:t>0</w:t>
                  </w:r>
                </w:p>
              </w:tc>
              <w:tc>
                <w:tcPr>
                  <w:tcW w:w="829" w:type="dxa"/>
                  <w:vAlign w:val="center"/>
                </w:tcPr>
                <w:p w14:paraId="26229B4A">
                  <w:pPr>
                    <w:pStyle w:val="155"/>
                  </w:pPr>
                  <w:r>
                    <w:t>达标</w:t>
                  </w:r>
                </w:p>
              </w:tc>
            </w:tr>
            <w:tr w14:paraId="3751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vAlign w:val="center"/>
                </w:tcPr>
                <w:p w14:paraId="21F8DAAF">
                  <w:pPr>
                    <w:pStyle w:val="155"/>
                  </w:pPr>
                </w:p>
              </w:tc>
              <w:tc>
                <w:tcPr>
                  <w:tcW w:w="959" w:type="dxa"/>
                  <w:vMerge w:val="continue"/>
                  <w:vAlign w:val="center"/>
                </w:tcPr>
                <w:p w14:paraId="62EA36F3">
                  <w:pPr>
                    <w:pStyle w:val="155"/>
                  </w:pPr>
                </w:p>
              </w:tc>
              <w:tc>
                <w:tcPr>
                  <w:tcW w:w="886" w:type="dxa"/>
                  <w:vMerge w:val="continue"/>
                  <w:vAlign w:val="center"/>
                </w:tcPr>
                <w:p w14:paraId="4E4AFE24">
                  <w:pPr>
                    <w:pStyle w:val="155"/>
                  </w:pPr>
                </w:p>
              </w:tc>
              <w:tc>
                <w:tcPr>
                  <w:tcW w:w="880" w:type="dxa"/>
                  <w:vMerge w:val="continue"/>
                  <w:vAlign w:val="center"/>
                </w:tcPr>
                <w:p w14:paraId="2E047A34">
                  <w:pPr>
                    <w:pStyle w:val="155"/>
                  </w:pPr>
                </w:p>
              </w:tc>
              <w:tc>
                <w:tcPr>
                  <w:tcW w:w="1109" w:type="dxa"/>
                  <w:vAlign w:val="center"/>
                </w:tcPr>
                <w:p w14:paraId="7CD0EF88">
                  <w:pPr>
                    <w:pStyle w:val="155"/>
                  </w:pPr>
                  <w:r>
                    <w:t>夜间</w:t>
                  </w:r>
                </w:p>
              </w:tc>
              <w:tc>
                <w:tcPr>
                  <w:tcW w:w="1584" w:type="dxa"/>
                  <w:vAlign w:val="center"/>
                </w:tcPr>
                <w:p w14:paraId="76824205">
                  <w:pPr>
                    <w:pStyle w:val="155"/>
                  </w:pPr>
                  <w:r>
                    <w:t>44.57</w:t>
                  </w:r>
                </w:p>
              </w:tc>
              <w:tc>
                <w:tcPr>
                  <w:tcW w:w="1585" w:type="dxa"/>
                  <w:vAlign w:val="center"/>
                </w:tcPr>
                <w:p w14:paraId="7E2B9F57">
                  <w:pPr>
                    <w:pStyle w:val="155"/>
                  </w:pPr>
                  <w:r>
                    <w:rPr>
                      <w:rFonts w:hint="eastAsia"/>
                    </w:rPr>
                    <w:t>5</w:t>
                  </w:r>
                  <w:r>
                    <w:t>0</w:t>
                  </w:r>
                </w:p>
              </w:tc>
              <w:tc>
                <w:tcPr>
                  <w:tcW w:w="829" w:type="dxa"/>
                  <w:vAlign w:val="center"/>
                </w:tcPr>
                <w:p w14:paraId="6A8CD19A">
                  <w:pPr>
                    <w:pStyle w:val="155"/>
                  </w:pPr>
                  <w:r>
                    <w:t>达标</w:t>
                  </w:r>
                </w:p>
              </w:tc>
            </w:tr>
            <w:tr w14:paraId="3B65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restart"/>
                  <w:vAlign w:val="center"/>
                </w:tcPr>
                <w:p w14:paraId="5CA48746">
                  <w:pPr>
                    <w:pStyle w:val="155"/>
                  </w:pPr>
                  <w:r>
                    <w:rPr>
                      <w:rFonts w:hint="eastAsia"/>
                    </w:rPr>
                    <w:t>西</w:t>
                  </w:r>
                  <w:r>
                    <w:t>北厂界</w:t>
                  </w:r>
                </w:p>
              </w:tc>
              <w:tc>
                <w:tcPr>
                  <w:tcW w:w="959" w:type="dxa"/>
                  <w:vMerge w:val="restart"/>
                  <w:vAlign w:val="center"/>
                </w:tcPr>
                <w:p w14:paraId="2EE66A83">
                  <w:pPr>
                    <w:pStyle w:val="155"/>
                  </w:pPr>
                  <w:r>
                    <w:t>104.40</w:t>
                  </w:r>
                </w:p>
              </w:tc>
              <w:tc>
                <w:tcPr>
                  <w:tcW w:w="886" w:type="dxa"/>
                  <w:vMerge w:val="restart"/>
                  <w:vAlign w:val="center"/>
                </w:tcPr>
                <w:p w14:paraId="5890F483">
                  <w:pPr>
                    <w:pStyle w:val="155"/>
                  </w:pPr>
                  <w:r>
                    <w:t>258.68</w:t>
                  </w:r>
                </w:p>
              </w:tc>
              <w:tc>
                <w:tcPr>
                  <w:tcW w:w="880" w:type="dxa"/>
                  <w:vMerge w:val="restart"/>
                  <w:vAlign w:val="center"/>
                </w:tcPr>
                <w:p w14:paraId="4C012606">
                  <w:pPr>
                    <w:pStyle w:val="155"/>
                  </w:pPr>
                  <w:r>
                    <w:t>1.2</w:t>
                  </w:r>
                </w:p>
              </w:tc>
              <w:tc>
                <w:tcPr>
                  <w:tcW w:w="1109" w:type="dxa"/>
                  <w:vAlign w:val="center"/>
                </w:tcPr>
                <w:p w14:paraId="631C8540">
                  <w:pPr>
                    <w:pStyle w:val="155"/>
                  </w:pPr>
                  <w:r>
                    <w:t>昼间</w:t>
                  </w:r>
                </w:p>
              </w:tc>
              <w:tc>
                <w:tcPr>
                  <w:tcW w:w="1584" w:type="dxa"/>
                  <w:vAlign w:val="center"/>
                </w:tcPr>
                <w:p w14:paraId="5830D69E">
                  <w:pPr>
                    <w:pStyle w:val="155"/>
                  </w:pPr>
                  <w:r>
                    <w:t>49.2</w:t>
                  </w:r>
                </w:p>
              </w:tc>
              <w:tc>
                <w:tcPr>
                  <w:tcW w:w="1585" w:type="dxa"/>
                  <w:vAlign w:val="center"/>
                </w:tcPr>
                <w:p w14:paraId="64A65A97">
                  <w:pPr>
                    <w:pStyle w:val="155"/>
                  </w:pPr>
                  <w:r>
                    <w:t>70</w:t>
                  </w:r>
                </w:p>
              </w:tc>
              <w:tc>
                <w:tcPr>
                  <w:tcW w:w="829" w:type="dxa"/>
                  <w:vAlign w:val="center"/>
                </w:tcPr>
                <w:p w14:paraId="5CEE41F9">
                  <w:pPr>
                    <w:pStyle w:val="155"/>
                  </w:pPr>
                  <w:r>
                    <w:t>达标</w:t>
                  </w:r>
                </w:p>
              </w:tc>
            </w:tr>
            <w:tr w14:paraId="5367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vAlign w:val="center"/>
                </w:tcPr>
                <w:p w14:paraId="4CC08794">
                  <w:pPr>
                    <w:pStyle w:val="155"/>
                  </w:pPr>
                </w:p>
              </w:tc>
              <w:tc>
                <w:tcPr>
                  <w:tcW w:w="959" w:type="dxa"/>
                  <w:vMerge w:val="continue"/>
                  <w:vAlign w:val="center"/>
                </w:tcPr>
                <w:p w14:paraId="111E24AA">
                  <w:pPr>
                    <w:pStyle w:val="155"/>
                  </w:pPr>
                </w:p>
              </w:tc>
              <w:tc>
                <w:tcPr>
                  <w:tcW w:w="886" w:type="dxa"/>
                  <w:vMerge w:val="continue"/>
                  <w:vAlign w:val="center"/>
                </w:tcPr>
                <w:p w14:paraId="4C7156D0">
                  <w:pPr>
                    <w:pStyle w:val="155"/>
                  </w:pPr>
                </w:p>
              </w:tc>
              <w:tc>
                <w:tcPr>
                  <w:tcW w:w="880" w:type="dxa"/>
                  <w:vMerge w:val="continue"/>
                  <w:vAlign w:val="center"/>
                </w:tcPr>
                <w:p w14:paraId="331C4739">
                  <w:pPr>
                    <w:pStyle w:val="155"/>
                  </w:pPr>
                </w:p>
              </w:tc>
              <w:tc>
                <w:tcPr>
                  <w:tcW w:w="1109" w:type="dxa"/>
                  <w:vAlign w:val="center"/>
                </w:tcPr>
                <w:p w14:paraId="5EE5317E">
                  <w:pPr>
                    <w:pStyle w:val="155"/>
                  </w:pPr>
                  <w:r>
                    <w:t>夜间</w:t>
                  </w:r>
                </w:p>
              </w:tc>
              <w:tc>
                <w:tcPr>
                  <w:tcW w:w="1584" w:type="dxa"/>
                  <w:vAlign w:val="center"/>
                </w:tcPr>
                <w:p w14:paraId="19A89C2C">
                  <w:pPr>
                    <w:pStyle w:val="155"/>
                  </w:pPr>
                  <w:r>
                    <w:t>49.2</w:t>
                  </w:r>
                </w:p>
              </w:tc>
              <w:tc>
                <w:tcPr>
                  <w:tcW w:w="1585" w:type="dxa"/>
                  <w:vAlign w:val="center"/>
                </w:tcPr>
                <w:p w14:paraId="747BFEF3">
                  <w:pPr>
                    <w:pStyle w:val="155"/>
                  </w:pPr>
                  <w:r>
                    <w:t>55</w:t>
                  </w:r>
                </w:p>
              </w:tc>
              <w:tc>
                <w:tcPr>
                  <w:tcW w:w="829" w:type="dxa"/>
                  <w:vAlign w:val="center"/>
                </w:tcPr>
                <w:p w14:paraId="53F0AE9B">
                  <w:pPr>
                    <w:pStyle w:val="155"/>
                  </w:pPr>
                  <w:r>
                    <w:t>达标</w:t>
                  </w:r>
                </w:p>
              </w:tc>
            </w:tr>
          </w:tbl>
          <w:p w14:paraId="0211C0D5">
            <w:pPr>
              <w:adjustRightInd w:val="0"/>
              <w:snapToGrid w:val="0"/>
              <w:spacing w:line="360" w:lineRule="auto"/>
              <w:jc w:val="center"/>
              <w:rPr>
                <w:sz w:val="24"/>
              </w:rPr>
            </w:pPr>
            <w:r>
              <w:rPr>
                <w:rFonts w:hint="eastAsia"/>
                <w:b/>
                <w:bCs/>
                <w:kern w:val="24"/>
                <w:sz w:val="24"/>
              </w:rPr>
              <w:drawing>
                <wp:inline distT="0" distB="0" distL="0" distR="0">
                  <wp:extent cx="4871720" cy="3955415"/>
                  <wp:effectExtent l="0" t="0" r="5080" b="6985"/>
                  <wp:docPr id="14197006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00656" name="图片 1"/>
                          <pic:cNvPicPr>
                            <a:picLocks noChangeAspect="1" noChangeArrowheads="1"/>
                          </pic:cNvPicPr>
                        </pic:nvPicPr>
                        <pic:blipFill>
                          <a:blip r:embed="rId13" cstate="print"/>
                          <a:srcRect/>
                          <a:stretch>
                            <a:fillRect/>
                          </a:stretch>
                        </pic:blipFill>
                        <pic:spPr>
                          <a:xfrm>
                            <a:off x="0" y="0"/>
                            <a:ext cx="4887277" cy="3968028"/>
                          </a:xfrm>
                          <a:prstGeom prst="rect">
                            <a:avLst/>
                          </a:prstGeom>
                          <a:noFill/>
                          <a:ln>
                            <a:noFill/>
                          </a:ln>
                        </pic:spPr>
                      </pic:pic>
                    </a:graphicData>
                  </a:graphic>
                </wp:inline>
              </w:drawing>
            </w:r>
          </w:p>
          <w:p w14:paraId="3296A98D">
            <w:pPr>
              <w:adjustRightInd w:val="0"/>
              <w:snapToGrid w:val="0"/>
              <w:spacing w:line="360" w:lineRule="auto"/>
              <w:ind w:firstLine="482" w:firstLineChars="200"/>
              <w:jc w:val="center"/>
              <w:rPr>
                <w:b/>
                <w:bCs/>
                <w:kern w:val="24"/>
                <w:sz w:val="24"/>
              </w:rPr>
            </w:pPr>
            <w:r>
              <w:rPr>
                <w:rFonts w:hint="eastAsia"/>
                <w:b/>
                <w:bCs/>
                <w:kern w:val="24"/>
                <w:sz w:val="24"/>
              </w:rPr>
              <w:t>图4-1</w:t>
            </w:r>
            <w:r>
              <w:rPr>
                <w:b/>
                <w:bCs/>
                <w:kern w:val="24"/>
                <w:sz w:val="24"/>
              </w:rPr>
              <w:t xml:space="preserve">  </w:t>
            </w:r>
            <w:r>
              <w:rPr>
                <w:rFonts w:hint="eastAsia"/>
                <w:b/>
                <w:bCs/>
                <w:kern w:val="24"/>
                <w:sz w:val="24"/>
              </w:rPr>
              <w:t>项目声源分布图及预测等声级图</w:t>
            </w:r>
          </w:p>
          <w:p w14:paraId="6E57BD77">
            <w:pPr>
              <w:pStyle w:val="83"/>
              <w:ind w:firstLine="480"/>
              <w:rPr>
                <w:rFonts w:eastAsiaTheme="minorEastAsia"/>
              </w:rPr>
            </w:pPr>
            <w:r>
              <w:rPr>
                <w:rFonts w:eastAsiaTheme="minorEastAsia"/>
              </w:rPr>
              <w:t>由上表可知，</w:t>
            </w:r>
            <w:r>
              <w:rPr>
                <w:rFonts w:hint="eastAsia" w:eastAsiaTheme="minorEastAsia"/>
              </w:rPr>
              <w:t>本项目运营期通过采取基础减振、厂房隔声、进风口消声器等措施后，</w:t>
            </w:r>
            <w:r>
              <w:rPr>
                <w:rFonts w:hint="eastAsia"/>
                <w:kern w:val="24"/>
              </w:rPr>
              <w:t>项目建成后全厂的</w:t>
            </w:r>
            <w:r>
              <w:rPr>
                <w:rFonts w:hint="eastAsia"/>
              </w:rPr>
              <w:t>厂界</w:t>
            </w:r>
            <w:r>
              <w:t>噪声</w:t>
            </w:r>
            <w:r>
              <w:rPr>
                <w:rFonts w:hint="eastAsia"/>
              </w:rPr>
              <w:t>昼间、夜间贡献值满足</w:t>
            </w:r>
            <w:r>
              <w:t>《工业企业场界环境噪声排放标准》（GB</w:t>
            </w:r>
            <w:r>
              <w:rPr>
                <w:rFonts w:hint="eastAsia"/>
              </w:rPr>
              <w:t xml:space="preserve"> </w:t>
            </w:r>
            <w:r>
              <w:t>12348-2008）2</w:t>
            </w:r>
            <w:r>
              <w:rPr>
                <w:rFonts w:hint="eastAsia"/>
              </w:rPr>
              <w:t>类、4类标准。</w:t>
            </w:r>
          </w:p>
          <w:p w14:paraId="00A4DBD2">
            <w:pPr>
              <w:adjustRightInd w:val="0"/>
              <w:snapToGrid w:val="0"/>
              <w:spacing w:line="360" w:lineRule="auto"/>
              <w:ind w:firstLine="480" w:firstLineChars="200"/>
              <w:rPr>
                <w:sz w:val="24"/>
              </w:rPr>
            </w:pPr>
            <w:r>
              <w:rPr>
                <w:rFonts w:hint="eastAsia"/>
                <w:sz w:val="24"/>
              </w:rPr>
              <w:t>综上所述，本项目</w:t>
            </w:r>
            <w:r>
              <w:rPr>
                <w:sz w:val="24"/>
              </w:rPr>
              <w:t>噪声源</w:t>
            </w:r>
            <w:r>
              <w:rPr>
                <w:rFonts w:hint="eastAsia"/>
                <w:sz w:val="24"/>
              </w:rPr>
              <w:t>主要为</w:t>
            </w:r>
            <w:r>
              <w:rPr>
                <w:rFonts w:hint="eastAsia"/>
                <w:kern w:val="24"/>
                <w:sz w:val="24"/>
              </w:rPr>
              <w:t>设备噪声</w:t>
            </w:r>
            <w:r>
              <w:rPr>
                <w:rFonts w:hint="eastAsia"/>
                <w:sz w:val="24"/>
              </w:rPr>
              <w:t>，项目采取基础减振、厂房隔声、</w:t>
            </w:r>
            <w:r>
              <w:rPr>
                <w:rFonts w:hint="eastAsia"/>
                <w:kern w:val="24"/>
                <w:sz w:val="24"/>
              </w:rPr>
              <w:t>对空气动力性噪声设备安装消声器、合理布局</w:t>
            </w:r>
            <w:r>
              <w:rPr>
                <w:rFonts w:hint="eastAsia"/>
                <w:sz w:val="24"/>
              </w:rPr>
              <w:t>等措施，项目运营期的厂界噪声</w:t>
            </w:r>
            <w:r>
              <w:rPr>
                <w:kern w:val="24"/>
                <w:sz w:val="24"/>
              </w:rPr>
              <w:t>昼间</w:t>
            </w:r>
            <w:r>
              <w:rPr>
                <w:rFonts w:hint="eastAsia"/>
                <w:kern w:val="24"/>
                <w:sz w:val="24"/>
              </w:rPr>
              <w:t>、夜间贡献值</w:t>
            </w:r>
            <w:r>
              <w:rPr>
                <w:rFonts w:hint="eastAsia"/>
                <w:sz w:val="24"/>
              </w:rPr>
              <w:t>可以达到《工业企业厂界噪声排放标准》</w:t>
            </w:r>
            <w:r>
              <w:rPr>
                <w:kern w:val="24"/>
                <w:sz w:val="24"/>
              </w:rPr>
              <w:t>（GB12348-2008）</w:t>
            </w:r>
            <w:r>
              <w:rPr>
                <w:rFonts w:hint="eastAsia"/>
                <w:sz w:val="24"/>
              </w:rPr>
              <w:t>2类</w:t>
            </w:r>
            <w:r>
              <w:rPr>
                <w:rFonts w:hint="eastAsia"/>
              </w:rPr>
              <w:t>、4类</w:t>
            </w:r>
            <w:r>
              <w:rPr>
                <w:rFonts w:hint="eastAsia"/>
                <w:sz w:val="24"/>
              </w:rPr>
              <w:t>标准的要求，项目区周边均为企业，无声环境保护目标。因此，本项目噪声对周围环境影响较小，声环境影响可以接受。</w:t>
            </w:r>
          </w:p>
          <w:p w14:paraId="4658DFB3">
            <w:pPr>
              <w:pStyle w:val="58"/>
              <w:spacing w:before="1" w:line="364" w:lineRule="auto"/>
              <w:ind w:right="106"/>
              <w:rPr>
                <w:rFonts w:hint="eastAsia"/>
                <w:b/>
                <w:kern w:val="24"/>
                <w:sz w:val="24"/>
              </w:rPr>
            </w:pPr>
            <w:r>
              <w:rPr>
                <w:rFonts w:hint="eastAsia" w:ascii="Times New Roman" w:hAnsi="Times New Roman" w:cs="Times New Roman"/>
                <w:b/>
                <w:kern w:val="24"/>
                <w:sz w:val="24"/>
                <w:lang w:val="en-US"/>
              </w:rPr>
              <w:t>3</w:t>
            </w:r>
            <w:r>
              <w:rPr>
                <w:rFonts w:ascii="Times New Roman" w:hAnsi="Times New Roman" w:cs="Times New Roman"/>
                <w:b/>
                <w:kern w:val="24"/>
                <w:sz w:val="24"/>
                <w:lang w:val="en-US"/>
              </w:rPr>
              <w:t>.</w:t>
            </w:r>
            <w:r>
              <w:rPr>
                <w:rFonts w:hint="eastAsia" w:ascii="Times New Roman" w:hAnsi="Times New Roman" w:cs="Times New Roman"/>
                <w:b/>
                <w:kern w:val="24"/>
                <w:sz w:val="24"/>
                <w:lang w:val="en-US"/>
              </w:rPr>
              <w:t>3</w:t>
            </w:r>
            <w:r>
              <w:rPr>
                <w:rFonts w:hint="eastAsia"/>
                <w:b/>
                <w:bCs/>
                <w:sz w:val="24"/>
              </w:rPr>
              <w:t>噪声环境监测计划</w:t>
            </w:r>
          </w:p>
          <w:p w14:paraId="6E1EE1FD">
            <w:pPr>
              <w:adjustRightInd w:val="0"/>
              <w:snapToGrid w:val="0"/>
              <w:spacing w:line="360" w:lineRule="auto"/>
              <w:ind w:firstLine="480" w:firstLineChars="200"/>
              <w:rPr>
                <w:kern w:val="24"/>
                <w:sz w:val="24"/>
              </w:rPr>
            </w:pPr>
            <w:r>
              <w:rPr>
                <w:rFonts w:hint="eastAsia"/>
                <w:kern w:val="24"/>
                <w:sz w:val="24"/>
              </w:rPr>
              <w:t>根据《排污单位自行监测技术指南 总则》(HJ 819-2017)中相关要求，本项目运营期噪声监测要求如下表。</w:t>
            </w:r>
          </w:p>
          <w:p w14:paraId="7BEBF9BF">
            <w:pPr>
              <w:adjustRightInd w:val="0"/>
              <w:snapToGrid w:val="0"/>
              <w:spacing w:line="360" w:lineRule="auto"/>
              <w:ind w:firstLine="482" w:firstLineChars="200"/>
              <w:jc w:val="center"/>
              <w:rPr>
                <w:b/>
                <w:bCs/>
                <w:kern w:val="24"/>
                <w:sz w:val="24"/>
              </w:rPr>
            </w:pPr>
            <w:r>
              <w:rPr>
                <w:b/>
                <w:bCs/>
                <w:kern w:val="24"/>
                <w:sz w:val="24"/>
              </w:rPr>
              <w:t>表</w:t>
            </w:r>
            <w:r>
              <w:rPr>
                <w:rFonts w:hint="eastAsia"/>
                <w:b/>
                <w:bCs/>
                <w:kern w:val="24"/>
                <w:sz w:val="24"/>
              </w:rPr>
              <w:t>4-</w:t>
            </w:r>
            <w:r>
              <w:rPr>
                <w:b/>
                <w:bCs/>
                <w:kern w:val="24"/>
                <w:sz w:val="24"/>
              </w:rPr>
              <w:t>1</w:t>
            </w:r>
            <w:r>
              <w:rPr>
                <w:rFonts w:hint="eastAsia"/>
                <w:b/>
                <w:bCs/>
                <w:kern w:val="24"/>
                <w:sz w:val="24"/>
              </w:rPr>
              <w:t>6</w:t>
            </w:r>
            <w:r>
              <w:rPr>
                <w:b/>
                <w:bCs/>
                <w:kern w:val="24"/>
                <w:sz w:val="24"/>
              </w:rPr>
              <w:t xml:space="preserve"> </w:t>
            </w:r>
            <w:r>
              <w:rPr>
                <w:rFonts w:hint="eastAsia"/>
                <w:b/>
                <w:bCs/>
                <w:kern w:val="24"/>
                <w:sz w:val="24"/>
              </w:rPr>
              <w:t xml:space="preserve"> 项目运营期噪声</w:t>
            </w:r>
            <w:r>
              <w:rPr>
                <w:b/>
                <w:bCs/>
                <w:kern w:val="24"/>
                <w:sz w:val="24"/>
              </w:rPr>
              <w:t>监测</w:t>
            </w:r>
            <w:r>
              <w:rPr>
                <w:rFonts w:hint="eastAsia"/>
                <w:b/>
                <w:bCs/>
                <w:kern w:val="24"/>
                <w:sz w:val="24"/>
              </w:rPr>
              <w:t>要求</w:t>
            </w:r>
          </w:p>
          <w:tbl>
            <w:tblPr>
              <w:tblStyle w:val="33"/>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04"/>
              <w:gridCol w:w="2097"/>
              <w:gridCol w:w="1206"/>
              <w:gridCol w:w="3322"/>
            </w:tblGrid>
            <w:tr w14:paraId="43B4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6D90A7A">
                  <w:pPr>
                    <w:jc w:val="center"/>
                    <w:rPr>
                      <w:szCs w:val="21"/>
                    </w:rPr>
                  </w:pPr>
                  <w:r>
                    <w:rPr>
                      <w:rFonts w:hint="eastAsia"/>
                      <w:szCs w:val="21"/>
                    </w:rPr>
                    <w:t>项目</w:t>
                  </w:r>
                </w:p>
              </w:tc>
              <w:tc>
                <w:tcPr>
                  <w:tcW w:w="1504" w:type="dxa"/>
                  <w:vAlign w:val="center"/>
                </w:tcPr>
                <w:p w14:paraId="6F73A7FC">
                  <w:pPr>
                    <w:jc w:val="center"/>
                    <w:rPr>
                      <w:szCs w:val="21"/>
                    </w:rPr>
                  </w:pPr>
                  <w:r>
                    <w:rPr>
                      <w:rFonts w:hint="eastAsia"/>
                      <w:szCs w:val="21"/>
                    </w:rPr>
                    <w:t>监测点位</w:t>
                  </w:r>
                </w:p>
              </w:tc>
              <w:tc>
                <w:tcPr>
                  <w:tcW w:w="2097" w:type="dxa"/>
                  <w:vAlign w:val="center"/>
                </w:tcPr>
                <w:p w14:paraId="43005B31">
                  <w:pPr>
                    <w:jc w:val="center"/>
                    <w:rPr>
                      <w:szCs w:val="21"/>
                    </w:rPr>
                  </w:pPr>
                  <w:r>
                    <w:rPr>
                      <w:rFonts w:hint="eastAsia"/>
                      <w:szCs w:val="21"/>
                    </w:rPr>
                    <w:t>监测因子</w:t>
                  </w:r>
                </w:p>
              </w:tc>
              <w:tc>
                <w:tcPr>
                  <w:tcW w:w="1206" w:type="dxa"/>
                  <w:vAlign w:val="center"/>
                </w:tcPr>
                <w:p w14:paraId="7FB74F52">
                  <w:pPr>
                    <w:jc w:val="center"/>
                    <w:rPr>
                      <w:szCs w:val="21"/>
                    </w:rPr>
                  </w:pPr>
                  <w:r>
                    <w:rPr>
                      <w:rFonts w:hint="eastAsia"/>
                      <w:szCs w:val="21"/>
                    </w:rPr>
                    <w:t>监测频次</w:t>
                  </w:r>
                </w:p>
              </w:tc>
              <w:tc>
                <w:tcPr>
                  <w:tcW w:w="3322" w:type="dxa"/>
                  <w:vAlign w:val="center"/>
                </w:tcPr>
                <w:p w14:paraId="366B0BE7">
                  <w:pPr>
                    <w:jc w:val="center"/>
                    <w:rPr>
                      <w:szCs w:val="21"/>
                    </w:rPr>
                  </w:pPr>
                  <w:r>
                    <w:rPr>
                      <w:rFonts w:hint="eastAsia"/>
                      <w:szCs w:val="21"/>
                    </w:rPr>
                    <w:t>执行标准</w:t>
                  </w:r>
                </w:p>
              </w:tc>
            </w:tr>
            <w:tr w14:paraId="546E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restart"/>
                  <w:vAlign w:val="center"/>
                </w:tcPr>
                <w:p w14:paraId="7CE0C649">
                  <w:pPr>
                    <w:jc w:val="center"/>
                    <w:rPr>
                      <w:szCs w:val="21"/>
                    </w:rPr>
                  </w:pPr>
                  <w:r>
                    <w:rPr>
                      <w:szCs w:val="21"/>
                    </w:rPr>
                    <w:t>噪声</w:t>
                  </w:r>
                </w:p>
              </w:tc>
              <w:tc>
                <w:tcPr>
                  <w:tcW w:w="1504" w:type="dxa"/>
                  <w:vAlign w:val="center"/>
                </w:tcPr>
                <w:p w14:paraId="5623C8B1">
                  <w:pPr>
                    <w:jc w:val="center"/>
                    <w:rPr>
                      <w:szCs w:val="21"/>
                    </w:rPr>
                  </w:pPr>
                  <w:r>
                    <w:rPr>
                      <w:rFonts w:hint="eastAsia"/>
                      <w:szCs w:val="21"/>
                    </w:rPr>
                    <w:t>东北、东南、西南厂界</w:t>
                  </w:r>
                </w:p>
              </w:tc>
              <w:tc>
                <w:tcPr>
                  <w:tcW w:w="2097" w:type="dxa"/>
                  <w:vMerge w:val="restart"/>
                  <w:vAlign w:val="center"/>
                </w:tcPr>
                <w:p w14:paraId="35D716FA">
                  <w:pPr>
                    <w:jc w:val="center"/>
                    <w:rPr>
                      <w:szCs w:val="21"/>
                    </w:rPr>
                  </w:pPr>
                  <w:r>
                    <w:rPr>
                      <w:rFonts w:hint="eastAsia"/>
                      <w:szCs w:val="21"/>
                    </w:rPr>
                    <w:t>昼间、夜间等效声级 Leq(A)</w:t>
                  </w:r>
                </w:p>
              </w:tc>
              <w:tc>
                <w:tcPr>
                  <w:tcW w:w="1206" w:type="dxa"/>
                  <w:vMerge w:val="restart"/>
                  <w:vAlign w:val="center"/>
                </w:tcPr>
                <w:p w14:paraId="17994525">
                  <w:pPr>
                    <w:jc w:val="center"/>
                    <w:rPr>
                      <w:szCs w:val="21"/>
                    </w:rPr>
                  </w:pPr>
                  <w:r>
                    <w:rPr>
                      <w:rFonts w:hint="eastAsia"/>
                      <w:szCs w:val="21"/>
                    </w:rPr>
                    <w:t>1次/季度</w:t>
                  </w:r>
                </w:p>
              </w:tc>
              <w:tc>
                <w:tcPr>
                  <w:tcW w:w="3322" w:type="dxa"/>
                  <w:vAlign w:val="center"/>
                </w:tcPr>
                <w:p w14:paraId="6DFE6B7D">
                  <w:pPr>
                    <w:jc w:val="center"/>
                    <w:rPr>
                      <w:szCs w:val="21"/>
                    </w:rPr>
                  </w:pPr>
                  <w:r>
                    <w:rPr>
                      <w:rFonts w:hint="eastAsia"/>
                      <w:szCs w:val="21"/>
                    </w:rPr>
                    <w:t>《工业企业厂界环境噪声排放标准》（GB12348-2008）中</w:t>
                  </w:r>
                  <w:r>
                    <w:rPr>
                      <w:szCs w:val="21"/>
                    </w:rPr>
                    <w:t>2</w:t>
                  </w:r>
                  <w:r>
                    <w:rPr>
                      <w:rFonts w:hint="eastAsia"/>
                      <w:szCs w:val="21"/>
                    </w:rPr>
                    <w:t>类标准</w:t>
                  </w:r>
                </w:p>
              </w:tc>
            </w:tr>
            <w:tr w14:paraId="4579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vAlign w:val="center"/>
                </w:tcPr>
                <w:p w14:paraId="4D182FE0">
                  <w:pPr>
                    <w:jc w:val="center"/>
                    <w:rPr>
                      <w:szCs w:val="21"/>
                    </w:rPr>
                  </w:pPr>
                </w:p>
              </w:tc>
              <w:tc>
                <w:tcPr>
                  <w:tcW w:w="1504" w:type="dxa"/>
                  <w:vAlign w:val="center"/>
                </w:tcPr>
                <w:p w14:paraId="33F19405">
                  <w:pPr>
                    <w:jc w:val="center"/>
                    <w:rPr>
                      <w:szCs w:val="21"/>
                    </w:rPr>
                  </w:pPr>
                  <w:r>
                    <w:rPr>
                      <w:rFonts w:hint="eastAsia"/>
                      <w:szCs w:val="21"/>
                    </w:rPr>
                    <w:t>西北厂界</w:t>
                  </w:r>
                </w:p>
              </w:tc>
              <w:tc>
                <w:tcPr>
                  <w:tcW w:w="2097" w:type="dxa"/>
                  <w:vMerge w:val="continue"/>
                  <w:vAlign w:val="center"/>
                </w:tcPr>
                <w:p w14:paraId="55C85004">
                  <w:pPr>
                    <w:jc w:val="center"/>
                    <w:rPr>
                      <w:szCs w:val="21"/>
                    </w:rPr>
                  </w:pPr>
                </w:p>
              </w:tc>
              <w:tc>
                <w:tcPr>
                  <w:tcW w:w="1206" w:type="dxa"/>
                  <w:vMerge w:val="continue"/>
                  <w:vAlign w:val="center"/>
                </w:tcPr>
                <w:p w14:paraId="00B29F3F">
                  <w:pPr>
                    <w:jc w:val="center"/>
                    <w:rPr>
                      <w:szCs w:val="21"/>
                    </w:rPr>
                  </w:pPr>
                </w:p>
              </w:tc>
              <w:tc>
                <w:tcPr>
                  <w:tcW w:w="3322" w:type="dxa"/>
                  <w:vAlign w:val="center"/>
                </w:tcPr>
                <w:p w14:paraId="5F93D5AE">
                  <w:pPr>
                    <w:jc w:val="center"/>
                    <w:rPr>
                      <w:szCs w:val="21"/>
                    </w:rPr>
                  </w:pPr>
                  <w:r>
                    <w:rPr>
                      <w:rFonts w:hint="eastAsia"/>
                      <w:szCs w:val="21"/>
                    </w:rPr>
                    <w:t>《工业企业厂界环境噪声排放标准》（GB12348-2008）中</w:t>
                  </w:r>
                  <w:r>
                    <w:rPr>
                      <w:szCs w:val="21"/>
                    </w:rPr>
                    <w:t>4</w:t>
                  </w:r>
                  <w:r>
                    <w:rPr>
                      <w:rFonts w:hint="eastAsia"/>
                      <w:szCs w:val="21"/>
                    </w:rPr>
                    <w:t>类标准</w:t>
                  </w:r>
                </w:p>
              </w:tc>
            </w:tr>
          </w:tbl>
          <w:p w14:paraId="300F034D">
            <w:pPr>
              <w:adjustRightInd w:val="0"/>
              <w:snapToGrid w:val="0"/>
              <w:spacing w:line="360" w:lineRule="auto"/>
              <w:ind w:firstLine="480" w:firstLineChars="200"/>
              <w:rPr>
                <w:kern w:val="24"/>
                <w:sz w:val="24"/>
              </w:rPr>
            </w:pPr>
          </w:p>
          <w:p w14:paraId="0ACF538B">
            <w:pPr>
              <w:adjustRightInd w:val="0"/>
              <w:snapToGrid w:val="0"/>
              <w:spacing w:line="360" w:lineRule="auto"/>
              <w:jc w:val="left"/>
              <w:rPr>
                <w:b/>
                <w:bCs/>
                <w:sz w:val="24"/>
              </w:rPr>
            </w:pPr>
            <w:r>
              <w:rPr>
                <w:rFonts w:hint="eastAsia"/>
                <w:b/>
                <w:bCs/>
                <w:sz w:val="24"/>
              </w:rPr>
              <w:t>4、运营期</w:t>
            </w:r>
            <w:r>
              <w:rPr>
                <w:rFonts w:hint="eastAsia"/>
                <w:b/>
                <w:kern w:val="24"/>
                <w:sz w:val="24"/>
              </w:rPr>
              <w:t>固体废物</w:t>
            </w:r>
            <w:r>
              <w:rPr>
                <w:rFonts w:hint="eastAsia"/>
                <w:b/>
                <w:bCs/>
                <w:sz w:val="24"/>
              </w:rPr>
              <w:t>环境影响和保护措施</w:t>
            </w:r>
          </w:p>
          <w:p w14:paraId="4EC4ADC6">
            <w:pPr>
              <w:adjustRightInd w:val="0"/>
              <w:snapToGrid w:val="0"/>
              <w:spacing w:line="360" w:lineRule="auto"/>
              <w:jc w:val="left"/>
              <w:rPr>
                <w:b/>
                <w:bCs/>
                <w:sz w:val="24"/>
              </w:rPr>
            </w:pPr>
            <w:r>
              <w:rPr>
                <w:rFonts w:hint="eastAsia"/>
                <w:b/>
                <w:bCs/>
                <w:sz w:val="24"/>
              </w:rPr>
              <w:t>4.1</w:t>
            </w:r>
            <w:r>
              <w:rPr>
                <w:rFonts w:hint="eastAsia"/>
                <w:b/>
                <w:kern w:val="24"/>
                <w:sz w:val="24"/>
              </w:rPr>
              <w:t>固体废物</w:t>
            </w:r>
            <w:r>
              <w:rPr>
                <w:rFonts w:hint="eastAsia"/>
                <w:b/>
                <w:bCs/>
                <w:sz w:val="24"/>
              </w:rPr>
              <w:t>污染源源强核算</w:t>
            </w:r>
          </w:p>
          <w:p w14:paraId="791F70B7">
            <w:pPr>
              <w:pStyle w:val="31"/>
              <w:adjustRightInd w:val="0"/>
              <w:snapToGrid w:val="0"/>
              <w:spacing w:after="0" w:line="360" w:lineRule="auto"/>
              <w:ind w:left="0" w:leftChars="0" w:firstLine="480"/>
              <w:rPr>
                <w:sz w:val="24"/>
              </w:rPr>
            </w:pPr>
            <w:r>
              <w:rPr>
                <w:rFonts w:hint="eastAsia"/>
                <w:sz w:val="24"/>
              </w:rPr>
              <w:t>项目运营期的固体废物主要包括一般工业固废、危险废物、生活垃圾。一般工业固废包括废边角料、不合格产品、循环水池金属沉渣、布袋除尘器收集除尘灰、化粪池污泥、污水处理站污泥；危险废物包括废机油、废机油桶。</w:t>
            </w:r>
          </w:p>
          <w:p w14:paraId="67D02520">
            <w:pPr>
              <w:adjustRightInd w:val="0"/>
              <w:snapToGrid w:val="0"/>
              <w:spacing w:line="360" w:lineRule="auto"/>
              <w:ind w:firstLine="480" w:firstLineChars="200"/>
              <w:rPr>
                <w:bCs/>
                <w:kern w:val="24"/>
                <w:sz w:val="24"/>
              </w:rPr>
            </w:pPr>
            <w:r>
              <w:rPr>
                <w:bCs/>
                <w:kern w:val="24"/>
                <w:sz w:val="24"/>
              </w:rPr>
              <w:t>项目</w:t>
            </w:r>
            <w:r>
              <w:rPr>
                <w:rFonts w:hint="eastAsia"/>
                <w:bCs/>
                <w:kern w:val="24"/>
                <w:sz w:val="24"/>
              </w:rPr>
              <w:t>运营期固体废物</w:t>
            </w:r>
            <w:r>
              <w:rPr>
                <w:bCs/>
                <w:kern w:val="24"/>
                <w:sz w:val="24"/>
              </w:rPr>
              <w:t>产生、处置情况详见表</w:t>
            </w:r>
            <w:r>
              <w:rPr>
                <w:rFonts w:hint="eastAsia"/>
                <w:bCs/>
                <w:kern w:val="24"/>
                <w:sz w:val="24"/>
              </w:rPr>
              <w:t>4-</w:t>
            </w:r>
            <w:r>
              <w:rPr>
                <w:bCs/>
                <w:kern w:val="24"/>
                <w:sz w:val="24"/>
              </w:rPr>
              <w:t>1</w:t>
            </w:r>
            <w:r>
              <w:rPr>
                <w:rFonts w:hint="eastAsia"/>
                <w:bCs/>
                <w:kern w:val="24"/>
                <w:sz w:val="24"/>
              </w:rPr>
              <w:t>7</w:t>
            </w:r>
            <w:r>
              <w:rPr>
                <w:bCs/>
                <w:kern w:val="24"/>
                <w:sz w:val="24"/>
              </w:rPr>
              <w:t>。</w:t>
            </w:r>
          </w:p>
          <w:p w14:paraId="372D2B38">
            <w:pPr>
              <w:adjustRightInd w:val="0"/>
              <w:snapToGrid w:val="0"/>
              <w:spacing w:line="360" w:lineRule="auto"/>
              <w:ind w:firstLine="482" w:firstLineChars="200"/>
              <w:jc w:val="center"/>
              <w:rPr>
                <w:b/>
                <w:kern w:val="24"/>
                <w:sz w:val="24"/>
              </w:rPr>
            </w:pPr>
            <w:r>
              <w:rPr>
                <w:rFonts w:hint="eastAsia"/>
                <w:b/>
                <w:kern w:val="24"/>
                <w:sz w:val="24"/>
              </w:rPr>
              <w:t>表4-</w:t>
            </w:r>
            <w:r>
              <w:rPr>
                <w:b/>
                <w:kern w:val="24"/>
                <w:sz w:val="24"/>
              </w:rPr>
              <w:t>1</w:t>
            </w:r>
            <w:r>
              <w:rPr>
                <w:rFonts w:hint="eastAsia"/>
                <w:b/>
                <w:kern w:val="24"/>
                <w:sz w:val="24"/>
              </w:rPr>
              <w:t>7  项目运营期固体废物一览表</w:t>
            </w:r>
          </w:p>
          <w:tbl>
            <w:tblPr>
              <w:tblStyle w:val="3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
              <w:gridCol w:w="621"/>
              <w:gridCol w:w="636"/>
              <w:gridCol w:w="823"/>
              <w:gridCol w:w="666"/>
              <w:gridCol w:w="775"/>
              <w:gridCol w:w="730"/>
              <w:gridCol w:w="659"/>
              <w:gridCol w:w="659"/>
              <w:gridCol w:w="1153"/>
              <w:gridCol w:w="844"/>
              <w:gridCol w:w="684"/>
            </w:tblGrid>
            <w:tr w14:paraId="32AF9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57" w:type="pct"/>
                  <w:vMerge w:val="restart"/>
                  <w:vAlign w:val="center"/>
                </w:tcPr>
                <w:p w14:paraId="2C57DC13">
                  <w:pPr>
                    <w:widowControl/>
                    <w:jc w:val="center"/>
                    <w:textAlignment w:val="center"/>
                    <w:rPr>
                      <w:b/>
                      <w:bCs/>
                      <w:sz w:val="18"/>
                      <w:szCs w:val="18"/>
                    </w:rPr>
                  </w:pPr>
                  <w:r>
                    <w:rPr>
                      <w:b/>
                      <w:bCs/>
                      <w:kern w:val="0"/>
                      <w:sz w:val="18"/>
                      <w:szCs w:val="18"/>
                      <w:lang w:bidi="ar"/>
                    </w:rPr>
                    <w:t>产污环节</w:t>
                  </w:r>
                </w:p>
              </w:tc>
              <w:tc>
                <w:tcPr>
                  <w:tcW w:w="349" w:type="pct"/>
                  <w:vMerge w:val="restart"/>
                  <w:vAlign w:val="center"/>
                </w:tcPr>
                <w:p w14:paraId="41A290CE">
                  <w:pPr>
                    <w:widowControl/>
                    <w:jc w:val="center"/>
                    <w:textAlignment w:val="center"/>
                    <w:rPr>
                      <w:b/>
                      <w:bCs/>
                      <w:sz w:val="18"/>
                      <w:szCs w:val="18"/>
                    </w:rPr>
                  </w:pPr>
                  <w:r>
                    <w:rPr>
                      <w:b/>
                      <w:bCs/>
                      <w:kern w:val="0"/>
                      <w:sz w:val="18"/>
                      <w:szCs w:val="18"/>
                      <w:lang w:bidi="ar"/>
                    </w:rPr>
                    <w:t>名称</w:t>
                  </w:r>
                </w:p>
              </w:tc>
              <w:tc>
                <w:tcPr>
                  <w:tcW w:w="821" w:type="pct"/>
                  <w:gridSpan w:val="2"/>
                  <w:vAlign w:val="center"/>
                </w:tcPr>
                <w:p w14:paraId="149A08C1">
                  <w:pPr>
                    <w:widowControl/>
                    <w:jc w:val="center"/>
                    <w:textAlignment w:val="center"/>
                    <w:rPr>
                      <w:b/>
                      <w:bCs/>
                      <w:sz w:val="18"/>
                      <w:szCs w:val="18"/>
                    </w:rPr>
                  </w:pPr>
                  <w:r>
                    <w:rPr>
                      <w:b/>
                      <w:bCs/>
                      <w:kern w:val="0"/>
                      <w:sz w:val="18"/>
                      <w:szCs w:val="18"/>
                      <w:lang w:bidi="ar"/>
                    </w:rPr>
                    <w:t>属性</w:t>
                  </w:r>
                </w:p>
              </w:tc>
              <w:tc>
                <w:tcPr>
                  <w:tcW w:w="375" w:type="pct"/>
                  <w:vMerge w:val="restart"/>
                  <w:vAlign w:val="center"/>
                </w:tcPr>
                <w:p w14:paraId="744E8663">
                  <w:pPr>
                    <w:widowControl/>
                    <w:jc w:val="center"/>
                    <w:textAlignment w:val="center"/>
                    <w:rPr>
                      <w:b/>
                      <w:bCs/>
                      <w:sz w:val="18"/>
                      <w:szCs w:val="18"/>
                    </w:rPr>
                  </w:pPr>
                  <w:r>
                    <w:rPr>
                      <w:b/>
                      <w:bCs/>
                      <w:kern w:val="0"/>
                      <w:sz w:val="18"/>
                      <w:szCs w:val="18"/>
                      <w:lang w:bidi="ar"/>
                    </w:rPr>
                    <w:t>主要有毒有害物质名称</w:t>
                  </w:r>
                </w:p>
              </w:tc>
              <w:tc>
                <w:tcPr>
                  <w:tcW w:w="436" w:type="pct"/>
                  <w:vMerge w:val="restart"/>
                  <w:vAlign w:val="center"/>
                </w:tcPr>
                <w:p w14:paraId="03867F9A">
                  <w:pPr>
                    <w:widowControl/>
                    <w:jc w:val="center"/>
                    <w:textAlignment w:val="center"/>
                    <w:rPr>
                      <w:b/>
                      <w:bCs/>
                      <w:sz w:val="18"/>
                      <w:szCs w:val="18"/>
                    </w:rPr>
                  </w:pPr>
                  <w:r>
                    <w:rPr>
                      <w:b/>
                      <w:bCs/>
                      <w:kern w:val="0"/>
                      <w:sz w:val="18"/>
                      <w:szCs w:val="18"/>
                      <w:lang w:bidi="ar"/>
                    </w:rPr>
                    <w:t>物理性状</w:t>
                  </w:r>
                </w:p>
              </w:tc>
              <w:tc>
                <w:tcPr>
                  <w:tcW w:w="411" w:type="pct"/>
                  <w:vMerge w:val="restart"/>
                  <w:vAlign w:val="center"/>
                </w:tcPr>
                <w:p w14:paraId="59D9DF55">
                  <w:pPr>
                    <w:widowControl/>
                    <w:jc w:val="center"/>
                    <w:textAlignment w:val="center"/>
                    <w:rPr>
                      <w:b/>
                      <w:bCs/>
                      <w:sz w:val="18"/>
                      <w:szCs w:val="18"/>
                    </w:rPr>
                  </w:pPr>
                  <w:r>
                    <w:rPr>
                      <w:b/>
                      <w:bCs/>
                      <w:kern w:val="0"/>
                      <w:sz w:val="18"/>
                      <w:szCs w:val="18"/>
                      <w:lang w:bidi="ar"/>
                    </w:rPr>
                    <w:t>环境危险特性</w:t>
                  </w:r>
                </w:p>
              </w:tc>
              <w:tc>
                <w:tcPr>
                  <w:tcW w:w="371" w:type="pct"/>
                  <w:vMerge w:val="restart"/>
                  <w:vAlign w:val="center"/>
                </w:tcPr>
                <w:p w14:paraId="1659960D">
                  <w:pPr>
                    <w:widowControl/>
                    <w:jc w:val="center"/>
                    <w:textAlignment w:val="center"/>
                    <w:rPr>
                      <w:b/>
                      <w:bCs/>
                      <w:sz w:val="18"/>
                      <w:szCs w:val="18"/>
                    </w:rPr>
                  </w:pPr>
                  <w:r>
                    <w:rPr>
                      <w:b/>
                      <w:bCs/>
                      <w:kern w:val="0"/>
                      <w:sz w:val="18"/>
                      <w:szCs w:val="18"/>
                      <w:lang w:bidi="ar"/>
                    </w:rPr>
                    <w:t>年产生量</w:t>
                  </w:r>
                </w:p>
              </w:tc>
              <w:tc>
                <w:tcPr>
                  <w:tcW w:w="371" w:type="pct"/>
                  <w:vMerge w:val="restart"/>
                  <w:vAlign w:val="center"/>
                </w:tcPr>
                <w:p w14:paraId="05DE1FDB">
                  <w:pPr>
                    <w:widowControl/>
                    <w:jc w:val="center"/>
                    <w:textAlignment w:val="center"/>
                    <w:rPr>
                      <w:b/>
                      <w:bCs/>
                      <w:sz w:val="18"/>
                      <w:szCs w:val="18"/>
                    </w:rPr>
                  </w:pPr>
                  <w:r>
                    <w:rPr>
                      <w:b/>
                      <w:bCs/>
                      <w:kern w:val="0"/>
                      <w:sz w:val="18"/>
                      <w:szCs w:val="18"/>
                      <w:lang w:bidi="ar"/>
                    </w:rPr>
                    <w:t>贮存方式</w:t>
                  </w:r>
                </w:p>
              </w:tc>
              <w:tc>
                <w:tcPr>
                  <w:tcW w:w="649" w:type="pct"/>
                  <w:vMerge w:val="restart"/>
                  <w:vAlign w:val="center"/>
                </w:tcPr>
                <w:p w14:paraId="3578D1B3">
                  <w:pPr>
                    <w:widowControl/>
                    <w:jc w:val="center"/>
                    <w:textAlignment w:val="center"/>
                    <w:rPr>
                      <w:b/>
                      <w:bCs/>
                      <w:sz w:val="18"/>
                      <w:szCs w:val="18"/>
                    </w:rPr>
                  </w:pPr>
                  <w:r>
                    <w:rPr>
                      <w:b/>
                      <w:bCs/>
                      <w:kern w:val="0"/>
                      <w:sz w:val="18"/>
                      <w:szCs w:val="18"/>
                      <w:lang w:bidi="ar"/>
                    </w:rPr>
                    <w:t>利用处置方式和去向</w:t>
                  </w:r>
                </w:p>
              </w:tc>
              <w:tc>
                <w:tcPr>
                  <w:tcW w:w="475" w:type="pct"/>
                  <w:vMerge w:val="restart"/>
                  <w:vAlign w:val="center"/>
                </w:tcPr>
                <w:p w14:paraId="7711A241">
                  <w:pPr>
                    <w:widowControl/>
                    <w:jc w:val="center"/>
                    <w:textAlignment w:val="center"/>
                    <w:rPr>
                      <w:b/>
                      <w:bCs/>
                      <w:sz w:val="18"/>
                      <w:szCs w:val="18"/>
                    </w:rPr>
                  </w:pPr>
                  <w:r>
                    <w:rPr>
                      <w:b/>
                      <w:bCs/>
                      <w:kern w:val="0"/>
                      <w:sz w:val="18"/>
                      <w:szCs w:val="18"/>
                      <w:lang w:bidi="ar"/>
                    </w:rPr>
                    <w:t>利用或处置量</w:t>
                  </w:r>
                </w:p>
              </w:tc>
              <w:tc>
                <w:tcPr>
                  <w:tcW w:w="385" w:type="pct"/>
                  <w:vMerge w:val="restart"/>
                  <w:vAlign w:val="center"/>
                </w:tcPr>
                <w:p w14:paraId="7A8A9CD5">
                  <w:pPr>
                    <w:widowControl/>
                    <w:jc w:val="center"/>
                    <w:textAlignment w:val="center"/>
                    <w:rPr>
                      <w:b/>
                      <w:bCs/>
                      <w:sz w:val="18"/>
                      <w:szCs w:val="18"/>
                    </w:rPr>
                  </w:pPr>
                  <w:r>
                    <w:rPr>
                      <w:b/>
                      <w:bCs/>
                      <w:kern w:val="0"/>
                      <w:sz w:val="18"/>
                      <w:szCs w:val="18"/>
                      <w:lang w:bidi="ar"/>
                    </w:rPr>
                    <w:t>环境管理要求</w:t>
                  </w:r>
                </w:p>
              </w:tc>
            </w:tr>
            <w:tr w14:paraId="3D89A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57" w:type="pct"/>
                  <w:vMerge w:val="continue"/>
                  <w:vAlign w:val="center"/>
                </w:tcPr>
                <w:p w14:paraId="151D8377">
                  <w:pPr>
                    <w:widowControl/>
                    <w:jc w:val="center"/>
                    <w:rPr>
                      <w:b/>
                      <w:bCs/>
                      <w:sz w:val="18"/>
                      <w:szCs w:val="18"/>
                    </w:rPr>
                  </w:pPr>
                </w:p>
              </w:tc>
              <w:tc>
                <w:tcPr>
                  <w:tcW w:w="349" w:type="pct"/>
                  <w:vMerge w:val="continue"/>
                  <w:vAlign w:val="center"/>
                </w:tcPr>
                <w:p w14:paraId="28492BEC">
                  <w:pPr>
                    <w:widowControl/>
                    <w:jc w:val="center"/>
                    <w:rPr>
                      <w:b/>
                      <w:bCs/>
                      <w:sz w:val="18"/>
                      <w:szCs w:val="18"/>
                    </w:rPr>
                  </w:pPr>
                </w:p>
              </w:tc>
              <w:tc>
                <w:tcPr>
                  <w:tcW w:w="358" w:type="pct"/>
                  <w:vAlign w:val="center"/>
                </w:tcPr>
                <w:p w14:paraId="1A26BF59">
                  <w:pPr>
                    <w:widowControl/>
                    <w:jc w:val="center"/>
                    <w:textAlignment w:val="center"/>
                    <w:rPr>
                      <w:b/>
                      <w:bCs/>
                      <w:sz w:val="18"/>
                      <w:szCs w:val="18"/>
                    </w:rPr>
                  </w:pPr>
                  <w:r>
                    <w:rPr>
                      <w:b/>
                      <w:bCs/>
                      <w:kern w:val="0"/>
                      <w:sz w:val="18"/>
                      <w:szCs w:val="18"/>
                      <w:lang w:bidi="ar"/>
                    </w:rPr>
                    <w:t>属性</w:t>
                  </w:r>
                </w:p>
              </w:tc>
              <w:tc>
                <w:tcPr>
                  <w:tcW w:w="463" w:type="pct"/>
                  <w:vAlign w:val="center"/>
                </w:tcPr>
                <w:p w14:paraId="5B877F2A">
                  <w:pPr>
                    <w:widowControl/>
                    <w:jc w:val="center"/>
                    <w:textAlignment w:val="center"/>
                    <w:rPr>
                      <w:b/>
                      <w:bCs/>
                      <w:sz w:val="18"/>
                      <w:szCs w:val="18"/>
                    </w:rPr>
                  </w:pPr>
                  <w:r>
                    <w:rPr>
                      <w:b/>
                      <w:bCs/>
                      <w:kern w:val="0"/>
                      <w:sz w:val="18"/>
                      <w:szCs w:val="18"/>
                      <w:lang w:bidi="ar"/>
                    </w:rPr>
                    <w:t>危险废物代码</w:t>
                  </w:r>
                </w:p>
              </w:tc>
              <w:tc>
                <w:tcPr>
                  <w:tcW w:w="375" w:type="pct"/>
                  <w:vMerge w:val="continue"/>
                  <w:vAlign w:val="center"/>
                </w:tcPr>
                <w:p w14:paraId="7826532F">
                  <w:pPr>
                    <w:widowControl/>
                    <w:jc w:val="center"/>
                    <w:rPr>
                      <w:b/>
                      <w:bCs/>
                      <w:sz w:val="18"/>
                      <w:szCs w:val="18"/>
                    </w:rPr>
                  </w:pPr>
                </w:p>
              </w:tc>
              <w:tc>
                <w:tcPr>
                  <w:tcW w:w="436" w:type="pct"/>
                  <w:vMerge w:val="continue"/>
                  <w:vAlign w:val="center"/>
                </w:tcPr>
                <w:p w14:paraId="7152259C">
                  <w:pPr>
                    <w:widowControl/>
                    <w:jc w:val="center"/>
                    <w:rPr>
                      <w:b/>
                      <w:bCs/>
                      <w:sz w:val="18"/>
                      <w:szCs w:val="18"/>
                    </w:rPr>
                  </w:pPr>
                </w:p>
              </w:tc>
              <w:tc>
                <w:tcPr>
                  <w:tcW w:w="411" w:type="pct"/>
                  <w:vMerge w:val="continue"/>
                  <w:vAlign w:val="center"/>
                </w:tcPr>
                <w:p w14:paraId="7779D578">
                  <w:pPr>
                    <w:widowControl/>
                    <w:jc w:val="center"/>
                    <w:rPr>
                      <w:b/>
                      <w:bCs/>
                      <w:sz w:val="18"/>
                      <w:szCs w:val="18"/>
                    </w:rPr>
                  </w:pPr>
                </w:p>
              </w:tc>
              <w:tc>
                <w:tcPr>
                  <w:tcW w:w="371" w:type="pct"/>
                  <w:vMerge w:val="continue"/>
                  <w:vAlign w:val="center"/>
                </w:tcPr>
                <w:p w14:paraId="17FF49EB">
                  <w:pPr>
                    <w:widowControl/>
                    <w:jc w:val="center"/>
                    <w:rPr>
                      <w:b/>
                      <w:bCs/>
                      <w:sz w:val="18"/>
                      <w:szCs w:val="18"/>
                    </w:rPr>
                  </w:pPr>
                </w:p>
              </w:tc>
              <w:tc>
                <w:tcPr>
                  <w:tcW w:w="371" w:type="pct"/>
                  <w:vMerge w:val="continue"/>
                  <w:vAlign w:val="center"/>
                </w:tcPr>
                <w:p w14:paraId="37C37072">
                  <w:pPr>
                    <w:widowControl/>
                    <w:jc w:val="center"/>
                    <w:rPr>
                      <w:b/>
                      <w:bCs/>
                      <w:sz w:val="18"/>
                      <w:szCs w:val="18"/>
                    </w:rPr>
                  </w:pPr>
                </w:p>
              </w:tc>
              <w:tc>
                <w:tcPr>
                  <w:tcW w:w="649" w:type="pct"/>
                  <w:vMerge w:val="continue"/>
                  <w:vAlign w:val="center"/>
                </w:tcPr>
                <w:p w14:paraId="5FBDA878">
                  <w:pPr>
                    <w:widowControl/>
                    <w:jc w:val="center"/>
                    <w:rPr>
                      <w:b/>
                      <w:bCs/>
                      <w:sz w:val="18"/>
                      <w:szCs w:val="18"/>
                    </w:rPr>
                  </w:pPr>
                </w:p>
              </w:tc>
              <w:tc>
                <w:tcPr>
                  <w:tcW w:w="475" w:type="pct"/>
                  <w:vMerge w:val="continue"/>
                  <w:vAlign w:val="center"/>
                </w:tcPr>
                <w:p w14:paraId="09F4E262">
                  <w:pPr>
                    <w:widowControl/>
                    <w:jc w:val="center"/>
                    <w:rPr>
                      <w:b/>
                      <w:bCs/>
                      <w:sz w:val="18"/>
                      <w:szCs w:val="18"/>
                    </w:rPr>
                  </w:pPr>
                </w:p>
              </w:tc>
              <w:tc>
                <w:tcPr>
                  <w:tcW w:w="385" w:type="pct"/>
                  <w:vMerge w:val="continue"/>
                  <w:vAlign w:val="center"/>
                </w:tcPr>
                <w:p w14:paraId="129D7477">
                  <w:pPr>
                    <w:widowControl/>
                    <w:jc w:val="center"/>
                    <w:rPr>
                      <w:b/>
                      <w:bCs/>
                      <w:sz w:val="18"/>
                      <w:szCs w:val="18"/>
                    </w:rPr>
                  </w:pPr>
                </w:p>
              </w:tc>
            </w:tr>
            <w:tr w14:paraId="786AB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7" w:type="pct"/>
                  <w:vAlign w:val="center"/>
                </w:tcPr>
                <w:p w14:paraId="651DF426">
                  <w:pPr>
                    <w:widowControl/>
                    <w:jc w:val="center"/>
                    <w:textAlignment w:val="center"/>
                    <w:rPr>
                      <w:sz w:val="18"/>
                      <w:szCs w:val="18"/>
                    </w:rPr>
                  </w:pPr>
                  <w:r>
                    <w:rPr>
                      <w:kern w:val="0"/>
                      <w:sz w:val="18"/>
                      <w:szCs w:val="18"/>
                      <w:lang w:bidi="ar"/>
                    </w:rPr>
                    <w:t>员工日常生活</w:t>
                  </w:r>
                </w:p>
              </w:tc>
              <w:tc>
                <w:tcPr>
                  <w:tcW w:w="349" w:type="pct"/>
                  <w:vAlign w:val="center"/>
                </w:tcPr>
                <w:p w14:paraId="492C45AC">
                  <w:pPr>
                    <w:widowControl/>
                    <w:jc w:val="center"/>
                    <w:textAlignment w:val="center"/>
                    <w:rPr>
                      <w:sz w:val="18"/>
                      <w:szCs w:val="18"/>
                    </w:rPr>
                  </w:pPr>
                  <w:r>
                    <w:rPr>
                      <w:kern w:val="0"/>
                      <w:sz w:val="18"/>
                      <w:szCs w:val="18"/>
                      <w:lang w:bidi="ar"/>
                    </w:rPr>
                    <w:t>生活垃圾</w:t>
                  </w:r>
                </w:p>
              </w:tc>
              <w:tc>
                <w:tcPr>
                  <w:tcW w:w="358" w:type="pct"/>
                  <w:vAlign w:val="center"/>
                </w:tcPr>
                <w:p w14:paraId="4279B897">
                  <w:pPr>
                    <w:widowControl/>
                    <w:jc w:val="center"/>
                    <w:textAlignment w:val="center"/>
                    <w:rPr>
                      <w:sz w:val="18"/>
                      <w:szCs w:val="18"/>
                    </w:rPr>
                  </w:pPr>
                  <w:r>
                    <w:rPr>
                      <w:kern w:val="0"/>
                      <w:sz w:val="18"/>
                      <w:szCs w:val="18"/>
                      <w:lang w:bidi="ar"/>
                    </w:rPr>
                    <w:t>生活</w:t>
                  </w:r>
                  <w:r>
                    <w:rPr>
                      <w:rFonts w:hint="eastAsia"/>
                      <w:kern w:val="0"/>
                      <w:sz w:val="18"/>
                      <w:szCs w:val="18"/>
                      <w:lang w:bidi="ar"/>
                    </w:rPr>
                    <w:t>垃圾</w:t>
                  </w:r>
                </w:p>
              </w:tc>
              <w:tc>
                <w:tcPr>
                  <w:tcW w:w="463" w:type="pct"/>
                  <w:vAlign w:val="center"/>
                </w:tcPr>
                <w:p w14:paraId="52AB6247">
                  <w:pPr>
                    <w:widowControl/>
                    <w:jc w:val="center"/>
                    <w:textAlignment w:val="center"/>
                    <w:rPr>
                      <w:sz w:val="18"/>
                      <w:szCs w:val="18"/>
                    </w:rPr>
                  </w:pPr>
                  <w:r>
                    <w:rPr>
                      <w:kern w:val="0"/>
                      <w:sz w:val="18"/>
                      <w:szCs w:val="18"/>
                      <w:lang w:bidi="ar"/>
                    </w:rPr>
                    <w:t>/</w:t>
                  </w:r>
                </w:p>
              </w:tc>
              <w:tc>
                <w:tcPr>
                  <w:tcW w:w="375" w:type="pct"/>
                  <w:vAlign w:val="center"/>
                </w:tcPr>
                <w:p w14:paraId="13E62D70">
                  <w:pPr>
                    <w:widowControl/>
                    <w:jc w:val="center"/>
                    <w:textAlignment w:val="center"/>
                    <w:rPr>
                      <w:sz w:val="18"/>
                      <w:szCs w:val="18"/>
                    </w:rPr>
                  </w:pPr>
                  <w:r>
                    <w:rPr>
                      <w:kern w:val="0"/>
                      <w:sz w:val="18"/>
                      <w:szCs w:val="18"/>
                      <w:lang w:bidi="ar"/>
                    </w:rPr>
                    <w:t>/</w:t>
                  </w:r>
                </w:p>
              </w:tc>
              <w:tc>
                <w:tcPr>
                  <w:tcW w:w="436" w:type="pct"/>
                  <w:vAlign w:val="center"/>
                </w:tcPr>
                <w:p w14:paraId="0069EDE5">
                  <w:pPr>
                    <w:widowControl/>
                    <w:jc w:val="center"/>
                    <w:textAlignment w:val="center"/>
                    <w:rPr>
                      <w:sz w:val="18"/>
                      <w:szCs w:val="18"/>
                    </w:rPr>
                  </w:pPr>
                  <w:r>
                    <w:rPr>
                      <w:rFonts w:hint="eastAsia"/>
                      <w:sz w:val="18"/>
                      <w:szCs w:val="18"/>
                    </w:rPr>
                    <w:t>固态</w:t>
                  </w:r>
                </w:p>
              </w:tc>
              <w:tc>
                <w:tcPr>
                  <w:tcW w:w="411" w:type="pct"/>
                  <w:vAlign w:val="center"/>
                </w:tcPr>
                <w:p w14:paraId="7AD81340">
                  <w:pPr>
                    <w:widowControl/>
                    <w:jc w:val="center"/>
                    <w:textAlignment w:val="center"/>
                    <w:rPr>
                      <w:sz w:val="18"/>
                      <w:szCs w:val="18"/>
                    </w:rPr>
                  </w:pPr>
                  <w:r>
                    <w:rPr>
                      <w:kern w:val="0"/>
                      <w:sz w:val="18"/>
                      <w:szCs w:val="18"/>
                      <w:lang w:bidi="ar"/>
                    </w:rPr>
                    <w:t>/</w:t>
                  </w:r>
                </w:p>
              </w:tc>
              <w:tc>
                <w:tcPr>
                  <w:tcW w:w="371" w:type="pct"/>
                  <w:vAlign w:val="center"/>
                </w:tcPr>
                <w:p w14:paraId="4E676CC5">
                  <w:pPr>
                    <w:widowControl/>
                    <w:jc w:val="center"/>
                    <w:textAlignment w:val="center"/>
                    <w:rPr>
                      <w:sz w:val="18"/>
                      <w:szCs w:val="18"/>
                    </w:rPr>
                  </w:pPr>
                  <w:r>
                    <w:rPr>
                      <w:kern w:val="0"/>
                      <w:sz w:val="18"/>
                      <w:szCs w:val="18"/>
                      <w:lang w:bidi="ar"/>
                    </w:rPr>
                    <w:t>9t/a</w:t>
                  </w:r>
                </w:p>
              </w:tc>
              <w:tc>
                <w:tcPr>
                  <w:tcW w:w="371" w:type="pct"/>
                  <w:vAlign w:val="center"/>
                </w:tcPr>
                <w:p w14:paraId="70C4A6CB">
                  <w:pPr>
                    <w:widowControl/>
                    <w:jc w:val="center"/>
                    <w:textAlignment w:val="center"/>
                    <w:rPr>
                      <w:sz w:val="18"/>
                      <w:szCs w:val="18"/>
                    </w:rPr>
                  </w:pPr>
                  <w:r>
                    <w:rPr>
                      <w:rFonts w:hint="eastAsia"/>
                      <w:kern w:val="0"/>
                      <w:sz w:val="18"/>
                      <w:szCs w:val="18"/>
                      <w:lang w:bidi="ar"/>
                    </w:rPr>
                    <w:t>袋装</w:t>
                  </w:r>
                </w:p>
              </w:tc>
              <w:tc>
                <w:tcPr>
                  <w:tcW w:w="649" w:type="pct"/>
                  <w:vAlign w:val="center"/>
                </w:tcPr>
                <w:p w14:paraId="433FA2CC">
                  <w:pPr>
                    <w:widowControl/>
                    <w:jc w:val="center"/>
                    <w:textAlignment w:val="center"/>
                    <w:rPr>
                      <w:sz w:val="18"/>
                      <w:szCs w:val="18"/>
                    </w:rPr>
                  </w:pPr>
                  <w:r>
                    <w:rPr>
                      <w:rFonts w:hint="eastAsia"/>
                      <w:kern w:val="0"/>
                      <w:sz w:val="18"/>
                      <w:szCs w:val="18"/>
                      <w:lang w:bidi="ar"/>
                    </w:rPr>
                    <w:t>委托环卫部门清运处置</w:t>
                  </w:r>
                </w:p>
              </w:tc>
              <w:tc>
                <w:tcPr>
                  <w:tcW w:w="475" w:type="pct"/>
                  <w:vAlign w:val="center"/>
                </w:tcPr>
                <w:p w14:paraId="7B55390F">
                  <w:pPr>
                    <w:widowControl/>
                    <w:jc w:val="center"/>
                    <w:textAlignment w:val="center"/>
                    <w:rPr>
                      <w:sz w:val="18"/>
                      <w:szCs w:val="18"/>
                    </w:rPr>
                  </w:pPr>
                  <w:r>
                    <w:rPr>
                      <w:kern w:val="0"/>
                      <w:sz w:val="18"/>
                      <w:szCs w:val="18"/>
                      <w:lang w:bidi="ar"/>
                    </w:rPr>
                    <w:t>9t/a</w:t>
                  </w:r>
                </w:p>
              </w:tc>
              <w:tc>
                <w:tcPr>
                  <w:tcW w:w="385" w:type="pct"/>
                  <w:vAlign w:val="center"/>
                </w:tcPr>
                <w:p w14:paraId="0F7AE332">
                  <w:pPr>
                    <w:widowControl/>
                    <w:jc w:val="center"/>
                    <w:textAlignment w:val="center"/>
                    <w:rPr>
                      <w:sz w:val="18"/>
                      <w:szCs w:val="18"/>
                    </w:rPr>
                  </w:pPr>
                  <w:r>
                    <w:rPr>
                      <w:kern w:val="0"/>
                      <w:sz w:val="18"/>
                      <w:szCs w:val="18"/>
                      <w:lang w:bidi="ar"/>
                    </w:rPr>
                    <w:t>100%处置</w:t>
                  </w:r>
                </w:p>
              </w:tc>
            </w:tr>
            <w:tr w14:paraId="0CCDD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7" w:type="pct"/>
                  <w:vAlign w:val="center"/>
                </w:tcPr>
                <w:p w14:paraId="31864E37">
                  <w:pPr>
                    <w:widowControl/>
                    <w:jc w:val="center"/>
                    <w:textAlignment w:val="center"/>
                    <w:rPr>
                      <w:sz w:val="18"/>
                      <w:szCs w:val="18"/>
                    </w:rPr>
                  </w:pPr>
                  <w:r>
                    <w:rPr>
                      <w:rFonts w:hint="eastAsia"/>
                      <w:sz w:val="18"/>
                      <w:szCs w:val="18"/>
                    </w:rPr>
                    <w:t>袋式除尘器</w:t>
                  </w:r>
                </w:p>
              </w:tc>
              <w:tc>
                <w:tcPr>
                  <w:tcW w:w="349" w:type="pct"/>
                  <w:vAlign w:val="center"/>
                </w:tcPr>
                <w:p w14:paraId="08734F8D">
                  <w:pPr>
                    <w:widowControl/>
                    <w:jc w:val="center"/>
                    <w:textAlignment w:val="center"/>
                    <w:rPr>
                      <w:sz w:val="18"/>
                      <w:szCs w:val="18"/>
                    </w:rPr>
                  </w:pPr>
                  <w:r>
                    <w:rPr>
                      <w:rFonts w:hint="eastAsia"/>
                      <w:kern w:val="0"/>
                      <w:sz w:val="18"/>
                      <w:szCs w:val="18"/>
                      <w:lang w:bidi="ar"/>
                    </w:rPr>
                    <w:t>除尘灰</w:t>
                  </w:r>
                </w:p>
              </w:tc>
              <w:tc>
                <w:tcPr>
                  <w:tcW w:w="358" w:type="pct"/>
                  <w:vAlign w:val="center"/>
                </w:tcPr>
                <w:p w14:paraId="4ABF9735">
                  <w:pPr>
                    <w:widowControl/>
                    <w:jc w:val="center"/>
                    <w:textAlignment w:val="center"/>
                    <w:rPr>
                      <w:sz w:val="18"/>
                      <w:szCs w:val="18"/>
                    </w:rPr>
                  </w:pPr>
                  <w:r>
                    <w:rPr>
                      <w:kern w:val="0"/>
                      <w:sz w:val="18"/>
                      <w:szCs w:val="18"/>
                      <w:lang w:bidi="ar"/>
                    </w:rPr>
                    <w:t>一般工业固废</w:t>
                  </w:r>
                </w:p>
              </w:tc>
              <w:tc>
                <w:tcPr>
                  <w:tcW w:w="463" w:type="pct"/>
                  <w:vAlign w:val="center"/>
                </w:tcPr>
                <w:p w14:paraId="3318B4EE">
                  <w:pPr>
                    <w:widowControl/>
                    <w:jc w:val="center"/>
                    <w:textAlignment w:val="center"/>
                    <w:rPr>
                      <w:sz w:val="18"/>
                      <w:szCs w:val="18"/>
                    </w:rPr>
                  </w:pPr>
                  <w:r>
                    <w:rPr>
                      <w:kern w:val="0"/>
                      <w:sz w:val="18"/>
                      <w:szCs w:val="18"/>
                      <w:lang w:bidi="ar"/>
                    </w:rPr>
                    <w:t>/</w:t>
                  </w:r>
                </w:p>
              </w:tc>
              <w:tc>
                <w:tcPr>
                  <w:tcW w:w="375" w:type="pct"/>
                  <w:vAlign w:val="center"/>
                </w:tcPr>
                <w:p w14:paraId="55E1DEC8">
                  <w:pPr>
                    <w:widowControl/>
                    <w:jc w:val="center"/>
                    <w:textAlignment w:val="center"/>
                    <w:rPr>
                      <w:sz w:val="18"/>
                      <w:szCs w:val="18"/>
                    </w:rPr>
                  </w:pPr>
                  <w:r>
                    <w:rPr>
                      <w:kern w:val="0"/>
                      <w:sz w:val="18"/>
                      <w:szCs w:val="18"/>
                      <w:lang w:bidi="ar"/>
                    </w:rPr>
                    <w:t>/</w:t>
                  </w:r>
                </w:p>
              </w:tc>
              <w:tc>
                <w:tcPr>
                  <w:tcW w:w="436" w:type="pct"/>
                  <w:vAlign w:val="center"/>
                </w:tcPr>
                <w:p w14:paraId="552C9411">
                  <w:pPr>
                    <w:widowControl/>
                    <w:jc w:val="center"/>
                    <w:textAlignment w:val="center"/>
                    <w:rPr>
                      <w:sz w:val="18"/>
                      <w:szCs w:val="18"/>
                    </w:rPr>
                  </w:pPr>
                  <w:r>
                    <w:rPr>
                      <w:kern w:val="0"/>
                      <w:sz w:val="18"/>
                      <w:szCs w:val="18"/>
                      <w:lang w:bidi="ar"/>
                    </w:rPr>
                    <w:t>固</w:t>
                  </w:r>
                  <w:r>
                    <w:rPr>
                      <w:rFonts w:hint="eastAsia"/>
                      <w:sz w:val="18"/>
                      <w:szCs w:val="18"/>
                    </w:rPr>
                    <w:t>态</w:t>
                  </w:r>
                </w:p>
              </w:tc>
              <w:tc>
                <w:tcPr>
                  <w:tcW w:w="411" w:type="pct"/>
                  <w:vAlign w:val="center"/>
                </w:tcPr>
                <w:p w14:paraId="2A394238">
                  <w:pPr>
                    <w:widowControl/>
                    <w:jc w:val="center"/>
                    <w:textAlignment w:val="center"/>
                    <w:rPr>
                      <w:sz w:val="18"/>
                      <w:szCs w:val="18"/>
                    </w:rPr>
                  </w:pPr>
                  <w:r>
                    <w:rPr>
                      <w:kern w:val="0"/>
                      <w:sz w:val="18"/>
                      <w:szCs w:val="18"/>
                      <w:lang w:bidi="ar"/>
                    </w:rPr>
                    <w:t>/</w:t>
                  </w:r>
                </w:p>
              </w:tc>
              <w:tc>
                <w:tcPr>
                  <w:tcW w:w="371" w:type="pct"/>
                  <w:vAlign w:val="center"/>
                </w:tcPr>
                <w:p w14:paraId="71AE235A">
                  <w:pPr>
                    <w:widowControl/>
                    <w:jc w:val="center"/>
                    <w:textAlignment w:val="center"/>
                    <w:rPr>
                      <w:sz w:val="18"/>
                      <w:szCs w:val="18"/>
                    </w:rPr>
                  </w:pPr>
                  <w:r>
                    <w:rPr>
                      <w:rFonts w:hint="eastAsia"/>
                      <w:sz w:val="18"/>
                      <w:szCs w:val="18"/>
                    </w:rPr>
                    <w:t>1.998</w:t>
                  </w:r>
                  <w:r>
                    <w:rPr>
                      <w:sz w:val="18"/>
                      <w:szCs w:val="18"/>
                    </w:rPr>
                    <w:t>t/a</w:t>
                  </w:r>
                </w:p>
              </w:tc>
              <w:tc>
                <w:tcPr>
                  <w:tcW w:w="371" w:type="pct"/>
                  <w:vAlign w:val="center"/>
                </w:tcPr>
                <w:p w14:paraId="408F18B3">
                  <w:pPr>
                    <w:widowControl/>
                    <w:jc w:val="center"/>
                    <w:textAlignment w:val="center"/>
                    <w:rPr>
                      <w:sz w:val="18"/>
                      <w:szCs w:val="18"/>
                    </w:rPr>
                  </w:pPr>
                  <w:r>
                    <w:rPr>
                      <w:rFonts w:hint="eastAsia"/>
                      <w:kern w:val="0"/>
                      <w:sz w:val="18"/>
                      <w:szCs w:val="18"/>
                      <w:lang w:bidi="ar"/>
                    </w:rPr>
                    <w:t>袋装</w:t>
                  </w:r>
                </w:p>
              </w:tc>
              <w:tc>
                <w:tcPr>
                  <w:tcW w:w="649" w:type="pct"/>
                  <w:vAlign w:val="center"/>
                </w:tcPr>
                <w:p w14:paraId="4CB35F2C">
                  <w:pPr>
                    <w:widowControl/>
                    <w:jc w:val="center"/>
                    <w:textAlignment w:val="center"/>
                    <w:rPr>
                      <w:sz w:val="18"/>
                      <w:szCs w:val="18"/>
                    </w:rPr>
                  </w:pPr>
                  <w:r>
                    <w:rPr>
                      <w:rFonts w:hint="eastAsia"/>
                      <w:kern w:val="0"/>
                      <w:sz w:val="18"/>
                      <w:szCs w:val="18"/>
                      <w:lang w:bidi="ar"/>
                    </w:rPr>
                    <w:t>外售处置</w:t>
                  </w:r>
                </w:p>
              </w:tc>
              <w:tc>
                <w:tcPr>
                  <w:tcW w:w="475" w:type="pct"/>
                  <w:vAlign w:val="center"/>
                </w:tcPr>
                <w:p w14:paraId="1856F427">
                  <w:pPr>
                    <w:widowControl/>
                    <w:jc w:val="center"/>
                    <w:textAlignment w:val="center"/>
                    <w:rPr>
                      <w:sz w:val="18"/>
                      <w:szCs w:val="18"/>
                    </w:rPr>
                  </w:pPr>
                  <w:r>
                    <w:rPr>
                      <w:rFonts w:hint="eastAsia"/>
                      <w:sz w:val="18"/>
                      <w:szCs w:val="18"/>
                    </w:rPr>
                    <w:t>1.998</w:t>
                  </w:r>
                  <w:r>
                    <w:rPr>
                      <w:sz w:val="18"/>
                      <w:szCs w:val="18"/>
                    </w:rPr>
                    <w:t>t/a</w:t>
                  </w:r>
                </w:p>
              </w:tc>
              <w:tc>
                <w:tcPr>
                  <w:tcW w:w="385" w:type="pct"/>
                  <w:vAlign w:val="center"/>
                </w:tcPr>
                <w:p w14:paraId="5AE1357D">
                  <w:pPr>
                    <w:widowControl/>
                    <w:jc w:val="center"/>
                    <w:textAlignment w:val="center"/>
                    <w:rPr>
                      <w:sz w:val="18"/>
                      <w:szCs w:val="18"/>
                    </w:rPr>
                  </w:pPr>
                  <w:r>
                    <w:rPr>
                      <w:kern w:val="0"/>
                      <w:sz w:val="18"/>
                      <w:szCs w:val="18"/>
                      <w:lang w:bidi="ar"/>
                    </w:rPr>
                    <w:t>100%处置</w:t>
                  </w:r>
                </w:p>
              </w:tc>
            </w:tr>
            <w:tr w14:paraId="34696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7" w:type="pct"/>
                  <w:vMerge w:val="restart"/>
                  <w:vAlign w:val="center"/>
                </w:tcPr>
                <w:p w14:paraId="4F5F09E5">
                  <w:pPr>
                    <w:widowControl/>
                    <w:jc w:val="center"/>
                    <w:textAlignment w:val="center"/>
                    <w:rPr>
                      <w:sz w:val="18"/>
                      <w:szCs w:val="18"/>
                    </w:rPr>
                  </w:pPr>
                  <w:r>
                    <w:rPr>
                      <w:rFonts w:hint="eastAsia"/>
                      <w:sz w:val="18"/>
                      <w:szCs w:val="18"/>
                    </w:rPr>
                    <w:t>高频焊接工序</w:t>
                  </w:r>
                </w:p>
              </w:tc>
              <w:tc>
                <w:tcPr>
                  <w:tcW w:w="349" w:type="pct"/>
                  <w:vAlign w:val="center"/>
                </w:tcPr>
                <w:p w14:paraId="0C0B81A4">
                  <w:pPr>
                    <w:widowControl/>
                    <w:jc w:val="center"/>
                    <w:textAlignment w:val="center"/>
                    <w:rPr>
                      <w:sz w:val="18"/>
                      <w:szCs w:val="18"/>
                    </w:rPr>
                  </w:pPr>
                  <w:r>
                    <w:rPr>
                      <w:rFonts w:hint="eastAsia"/>
                      <w:kern w:val="0"/>
                      <w:sz w:val="18"/>
                      <w:szCs w:val="18"/>
                      <w:lang w:bidi="ar"/>
                    </w:rPr>
                    <w:t>废边角料</w:t>
                  </w:r>
                </w:p>
              </w:tc>
              <w:tc>
                <w:tcPr>
                  <w:tcW w:w="358" w:type="pct"/>
                  <w:vAlign w:val="center"/>
                </w:tcPr>
                <w:p w14:paraId="30793630">
                  <w:pPr>
                    <w:widowControl/>
                    <w:jc w:val="center"/>
                    <w:textAlignment w:val="center"/>
                    <w:rPr>
                      <w:sz w:val="18"/>
                      <w:szCs w:val="18"/>
                    </w:rPr>
                  </w:pPr>
                  <w:r>
                    <w:rPr>
                      <w:kern w:val="0"/>
                      <w:sz w:val="18"/>
                      <w:szCs w:val="18"/>
                      <w:lang w:bidi="ar"/>
                    </w:rPr>
                    <w:t>一般工业固废</w:t>
                  </w:r>
                </w:p>
              </w:tc>
              <w:tc>
                <w:tcPr>
                  <w:tcW w:w="463" w:type="pct"/>
                  <w:vAlign w:val="center"/>
                </w:tcPr>
                <w:p w14:paraId="35209F76">
                  <w:pPr>
                    <w:widowControl/>
                    <w:jc w:val="center"/>
                    <w:textAlignment w:val="center"/>
                    <w:rPr>
                      <w:sz w:val="18"/>
                      <w:szCs w:val="18"/>
                    </w:rPr>
                  </w:pPr>
                  <w:r>
                    <w:rPr>
                      <w:kern w:val="0"/>
                      <w:sz w:val="18"/>
                      <w:szCs w:val="18"/>
                      <w:lang w:bidi="ar"/>
                    </w:rPr>
                    <w:t>/</w:t>
                  </w:r>
                </w:p>
              </w:tc>
              <w:tc>
                <w:tcPr>
                  <w:tcW w:w="375" w:type="pct"/>
                  <w:vAlign w:val="center"/>
                </w:tcPr>
                <w:p w14:paraId="3F924B68">
                  <w:pPr>
                    <w:widowControl/>
                    <w:jc w:val="center"/>
                    <w:textAlignment w:val="center"/>
                    <w:rPr>
                      <w:sz w:val="18"/>
                      <w:szCs w:val="18"/>
                    </w:rPr>
                  </w:pPr>
                  <w:r>
                    <w:rPr>
                      <w:kern w:val="0"/>
                      <w:sz w:val="18"/>
                      <w:szCs w:val="18"/>
                      <w:lang w:bidi="ar"/>
                    </w:rPr>
                    <w:t>/</w:t>
                  </w:r>
                </w:p>
              </w:tc>
              <w:tc>
                <w:tcPr>
                  <w:tcW w:w="436" w:type="pct"/>
                  <w:vAlign w:val="center"/>
                </w:tcPr>
                <w:p w14:paraId="6A63B0F1">
                  <w:pPr>
                    <w:widowControl/>
                    <w:jc w:val="center"/>
                    <w:textAlignment w:val="center"/>
                    <w:rPr>
                      <w:sz w:val="18"/>
                      <w:szCs w:val="18"/>
                    </w:rPr>
                  </w:pPr>
                  <w:r>
                    <w:rPr>
                      <w:rFonts w:hint="eastAsia"/>
                      <w:kern w:val="0"/>
                      <w:sz w:val="18"/>
                      <w:szCs w:val="18"/>
                      <w:lang w:bidi="ar"/>
                    </w:rPr>
                    <w:t>固</w:t>
                  </w:r>
                  <w:r>
                    <w:rPr>
                      <w:rFonts w:hint="eastAsia"/>
                      <w:sz w:val="18"/>
                      <w:szCs w:val="18"/>
                    </w:rPr>
                    <w:t>态</w:t>
                  </w:r>
                </w:p>
              </w:tc>
              <w:tc>
                <w:tcPr>
                  <w:tcW w:w="411" w:type="pct"/>
                  <w:vAlign w:val="center"/>
                </w:tcPr>
                <w:p w14:paraId="0D87F76E">
                  <w:pPr>
                    <w:widowControl/>
                    <w:jc w:val="center"/>
                    <w:textAlignment w:val="center"/>
                    <w:rPr>
                      <w:sz w:val="18"/>
                      <w:szCs w:val="18"/>
                    </w:rPr>
                  </w:pPr>
                  <w:r>
                    <w:rPr>
                      <w:kern w:val="0"/>
                      <w:sz w:val="18"/>
                      <w:szCs w:val="18"/>
                      <w:lang w:bidi="ar"/>
                    </w:rPr>
                    <w:t>/</w:t>
                  </w:r>
                </w:p>
              </w:tc>
              <w:tc>
                <w:tcPr>
                  <w:tcW w:w="371" w:type="pct"/>
                  <w:vAlign w:val="center"/>
                </w:tcPr>
                <w:p w14:paraId="342BDD53">
                  <w:pPr>
                    <w:widowControl/>
                    <w:jc w:val="center"/>
                    <w:textAlignment w:val="center"/>
                    <w:rPr>
                      <w:sz w:val="18"/>
                      <w:szCs w:val="18"/>
                    </w:rPr>
                  </w:pPr>
                  <w:r>
                    <w:rPr>
                      <w:sz w:val="18"/>
                      <w:szCs w:val="18"/>
                    </w:rPr>
                    <w:t>120t/a</w:t>
                  </w:r>
                </w:p>
              </w:tc>
              <w:tc>
                <w:tcPr>
                  <w:tcW w:w="371" w:type="pct"/>
                  <w:vAlign w:val="center"/>
                </w:tcPr>
                <w:p w14:paraId="11D692FF">
                  <w:pPr>
                    <w:widowControl/>
                    <w:jc w:val="center"/>
                    <w:textAlignment w:val="center"/>
                    <w:rPr>
                      <w:sz w:val="18"/>
                      <w:szCs w:val="18"/>
                    </w:rPr>
                  </w:pPr>
                  <w:r>
                    <w:rPr>
                      <w:rFonts w:hint="eastAsia"/>
                      <w:kern w:val="0"/>
                      <w:sz w:val="18"/>
                      <w:szCs w:val="18"/>
                      <w:lang w:bidi="ar"/>
                    </w:rPr>
                    <w:t>袋装</w:t>
                  </w:r>
                </w:p>
              </w:tc>
              <w:tc>
                <w:tcPr>
                  <w:tcW w:w="649" w:type="pct"/>
                  <w:vAlign w:val="center"/>
                </w:tcPr>
                <w:p w14:paraId="6FD1EBF1">
                  <w:pPr>
                    <w:widowControl/>
                    <w:jc w:val="center"/>
                    <w:textAlignment w:val="center"/>
                    <w:rPr>
                      <w:sz w:val="18"/>
                      <w:szCs w:val="18"/>
                    </w:rPr>
                  </w:pPr>
                  <w:r>
                    <w:rPr>
                      <w:rFonts w:hint="eastAsia"/>
                      <w:kern w:val="0"/>
                      <w:sz w:val="18"/>
                      <w:szCs w:val="18"/>
                      <w:lang w:bidi="ar"/>
                    </w:rPr>
                    <w:t>外售处置</w:t>
                  </w:r>
                </w:p>
              </w:tc>
              <w:tc>
                <w:tcPr>
                  <w:tcW w:w="475" w:type="pct"/>
                  <w:vAlign w:val="center"/>
                </w:tcPr>
                <w:p w14:paraId="63557C4D">
                  <w:pPr>
                    <w:widowControl/>
                    <w:jc w:val="center"/>
                    <w:textAlignment w:val="center"/>
                    <w:rPr>
                      <w:sz w:val="18"/>
                      <w:szCs w:val="18"/>
                    </w:rPr>
                  </w:pPr>
                  <w:r>
                    <w:rPr>
                      <w:sz w:val="18"/>
                      <w:szCs w:val="18"/>
                    </w:rPr>
                    <w:t>120t/a</w:t>
                  </w:r>
                </w:p>
              </w:tc>
              <w:tc>
                <w:tcPr>
                  <w:tcW w:w="385" w:type="pct"/>
                  <w:vAlign w:val="center"/>
                </w:tcPr>
                <w:p w14:paraId="618E8AA2">
                  <w:pPr>
                    <w:widowControl/>
                    <w:jc w:val="center"/>
                    <w:textAlignment w:val="center"/>
                    <w:rPr>
                      <w:sz w:val="18"/>
                      <w:szCs w:val="18"/>
                    </w:rPr>
                  </w:pPr>
                  <w:r>
                    <w:rPr>
                      <w:kern w:val="0"/>
                      <w:sz w:val="18"/>
                      <w:szCs w:val="18"/>
                      <w:lang w:bidi="ar"/>
                    </w:rPr>
                    <w:t>100%处置</w:t>
                  </w:r>
                </w:p>
              </w:tc>
            </w:tr>
            <w:tr w14:paraId="5A4A7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7" w:type="pct"/>
                  <w:vMerge w:val="continue"/>
                  <w:vAlign w:val="center"/>
                </w:tcPr>
                <w:p w14:paraId="49DEFC0B">
                  <w:pPr>
                    <w:widowControl/>
                    <w:jc w:val="center"/>
                    <w:textAlignment w:val="center"/>
                    <w:rPr>
                      <w:sz w:val="18"/>
                      <w:szCs w:val="18"/>
                    </w:rPr>
                  </w:pPr>
                </w:p>
              </w:tc>
              <w:tc>
                <w:tcPr>
                  <w:tcW w:w="349" w:type="pct"/>
                  <w:vAlign w:val="center"/>
                </w:tcPr>
                <w:p w14:paraId="0A781342">
                  <w:pPr>
                    <w:widowControl/>
                    <w:jc w:val="center"/>
                    <w:textAlignment w:val="center"/>
                    <w:rPr>
                      <w:kern w:val="0"/>
                      <w:sz w:val="18"/>
                      <w:szCs w:val="18"/>
                      <w:lang w:bidi="ar"/>
                    </w:rPr>
                  </w:pPr>
                  <w:r>
                    <w:rPr>
                      <w:rFonts w:hint="eastAsia"/>
                      <w:kern w:val="0"/>
                      <w:sz w:val="18"/>
                      <w:szCs w:val="18"/>
                      <w:lang w:bidi="ar"/>
                    </w:rPr>
                    <w:t>不合格产品</w:t>
                  </w:r>
                </w:p>
              </w:tc>
              <w:tc>
                <w:tcPr>
                  <w:tcW w:w="358" w:type="pct"/>
                  <w:vAlign w:val="center"/>
                </w:tcPr>
                <w:p w14:paraId="3B87759D">
                  <w:pPr>
                    <w:widowControl/>
                    <w:jc w:val="center"/>
                    <w:textAlignment w:val="center"/>
                    <w:rPr>
                      <w:sz w:val="18"/>
                      <w:szCs w:val="18"/>
                    </w:rPr>
                  </w:pPr>
                  <w:r>
                    <w:rPr>
                      <w:kern w:val="0"/>
                      <w:sz w:val="18"/>
                      <w:szCs w:val="18"/>
                      <w:lang w:bidi="ar"/>
                    </w:rPr>
                    <w:t>一般工业固废</w:t>
                  </w:r>
                </w:p>
              </w:tc>
              <w:tc>
                <w:tcPr>
                  <w:tcW w:w="463" w:type="pct"/>
                  <w:vAlign w:val="center"/>
                </w:tcPr>
                <w:p w14:paraId="56B7C912">
                  <w:pPr>
                    <w:widowControl/>
                    <w:jc w:val="center"/>
                    <w:textAlignment w:val="center"/>
                    <w:rPr>
                      <w:sz w:val="18"/>
                      <w:szCs w:val="18"/>
                    </w:rPr>
                  </w:pPr>
                  <w:r>
                    <w:rPr>
                      <w:kern w:val="0"/>
                      <w:sz w:val="18"/>
                      <w:szCs w:val="18"/>
                      <w:lang w:bidi="ar"/>
                    </w:rPr>
                    <w:t>/</w:t>
                  </w:r>
                </w:p>
              </w:tc>
              <w:tc>
                <w:tcPr>
                  <w:tcW w:w="375" w:type="pct"/>
                  <w:vAlign w:val="center"/>
                </w:tcPr>
                <w:p w14:paraId="63A9AADA">
                  <w:pPr>
                    <w:widowControl/>
                    <w:jc w:val="center"/>
                    <w:textAlignment w:val="center"/>
                    <w:rPr>
                      <w:sz w:val="18"/>
                      <w:szCs w:val="18"/>
                    </w:rPr>
                  </w:pPr>
                  <w:r>
                    <w:rPr>
                      <w:kern w:val="0"/>
                      <w:sz w:val="18"/>
                      <w:szCs w:val="18"/>
                      <w:lang w:bidi="ar"/>
                    </w:rPr>
                    <w:t>/</w:t>
                  </w:r>
                </w:p>
              </w:tc>
              <w:tc>
                <w:tcPr>
                  <w:tcW w:w="436" w:type="pct"/>
                  <w:vAlign w:val="center"/>
                </w:tcPr>
                <w:p w14:paraId="7F0C5BF0">
                  <w:pPr>
                    <w:widowControl/>
                    <w:jc w:val="center"/>
                    <w:textAlignment w:val="center"/>
                    <w:rPr>
                      <w:sz w:val="18"/>
                      <w:szCs w:val="18"/>
                    </w:rPr>
                  </w:pPr>
                  <w:r>
                    <w:rPr>
                      <w:rFonts w:hint="eastAsia"/>
                      <w:kern w:val="0"/>
                      <w:sz w:val="18"/>
                      <w:szCs w:val="18"/>
                      <w:lang w:bidi="ar"/>
                    </w:rPr>
                    <w:t>固</w:t>
                  </w:r>
                  <w:r>
                    <w:rPr>
                      <w:rFonts w:hint="eastAsia"/>
                      <w:sz w:val="18"/>
                      <w:szCs w:val="18"/>
                    </w:rPr>
                    <w:t>态</w:t>
                  </w:r>
                </w:p>
              </w:tc>
              <w:tc>
                <w:tcPr>
                  <w:tcW w:w="411" w:type="pct"/>
                  <w:vAlign w:val="center"/>
                </w:tcPr>
                <w:p w14:paraId="182FF1DD">
                  <w:pPr>
                    <w:widowControl/>
                    <w:jc w:val="center"/>
                    <w:textAlignment w:val="center"/>
                    <w:rPr>
                      <w:sz w:val="18"/>
                      <w:szCs w:val="18"/>
                    </w:rPr>
                  </w:pPr>
                  <w:r>
                    <w:rPr>
                      <w:kern w:val="0"/>
                      <w:sz w:val="18"/>
                      <w:szCs w:val="18"/>
                      <w:lang w:bidi="ar"/>
                    </w:rPr>
                    <w:t>/</w:t>
                  </w:r>
                </w:p>
              </w:tc>
              <w:tc>
                <w:tcPr>
                  <w:tcW w:w="371" w:type="pct"/>
                  <w:vAlign w:val="center"/>
                </w:tcPr>
                <w:p w14:paraId="025E5F84">
                  <w:pPr>
                    <w:widowControl/>
                    <w:jc w:val="center"/>
                    <w:textAlignment w:val="center"/>
                    <w:rPr>
                      <w:sz w:val="18"/>
                      <w:szCs w:val="18"/>
                    </w:rPr>
                  </w:pPr>
                  <w:r>
                    <w:rPr>
                      <w:sz w:val="18"/>
                      <w:szCs w:val="18"/>
                    </w:rPr>
                    <w:t>3800t/a</w:t>
                  </w:r>
                </w:p>
              </w:tc>
              <w:tc>
                <w:tcPr>
                  <w:tcW w:w="371" w:type="pct"/>
                  <w:vAlign w:val="center"/>
                </w:tcPr>
                <w:p w14:paraId="7982EF37">
                  <w:pPr>
                    <w:widowControl/>
                    <w:jc w:val="center"/>
                    <w:textAlignment w:val="center"/>
                    <w:rPr>
                      <w:sz w:val="18"/>
                      <w:szCs w:val="18"/>
                    </w:rPr>
                  </w:pPr>
                  <w:r>
                    <w:rPr>
                      <w:rFonts w:hint="eastAsia"/>
                      <w:kern w:val="0"/>
                      <w:sz w:val="18"/>
                      <w:szCs w:val="18"/>
                      <w:lang w:bidi="ar"/>
                    </w:rPr>
                    <w:t>袋装</w:t>
                  </w:r>
                </w:p>
              </w:tc>
              <w:tc>
                <w:tcPr>
                  <w:tcW w:w="649" w:type="pct"/>
                  <w:vAlign w:val="center"/>
                </w:tcPr>
                <w:p w14:paraId="2F200DE4">
                  <w:pPr>
                    <w:widowControl/>
                    <w:jc w:val="center"/>
                    <w:textAlignment w:val="center"/>
                    <w:rPr>
                      <w:sz w:val="18"/>
                      <w:szCs w:val="18"/>
                    </w:rPr>
                  </w:pPr>
                  <w:r>
                    <w:rPr>
                      <w:rFonts w:hint="eastAsia"/>
                      <w:kern w:val="0"/>
                      <w:sz w:val="18"/>
                      <w:szCs w:val="18"/>
                      <w:lang w:bidi="ar"/>
                    </w:rPr>
                    <w:t>外售处置</w:t>
                  </w:r>
                </w:p>
              </w:tc>
              <w:tc>
                <w:tcPr>
                  <w:tcW w:w="475" w:type="pct"/>
                  <w:vAlign w:val="center"/>
                </w:tcPr>
                <w:p w14:paraId="7BC1A670">
                  <w:pPr>
                    <w:widowControl/>
                    <w:jc w:val="center"/>
                    <w:textAlignment w:val="center"/>
                    <w:rPr>
                      <w:sz w:val="18"/>
                      <w:szCs w:val="18"/>
                    </w:rPr>
                  </w:pPr>
                  <w:r>
                    <w:rPr>
                      <w:sz w:val="18"/>
                      <w:szCs w:val="18"/>
                    </w:rPr>
                    <w:t>3800t/a</w:t>
                  </w:r>
                </w:p>
              </w:tc>
              <w:tc>
                <w:tcPr>
                  <w:tcW w:w="385" w:type="pct"/>
                  <w:vAlign w:val="center"/>
                </w:tcPr>
                <w:p w14:paraId="4F1B02E2">
                  <w:pPr>
                    <w:widowControl/>
                    <w:jc w:val="center"/>
                    <w:textAlignment w:val="center"/>
                    <w:rPr>
                      <w:sz w:val="18"/>
                      <w:szCs w:val="18"/>
                    </w:rPr>
                  </w:pPr>
                  <w:r>
                    <w:rPr>
                      <w:kern w:val="0"/>
                      <w:sz w:val="18"/>
                      <w:szCs w:val="18"/>
                      <w:lang w:bidi="ar"/>
                    </w:rPr>
                    <w:t>100%处置</w:t>
                  </w:r>
                </w:p>
              </w:tc>
            </w:tr>
            <w:tr w14:paraId="36C23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7" w:type="pct"/>
                  <w:vAlign w:val="center"/>
                </w:tcPr>
                <w:p w14:paraId="5666831B">
                  <w:pPr>
                    <w:widowControl/>
                    <w:jc w:val="center"/>
                    <w:textAlignment w:val="center"/>
                    <w:rPr>
                      <w:sz w:val="18"/>
                      <w:szCs w:val="18"/>
                    </w:rPr>
                  </w:pPr>
                  <w:r>
                    <w:rPr>
                      <w:rFonts w:hint="eastAsia"/>
                      <w:sz w:val="18"/>
                      <w:szCs w:val="18"/>
                    </w:rPr>
                    <w:t>循环水池</w:t>
                  </w:r>
                </w:p>
              </w:tc>
              <w:tc>
                <w:tcPr>
                  <w:tcW w:w="349" w:type="pct"/>
                  <w:vAlign w:val="center"/>
                </w:tcPr>
                <w:p w14:paraId="35C08CD5">
                  <w:pPr>
                    <w:widowControl/>
                    <w:jc w:val="center"/>
                    <w:textAlignment w:val="center"/>
                    <w:rPr>
                      <w:kern w:val="0"/>
                      <w:sz w:val="18"/>
                      <w:szCs w:val="18"/>
                      <w:lang w:bidi="ar"/>
                    </w:rPr>
                  </w:pPr>
                  <w:r>
                    <w:rPr>
                      <w:rFonts w:hint="eastAsia"/>
                      <w:kern w:val="0"/>
                      <w:sz w:val="18"/>
                      <w:szCs w:val="18"/>
                      <w:lang w:bidi="ar"/>
                    </w:rPr>
                    <w:t>金属沉渣</w:t>
                  </w:r>
                </w:p>
              </w:tc>
              <w:tc>
                <w:tcPr>
                  <w:tcW w:w="358" w:type="pct"/>
                  <w:vAlign w:val="center"/>
                </w:tcPr>
                <w:p w14:paraId="36E7A20B">
                  <w:pPr>
                    <w:widowControl/>
                    <w:jc w:val="center"/>
                    <w:textAlignment w:val="center"/>
                    <w:rPr>
                      <w:kern w:val="0"/>
                      <w:sz w:val="18"/>
                      <w:szCs w:val="18"/>
                      <w:lang w:bidi="ar"/>
                    </w:rPr>
                  </w:pPr>
                  <w:r>
                    <w:rPr>
                      <w:kern w:val="0"/>
                      <w:sz w:val="18"/>
                      <w:szCs w:val="18"/>
                      <w:lang w:bidi="ar"/>
                    </w:rPr>
                    <w:t>一般工业固废</w:t>
                  </w:r>
                </w:p>
              </w:tc>
              <w:tc>
                <w:tcPr>
                  <w:tcW w:w="463" w:type="pct"/>
                  <w:vAlign w:val="center"/>
                </w:tcPr>
                <w:p w14:paraId="6F405197">
                  <w:pPr>
                    <w:widowControl/>
                    <w:jc w:val="center"/>
                    <w:textAlignment w:val="center"/>
                    <w:rPr>
                      <w:kern w:val="0"/>
                      <w:sz w:val="18"/>
                      <w:szCs w:val="18"/>
                      <w:lang w:bidi="ar"/>
                    </w:rPr>
                  </w:pPr>
                  <w:r>
                    <w:rPr>
                      <w:kern w:val="0"/>
                      <w:sz w:val="18"/>
                      <w:szCs w:val="18"/>
                      <w:lang w:bidi="ar"/>
                    </w:rPr>
                    <w:t>/</w:t>
                  </w:r>
                </w:p>
              </w:tc>
              <w:tc>
                <w:tcPr>
                  <w:tcW w:w="375" w:type="pct"/>
                  <w:vAlign w:val="center"/>
                </w:tcPr>
                <w:p w14:paraId="118706A5">
                  <w:pPr>
                    <w:widowControl/>
                    <w:jc w:val="center"/>
                    <w:textAlignment w:val="center"/>
                    <w:rPr>
                      <w:kern w:val="0"/>
                      <w:sz w:val="18"/>
                      <w:szCs w:val="18"/>
                      <w:lang w:bidi="ar"/>
                    </w:rPr>
                  </w:pPr>
                  <w:r>
                    <w:rPr>
                      <w:kern w:val="0"/>
                      <w:sz w:val="18"/>
                      <w:szCs w:val="18"/>
                      <w:lang w:bidi="ar"/>
                    </w:rPr>
                    <w:t>/</w:t>
                  </w:r>
                </w:p>
              </w:tc>
              <w:tc>
                <w:tcPr>
                  <w:tcW w:w="436" w:type="pct"/>
                  <w:vAlign w:val="center"/>
                </w:tcPr>
                <w:p w14:paraId="041693EE">
                  <w:pPr>
                    <w:widowControl/>
                    <w:jc w:val="center"/>
                    <w:textAlignment w:val="center"/>
                    <w:rPr>
                      <w:kern w:val="0"/>
                      <w:sz w:val="18"/>
                      <w:szCs w:val="18"/>
                      <w:lang w:bidi="ar"/>
                    </w:rPr>
                  </w:pPr>
                  <w:r>
                    <w:rPr>
                      <w:rFonts w:hint="eastAsia"/>
                      <w:kern w:val="0"/>
                      <w:sz w:val="18"/>
                      <w:szCs w:val="18"/>
                      <w:lang w:bidi="ar"/>
                    </w:rPr>
                    <w:t>固</w:t>
                  </w:r>
                  <w:r>
                    <w:rPr>
                      <w:rFonts w:hint="eastAsia"/>
                      <w:sz w:val="18"/>
                      <w:szCs w:val="18"/>
                    </w:rPr>
                    <w:t>态</w:t>
                  </w:r>
                </w:p>
              </w:tc>
              <w:tc>
                <w:tcPr>
                  <w:tcW w:w="411" w:type="pct"/>
                  <w:vAlign w:val="center"/>
                </w:tcPr>
                <w:p w14:paraId="7135B679">
                  <w:pPr>
                    <w:widowControl/>
                    <w:jc w:val="center"/>
                    <w:textAlignment w:val="center"/>
                    <w:rPr>
                      <w:kern w:val="0"/>
                      <w:sz w:val="18"/>
                      <w:szCs w:val="18"/>
                      <w:lang w:bidi="ar"/>
                    </w:rPr>
                  </w:pPr>
                  <w:r>
                    <w:rPr>
                      <w:kern w:val="0"/>
                      <w:sz w:val="18"/>
                      <w:szCs w:val="18"/>
                      <w:lang w:bidi="ar"/>
                    </w:rPr>
                    <w:t>/</w:t>
                  </w:r>
                </w:p>
              </w:tc>
              <w:tc>
                <w:tcPr>
                  <w:tcW w:w="371" w:type="pct"/>
                  <w:vAlign w:val="center"/>
                </w:tcPr>
                <w:p w14:paraId="34A635D2">
                  <w:pPr>
                    <w:widowControl/>
                    <w:jc w:val="center"/>
                    <w:textAlignment w:val="center"/>
                    <w:rPr>
                      <w:sz w:val="18"/>
                      <w:szCs w:val="18"/>
                    </w:rPr>
                  </w:pPr>
                  <w:r>
                    <w:rPr>
                      <w:rFonts w:hint="eastAsia"/>
                      <w:sz w:val="18"/>
                      <w:szCs w:val="18"/>
                    </w:rPr>
                    <w:t>8</w:t>
                  </w:r>
                  <w:r>
                    <w:rPr>
                      <w:sz w:val="18"/>
                      <w:szCs w:val="18"/>
                    </w:rPr>
                    <w:t>0t/a</w:t>
                  </w:r>
                </w:p>
              </w:tc>
              <w:tc>
                <w:tcPr>
                  <w:tcW w:w="371" w:type="pct"/>
                  <w:vAlign w:val="center"/>
                </w:tcPr>
                <w:p w14:paraId="676B887C">
                  <w:pPr>
                    <w:widowControl/>
                    <w:jc w:val="center"/>
                    <w:textAlignment w:val="center"/>
                    <w:rPr>
                      <w:kern w:val="0"/>
                      <w:sz w:val="18"/>
                      <w:szCs w:val="18"/>
                      <w:lang w:bidi="ar"/>
                    </w:rPr>
                  </w:pPr>
                </w:p>
              </w:tc>
              <w:tc>
                <w:tcPr>
                  <w:tcW w:w="649" w:type="pct"/>
                  <w:vAlign w:val="center"/>
                </w:tcPr>
                <w:p w14:paraId="235FFD07">
                  <w:pPr>
                    <w:widowControl/>
                    <w:jc w:val="center"/>
                    <w:textAlignment w:val="center"/>
                    <w:rPr>
                      <w:kern w:val="0"/>
                      <w:sz w:val="18"/>
                      <w:szCs w:val="18"/>
                      <w:lang w:bidi="ar"/>
                    </w:rPr>
                  </w:pPr>
                  <w:r>
                    <w:rPr>
                      <w:rFonts w:hint="eastAsia"/>
                      <w:kern w:val="0"/>
                      <w:sz w:val="18"/>
                      <w:szCs w:val="18"/>
                      <w:lang w:bidi="ar"/>
                    </w:rPr>
                    <w:t>外售处置</w:t>
                  </w:r>
                </w:p>
              </w:tc>
              <w:tc>
                <w:tcPr>
                  <w:tcW w:w="475" w:type="pct"/>
                  <w:vAlign w:val="center"/>
                </w:tcPr>
                <w:p w14:paraId="347AB250">
                  <w:pPr>
                    <w:widowControl/>
                    <w:jc w:val="center"/>
                    <w:textAlignment w:val="center"/>
                    <w:rPr>
                      <w:sz w:val="18"/>
                      <w:szCs w:val="18"/>
                    </w:rPr>
                  </w:pPr>
                  <w:r>
                    <w:rPr>
                      <w:rFonts w:hint="eastAsia"/>
                      <w:sz w:val="18"/>
                      <w:szCs w:val="18"/>
                    </w:rPr>
                    <w:t>8</w:t>
                  </w:r>
                  <w:r>
                    <w:rPr>
                      <w:sz w:val="18"/>
                      <w:szCs w:val="18"/>
                    </w:rPr>
                    <w:t>0t/a</w:t>
                  </w:r>
                </w:p>
              </w:tc>
              <w:tc>
                <w:tcPr>
                  <w:tcW w:w="385" w:type="pct"/>
                  <w:vAlign w:val="center"/>
                </w:tcPr>
                <w:p w14:paraId="62176673">
                  <w:pPr>
                    <w:widowControl/>
                    <w:jc w:val="center"/>
                    <w:textAlignment w:val="center"/>
                    <w:rPr>
                      <w:kern w:val="0"/>
                      <w:sz w:val="18"/>
                      <w:szCs w:val="18"/>
                      <w:lang w:bidi="ar"/>
                    </w:rPr>
                  </w:pPr>
                  <w:r>
                    <w:rPr>
                      <w:kern w:val="0"/>
                      <w:sz w:val="18"/>
                      <w:szCs w:val="18"/>
                      <w:lang w:bidi="ar"/>
                    </w:rPr>
                    <w:t>100%处置</w:t>
                  </w:r>
                </w:p>
              </w:tc>
            </w:tr>
            <w:tr w14:paraId="25151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7" w:type="pct"/>
                  <w:vAlign w:val="center"/>
                </w:tcPr>
                <w:p w14:paraId="49B7A41A">
                  <w:pPr>
                    <w:widowControl/>
                    <w:jc w:val="center"/>
                    <w:textAlignment w:val="center"/>
                    <w:rPr>
                      <w:sz w:val="18"/>
                      <w:szCs w:val="18"/>
                    </w:rPr>
                  </w:pPr>
                  <w:r>
                    <w:rPr>
                      <w:rFonts w:hint="eastAsia"/>
                      <w:sz w:val="18"/>
                      <w:szCs w:val="18"/>
                    </w:rPr>
                    <w:t>化粪池</w:t>
                  </w:r>
                </w:p>
              </w:tc>
              <w:tc>
                <w:tcPr>
                  <w:tcW w:w="349" w:type="pct"/>
                  <w:vAlign w:val="center"/>
                </w:tcPr>
                <w:p w14:paraId="251F4CEB">
                  <w:pPr>
                    <w:widowControl/>
                    <w:jc w:val="center"/>
                    <w:textAlignment w:val="center"/>
                    <w:rPr>
                      <w:kern w:val="0"/>
                      <w:sz w:val="18"/>
                      <w:szCs w:val="18"/>
                      <w:lang w:bidi="ar"/>
                    </w:rPr>
                  </w:pPr>
                  <w:r>
                    <w:rPr>
                      <w:rFonts w:hint="eastAsia"/>
                      <w:sz w:val="18"/>
                      <w:szCs w:val="18"/>
                    </w:rPr>
                    <w:t>污泥</w:t>
                  </w:r>
                </w:p>
              </w:tc>
              <w:tc>
                <w:tcPr>
                  <w:tcW w:w="358" w:type="pct"/>
                  <w:vAlign w:val="center"/>
                </w:tcPr>
                <w:p w14:paraId="3CD6942F">
                  <w:pPr>
                    <w:widowControl/>
                    <w:jc w:val="center"/>
                    <w:textAlignment w:val="center"/>
                    <w:rPr>
                      <w:kern w:val="0"/>
                      <w:sz w:val="18"/>
                      <w:szCs w:val="18"/>
                      <w:lang w:bidi="ar"/>
                    </w:rPr>
                  </w:pPr>
                  <w:r>
                    <w:rPr>
                      <w:kern w:val="0"/>
                      <w:sz w:val="18"/>
                      <w:szCs w:val="18"/>
                      <w:lang w:bidi="ar"/>
                    </w:rPr>
                    <w:t>一般工业固废</w:t>
                  </w:r>
                </w:p>
              </w:tc>
              <w:tc>
                <w:tcPr>
                  <w:tcW w:w="463" w:type="pct"/>
                  <w:vAlign w:val="center"/>
                </w:tcPr>
                <w:p w14:paraId="0EFFAD7D">
                  <w:pPr>
                    <w:widowControl/>
                    <w:jc w:val="center"/>
                    <w:textAlignment w:val="center"/>
                    <w:rPr>
                      <w:kern w:val="0"/>
                      <w:sz w:val="18"/>
                      <w:szCs w:val="18"/>
                      <w:lang w:bidi="ar"/>
                    </w:rPr>
                  </w:pPr>
                  <w:r>
                    <w:rPr>
                      <w:kern w:val="0"/>
                      <w:sz w:val="18"/>
                      <w:szCs w:val="18"/>
                      <w:lang w:bidi="ar"/>
                    </w:rPr>
                    <w:t>/</w:t>
                  </w:r>
                </w:p>
              </w:tc>
              <w:tc>
                <w:tcPr>
                  <w:tcW w:w="375" w:type="pct"/>
                  <w:vAlign w:val="center"/>
                </w:tcPr>
                <w:p w14:paraId="01AF42CB">
                  <w:pPr>
                    <w:widowControl/>
                    <w:jc w:val="center"/>
                    <w:textAlignment w:val="center"/>
                    <w:rPr>
                      <w:kern w:val="0"/>
                      <w:sz w:val="18"/>
                      <w:szCs w:val="18"/>
                      <w:lang w:bidi="ar"/>
                    </w:rPr>
                  </w:pPr>
                  <w:r>
                    <w:rPr>
                      <w:kern w:val="0"/>
                      <w:sz w:val="18"/>
                      <w:szCs w:val="18"/>
                      <w:lang w:bidi="ar"/>
                    </w:rPr>
                    <w:t>/</w:t>
                  </w:r>
                </w:p>
              </w:tc>
              <w:tc>
                <w:tcPr>
                  <w:tcW w:w="436" w:type="pct"/>
                  <w:vAlign w:val="center"/>
                </w:tcPr>
                <w:p w14:paraId="3BA229EE">
                  <w:pPr>
                    <w:widowControl/>
                    <w:jc w:val="center"/>
                    <w:textAlignment w:val="center"/>
                    <w:rPr>
                      <w:kern w:val="0"/>
                      <w:sz w:val="18"/>
                      <w:szCs w:val="18"/>
                      <w:lang w:bidi="ar"/>
                    </w:rPr>
                  </w:pPr>
                  <w:r>
                    <w:rPr>
                      <w:rFonts w:hint="eastAsia"/>
                      <w:kern w:val="0"/>
                      <w:sz w:val="18"/>
                      <w:szCs w:val="18"/>
                      <w:lang w:bidi="ar"/>
                    </w:rPr>
                    <w:t>半固态</w:t>
                  </w:r>
                </w:p>
              </w:tc>
              <w:tc>
                <w:tcPr>
                  <w:tcW w:w="411" w:type="pct"/>
                  <w:vAlign w:val="center"/>
                </w:tcPr>
                <w:p w14:paraId="572F748A">
                  <w:pPr>
                    <w:widowControl/>
                    <w:jc w:val="center"/>
                    <w:textAlignment w:val="center"/>
                    <w:rPr>
                      <w:kern w:val="0"/>
                      <w:sz w:val="18"/>
                      <w:szCs w:val="18"/>
                      <w:lang w:bidi="ar"/>
                    </w:rPr>
                  </w:pPr>
                  <w:r>
                    <w:rPr>
                      <w:kern w:val="0"/>
                      <w:sz w:val="18"/>
                      <w:szCs w:val="18"/>
                      <w:lang w:bidi="ar"/>
                    </w:rPr>
                    <w:t>/</w:t>
                  </w:r>
                </w:p>
              </w:tc>
              <w:tc>
                <w:tcPr>
                  <w:tcW w:w="371" w:type="pct"/>
                  <w:vAlign w:val="center"/>
                </w:tcPr>
                <w:p w14:paraId="5296C43F">
                  <w:pPr>
                    <w:widowControl/>
                    <w:jc w:val="center"/>
                    <w:textAlignment w:val="center"/>
                    <w:rPr>
                      <w:sz w:val="18"/>
                      <w:szCs w:val="18"/>
                    </w:rPr>
                  </w:pPr>
                  <w:r>
                    <w:rPr>
                      <w:sz w:val="18"/>
                      <w:szCs w:val="18"/>
                    </w:rPr>
                    <w:t>0.59t/a</w:t>
                  </w:r>
                </w:p>
              </w:tc>
              <w:tc>
                <w:tcPr>
                  <w:tcW w:w="371" w:type="pct"/>
                  <w:vAlign w:val="center"/>
                </w:tcPr>
                <w:p w14:paraId="7CF39739">
                  <w:pPr>
                    <w:widowControl/>
                    <w:jc w:val="center"/>
                    <w:textAlignment w:val="center"/>
                    <w:rPr>
                      <w:kern w:val="0"/>
                      <w:sz w:val="18"/>
                      <w:szCs w:val="18"/>
                      <w:lang w:bidi="ar"/>
                    </w:rPr>
                  </w:pPr>
                  <w:r>
                    <w:rPr>
                      <w:rFonts w:hint="eastAsia"/>
                      <w:kern w:val="0"/>
                      <w:sz w:val="18"/>
                      <w:szCs w:val="18"/>
                      <w:lang w:bidi="ar"/>
                    </w:rPr>
                    <w:t>桶装</w:t>
                  </w:r>
                </w:p>
              </w:tc>
              <w:tc>
                <w:tcPr>
                  <w:tcW w:w="649" w:type="pct"/>
                  <w:vAlign w:val="center"/>
                </w:tcPr>
                <w:p w14:paraId="27FD6CF4">
                  <w:pPr>
                    <w:widowControl/>
                    <w:jc w:val="center"/>
                    <w:textAlignment w:val="center"/>
                    <w:rPr>
                      <w:kern w:val="0"/>
                      <w:sz w:val="18"/>
                      <w:szCs w:val="18"/>
                      <w:lang w:bidi="ar"/>
                    </w:rPr>
                  </w:pPr>
                  <w:r>
                    <w:rPr>
                      <w:rFonts w:hint="eastAsia"/>
                      <w:kern w:val="0"/>
                      <w:sz w:val="18"/>
                      <w:szCs w:val="18"/>
                      <w:lang w:bidi="ar"/>
                    </w:rPr>
                    <w:t>委托环卫部门清掏处置</w:t>
                  </w:r>
                </w:p>
              </w:tc>
              <w:tc>
                <w:tcPr>
                  <w:tcW w:w="475" w:type="pct"/>
                  <w:vAlign w:val="center"/>
                </w:tcPr>
                <w:p w14:paraId="4049A13C">
                  <w:pPr>
                    <w:widowControl/>
                    <w:jc w:val="center"/>
                    <w:textAlignment w:val="center"/>
                    <w:rPr>
                      <w:sz w:val="18"/>
                      <w:szCs w:val="18"/>
                    </w:rPr>
                  </w:pPr>
                  <w:r>
                    <w:rPr>
                      <w:sz w:val="18"/>
                      <w:szCs w:val="18"/>
                    </w:rPr>
                    <w:t>0.59t/a</w:t>
                  </w:r>
                </w:p>
              </w:tc>
              <w:tc>
                <w:tcPr>
                  <w:tcW w:w="385" w:type="pct"/>
                  <w:vAlign w:val="center"/>
                </w:tcPr>
                <w:p w14:paraId="63BB5768">
                  <w:pPr>
                    <w:widowControl/>
                    <w:jc w:val="center"/>
                    <w:textAlignment w:val="center"/>
                    <w:rPr>
                      <w:kern w:val="0"/>
                      <w:sz w:val="18"/>
                      <w:szCs w:val="18"/>
                      <w:lang w:bidi="ar"/>
                    </w:rPr>
                  </w:pPr>
                  <w:r>
                    <w:rPr>
                      <w:kern w:val="0"/>
                      <w:sz w:val="18"/>
                      <w:szCs w:val="18"/>
                      <w:lang w:bidi="ar"/>
                    </w:rPr>
                    <w:t>100%处置</w:t>
                  </w:r>
                </w:p>
              </w:tc>
            </w:tr>
            <w:tr w14:paraId="4821C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7" w:type="pct"/>
                  <w:vAlign w:val="center"/>
                </w:tcPr>
                <w:p w14:paraId="013D0A51">
                  <w:pPr>
                    <w:widowControl/>
                    <w:jc w:val="center"/>
                    <w:textAlignment w:val="center"/>
                    <w:rPr>
                      <w:sz w:val="18"/>
                      <w:szCs w:val="18"/>
                    </w:rPr>
                  </w:pPr>
                  <w:r>
                    <w:rPr>
                      <w:rFonts w:hint="eastAsia"/>
                      <w:sz w:val="18"/>
                      <w:szCs w:val="18"/>
                    </w:rPr>
                    <w:t>污水处理站</w:t>
                  </w:r>
                </w:p>
              </w:tc>
              <w:tc>
                <w:tcPr>
                  <w:tcW w:w="349" w:type="pct"/>
                  <w:vAlign w:val="center"/>
                </w:tcPr>
                <w:p w14:paraId="1DC18830">
                  <w:pPr>
                    <w:widowControl/>
                    <w:jc w:val="center"/>
                    <w:textAlignment w:val="center"/>
                    <w:rPr>
                      <w:kern w:val="0"/>
                      <w:sz w:val="18"/>
                      <w:szCs w:val="18"/>
                      <w:lang w:bidi="ar"/>
                    </w:rPr>
                  </w:pPr>
                  <w:r>
                    <w:rPr>
                      <w:rFonts w:hint="eastAsia"/>
                      <w:sz w:val="18"/>
                      <w:szCs w:val="18"/>
                    </w:rPr>
                    <w:t>污泥</w:t>
                  </w:r>
                </w:p>
              </w:tc>
              <w:tc>
                <w:tcPr>
                  <w:tcW w:w="358" w:type="pct"/>
                  <w:vAlign w:val="center"/>
                </w:tcPr>
                <w:p w14:paraId="24926D36">
                  <w:pPr>
                    <w:widowControl/>
                    <w:jc w:val="center"/>
                    <w:textAlignment w:val="center"/>
                    <w:rPr>
                      <w:kern w:val="0"/>
                      <w:sz w:val="18"/>
                      <w:szCs w:val="18"/>
                      <w:lang w:bidi="ar"/>
                    </w:rPr>
                  </w:pPr>
                  <w:r>
                    <w:rPr>
                      <w:kern w:val="0"/>
                      <w:sz w:val="18"/>
                      <w:szCs w:val="18"/>
                      <w:lang w:bidi="ar"/>
                    </w:rPr>
                    <w:t>一般工业固废</w:t>
                  </w:r>
                </w:p>
              </w:tc>
              <w:tc>
                <w:tcPr>
                  <w:tcW w:w="463" w:type="pct"/>
                  <w:vAlign w:val="center"/>
                </w:tcPr>
                <w:p w14:paraId="20747272">
                  <w:pPr>
                    <w:widowControl/>
                    <w:jc w:val="center"/>
                    <w:textAlignment w:val="center"/>
                    <w:rPr>
                      <w:kern w:val="0"/>
                      <w:sz w:val="18"/>
                      <w:szCs w:val="18"/>
                      <w:lang w:bidi="ar"/>
                    </w:rPr>
                  </w:pPr>
                  <w:r>
                    <w:rPr>
                      <w:kern w:val="0"/>
                      <w:sz w:val="18"/>
                      <w:szCs w:val="18"/>
                      <w:lang w:bidi="ar"/>
                    </w:rPr>
                    <w:t>/</w:t>
                  </w:r>
                </w:p>
              </w:tc>
              <w:tc>
                <w:tcPr>
                  <w:tcW w:w="375" w:type="pct"/>
                  <w:vAlign w:val="center"/>
                </w:tcPr>
                <w:p w14:paraId="2E5735A0">
                  <w:pPr>
                    <w:widowControl/>
                    <w:jc w:val="center"/>
                    <w:textAlignment w:val="center"/>
                    <w:rPr>
                      <w:kern w:val="0"/>
                      <w:sz w:val="18"/>
                      <w:szCs w:val="18"/>
                      <w:lang w:bidi="ar"/>
                    </w:rPr>
                  </w:pPr>
                  <w:r>
                    <w:rPr>
                      <w:kern w:val="0"/>
                      <w:sz w:val="18"/>
                      <w:szCs w:val="18"/>
                      <w:lang w:bidi="ar"/>
                    </w:rPr>
                    <w:t>/</w:t>
                  </w:r>
                </w:p>
              </w:tc>
              <w:tc>
                <w:tcPr>
                  <w:tcW w:w="436" w:type="pct"/>
                  <w:vAlign w:val="center"/>
                </w:tcPr>
                <w:p w14:paraId="62B111C7">
                  <w:pPr>
                    <w:widowControl/>
                    <w:jc w:val="center"/>
                    <w:textAlignment w:val="center"/>
                    <w:rPr>
                      <w:kern w:val="0"/>
                      <w:sz w:val="18"/>
                      <w:szCs w:val="18"/>
                      <w:lang w:bidi="ar"/>
                    </w:rPr>
                  </w:pPr>
                  <w:r>
                    <w:rPr>
                      <w:rFonts w:hint="eastAsia"/>
                      <w:kern w:val="0"/>
                      <w:sz w:val="18"/>
                      <w:szCs w:val="18"/>
                      <w:lang w:bidi="ar"/>
                    </w:rPr>
                    <w:t>半固态</w:t>
                  </w:r>
                </w:p>
              </w:tc>
              <w:tc>
                <w:tcPr>
                  <w:tcW w:w="411" w:type="pct"/>
                  <w:vAlign w:val="center"/>
                </w:tcPr>
                <w:p w14:paraId="3E03EEE6">
                  <w:pPr>
                    <w:widowControl/>
                    <w:jc w:val="center"/>
                    <w:textAlignment w:val="center"/>
                    <w:rPr>
                      <w:kern w:val="0"/>
                      <w:sz w:val="18"/>
                      <w:szCs w:val="18"/>
                      <w:lang w:bidi="ar"/>
                    </w:rPr>
                  </w:pPr>
                  <w:r>
                    <w:rPr>
                      <w:kern w:val="0"/>
                      <w:sz w:val="18"/>
                      <w:szCs w:val="18"/>
                      <w:lang w:bidi="ar"/>
                    </w:rPr>
                    <w:t>/</w:t>
                  </w:r>
                </w:p>
              </w:tc>
              <w:tc>
                <w:tcPr>
                  <w:tcW w:w="371" w:type="pct"/>
                  <w:vAlign w:val="center"/>
                </w:tcPr>
                <w:p w14:paraId="37F0C96B">
                  <w:pPr>
                    <w:widowControl/>
                    <w:jc w:val="center"/>
                    <w:textAlignment w:val="center"/>
                    <w:rPr>
                      <w:sz w:val="18"/>
                      <w:szCs w:val="18"/>
                    </w:rPr>
                  </w:pPr>
                  <w:r>
                    <w:rPr>
                      <w:sz w:val="18"/>
                      <w:szCs w:val="18"/>
                    </w:rPr>
                    <w:t>3.9t/a</w:t>
                  </w:r>
                </w:p>
              </w:tc>
              <w:tc>
                <w:tcPr>
                  <w:tcW w:w="371" w:type="pct"/>
                  <w:vAlign w:val="center"/>
                </w:tcPr>
                <w:p w14:paraId="2B6BDBDF">
                  <w:pPr>
                    <w:widowControl/>
                    <w:jc w:val="center"/>
                    <w:textAlignment w:val="center"/>
                    <w:rPr>
                      <w:kern w:val="0"/>
                      <w:sz w:val="18"/>
                      <w:szCs w:val="18"/>
                      <w:lang w:bidi="ar"/>
                    </w:rPr>
                  </w:pPr>
                  <w:r>
                    <w:rPr>
                      <w:rFonts w:hint="eastAsia"/>
                      <w:kern w:val="0"/>
                      <w:sz w:val="18"/>
                      <w:szCs w:val="18"/>
                      <w:lang w:bidi="ar"/>
                    </w:rPr>
                    <w:t>桶装</w:t>
                  </w:r>
                </w:p>
              </w:tc>
              <w:tc>
                <w:tcPr>
                  <w:tcW w:w="649" w:type="pct"/>
                  <w:vAlign w:val="center"/>
                </w:tcPr>
                <w:p w14:paraId="63DED738">
                  <w:pPr>
                    <w:widowControl/>
                    <w:jc w:val="center"/>
                    <w:textAlignment w:val="center"/>
                    <w:rPr>
                      <w:kern w:val="0"/>
                      <w:sz w:val="18"/>
                      <w:szCs w:val="18"/>
                      <w:lang w:bidi="ar"/>
                    </w:rPr>
                  </w:pPr>
                  <w:r>
                    <w:rPr>
                      <w:rFonts w:hint="eastAsia"/>
                      <w:kern w:val="0"/>
                      <w:sz w:val="18"/>
                      <w:szCs w:val="18"/>
                      <w:lang w:bidi="ar"/>
                    </w:rPr>
                    <w:t>定期清掏，回用于现有项目厂内绿化带施肥</w:t>
                  </w:r>
                </w:p>
              </w:tc>
              <w:tc>
                <w:tcPr>
                  <w:tcW w:w="475" w:type="pct"/>
                  <w:vAlign w:val="center"/>
                </w:tcPr>
                <w:p w14:paraId="76F37E0B">
                  <w:pPr>
                    <w:widowControl/>
                    <w:jc w:val="center"/>
                    <w:textAlignment w:val="center"/>
                    <w:rPr>
                      <w:sz w:val="18"/>
                      <w:szCs w:val="18"/>
                    </w:rPr>
                  </w:pPr>
                  <w:r>
                    <w:rPr>
                      <w:sz w:val="18"/>
                      <w:szCs w:val="18"/>
                    </w:rPr>
                    <w:t>3.9t/a</w:t>
                  </w:r>
                </w:p>
              </w:tc>
              <w:tc>
                <w:tcPr>
                  <w:tcW w:w="385" w:type="pct"/>
                  <w:vAlign w:val="center"/>
                </w:tcPr>
                <w:p w14:paraId="7637721D">
                  <w:pPr>
                    <w:widowControl/>
                    <w:jc w:val="center"/>
                    <w:textAlignment w:val="center"/>
                    <w:rPr>
                      <w:kern w:val="0"/>
                      <w:sz w:val="18"/>
                      <w:szCs w:val="18"/>
                      <w:lang w:bidi="ar"/>
                    </w:rPr>
                  </w:pPr>
                  <w:r>
                    <w:rPr>
                      <w:kern w:val="0"/>
                      <w:sz w:val="18"/>
                      <w:szCs w:val="18"/>
                      <w:lang w:bidi="ar"/>
                    </w:rPr>
                    <w:t>100%处置</w:t>
                  </w:r>
                </w:p>
              </w:tc>
            </w:tr>
            <w:tr w14:paraId="786D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7" w:type="pct"/>
                  <w:vMerge w:val="restart"/>
                  <w:vAlign w:val="center"/>
                </w:tcPr>
                <w:p w14:paraId="76AB6914">
                  <w:pPr>
                    <w:widowControl/>
                    <w:jc w:val="center"/>
                    <w:textAlignment w:val="center"/>
                    <w:rPr>
                      <w:sz w:val="18"/>
                      <w:szCs w:val="18"/>
                    </w:rPr>
                  </w:pPr>
                  <w:r>
                    <w:rPr>
                      <w:kern w:val="0"/>
                      <w:sz w:val="18"/>
                      <w:szCs w:val="18"/>
                      <w:lang w:bidi="ar"/>
                    </w:rPr>
                    <w:t>机修、保养</w:t>
                  </w:r>
                </w:p>
              </w:tc>
              <w:tc>
                <w:tcPr>
                  <w:tcW w:w="349" w:type="pct"/>
                  <w:vAlign w:val="center"/>
                </w:tcPr>
                <w:p w14:paraId="28EB27EB">
                  <w:pPr>
                    <w:widowControl/>
                    <w:jc w:val="center"/>
                    <w:textAlignment w:val="center"/>
                    <w:rPr>
                      <w:sz w:val="18"/>
                      <w:szCs w:val="18"/>
                    </w:rPr>
                  </w:pPr>
                  <w:r>
                    <w:rPr>
                      <w:rFonts w:hint="eastAsia"/>
                      <w:sz w:val="18"/>
                      <w:szCs w:val="18"/>
                    </w:rPr>
                    <w:t>废机油</w:t>
                  </w:r>
                </w:p>
              </w:tc>
              <w:tc>
                <w:tcPr>
                  <w:tcW w:w="358" w:type="pct"/>
                  <w:vAlign w:val="center"/>
                </w:tcPr>
                <w:p w14:paraId="60671B64">
                  <w:pPr>
                    <w:widowControl/>
                    <w:jc w:val="center"/>
                    <w:textAlignment w:val="center"/>
                    <w:rPr>
                      <w:sz w:val="18"/>
                      <w:szCs w:val="18"/>
                    </w:rPr>
                  </w:pPr>
                  <w:r>
                    <w:rPr>
                      <w:kern w:val="0"/>
                      <w:sz w:val="18"/>
                      <w:szCs w:val="18"/>
                      <w:lang w:bidi="ar"/>
                    </w:rPr>
                    <w:t>危险废物</w:t>
                  </w:r>
                </w:p>
              </w:tc>
              <w:tc>
                <w:tcPr>
                  <w:tcW w:w="463" w:type="pct"/>
                  <w:vAlign w:val="center"/>
                </w:tcPr>
                <w:p w14:paraId="6E92ADEE">
                  <w:pPr>
                    <w:widowControl/>
                    <w:jc w:val="center"/>
                    <w:textAlignment w:val="center"/>
                    <w:rPr>
                      <w:sz w:val="18"/>
                      <w:szCs w:val="18"/>
                    </w:rPr>
                  </w:pPr>
                  <w:r>
                    <w:rPr>
                      <w:kern w:val="0"/>
                      <w:sz w:val="18"/>
                      <w:szCs w:val="18"/>
                      <w:lang w:bidi="ar"/>
                    </w:rPr>
                    <w:t>900-214-08</w:t>
                  </w:r>
                </w:p>
              </w:tc>
              <w:tc>
                <w:tcPr>
                  <w:tcW w:w="375" w:type="pct"/>
                  <w:vAlign w:val="center"/>
                </w:tcPr>
                <w:p w14:paraId="0C27852A">
                  <w:pPr>
                    <w:widowControl/>
                    <w:jc w:val="center"/>
                    <w:textAlignment w:val="center"/>
                    <w:rPr>
                      <w:sz w:val="18"/>
                      <w:szCs w:val="18"/>
                    </w:rPr>
                  </w:pPr>
                  <w:r>
                    <w:rPr>
                      <w:rFonts w:hint="eastAsia"/>
                      <w:sz w:val="18"/>
                      <w:szCs w:val="18"/>
                    </w:rPr>
                    <w:t>废矿物油</w:t>
                  </w:r>
                </w:p>
              </w:tc>
              <w:tc>
                <w:tcPr>
                  <w:tcW w:w="436" w:type="pct"/>
                  <w:vAlign w:val="center"/>
                </w:tcPr>
                <w:p w14:paraId="632C5FEB">
                  <w:pPr>
                    <w:widowControl/>
                    <w:jc w:val="center"/>
                    <w:textAlignment w:val="center"/>
                    <w:rPr>
                      <w:sz w:val="18"/>
                      <w:szCs w:val="18"/>
                    </w:rPr>
                  </w:pPr>
                  <w:r>
                    <w:rPr>
                      <w:kern w:val="0"/>
                      <w:sz w:val="18"/>
                      <w:szCs w:val="18"/>
                      <w:lang w:bidi="ar"/>
                    </w:rPr>
                    <w:t>油状</w:t>
                  </w:r>
                </w:p>
              </w:tc>
              <w:tc>
                <w:tcPr>
                  <w:tcW w:w="411" w:type="pct"/>
                  <w:vAlign w:val="center"/>
                </w:tcPr>
                <w:p w14:paraId="38689509">
                  <w:pPr>
                    <w:widowControl/>
                    <w:jc w:val="center"/>
                    <w:textAlignment w:val="center"/>
                    <w:rPr>
                      <w:sz w:val="18"/>
                      <w:szCs w:val="18"/>
                    </w:rPr>
                  </w:pPr>
                  <w:r>
                    <w:rPr>
                      <w:rFonts w:hint="eastAsia"/>
                      <w:kern w:val="0"/>
                      <w:sz w:val="18"/>
                      <w:szCs w:val="18"/>
                      <w:lang w:bidi="ar"/>
                    </w:rPr>
                    <w:t>毒性、易燃性</w:t>
                  </w:r>
                </w:p>
              </w:tc>
              <w:tc>
                <w:tcPr>
                  <w:tcW w:w="371" w:type="pct"/>
                  <w:vAlign w:val="center"/>
                </w:tcPr>
                <w:p w14:paraId="1F2A4BDE">
                  <w:pPr>
                    <w:widowControl/>
                    <w:jc w:val="center"/>
                    <w:textAlignment w:val="center"/>
                    <w:rPr>
                      <w:sz w:val="18"/>
                      <w:szCs w:val="18"/>
                    </w:rPr>
                  </w:pPr>
                  <w:r>
                    <w:rPr>
                      <w:kern w:val="0"/>
                      <w:sz w:val="18"/>
                      <w:szCs w:val="18"/>
                      <w:lang w:bidi="ar"/>
                    </w:rPr>
                    <w:t>0.8t/a</w:t>
                  </w:r>
                </w:p>
              </w:tc>
              <w:tc>
                <w:tcPr>
                  <w:tcW w:w="371" w:type="pct"/>
                  <w:vAlign w:val="center"/>
                </w:tcPr>
                <w:p w14:paraId="34AD5612">
                  <w:pPr>
                    <w:widowControl/>
                    <w:jc w:val="center"/>
                    <w:textAlignment w:val="center"/>
                    <w:rPr>
                      <w:sz w:val="18"/>
                      <w:szCs w:val="18"/>
                    </w:rPr>
                  </w:pPr>
                  <w:r>
                    <w:rPr>
                      <w:rFonts w:hint="eastAsia"/>
                      <w:sz w:val="18"/>
                      <w:szCs w:val="18"/>
                    </w:rPr>
                    <w:t>桶装</w:t>
                  </w:r>
                </w:p>
              </w:tc>
              <w:tc>
                <w:tcPr>
                  <w:tcW w:w="649" w:type="pct"/>
                  <w:vMerge w:val="restart"/>
                  <w:vAlign w:val="center"/>
                </w:tcPr>
                <w:p w14:paraId="78CBC2E2">
                  <w:pPr>
                    <w:jc w:val="center"/>
                    <w:textAlignment w:val="center"/>
                    <w:rPr>
                      <w:sz w:val="18"/>
                      <w:szCs w:val="18"/>
                    </w:rPr>
                  </w:pPr>
                  <w:r>
                    <w:rPr>
                      <w:rFonts w:hint="eastAsia"/>
                      <w:kern w:val="0"/>
                      <w:sz w:val="18"/>
                      <w:szCs w:val="18"/>
                      <w:lang w:bidi="ar"/>
                    </w:rPr>
                    <w:t>分类收集后暂存于现有危废暂存间，委托有资质单位处置</w:t>
                  </w:r>
                </w:p>
              </w:tc>
              <w:tc>
                <w:tcPr>
                  <w:tcW w:w="475" w:type="pct"/>
                  <w:vAlign w:val="center"/>
                </w:tcPr>
                <w:p w14:paraId="3C0049D8">
                  <w:pPr>
                    <w:widowControl/>
                    <w:jc w:val="center"/>
                    <w:textAlignment w:val="center"/>
                    <w:rPr>
                      <w:sz w:val="18"/>
                      <w:szCs w:val="18"/>
                    </w:rPr>
                  </w:pPr>
                  <w:r>
                    <w:rPr>
                      <w:kern w:val="0"/>
                      <w:sz w:val="18"/>
                      <w:szCs w:val="18"/>
                      <w:lang w:bidi="ar"/>
                    </w:rPr>
                    <w:t>0.8t/a</w:t>
                  </w:r>
                </w:p>
              </w:tc>
              <w:tc>
                <w:tcPr>
                  <w:tcW w:w="385" w:type="pct"/>
                  <w:vMerge w:val="restart"/>
                  <w:vAlign w:val="center"/>
                </w:tcPr>
                <w:p w14:paraId="721DB31D">
                  <w:pPr>
                    <w:widowControl/>
                    <w:jc w:val="center"/>
                    <w:textAlignment w:val="center"/>
                    <w:rPr>
                      <w:sz w:val="18"/>
                      <w:szCs w:val="18"/>
                    </w:rPr>
                  </w:pPr>
                  <w:r>
                    <w:rPr>
                      <w:kern w:val="0"/>
                      <w:sz w:val="18"/>
                      <w:szCs w:val="18"/>
                      <w:lang w:bidi="ar"/>
                    </w:rPr>
                    <w:t>100%处置，并建立台账、转移联单制</w:t>
                  </w:r>
                  <w:r>
                    <w:rPr>
                      <w:rFonts w:hint="eastAsia"/>
                      <w:kern w:val="0"/>
                      <w:sz w:val="18"/>
                      <w:szCs w:val="18"/>
                      <w:lang w:bidi="ar"/>
                    </w:rPr>
                    <w:t>度</w:t>
                  </w:r>
                </w:p>
              </w:tc>
            </w:tr>
            <w:tr w14:paraId="5270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7" w:type="pct"/>
                  <w:vMerge w:val="continue"/>
                  <w:vAlign w:val="center"/>
                </w:tcPr>
                <w:p w14:paraId="1DF55BBD">
                  <w:pPr>
                    <w:widowControl/>
                    <w:jc w:val="center"/>
                    <w:textAlignment w:val="center"/>
                    <w:rPr>
                      <w:kern w:val="0"/>
                      <w:sz w:val="18"/>
                      <w:szCs w:val="18"/>
                      <w:lang w:bidi="ar"/>
                    </w:rPr>
                  </w:pPr>
                </w:p>
              </w:tc>
              <w:tc>
                <w:tcPr>
                  <w:tcW w:w="349" w:type="pct"/>
                  <w:vAlign w:val="center"/>
                </w:tcPr>
                <w:p w14:paraId="68CD259E">
                  <w:pPr>
                    <w:widowControl/>
                    <w:jc w:val="center"/>
                    <w:textAlignment w:val="center"/>
                    <w:rPr>
                      <w:sz w:val="18"/>
                      <w:szCs w:val="18"/>
                    </w:rPr>
                  </w:pPr>
                  <w:r>
                    <w:rPr>
                      <w:rFonts w:hint="eastAsia"/>
                      <w:sz w:val="18"/>
                      <w:szCs w:val="18"/>
                    </w:rPr>
                    <w:t>废机油桶</w:t>
                  </w:r>
                </w:p>
              </w:tc>
              <w:tc>
                <w:tcPr>
                  <w:tcW w:w="358" w:type="pct"/>
                  <w:vAlign w:val="center"/>
                </w:tcPr>
                <w:p w14:paraId="212914F0">
                  <w:pPr>
                    <w:widowControl/>
                    <w:jc w:val="center"/>
                    <w:textAlignment w:val="center"/>
                    <w:rPr>
                      <w:kern w:val="0"/>
                      <w:sz w:val="18"/>
                      <w:szCs w:val="18"/>
                      <w:lang w:bidi="ar"/>
                    </w:rPr>
                  </w:pPr>
                  <w:r>
                    <w:rPr>
                      <w:kern w:val="0"/>
                      <w:sz w:val="18"/>
                      <w:szCs w:val="18"/>
                      <w:lang w:bidi="ar"/>
                    </w:rPr>
                    <w:t>危险废物</w:t>
                  </w:r>
                </w:p>
              </w:tc>
              <w:tc>
                <w:tcPr>
                  <w:tcW w:w="463" w:type="pct"/>
                  <w:vAlign w:val="center"/>
                </w:tcPr>
                <w:p w14:paraId="4014FC4D">
                  <w:pPr>
                    <w:widowControl/>
                    <w:jc w:val="center"/>
                    <w:textAlignment w:val="center"/>
                    <w:rPr>
                      <w:kern w:val="0"/>
                      <w:sz w:val="18"/>
                      <w:szCs w:val="18"/>
                      <w:lang w:bidi="ar"/>
                    </w:rPr>
                  </w:pPr>
                  <w:r>
                    <w:rPr>
                      <w:kern w:val="0"/>
                      <w:sz w:val="18"/>
                      <w:szCs w:val="18"/>
                      <w:lang w:bidi="ar"/>
                    </w:rPr>
                    <w:t>900-249-08</w:t>
                  </w:r>
                </w:p>
              </w:tc>
              <w:tc>
                <w:tcPr>
                  <w:tcW w:w="375" w:type="pct"/>
                  <w:vAlign w:val="center"/>
                </w:tcPr>
                <w:p w14:paraId="001FE9E6">
                  <w:pPr>
                    <w:widowControl/>
                    <w:jc w:val="center"/>
                    <w:textAlignment w:val="center"/>
                    <w:rPr>
                      <w:sz w:val="18"/>
                      <w:szCs w:val="18"/>
                    </w:rPr>
                  </w:pPr>
                  <w:r>
                    <w:rPr>
                      <w:rFonts w:hint="eastAsia"/>
                      <w:sz w:val="18"/>
                      <w:szCs w:val="18"/>
                    </w:rPr>
                    <w:t>废矿物油</w:t>
                  </w:r>
                </w:p>
              </w:tc>
              <w:tc>
                <w:tcPr>
                  <w:tcW w:w="436" w:type="pct"/>
                  <w:vAlign w:val="center"/>
                </w:tcPr>
                <w:p w14:paraId="635CBA73">
                  <w:pPr>
                    <w:widowControl/>
                    <w:jc w:val="center"/>
                    <w:textAlignment w:val="center"/>
                    <w:rPr>
                      <w:kern w:val="0"/>
                      <w:sz w:val="18"/>
                      <w:szCs w:val="18"/>
                      <w:lang w:bidi="ar"/>
                    </w:rPr>
                  </w:pPr>
                  <w:r>
                    <w:rPr>
                      <w:rFonts w:hint="eastAsia"/>
                      <w:kern w:val="0"/>
                      <w:sz w:val="18"/>
                      <w:szCs w:val="18"/>
                      <w:lang w:bidi="ar"/>
                    </w:rPr>
                    <w:t>固</w:t>
                  </w:r>
                  <w:r>
                    <w:rPr>
                      <w:rFonts w:hint="eastAsia"/>
                      <w:sz w:val="18"/>
                      <w:szCs w:val="18"/>
                    </w:rPr>
                    <w:t>态</w:t>
                  </w:r>
                </w:p>
              </w:tc>
              <w:tc>
                <w:tcPr>
                  <w:tcW w:w="411" w:type="pct"/>
                  <w:vAlign w:val="center"/>
                </w:tcPr>
                <w:p w14:paraId="7769B9D3">
                  <w:pPr>
                    <w:widowControl/>
                    <w:jc w:val="center"/>
                    <w:textAlignment w:val="center"/>
                    <w:rPr>
                      <w:kern w:val="0"/>
                      <w:sz w:val="18"/>
                      <w:szCs w:val="18"/>
                      <w:lang w:bidi="ar"/>
                    </w:rPr>
                  </w:pPr>
                  <w:r>
                    <w:rPr>
                      <w:rFonts w:hint="eastAsia"/>
                      <w:kern w:val="0"/>
                      <w:sz w:val="18"/>
                      <w:szCs w:val="18"/>
                      <w:lang w:bidi="ar"/>
                    </w:rPr>
                    <w:t>毒性、易燃性</w:t>
                  </w:r>
                </w:p>
              </w:tc>
              <w:tc>
                <w:tcPr>
                  <w:tcW w:w="371" w:type="pct"/>
                  <w:vAlign w:val="center"/>
                </w:tcPr>
                <w:p w14:paraId="2E0AB908">
                  <w:pPr>
                    <w:widowControl/>
                    <w:jc w:val="center"/>
                    <w:textAlignment w:val="center"/>
                    <w:rPr>
                      <w:kern w:val="0"/>
                      <w:sz w:val="18"/>
                      <w:szCs w:val="18"/>
                      <w:lang w:bidi="ar"/>
                    </w:rPr>
                  </w:pPr>
                  <w:r>
                    <w:rPr>
                      <w:kern w:val="0"/>
                      <w:sz w:val="18"/>
                      <w:szCs w:val="18"/>
                      <w:lang w:bidi="ar"/>
                    </w:rPr>
                    <w:t>0.4t/a</w:t>
                  </w:r>
                </w:p>
              </w:tc>
              <w:tc>
                <w:tcPr>
                  <w:tcW w:w="371" w:type="pct"/>
                  <w:vAlign w:val="center"/>
                </w:tcPr>
                <w:p w14:paraId="6C69389A">
                  <w:pPr>
                    <w:widowControl/>
                    <w:jc w:val="center"/>
                    <w:textAlignment w:val="center"/>
                    <w:rPr>
                      <w:sz w:val="18"/>
                      <w:szCs w:val="18"/>
                    </w:rPr>
                  </w:pPr>
                  <w:r>
                    <w:rPr>
                      <w:rFonts w:hint="eastAsia"/>
                      <w:sz w:val="18"/>
                      <w:szCs w:val="18"/>
                    </w:rPr>
                    <w:t>桶装</w:t>
                  </w:r>
                </w:p>
              </w:tc>
              <w:tc>
                <w:tcPr>
                  <w:tcW w:w="649" w:type="pct"/>
                  <w:vMerge w:val="continue"/>
                  <w:vAlign w:val="center"/>
                </w:tcPr>
                <w:p w14:paraId="1BAD5DD7">
                  <w:pPr>
                    <w:jc w:val="center"/>
                    <w:textAlignment w:val="center"/>
                    <w:rPr>
                      <w:kern w:val="0"/>
                      <w:sz w:val="18"/>
                      <w:szCs w:val="18"/>
                      <w:lang w:bidi="ar"/>
                    </w:rPr>
                  </w:pPr>
                </w:p>
              </w:tc>
              <w:tc>
                <w:tcPr>
                  <w:tcW w:w="475" w:type="pct"/>
                  <w:vAlign w:val="center"/>
                </w:tcPr>
                <w:p w14:paraId="64F5B82D">
                  <w:pPr>
                    <w:widowControl/>
                    <w:jc w:val="center"/>
                    <w:textAlignment w:val="center"/>
                    <w:rPr>
                      <w:kern w:val="0"/>
                      <w:sz w:val="18"/>
                      <w:szCs w:val="18"/>
                      <w:lang w:bidi="ar"/>
                    </w:rPr>
                  </w:pPr>
                  <w:r>
                    <w:rPr>
                      <w:kern w:val="0"/>
                      <w:sz w:val="18"/>
                      <w:szCs w:val="18"/>
                      <w:lang w:bidi="ar"/>
                    </w:rPr>
                    <w:t>0.4t/a</w:t>
                  </w:r>
                </w:p>
              </w:tc>
              <w:tc>
                <w:tcPr>
                  <w:tcW w:w="385" w:type="pct"/>
                  <w:vMerge w:val="continue"/>
                  <w:vAlign w:val="center"/>
                </w:tcPr>
                <w:p w14:paraId="41A78398">
                  <w:pPr>
                    <w:widowControl/>
                    <w:jc w:val="center"/>
                    <w:textAlignment w:val="center"/>
                    <w:rPr>
                      <w:kern w:val="0"/>
                      <w:sz w:val="18"/>
                      <w:szCs w:val="18"/>
                      <w:lang w:bidi="ar"/>
                    </w:rPr>
                  </w:pPr>
                </w:p>
              </w:tc>
            </w:tr>
          </w:tbl>
          <w:p w14:paraId="6EDAEE4D">
            <w:pPr>
              <w:adjustRightInd w:val="0"/>
              <w:snapToGrid w:val="0"/>
              <w:spacing w:line="360" w:lineRule="auto"/>
              <w:ind w:firstLine="480" w:firstLineChars="200"/>
              <w:rPr>
                <w:bCs/>
                <w:kern w:val="24"/>
                <w:sz w:val="24"/>
              </w:rPr>
            </w:pPr>
            <w:r>
              <w:rPr>
                <w:rFonts w:hint="eastAsia"/>
                <w:bCs/>
                <w:kern w:val="24"/>
                <w:sz w:val="24"/>
              </w:rPr>
              <w:t>项目危险废物的产生、贮存、处置情况见表4-18。</w:t>
            </w:r>
          </w:p>
          <w:p w14:paraId="5FF4E6D9">
            <w:pPr>
              <w:adjustRightInd w:val="0"/>
              <w:snapToGrid w:val="0"/>
              <w:spacing w:line="360" w:lineRule="auto"/>
              <w:ind w:firstLine="482" w:firstLineChars="200"/>
              <w:jc w:val="center"/>
              <w:rPr>
                <w:b/>
                <w:kern w:val="24"/>
                <w:sz w:val="24"/>
              </w:rPr>
            </w:pPr>
            <w:r>
              <w:rPr>
                <w:rFonts w:hint="eastAsia"/>
                <w:b/>
                <w:kern w:val="24"/>
                <w:sz w:val="24"/>
              </w:rPr>
              <w:t>表4-18  危险废物汇总表</w:t>
            </w:r>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8"/>
              <w:gridCol w:w="807"/>
              <w:gridCol w:w="803"/>
              <w:gridCol w:w="803"/>
              <w:gridCol w:w="958"/>
              <w:gridCol w:w="1024"/>
              <w:gridCol w:w="636"/>
              <w:gridCol w:w="674"/>
              <w:gridCol w:w="673"/>
              <w:gridCol w:w="673"/>
              <w:gridCol w:w="671"/>
              <w:gridCol w:w="670"/>
            </w:tblGrid>
            <w:tr w14:paraId="28306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8" w:type="dxa"/>
                  <w:vAlign w:val="center"/>
                </w:tcPr>
                <w:p w14:paraId="5148FBCE">
                  <w:pPr>
                    <w:adjustRightInd w:val="0"/>
                    <w:snapToGrid w:val="0"/>
                    <w:jc w:val="center"/>
                    <w:rPr>
                      <w:kern w:val="24"/>
                      <w:sz w:val="18"/>
                      <w:szCs w:val="18"/>
                    </w:rPr>
                  </w:pPr>
                  <w:r>
                    <w:rPr>
                      <w:rFonts w:hint="eastAsia"/>
                      <w:kern w:val="24"/>
                      <w:sz w:val="18"/>
                      <w:szCs w:val="18"/>
                    </w:rPr>
                    <w:t>序号</w:t>
                  </w:r>
                </w:p>
              </w:tc>
              <w:tc>
                <w:tcPr>
                  <w:tcW w:w="807" w:type="dxa"/>
                  <w:vAlign w:val="center"/>
                </w:tcPr>
                <w:p w14:paraId="77F0FA08">
                  <w:pPr>
                    <w:adjustRightInd w:val="0"/>
                    <w:snapToGrid w:val="0"/>
                    <w:jc w:val="center"/>
                    <w:rPr>
                      <w:kern w:val="24"/>
                      <w:sz w:val="18"/>
                      <w:szCs w:val="18"/>
                    </w:rPr>
                  </w:pPr>
                  <w:r>
                    <w:rPr>
                      <w:rFonts w:hint="eastAsia"/>
                      <w:kern w:val="24"/>
                      <w:sz w:val="18"/>
                      <w:szCs w:val="18"/>
                    </w:rPr>
                    <w:t>危险废物名称</w:t>
                  </w:r>
                </w:p>
              </w:tc>
              <w:tc>
                <w:tcPr>
                  <w:tcW w:w="803" w:type="dxa"/>
                  <w:vAlign w:val="center"/>
                </w:tcPr>
                <w:p w14:paraId="72B4E9D5">
                  <w:pPr>
                    <w:adjustRightInd w:val="0"/>
                    <w:snapToGrid w:val="0"/>
                    <w:jc w:val="center"/>
                    <w:rPr>
                      <w:kern w:val="24"/>
                      <w:sz w:val="18"/>
                      <w:szCs w:val="18"/>
                    </w:rPr>
                  </w:pPr>
                  <w:r>
                    <w:rPr>
                      <w:rFonts w:hint="eastAsia"/>
                      <w:kern w:val="24"/>
                      <w:sz w:val="18"/>
                      <w:szCs w:val="18"/>
                    </w:rPr>
                    <w:t>危险废物类别</w:t>
                  </w:r>
                </w:p>
              </w:tc>
              <w:tc>
                <w:tcPr>
                  <w:tcW w:w="803" w:type="dxa"/>
                  <w:vAlign w:val="center"/>
                </w:tcPr>
                <w:p w14:paraId="217B83FF">
                  <w:pPr>
                    <w:adjustRightInd w:val="0"/>
                    <w:snapToGrid w:val="0"/>
                    <w:jc w:val="center"/>
                    <w:rPr>
                      <w:kern w:val="24"/>
                      <w:sz w:val="18"/>
                      <w:szCs w:val="18"/>
                    </w:rPr>
                  </w:pPr>
                  <w:r>
                    <w:rPr>
                      <w:rFonts w:hint="eastAsia"/>
                      <w:kern w:val="24"/>
                      <w:sz w:val="18"/>
                      <w:szCs w:val="18"/>
                    </w:rPr>
                    <w:t>危险废物代码</w:t>
                  </w:r>
                </w:p>
              </w:tc>
              <w:tc>
                <w:tcPr>
                  <w:tcW w:w="958" w:type="dxa"/>
                  <w:vAlign w:val="center"/>
                </w:tcPr>
                <w:p w14:paraId="1A838B9B">
                  <w:pPr>
                    <w:adjustRightInd w:val="0"/>
                    <w:snapToGrid w:val="0"/>
                    <w:jc w:val="center"/>
                    <w:rPr>
                      <w:kern w:val="24"/>
                      <w:sz w:val="18"/>
                      <w:szCs w:val="18"/>
                    </w:rPr>
                  </w:pPr>
                  <w:r>
                    <w:rPr>
                      <w:rFonts w:hint="eastAsia"/>
                      <w:kern w:val="24"/>
                      <w:sz w:val="18"/>
                      <w:szCs w:val="18"/>
                    </w:rPr>
                    <w:t>产生量（t/a）</w:t>
                  </w:r>
                </w:p>
              </w:tc>
              <w:tc>
                <w:tcPr>
                  <w:tcW w:w="1024" w:type="dxa"/>
                  <w:vAlign w:val="center"/>
                </w:tcPr>
                <w:p w14:paraId="438F751A">
                  <w:pPr>
                    <w:adjustRightInd w:val="0"/>
                    <w:snapToGrid w:val="0"/>
                    <w:jc w:val="center"/>
                    <w:rPr>
                      <w:kern w:val="24"/>
                      <w:sz w:val="18"/>
                      <w:szCs w:val="18"/>
                    </w:rPr>
                  </w:pPr>
                  <w:r>
                    <w:rPr>
                      <w:rFonts w:hint="eastAsia"/>
                      <w:kern w:val="24"/>
                      <w:sz w:val="18"/>
                      <w:szCs w:val="18"/>
                    </w:rPr>
                    <w:t>产生工序及装置</w:t>
                  </w:r>
                </w:p>
              </w:tc>
              <w:tc>
                <w:tcPr>
                  <w:tcW w:w="636" w:type="dxa"/>
                  <w:vAlign w:val="center"/>
                </w:tcPr>
                <w:p w14:paraId="718C3E55">
                  <w:pPr>
                    <w:adjustRightInd w:val="0"/>
                    <w:snapToGrid w:val="0"/>
                    <w:jc w:val="center"/>
                    <w:rPr>
                      <w:kern w:val="24"/>
                      <w:sz w:val="18"/>
                      <w:szCs w:val="18"/>
                    </w:rPr>
                  </w:pPr>
                  <w:r>
                    <w:rPr>
                      <w:rFonts w:hint="eastAsia"/>
                      <w:kern w:val="24"/>
                      <w:sz w:val="18"/>
                      <w:szCs w:val="18"/>
                    </w:rPr>
                    <w:t>形态</w:t>
                  </w:r>
                </w:p>
              </w:tc>
              <w:tc>
                <w:tcPr>
                  <w:tcW w:w="674" w:type="dxa"/>
                  <w:vAlign w:val="center"/>
                </w:tcPr>
                <w:p w14:paraId="2C40458E">
                  <w:pPr>
                    <w:adjustRightInd w:val="0"/>
                    <w:snapToGrid w:val="0"/>
                    <w:jc w:val="center"/>
                    <w:rPr>
                      <w:kern w:val="24"/>
                      <w:sz w:val="18"/>
                      <w:szCs w:val="18"/>
                    </w:rPr>
                  </w:pPr>
                  <w:r>
                    <w:rPr>
                      <w:rFonts w:hint="eastAsia"/>
                      <w:kern w:val="24"/>
                      <w:sz w:val="18"/>
                      <w:szCs w:val="18"/>
                    </w:rPr>
                    <w:t>主要成分</w:t>
                  </w:r>
                </w:p>
              </w:tc>
              <w:tc>
                <w:tcPr>
                  <w:tcW w:w="673" w:type="dxa"/>
                  <w:vAlign w:val="center"/>
                </w:tcPr>
                <w:p w14:paraId="38B92A09">
                  <w:pPr>
                    <w:adjustRightInd w:val="0"/>
                    <w:snapToGrid w:val="0"/>
                    <w:jc w:val="center"/>
                    <w:rPr>
                      <w:kern w:val="24"/>
                      <w:sz w:val="18"/>
                      <w:szCs w:val="18"/>
                    </w:rPr>
                  </w:pPr>
                  <w:r>
                    <w:rPr>
                      <w:rFonts w:hint="eastAsia"/>
                      <w:kern w:val="24"/>
                      <w:sz w:val="18"/>
                      <w:szCs w:val="18"/>
                    </w:rPr>
                    <w:t>有害成分</w:t>
                  </w:r>
                </w:p>
              </w:tc>
              <w:tc>
                <w:tcPr>
                  <w:tcW w:w="673" w:type="dxa"/>
                  <w:vAlign w:val="center"/>
                </w:tcPr>
                <w:p w14:paraId="328E5FC1">
                  <w:pPr>
                    <w:adjustRightInd w:val="0"/>
                    <w:snapToGrid w:val="0"/>
                    <w:jc w:val="center"/>
                    <w:rPr>
                      <w:kern w:val="24"/>
                      <w:sz w:val="18"/>
                      <w:szCs w:val="18"/>
                    </w:rPr>
                  </w:pPr>
                  <w:r>
                    <w:rPr>
                      <w:rFonts w:hint="eastAsia"/>
                      <w:kern w:val="24"/>
                      <w:sz w:val="18"/>
                      <w:szCs w:val="18"/>
                    </w:rPr>
                    <w:t>产废周期</w:t>
                  </w:r>
                </w:p>
              </w:tc>
              <w:tc>
                <w:tcPr>
                  <w:tcW w:w="671" w:type="dxa"/>
                  <w:vAlign w:val="center"/>
                </w:tcPr>
                <w:p w14:paraId="1AFC49B4">
                  <w:pPr>
                    <w:adjustRightInd w:val="0"/>
                    <w:snapToGrid w:val="0"/>
                    <w:jc w:val="center"/>
                    <w:rPr>
                      <w:kern w:val="24"/>
                      <w:sz w:val="18"/>
                      <w:szCs w:val="18"/>
                    </w:rPr>
                  </w:pPr>
                  <w:r>
                    <w:rPr>
                      <w:rFonts w:hint="eastAsia"/>
                      <w:kern w:val="24"/>
                      <w:sz w:val="18"/>
                      <w:szCs w:val="18"/>
                    </w:rPr>
                    <w:t>危险</w:t>
                  </w:r>
                </w:p>
                <w:p w14:paraId="5BA44905">
                  <w:pPr>
                    <w:adjustRightInd w:val="0"/>
                    <w:snapToGrid w:val="0"/>
                    <w:jc w:val="center"/>
                    <w:rPr>
                      <w:kern w:val="24"/>
                      <w:sz w:val="18"/>
                      <w:szCs w:val="18"/>
                    </w:rPr>
                  </w:pPr>
                  <w:r>
                    <w:rPr>
                      <w:rFonts w:hint="eastAsia"/>
                      <w:kern w:val="24"/>
                      <w:sz w:val="18"/>
                      <w:szCs w:val="18"/>
                    </w:rPr>
                    <w:t>特性</w:t>
                  </w:r>
                </w:p>
              </w:tc>
              <w:tc>
                <w:tcPr>
                  <w:tcW w:w="670" w:type="dxa"/>
                  <w:vAlign w:val="center"/>
                </w:tcPr>
                <w:p w14:paraId="48921B5C">
                  <w:pPr>
                    <w:adjustRightInd w:val="0"/>
                    <w:snapToGrid w:val="0"/>
                    <w:jc w:val="center"/>
                    <w:rPr>
                      <w:kern w:val="24"/>
                      <w:sz w:val="18"/>
                      <w:szCs w:val="18"/>
                    </w:rPr>
                  </w:pPr>
                  <w:r>
                    <w:rPr>
                      <w:rFonts w:hint="eastAsia"/>
                      <w:kern w:val="24"/>
                      <w:sz w:val="18"/>
                      <w:szCs w:val="18"/>
                    </w:rPr>
                    <w:t>污染防治措施</w:t>
                  </w:r>
                </w:p>
              </w:tc>
            </w:tr>
            <w:tr w14:paraId="036E2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8" w:type="dxa"/>
                  <w:vAlign w:val="center"/>
                </w:tcPr>
                <w:p w14:paraId="646E7397">
                  <w:pPr>
                    <w:adjustRightInd w:val="0"/>
                    <w:snapToGrid w:val="0"/>
                    <w:jc w:val="center"/>
                    <w:rPr>
                      <w:kern w:val="24"/>
                      <w:sz w:val="18"/>
                      <w:szCs w:val="18"/>
                    </w:rPr>
                  </w:pPr>
                  <w:r>
                    <w:rPr>
                      <w:rFonts w:hint="eastAsia"/>
                      <w:kern w:val="24"/>
                      <w:sz w:val="18"/>
                      <w:szCs w:val="18"/>
                    </w:rPr>
                    <w:t>1</w:t>
                  </w:r>
                </w:p>
              </w:tc>
              <w:tc>
                <w:tcPr>
                  <w:tcW w:w="807" w:type="dxa"/>
                  <w:vAlign w:val="center"/>
                </w:tcPr>
                <w:p w14:paraId="7C554BF5">
                  <w:pPr>
                    <w:adjustRightInd w:val="0"/>
                    <w:snapToGrid w:val="0"/>
                    <w:jc w:val="center"/>
                    <w:rPr>
                      <w:kern w:val="24"/>
                      <w:sz w:val="18"/>
                      <w:szCs w:val="18"/>
                    </w:rPr>
                  </w:pPr>
                  <w:r>
                    <w:rPr>
                      <w:rFonts w:hint="eastAsia"/>
                      <w:kern w:val="24"/>
                      <w:sz w:val="18"/>
                      <w:szCs w:val="18"/>
                    </w:rPr>
                    <w:t>废机油</w:t>
                  </w:r>
                </w:p>
              </w:tc>
              <w:tc>
                <w:tcPr>
                  <w:tcW w:w="803" w:type="dxa"/>
                  <w:vAlign w:val="center"/>
                </w:tcPr>
                <w:p w14:paraId="6F4FE99E">
                  <w:pPr>
                    <w:adjustRightInd w:val="0"/>
                    <w:snapToGrid w:val="0"/>
                    <w:jc w:val="center"/>
                    <w:rPr>
                      <w:kern w:val="24"/>
                      <w:sz w:val="18"/>
                      <w:szCs w:val="18"/>
                    </w:rPr>
                  </w:pPr>
                  <w:r>
                    <w:rPr>
                      <w:kern w:val="24"/>
                      <w:sz w:val="18"/>
                      <w:szCs w:val="18"/>
                    </w:rPr>
                    <w:t>HW08</w:t>
                  </w:r>
                  <w:r>
                    <w:rPr>
                      <w:rFonts w:hint="eastAsia"/>
                      <w:kern w:val="24"/>
                      <w:sz w:val="18"/>
                      <w:szCs w:val="18"/>
                    </w:rPr>
                    <w:t>废矿物油与含矿物油废物</w:t>
                  </w:r>
                </w:p>
              </w:tc>
              <w:tc>
                <w:tcPr>
                  <w:tcW w:w="803" w:type="dxa"/>
                  <w:vAlign w:val="center"/>
                </w:tcPr>
                <w:p w14:paraId="67C236BA">
                  <w:pPr>
                    <w:adjustRightInd w:val="0"/>
                    <w:snapToGrid w:val="0"/>
                    <w:jc w:val="center"/>
                    <w:rPr>
                      <w:kern w:val="24"/>
                      <w:sz w:val="18"/>
                      <w:szCs w:val="18"/>
                    </w:rPr>
                  </w:pPr>
                  <w:r>
                    <w:rPr>
                      <w:kern w:val="24"/>
                      <w:sz w:val="18"/>
                      <w:szCs w:val="18"/>
                    </w:rPr>
                    <w:t>900-214-08</w:t>
                  </w:r>
                </w:p>
              </w:tc>
              <w:tc>
                <w:tcPr>
                  <w:tcW w:w="958" w:type="dxa"/>
                  <w:vAlign w:val="center"/>
                </w:tcPr>
                <w:p w14:paraId="20BA5FCE">
                  <w:pPr>
                    <w:adjustRightInd w:val="0"/>
                    <w:snapToGrid w:val="0"/>
                    <w:jc w:val="center"/>
                    <w:rPr>
                      <w:kern w:val="24"/>
                      <w:szCs w:val="21"/>
                    </w:rPr>
                  </w:pPr>
                  <w:r>
                    <w:rPr>
                      <w:rFonts w:hint="eastAsia"/>
                      <w:kern w:val="24"/>
                      <w:szCs w:val="21"/>
                    </w:rPr>
                    <w:t>0</w:t>
                  </w:r>
                  <w:r>
                    <w:rPr>
                      <w:kern w:val="24"/>
                      <w:szCs w:val="21"/>
                    </w:rPr>
                    <w:t>.8</w:t>
                  </w:r>
                </w:p>
              </w:tc>
              <w:tc>
                <w:tcPr>
                  <w:tcW w:w="1024" w:type="dxa"/>
                  <w:vAlign w:val="center"/>
                </w:tcPr>
                <w:p w14:paraId="28FA1A55">
                  <w:pPr>
                    <w:adjustRightInd w:val="0"/>
                    <w:snapToGrid w:val="0"/>
                    <w:jc w:val="center"/>
                    <w:rPr>
                      <w:kern w:val="24"/>
                      <w:sz w:val="18"/>
                      <w:szCs w:val="18"/>
                    </w:rPr>
                  </w:pPr>
                  <w:r>
                    <w:rPr>
                      <w:rFonts w:hint="eastAsia"/>
                      <w:kern w:val="24"/>
                      <w:sz w:val="18"/>
                      <w:szCs w:val="18"/>
                    </w:rPr>
                    <w:t>机械设备保养维修</w:t>
                  </w:r>
                </w:p>
              </w:tc>
              <w:tc>
                <w:tcPr>
                  <w:tcW w:w="636" w:type="dxa"/>
                  <w:vAlign w:val="center"/>
                </w:tcPr>
                <w:p w14:paraId="1DD10712">
                  <w:pPr>
                    <w:adjustRightInd w:val="0"/>
                    <w:snapToGrid w:val="0"/>
                    <w:jc w:val="center"/>
                    <w:rPr>
                      <w:kern w:val="24"/>
                      <w:sz w:val="18"/>
                      <w:szCs w:val="18"/>
                    </w:rPr>
                  </w:pPr>
                  <w:r>
                    <w:rPr>
                      <w:rFonts w:hint="eastAsia"/>
                      <w:kern w:val="24"/>
                      <w:sz w:val="18"/>
                      <w:szCs w:val="18"/>
                    </w:rPr>
                    <w:t>液态</w:t>
                  </w:r>
                </w:p>
              </w:tc>
              <w:tc>
                <w:tcPr>
                  <w:tcW w:w="674" w:type="dxa"/>
                  <w:vAlign w:val="center"/>
                </w:tcPr>
                <w:p w14:paraId="77090F5C">
                  <w:pPr>
                    <w:adjustRightInd w:val="0"/>
                    <w:snapToGrid w:val="0"/>
                    <w:jc w:val="center"/>
                    <w:rPr>
                      <w:kern w:val="24"/>
                      <w:sz w:val="18"/>
                      <w:szCs w:val="18"/>
                    </w:rPr>
                  </w:pPr>
                  <w:r>
                    <w:rPr>
                      <w:rFonts w:hint="eastAsia"/>
                      <w:kern w:val="24"/>
                      <w:sz w:val="18"/>
                      <w:szCs w:val="18"/>
                    </w:rPr>
                    <w:t>矿物油</w:t>
                  </w:r>
                </w:p>
              </w:tc>
              <w:tc>
                <w:tcPr>
                  <w:tcW w:w="673" w:type="dxa"/>
                  <w:vAlign w:val="center"/>
                </w:tcPr>
                <w:p w14:paraId="319F23C0">
                  <w:pPr>
                    <w:adjustRightInd w:val="0"/>
                    <w:snapToGrid w:val="0"/>
                    <w:jc w:val="center"/>
                    <w:rPr>
                      <w:kern w:val="24"/>
                      <w:sz w:val="18"/>
                      <w:szCs w:val="18"/>
                    </w:rPr>
                  </w:pPr>
                  <w:r>
                    <w:rPr>
                      <w:rFonts w:hint="eastAsia"/>
                      <w:kern w:val="24"/>
                      <w:sz w:val="18"/>
                      <w:szCs w:val="18"/>
                    </w:rPr>
                    <w:t>矿物油</w:t>
                  </w:r>
                </w:p>
              </w:tc>
              <w:tc>
                <w:tcPr>
                  <w:tcW w:w="673" w:type="dxa"/>
                  <w:vAlign w:val="center"/>
                </w:tcPr>
                <w:p w14:paraId="412B42CF">
                  <w:pPr>
                    <w:adjustRightInd w:val="0"/>
                    <w:snapToGrid w:val="0"/>
                    <w:jc w:val="center"/>
                    <w:rPr>
                      <w:kern w:val="24"/>
                      <w:sz w:val="18"/>
                      <w:szCs w:val="18"/>
                    </w:rPr>
                  </w:pPr>
                  <w:r>
                    <w:rPr>
                      <w:rFonts w:hint="eastAsia"/>
                      <w:kern w:val="24"/>
                      <w:sz w:val="18"/>
                      <w:szCs w:val="18"/>
                    </w:rPr>
                    <w:t>半年</w:t>
                  </w:r>
                </w:p>
              </w:tc>
              <w:tc>
                <w:tcPr>
                  <w:tcW w:w="671" w:type="dxa"/>
                  <w:vAlign w:val="center"/>
                </w:tcPr>
                <w:p w14:paraId="33AED2AC">
                  <w:pPr>
                    <w:adjustRightInd w:val="0"/>
                    <w:snapToGrid w:val="0"/>
                    <w:jc w:val="center"/>
                    <w:rPr>
                      <w:kern w:val="24"/>
                      <w:sz w:val="18"/>
                      <w:szCs w:val="18"/>
                    </w:rPr>
                  </w:pPr>
                  <w:r>
                    <w:rPr>
                      <w:rFonts w:hint="eastAsia"/>
                      <w:kern w:val="24"/>
                      <w:sz w:val="18"/>
                      <w:szCs w:val="18"/>
                    </w:rPr>
                    <w:t>T，I</w:t>
                  </w:r>
                </w:p>
              </w:tc>
              <w:tc>
                <w:tcPr>
                  <w:tcW w:w="670" w:type="dxa"/>
                  <w:vAlign w:val="center"/>
                </w:tcPr>
                <w:p w14:paraId="54D4D14C">
                  <w:pPr>
                    <w:adjustRightInd w:val="0"/>
                    <w:snapToGrid w:val="0"/>
                    <w:jc w:val="center"/>
                    <w:rPr>
                      <w:kern w:val="24"/>
                      <w:sz w:val="18"/>
                      <w:szCs w:val="18"/>
                    </w:rPr>
                  </w:pPr>
                  <w:r>
                    <w:rPr>
                      <w:rFonts w:hint="eastAsia"/>
                      <w:kern w:val="24"/>
                      <w:sz w:val="18"/>
                      <w:szCs w:val="18"/>
                    </w:rPr>
                    <w:t>委托有资质单位处置</w:t>
                  </w:r>
                </w:p>
              </w:tc>
            </w:tr>
            <w:tr w14:paraId="22B11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8" w:type="dxa"/>
                  <w:vAlign w:val="center"/>
                </w:tcPr>
                <w:p w14:paraId="7D22AF3D">
                  <w:pPr>
                    <w:adjustRightInd w:val="0"/>
                    <w:snapToGrid w:val="0"/>
                    <w:jc w:val="center"/>
                    <w:rPr>
                      <w:kern w:val="24"/>
                      <w:sz w:val="18"/>
                      <w:szCs w:val="18"/>
                    </w:rPr>
                  </w:pPr>
                  <w:r>
                    <w:rPr>
                      <w:rFonts w:hint="eastAsia"/>
                      <w:kern w:val="24"/>
                      <w:sz w:val="18"/>
                      <w:szCs w:val="18"/>
                    </w:rPr>
                    <w:t>2</w:t>
                  </w:r>
                </w:p>
              </w:tc>
              <w:tc>
                <w:tcPr>
                  <w:tcW w:w="807" w:type="dxa"/>
                  <w:vAlign w:val="center"/>
                </w:tcPr>
                <w:p w14:paraId="36A9BF28">
                  <w:pPr>
                    <w:adjustRightInd w:val="0"/>
                    <w:snapToGrid w:val="0"/>
                    <w:jc w:val="center"/>
                    <w:rPr>
                      <w:kern w:val="24"/>
                      <w:sz w:val="18"/>
                      <w:szCs w:val="18"/>
                    </w:rPr>
                  </w:pPr>
                  <w:r>
                    <w:rPr>
                      <w:rFonts w:hint="eastAsia"/>
                      <w:kern w:val="24"/>
                      <w:sz w:val="18"/>
                      <w:szCs w:val="18"/>
                    </w:rPr>
                    <w:t>废机油桶</w:t>
                  </w:r>
                </w:p>
              </w:tc>
              <w:tc>
                <w:tcPr>
                  <w:tcW w:w="803" w:type="dxa"/>
                  <w:vAlign w:val="center"/>
                </w:tcPr>
                <w:p w14:paraId="29172F15">
                  <w:pPr>
                    <w:adjustRightInd w:val="0"/>
                    <w:snapToGrid w:val="0"/>
                    <w:jc w:val="center"/>
                    <w:rPr>
                      <w:kern w:val="24"/>
                      <w:sz w:val="18"/>
                      <w:szCs w:val="18"/>
                    </w:rPr>
                  </w:pPr>
                  <w:r>
                    <w:rPr>
                      <w:kern w:val="24"/>
                      <w:sz w:val="18"/>
                      <w:szCs w:val="18"/>
                    </w:rPr>
                    <w:t>HW08</w:t>
                  </w:r>
                  <w:r>
                    <w:rPr>
                      <w:rFonts w:hint="eastAsia"/>
                      <w:kern w:val="24"/>
                      <w:sz w:val="18"/>
                      <w:szCs w:val="18"/>
                    </w:rPr>
                    <w:t>废矿物油与含矿物油废物</w:t>
                  </w:r>
                </w:p>
              </w:tc>
              <w:tc>
                <w:tcPr>
                  <w:tcW w:w="803" w:type="dxa"/>
                  <w:vAlign w:val="center"/>
                </w:tcPr>
                <w:p w14:paraId="79761264">
                  <w:pPr>
                    <w:adjustRightInd w:val="0"/>
                    <w:snapToGrid w:val="0"/>
                    <w:jc w:val="center"/>
                    <w:rPr>
                      <w:kern w:val="24"/>
                      <w:sz w:val="18"/>
                      <w:szCs w:val="18"/>
                    </w:rPr>
                  </w:pPr>
                  <w:r>
                    <w:rPr>
                      <w:kern w:val="24"/>
                      <w:sz w:val="18"/>
                      <w:szCs w:val="18"/>
                    </w:rPr>
                    <w:t>900-249-08</w:t>
                  </w:r>
                </w:p>
              </w:tc>
              <w:tc>
                <w:tcPr>
                  <w:tcW w:w="958" w:type="dxa"/>
                  <w:vAlign w:val="center"/>
                </w:tcPr>
                <w:p w14:paraId="41AC7765">
                  <w:pPr>
                    <w:adjustRightInd w:val="0"/>
                    <w:snapToGrid w:val="0"/>
                    <w:jc w:val="center"/>
                    <w:rPr>
                      <w:kern w:val="24"/>
                      <w:szCs w:val="21"/>
                    </w:rPr>
                  </w:pPr>
                  <w:r>
                    <w:rPr>
                      <w:rFonts w:hint="eastAsia"/>
                      <w:kern w:val="24"/>
                      <w:szCs w:val="21"/>
                    </w:rPr>
                    <w:t>0</w:t>
                  </w:r>
                  <w:r>
                    <w:rPr>
                      <w:kern w:val="24"/>
                      <w:szCs w:val="21"/>
                    </w:rPr>
                    <w:t>.4</w:t>
                  </w:r>
                </w:p>
              </w:tc>
              <w:tc>
                <w:tcPr>
                  <w:tcW w:w="1024" w:type="dxa"/>
                  <w:vAlign w:val="center"/>
                </w:tcPr>
                <w:p w14:paraId="106D3B48">
                  <w:pPr>
                    <w:adjustRightInd w:val="0"/>
                    <w:snapToGrid w:val="0"/>
                    <w:jc w:val="center"/>
                    <w:rPr>
                      <w:kern w:val="24"/>
                      <w:sz w:val="18"/>
                      <w:szCs w:val="18"/>
                    </w:rPr>
                  </w:pPr>
                  <w:r>
                    <w:rPr>
                      <w:rFonts w:hint="eastAsia"/>
                      <w:kern w:val="24"/>
                      <w:sz w:val="18"/>
                      <w:szCs w:val="18"/>
                    </w:rPr>
                    <w:t>机械设备保养维修</w:t>
                  </w:r>
                </w:p>
              </w:tc>
              <w:tc>
                <w:tcPr>
                  <w:tcW w:w="636" w:type="dxa"/>
                  <w:vAlign w:val="center"/>
                </w:tcPr>
                <w:p w14:paraId="4987E79D">
                  <w:pPr>
                    <w:adjustRightInd w:val="0"/>
                    <w:snapToGrid w:val="0"/>
                    <w:jc w:val="center"/>
                    <w:rPr>
                      <w:kern w:val="24"/>
                      <w:sz w:val="18"/>
                      <w:szCs w:val="18"/>
                    </w:rPr>
                  </w:pPr>
                  <w:r>
                    <w:rPr>
                      <w:rFonts w:hint="eastAsia"/>
                      <w:kern w:val="24"/>
                      <w:sz w:val="18"/>
                      <w:szCs w:val="18"/>
                    </w:rPr>
                    <w:t>固态</w:t>
                  </w:r>
                </w:p>
              </w:tc>
              <w:tc>
                <w:tcPr>
                  <w:tcW w:w="674" w:type="dxa"/>
                  <w:vAlign w:val="center"/>
                </w:tcPr>
                <w:p w14:paraId="7DCD3D2F">
                  <w:pPr>
                    <w:adjustRightInd w:val="0"/>
                    <w:snapToGrid w:val="0"/>
                    <w:jc w:val="center"/>
                    <w:rPr>
                      <w:kern w:val="24"/>
                      <w:sz w:val="18"/>
                      <w:szCs w:val="18"/>
                    </w:rPr>
                  </w:pPr>
                  <w:r>
                    <w:rPr>
                      <w:rFonts w:hint="eastAsia"/>
                      <w:kern w:val="24"/>
                      <w:sz w:val="18"/>
                      <w:szCs w:val="18"/>
                    </w:rPr>
                    <w:t>矿物油、铁</w:t>
                  </w:r>
                </w:p>
              </w:tc>
              <w:tc>
                <w:tcPr>
                  <w:tcW w:w="673" w:type="dxa"/>
                  <w:vAlign w:val="center"/>
                </w:tcPr>
                <w:p w14:paraId="45B13B65">
                  <w:pPr>
                    <w:adjustRightInd w:val="0"/>
                    <w:snapToGrid w:val="0"/>
                    <w:jc w:val="center"/>
                    <w:rPr>
                      <w:kern w:val="24"/>
                      <w:sz w:val="18"/>
                      <w:szCs w:val="18"/>
                    </w:rPr>
                  </w:pPr>
                  <w:r>
                    <w:rPr>
                      <w:rFonts w:hint="eastAsia"/>
                      <w:kern w:val="24"/>
                      <w:sz w:val="18"/>
                      <w:szCs w:val="18"/>
                    </w:rPr>
                    <w:t>矿物油</w:t>
                  </w:r>
                </w:p>
              </w:tc>
              <w:tc>
                <w:tcPr>
                  <w:tcW w:w="673" w:type="dxa"/>
                  <w:vAlign w:val="center"/>
                </w:tcPr>
                <w:p w14:paraId="3B406D54">
                  <w:pPr>
                    <w:adjustRightInd w:val="0"/>
                    <w:snapToGrid w:val="0"/>
                    <w:jc w:val="center"/>
                    <w:rPr>
                      <w:kern w:val="24"/>
                      <w:sz w:val="18"/>
                      <w:szCs w:val="18"/>
                    </w:rPr>
                  </w:pPr>
                  <w:r>
                    <w:rPr>
                      <w:rFonts w:hint="eastAsia"/>
                      <w:kern w:val="24"/>
                      <w:sz w:val="18"/>
                      <w:szCs w:val="18"/>
                    </w:rPr>
                    <w:t>半年</w:t>
                  </w:r>
                </w:p>
              </w:tc>
              <w:tc>
                <w:tcPr>
                  <w:tcW w:w="671" w:type="dxa"/>
                  <w:vAlign w:val="center"/>
                </w:tcPr>
                <w:p w14:paraId="31AF0EFA">
                  <w:pPr>
                    <w:adjustRightInd w:val="0"/>
                    <w:snapToGrid w:val="0"/>
                    <w:jc w:val="center"/>
                    <w:rPr>
                      <w:kern w:val="24"/>
                      <w:szCs w:val="21"/>
                    </w:rPr>
                  </w:pPr>
                  <w:r>
                    <w:rPr>
                      <w:rFonts w:hint="eastAsia"/>
                      <w:kern w:val="24"/>
                      <w:szCs w:val="21"/>
                    </w:rPr>
                    <w:t>T，I</w:t>
                  </w:r>
                </w:p>
              </w:tc>
              <w:tc>
                <w:tcPr>
                  <w:tcW w:w="670" w:type="dxa"/>
                  <w:vAlign w:val="center"/>
                </w:tcPr>
                <w:p w14:paraId="23DE5008">
                  <w:pPr>
                    <w:adjustRightInd w:val="0"/>
                    <w:snapToGrid w:val="0"/>
                    <w:jc w:val="center"/>
                    <w:rPr>
                      <w:kern w:val="24"/>
                      <w:sz w:val="18"/>
                      <w:szCs w:val="18"/>
                    </w:rPr>
                  </w:pPr>
                  <w:r>
                    <w:rPr>
                      <w:rFonts w:hint="eastAsia"/>
                      <w:kern w:val="24"/>
                      <w:sz w:val="18"/>
                      <w:szCs w:val="18"/>
                    </w:rPr>
                    <w:t>委托有资质单位处置</w:t>
                  </w:r>
                </w:p>
              </w:tc>
            </w:tr>
          </w:tbl>
          <w:p w14:paraId="7D9A87C7">
            <w:pPr>
              <w:adjustRightInd w:val="0"/>
              <w:snapToGrid w:val="0"/>
              <w:spacing w:line="360" w:lineRule="auto"/>
              <w:jc w:val="left"/>
              <w:rPr>
                <w:b/>
                <w:bCs/>
                <w:sz w:val="24"/>
              </w:rPr>
            </w:pPr>
          </w:p>
          <w:p w14:paraId="58DBA0A1">
            <w:pPr>
              <w:pStyle w:val="76"/>
              <w:adjustRightInd w:val="0"/>
              <w:snapToGrid w:val="0"/>
              <w:spacing w:line="360" w:lineRule="auto"/>
              <w:ind w:firstLine="480"/>
              <w:jc w:val="left"/>
              <w:rPr>
                <w:sz w:val="24"/>
              </w:rPr>
            </w:pPr>
            <w:r>
              <w:rPr>
                <w:rFonts w:hint="eastAsia"/>
                <w:caps/>
                <w:sz w:val="24"/>
              </w:rPr>
              <w:t>（</w:t>
            </w:r>
            <w:r>
              <w:rPr>
                <w:rFonts w:hint="eastAsia"/>
                <w:sz w:val="24"/>
              </w:rPr>
              <w:t>1）生活垃圾</w:t>
            </w:r>
          </w:p>
          <w:p w14:paraId="15F3E12B">
            <w:pPr>
              <w:adjustRightInd w:val="0"/>
              <w:snapToGrid w:val="0"/>
              <w:spacing w:line="360" w:lineRule="auto"/>
              <w:ind w:firstLine="480" w:firstLineChars="200"/>
              <w:rPr>
                <w:kern w:val="24"/>
                <w:sz w:val="24"/>
              </w:rPr>
            </w:pPr>
            <w:r>
              <w:rPr>
                <w:rFonts w:hint="eastAsia"/>
                <w:kern w:val="24"/>
                <w:sz w:val="24"/>
              </w:rPr>
              <w:t>项目劳动定员</w:t>
            </w:r>
            <w:r>
              <w:rPr>
                <w:kern w:val="24"/>
                <w:sz w:val="24"/>
              </w:rPr>
              <w:t>60</w:t>
            </w:r>
            <w:r>
              <w:rPr>
                <w:rFonts w:hint="eastAsia"/>
                <w:kern w:val="24"/>
                <w:sz w:val="24"/>
              </w:rPr>
              <w:t>人，垃圾产生量按0.5kg/人</w:t>
            </w:r>
            <w:r>
              <w:rPr>
                <w:kern w:val="24"/>
                <w:sz w:val="24"/>
              </w:rPr>
              <w:t>•</w:t>
            </w:r>
            <w:r>
              <w:rPr>
                <w:rFonts w:hint="eastAsia"/>
                <w:kern w:val="24"/>
                <w:sz w:val="24"/>
              </w:rPr>
              <w:t>d计，生活垃圾产生量约为</w:t>
            </w:r>
            <w:r>
              <w:rPr>
                <w:kern w:val="24"/>
                <w:sz w:val="24"/>
              </w:rPr>
              <w:t>9</w:t>
            </w:r>
            <w:r>
              <w:rPr>
                <w:rFonts w:hint="eastAsia"/>
                <w:kern w:val="24"/>
                <w:sz w:val="24"/>
              </w:rPr>
              <w:t xml:space="preserve"> </w:t>
            </w:r>
            <w:r>
              <w:rPr>
                <w:kern w:val="24"/>
                <w:sz w:val="24"/>
              </w:rPr>
              <w:t>t/a</w:t>
            </w:r>
            <w:r>
              <w:rPr>
                <w:rFonts w:hint="eastAsia"/>
                <w:kern w:val="24"/>
                <w:sz w:val="24"/>
              </w:rPr>
              <w:t>，生活垃圾统一收集后，委托环卫部门清运处置。</w:t>
            </w:r>
          </w:p>
          <w:p w14:paraId="3CC6A63D">
            <w:pPr>
              <w:pStyle w:val="76"/>
              <w:adjustRightInd w:val="0"/>
              <w:snapToGrid w:val="0"/>
              <w:spacing w:line="360" w:lineRule="auto"/>
              <w:ind w:firstLine="480"/>
              <w:jc w:val="left"/>
              <w:rPr>
                <w:sz w:val="24"/>
              </w:rPr>
            </w:pPr>
            <w:r>
              <w:rPr>
                <w:rFonts w:hint="eastAsia"/>
                <w:sz w:val="24"/>
              </w:rPr>
              <w:t>（2）袋式除尘器收集的除尘灰</w:t>
            </w:r>
          </w:p>
          <w:p w14:paraId="6F0DFBA3">
            <w:pPr>
              <w:pStyle w:val="76"/>
              <w:adjustRightInd w:val="0"/>
              <w:snapToGrid w:val="0"/>
              <w:spacing w:line="360" w:lineRule="auto"/>
              <w:ind w:firstLine="480"/>
              <w:jc w:val="left"/>
              <w:rPr>
                <w:sz w:val="24"/>
              </w:rPr>
            </w:pPr>
            <w:r>
              <w:rPr>
                <w:rFonts w:hint="eastAsia"/>
                <w:sz w:val="24"/>
              </w:rPr>
              <w:t>项目高频焊接工序采用袋式除尘器收集焊接烟尘，根据本节废气源强分析，本项目6台袋式除尘器收集除尘灰量为1.998</w:t>
            </w:r>
            <w:r>
              <w:rPr>
                <w:sz w:val="24"/>
              </w:rPr>
              <w:t>t/a</w:t>
            </w:r>
            <w:r>
              <w:rPr>
                <w:rFonts w:hint="eastAsia"/>
                <w:sz w:val="24"/>
              </w:rPr>
              <w:t>，收集后暂存于一般固废收集箱，外售处置。</w:t>
            </w:r>
          </w:p>
          <w:p w14:paraId="6612B648">
            <w:pPr>
              <w:pStyle w:val="76"/>
              <w:adjustRightInd w:val="0"/>
              <w:snapToGrid w:val="0"/>
              <w:spacing w:line="360" w:lineRule="auto"/>
              <w:ind w:firstLine="480"/>
              <w:jc w:val="left"/>
              <w:rPr>
                <w:sz w:val="24"/>
              </w:rPr>
            </w:pPr>
            <w:r>
              <w:rPr>
                <w:rFonts w:hint="eastAsia"/>
                <w:sz w:val="24"/>
              </w:rPr>
              <w:t>（3）废边角料</w:t>
            </w:r>
          </w:p>
          <w:p w14:paraId="394E48A8">
            <w:pPr>
              <w:pStyle w:val="76"/>
              <w:adjustRightInd w:val="0"/>
              <w:snapToGrid w:val="0"/>
              <w:spacing w:line="360" w:lineRule="auto"/>
              <w:ind w:firstLine="480"/>
              <w:jc w:val="left"/>
              <w:rPr>
                <w:sz w:val="24"/>
              </w:rPr>
            </w:pPr>
            <w:r>
              <w:rPr>
                <w:rFonts w:hint="eastAsia"/>
                <w:sz w:val="24"/>
              </w:rPr>
              <w:t>项目纵剪工序、高频焊接工序、切断工序会产生废边角料，根据现有项目运行情况，预计产生量为1</w:t>
            </w:r>
            <w:r>
              <w:rPr>
                <w:sz w:val="24"/>
              </w:rPr>
              <w:t>20 t/a</w:t>
            </w:r>
            <w:r>
              <w:rPr>
                <w:rFonts w:hint="eastAsia"/>
                <w:sz w:val="24"/>
              </w:rPr>
              <w:t>，收集后暂存于一般固废收集箱，外售处置。</w:t>
            </w:r>
          </w:p>
          <w:p w14:paraId="536C7045">
            <w:pPr>
              <w:pStyle w:val="76"/>
              <w:adjustRightInd w:val="0"/>
              <w:snapToGrid w:val="0"/>
              <w:spacing w:line="360" w:lineRule="auto"/>
              <w:ind w:firstLine="480"/>
              <w:jc w:val="left"/>
              <w:rPr>
                <w:sz w:val="24"/>
              </w:rPr>
            </w:pPr>
            <w:r>
              <w:rPr>
                <w:rFonts w:hint="eastAsia"/>
                <w:sz w:val="24"/>
              </w:rPr>
              <w:t>（</w:t>
            </w:r>
            <w:r>
              <w:rPr>
                <w:sz w:val="24"/>
              </w:rPr>
              <w:t>4</w:t>
            </w:r>
            <w:r>
              <w:rPr>
                <w:rFonts w:hint="eastAsia"/>
                <w:sz w:val="24"/>
              </w:rPr>
              <w:t>）不合格产品</w:t>
            </w:r>
          </w:p>
          <w:p w14:paraId="1C420C8D">
            <w:pPr>
              <w:pStyle w:val="76"/>
              <w:adjustRightInd w:val="0"/>
              <w:snapToGrid w:val="0"/>
              <w:spacing w:line="360" w:lineRule="auto"/>
              <w:ind w:firstLine="480"/>
              <w:jc w:val="left"/>
              <w:rPr>
                <w:sz w:val="24"/>
              </w:rPr>
            </w:pPr>
            <w:r>
              <w:rPr>
                <w:rFonts w:hint="eastAsia"/>
                <w:sz w:val="24"/>
              </w:rPr>
              <w:t>本项目质检工序会产生不合格产品，根据现有项目运行情况，预计产生量为</w:t>
            </w:r>
            <w:r>
              <w:rPr>
                <w:sz w:val="24"/>
              </w:rPr>
              <w:t>3800 t/a</w:t>
            </w:r>
            <w:r>
              <w:rPr>
                <w:rFonts w:hint="eastAsia"/>
                <w:sz w:val="24"/>
              </w:rPr>
              <w:t>，收集后暂存于一般固废收集箱，外售处置。</w:t>
            </w:r>
          </w:p>
          <w:p w14:paraId="6B3D43A3">
            <w:pPr>
              <w:pStyle w:val="76"/>
              <w:adjustRightInd w:val="0"/>
              <w:snapToGrid w:val="0"/>
              <w:spacing w:line="360" w:lineRule="auto"/>
              <w:ind w:firstLine="480"/>
              <w:jc w:val="left"/>
              <w:rPr>
                <w:sz w:val="24"/>
              </w:rPr>
            </w:pPr>
            <w:r>
              <w:rPr>
                <w:rFonts w:hint="eastAsia"/>
                <w:sz w:val="24"/>
              </w:rPr>
              <w:t>（5）循环水池金属沉渣</w:t>
            </w:r>
          </w:p>
          <w:p w14:paraId="5587205E">
            <w:pPr>
              <w:pStyle w:val="76"/>
              <w:adjustRightInd w:val="0"/>
              <w:snapToGrid w:val="0"/>
              <w:spacing w:line="360" w:lineRule="auto"/>
              <w:ind w:firstLine="480"/>
              <w:jc w:val="left"/>
              <w:rPr>
                <w:sz w:val="24"/>
              </w:rPr>
            </w:pPr>
            <w:r>
              <w:rPr>
                <w:rFonts w:hint="eastAsia"/>
                <w:sz w:val="24"/>
              </w:rPr>
              <w:t>本项目浊循环水池会有少量金属沉渣，根据现有项目运行情况，预计产生量为</w:t>
            </w:r>
            <w:r>
              <w:rPr>
                <w:sz w:val="24"/>
              </w:rPr>
              <w:t>80 t/a</w:t>
            </w:r>
            <w:r>
              <w:rPr>
                <w:rFonts w:hint="eastAsia"/>
                <w:sz w:val="24"/>
              </w:rPr>
              <w:t>，收集后暂存于一般固废收集箱，外售处置。</w:t>
            </w:r>
          </w:p>
          <w:p w14:paraId="18F8FAA1">
            <w:pPr>
              <w:pStyle w:val="83"/>
              <w:ind w:firstLine="480"/>
            </w:pPr>
            <w:r>
              <w:rPr>
                <w:rFonts w:hint="eastAsia"/>
              </w:rPr>
              <w:t>（</w:t>
            </w:r>
            <w:r>
              <w:t>6</w:t>
            </w:r>
            <w:r>
              <w:rPr>
                <w:rFonts w:hint="eastAsia"/>
              </w:rPr>
              <w:t>）化粪池污泥</w:t>
            </w:r>
          </w:p>
          <w:p w14:paraId="22B3AF68">
            <w:pPr>
              <w:pStyle w:val="83"/>
              <w:ind w:firstLine="480"/>
            </w:pPr>
            <w:r>
              <w:rPr>
                <w:rFonts w:hint="eastAsia"/>
              </w:rPr>
              <w:t>现有项目化粪池因本项目新增的污泥量参照《集中式污染治理设施产排污系数手册(2010修订)》，化粪池污泥产生量按照4.57t/万t废水处理量计算，现有项目化粪池新增处理废水量为</w:t>
            </w:r>
            <w:r>
              <w:rPr>
                <w:kern w:val="24"/>
              </w:rPr>
              <w:t>1296</w:t>
            </w:r>
            <w:r>
              <w:rPr>
                <w:rFonts w:hint="eastAsia"/>
              </w:rPr>
              <w:t xml:space="preserve"> m</w:t>
            </w:r>
            <w:r>
              <w:rPr>
                <w:rFonts w:hint="eastAsia"/>
                <w:vertAlign w:val="superscript"/>
              </w:rPr>
              <w:t>3</w:t>
            </w:r>
            <w:r>
              <w:rPr>
                <w:rFonts w:hint="eastAsia"/>
              </w:rPr>
              <w:t>/a，则本项目化粪池污泥新增产生量约为</w:t>
            </w:r>
            <w:r>
              <w:t>0.59</w:t>
            </w:r>
            <w:r>
              <w:rPr>
                <w:rFonts w:hint="eastAsia"/>
              </w:rPr>
              <w:t xml:space="preserve"> t/a，委托环卫部门</w:t>
            </w:r>
            <w:r>
              <w:rPr>
                <w:rFonts w:hint="eastAsia"/>
                <w:kern w:val="24"/>
              </w:rPr>
              <w:t>清掏处置</w:t>
            </w:r>
            <w:r>
              <w:rPr>
                <w:rFonts w:hint="eastAsia"/>
              </w:rPr>
              <w:t>。</w:t>
            </w:r>
          </w:p>
          <w:p w14:paraId="625CF61B">
            <w:pPr>
              <w:pStyle w:val="83"/>
              <w:ind w:firstLine="480"/>
              <w:rPr>
                <w:lang w:bidi="ar"/>
              </w:rPr>
            </w:pPr>
            <w:r>
              <w:rPr>
                <w:lang w:bidi="ar"/>
              </w:rPr>
              <w:t>（7）污水处理站污泥</w:t>
            </w:r>
          </w:p>
          <w:p w14:paraId="5B7CEAF9">
            <w:pPr>
              <w:pStyle w:val="83"/>
              <w:ind w:firstLine="480"/>
              <w:rPr>
                <w:kern w:val="24"/>
              </w:rPr>
            </w:pPr>
            <w:r>
              <w:rPr>
                <w:rStyle w:val="147"/>
                <w:rFonts w:hint="default" w:eastAsiaTheme="minorEastAsia"/>
                <w:color w:val="auto"/>
              </w:rPr>
              <w:t>本项目生活污水依托现有生活污水处理站，</w:t>
            </w:r>
            <w:r>
              <w:rPr>
                <w:rFonts w:hint="eastAsia"/>
                <w:kern w:val="24"/>
              </w:rPr>
              <w:t>污水处理站运行过程会产生污泥，根据唐受印等编著的《水处理工程师手册》的相关数据，含水率为99%的剩余污泥量为处理水量的0.3%~0.5%（本项目取0.3%），本项目新增污水量为</w:t>
            </w:r>
            <w:r>
              <w:rPr>
                <w:kern w:val="24"/>
              </w:rPr>
              <w:t>1296 m</w:t>
            </w:r>
            <w:r>
              <w:rPr>
                <w:kern w:val="24"/>
                <w:vertAlign w:val="superscript"/>
              </w:rPr>
              <w:t>3</w:t>
            </w:r>
            <w:r>
              <w:rPr>
                <w:kern w:val="24"/>
              </w:rPr>
              <w:t>/a</w:t>
            </w:r>
            <w:r>
              <w:rPr>
                <w:rFonts w:hint="eastAsia"/>
                <w:kern w:val="24"/>
              </w:rPr>
              <w:t>，则新增污泥产生量约为</w:t>
            </w:r>
            <w:r>
              <w:rPr>
                <w:kern w:val="24"/>
              </w:rPr>
              <w:t>3.9</w:t>
            </w:r>
            <w:r>
              <w:rPr>
                <w:rFonts w:hint="eastAsia"/>
                <w:kern w:val="24"/>
              </w:rPr>
              <w:t xml:space="preserve"> t/a。本项目污泥产生量少，污泥</w:t>
            </w:r>
            <w:r>
              <w:rPr>
                <w:kern w:val="24"/>
              </w:rPr>
              <w:t>定期清掏，</w:t>
            </w:r>
            <w:r>
              <w:rPr>
                <w:rFonts w:hint="eastAsia"/>
                <w:kern w:val="24"/>
              </w:rPr>
              <w:t>可全部</w:t>
            </w:r>
            <w:r>
              <w:rPr>
                <w:rFonts w:hint="eastAsia"/>
                <w:kern w:val="24"/>
                <w:szCs w:val="21"/>
              </w:rPr>
              <w:t>回用于现有项目</w:t>
            </w:r>
            <w:r>
              <w:rPr>
                <w:kern w:val="24"/>
              </w:rPr>
              <w:t>厂内绿化带施肥。</w:t>
            </w:r>
          </w:p>
          <w:p w14:paraId="14C346A9">
            <w:pPr>
              <w:pStyle w:val="76"/>
              <w:adjustRightInd w:val="0"/>
              <w:snapToGrid w:val="0"/>
              <w:spacing w:line="360" w:lineRule="auto"/>
              <w:ind w:firstLine="480"/>
              <w:jc w:val="left"/>
              <w:rPr>
                <w:sz w:val="24"/>
              </w:rPr>
            </w:pPr>
            <w:r>
              <w:rPr>
                <w:rFonts w:hint="eastAsia"/>
                <w:sz w:val="24"/>
              </w:rPr>
              <w:t>（</w:t>
            </w:r>
            <w:r>
              <w:rPr>
                <w:sz w:val="24"/>
              </w:rPr>
              <w:t>8</w:t>
            </w:r>
            <w:r>
              <w:rPr>
                <w:rFonts w:hint="eastAsia"/>
                <w:sz w:val="24"/>
              </w:rPr>
              <w:t>）机修废物</w:t>
            </w:r>
          </w:p>
          <w:p w14:paraId="55B40FF5">
            <w:pPr>
              <w:pStyle w:val="83"/>
              <w:ind w:firstLine="480"/>
            </w:pPr>
            <w:r>
              <w:t>项目机械设备在日常的保养和维修过程</w:t>
            </w:r>
            <w:r>
              <w:rPr>
                <w:rFonts w:hint="eastAsia"/>
              </w:rPr>
              <w:t>，</w:t>
            </w:r>
            <w:r>
              <w:t>会产生一定量的废机油</w:t>
            </w:r>
            <w:r>
              <w:rPr>
                <w:rFonts w:hint="eastAsia"/>
              </w:rPr>
              <w:t>、废机油桶，根据现有项目运行情况，废机油</w:t>
            </w:r>
            <w:r>
              <w:t>产生量约</w:t>
            </w:r>
            <w:r>
              <w:rPr>
                <w:rFonts w:hint="eastAsia"/>
              </w:rPr>
              <w:t>0.</w:t>
            </w:r>
            <w:r>
              <w:t>8t/a，</w:t>
            </w:r>
            <w:r>
              <w:rPr>
                <w:rFonts w:hint="eastAsia"/>
              </w:rPr>
              <w:t>废机油桶</w:t>
            </w:r>
            <w:r>
              <w:t>产生量约</w:t>
            </w:r>
            <w:r>
              <w:rPr>
                <w:rFonts w:hint="eastAsia"/>
              </w:rPr>
              <w:t>0.</w:t>
            </w:r>
            <w:r>
              <w:t>4t/a</w:t>
            </w:r>
            <w:r>
              <w:rPr>
                <w:rFonts w:hint="eastAsia"/>
              </w:rPr>
              <w:t>。</w:t>
            </w:r>
            <w:r>
              <w:t>根据《国家危险废物名录（2025年版）》，属于HW08废矿物油与含矿物油废物中的“900-214-08</w:t>
            </w:r>
            <w:r>
              <w:rPr>
                <w:rFonts w:hint="eastAsia"/>
              </w:rPr>
              <w:t>车辆、轮船及其它机械维修过程中产生的废发动机油、制动器油、自动变速器油、齿轮油等废润滑油</w:t>
            </w:r>
            <w:r>
              <w:t>”，“900-249-08其他生产、销售、使用过程中产生的废矿物油及沾染矿物油的废弃包装物”。</w:t>
            </w:r>
          </w:p>
          <w:p w14:paraId="40CDB4FB">
            <w:pPr>
              <w:pStyle w:val="83"/>
              <w:ind w:firstLine="480"/>
            </w:pPr>
            <w:r>
              <w:rPr>
                <w:rFonts w:hint="eastAsia"/>
              </w:rPr>
              <w:t>废机油、废机油桶分类收集后暂存于危废暂存间，</w:t>
            </w:r>
            <w:r>
              <w:t>委托有资质单位处置。</w:t>
            </w:r>
          </w:p>
          <w:p w14:paraId="22026C0B">
            <w:pPr>
              <w:adjustRightInd w:val="0"/>
              <w:snapToGrid w:val="0"/>
              <w:spacing w:line="360" w:lineRule="auto"/>
              <w:jc w:val="left"/>
              <w:rPr>
                <w:b/>
                <w:bCs/>
                <w:sz w:val="24"/>
              </w:rPr>
            </w:pPr>
            <w:r>
              <w:rPr>
                <w:rFonts w:hint="eastAsia"/>
                <w:b/>
                <w:bCs/>
                <w:sz w:val="24"/>
              </w:rPr>
              <w:t>4.2 固体废物环境管理要求</w:t>
            </w:r>
          </w:p>
          <w:p w14:paraId="017CD9AB">
            <w:pPr>
              <w:adjustRightInd w:val="0"/>
              <w:snapToGrid w:val="0"/>
              <w:spacing w:line="360" w:lineRule="auto"/>
              <w:ind w:firstLine="480" w:firstLineChars="200"/>
              <w:jc w:val="left"/>
              <w:rPr>
                <w:kern w:val="24"/>
                <w:sz w:val="24"/>
              </w:rPr>
            </w:pPr>
            <w:r>
              <w:rPr>
                <w:rFonts w:hint="eastAsia"/>
                <w:kern w:val="24"/>
                <w:sz w:val="24"/>
              </w:rPr>
              <w:t>项目固体废物按一般固废、危险废物、生活垃圾进行分类管理。</w:t>
            </w:r>
          </w:p>
          <w:p w14:paraId="7778882E">
            <w:pPr>
              <w:adjustRightInd w:val="0"/>
              <w:snapToGrid w:val="0"/>
              <w:spacing w:line="360" w:lineRule="auto"/>
              <w:ind w:firstLine="480" w:firstLineChars="200"/>
              <w:jc w:val="left"/>
              <w:rPr>
                <w:kern w:val="24"/>
                <w:sz w:val="24"/>
              </w:rPr>
            </w:pPr>
            <w:r>
              <w:rPr>
                <w:rFonts w:hint="eastAsia"/>
                <w:kern w:val="24"/>
                <w:sz w:val="24"/>
              </w:rPr>
              <w:t>一般固废：废边角料、不合格产品、金属沉渣、除尘灰经收集后暂存于一般固废收集箱，外售处置。化粪池污泥委托环卫部门清掏处置。污水处理站污泥定期清掏，回用于现有项目厂内绿化带施肥。</w:t>
            </w:r>
          </w:p>
          <w:p w14:paraId="2D01F699">
            <w:pPr>
              <w:adjustRightInd w:val="0"/>
              <w:snapToGrid w:val="0"/>
              <w:spacing w:line="360" w:lineRule="auto"/>
              <w:ind w:firstLine="480" w:firstLineChars="200"/>
              <w:jc w:val="left"/>
              <w:rPr>
                <w:kern w:val="24"/>
                <w:sz w:val="24"/>
              </w:rPr>
            </w:pPr>
            <w:r>
              <w:rPr>
                <w:rFonts w:hint="eastAsia"/>
                <w:kern w:val="24"/>
                <w:sz w:val="24"/>
              </w:rPr>
              <w:t>危险废物：废矿物油及含矿物油废物分类收集，分区分类暂存于危废暂存间，委托有资质单位处置。</w:t>
            </w:r>
          </w:p>
          <w:p w14:paraId="66F6633E">
            <w:pPr>
              <w:adjustRightInd w:val="0"/>
              <w:snapToGrid w:val="0"/>
              <w:spacing w:line="360" w:lineRule="auto"/>
              <w:ind w:firstLine="480" w:firstLineChars="200"/>
              <w:jc w:val="left"/>
              <w:rPr>
                <w:kern w:val="24"/>
                <w:sz w:val="24"/>
              </w:rPr>
            </w:pPr>
            <w:r>
              <w:rPr>
                <w:rFonts w:hint="eastAsia"/>
                <w:kern w:val="24"/>
                <w:sz w:val="24"/>
              </w:rPr>
              <w:t>生活垃圾委托环卫部门清运处置。</w:t>
            </w:r>
          </w:p>
          <w:p w14:paraId="56CC7C05">
            <w:pPr>
              <w:pStyle w:val="83"/>
              <w:ind w:firstLine="480"/>
              <w:rPr>
                <w:kern w:val="0"/>
                <w:szCs w:val="21"/>
                <w:lang w:bidi="ar"/>
              </w:rPr>
            </w:pPr>
            <w:r>
              <w:t>本项目</w:t>
            </w:r>
            <w:r>
              <w:rPr>
                <w:rFonts w:hint="eastAsia"/>
              </w:rPr>
              <w:t>依托现有项目</w:t>
            </w:r>
            <w:r>
              <w:t>危险废物暂存间</w:t>
            </w:r>
            <w:r>
              <w:rPr>
                <w:rFonts w:eastAsiaTheme="minorEastAsia"/>
                <w:szCs w:val="21"/>
              </w:rPr>
              <w:t>用于暂存危险废物，</w:t>
            </w:r>
            <w:r>
              <w:t>面积为5m</w:t>
            </w:r>
            <w:r>
              <w:rPr>
                <w:vertAlign w:val="superscript"/>
              </w:rPr>
              <w:t>2</w:t>
            </w:r>
            <w:r>
              <w:t>。</w:t>
            </w:r>
            <w:r>
              <w:rPr>
                <w:rFonts w:hint="eastAsia"/>
                <w:kern w:val="0"/>
                <w:szCs w:val="21"/>
                <w:lang w:bidi="ar"/>
              </w:rPr>
              <w:t>现有</w:t>
            </w:r>
            <w:r>
              <w:rPr>
                <w:kern w:val="0"/>
                <w:szCs w:val="21"/>
                <w:lang w:bidi="ar"/>
              </w:rPr>
              <w:t>项目危废暂存间</w:t>
            </w:r>
            <w:r>
              <w:rPr>
                <w:rFonts w:hint="eastAsia"/>
                <w:kern w:val="0"/>
                <w:szCs w:val="21"/>
                <w:lang w:bidi="ar"/>
              </w:rPr>
              <w:t>已进行重点防渗</w:t>
            </w:r>
            <w:r>
              <w:rPr>
                <w:kern w:val="0"/>
                <w:szCs w:val="21"/>
                <w:lang w:bidi="ar"/>
              </w:rPr>
              <w:t>，其防渗措施</w:t>
            </w:r>
            <w:r>
              <w:rPr>
                <w:rFonts w:hint="eastAsia"/>
                <w:kern w:val="0"/>
                <w:szCs w:val="21"/>
                <w:lang w:bidi="ar"/>
              </w:rPr>
              <w:t>采用抗渗混凝土+2mm厚高密度聚乙烯膜+环氧树脂涂层。现有项目</w:t>
            </w:r>
            <w:r>
              <w:t>危险废物暂存间</w:t>
            </w:r>
            <w:r>
              <w:rPr>
                <w:rFonts w:hint="eastAsia"/>
              </w:rPr>
              <w:t>已通过竣工环保验收，依托可行</w:t>
            </w:r>
            <w:r>
              <w:rPr>
                <w:rFonts w:hint="eastAsia"/>
                <w:kern w:val="0"/>
                <w:szCs w:val="21"/>
                <w:lang w:bidi="ar"/>
              </w:rPr>
              <w:t>。</w:t>
            </w:r>
          </w:p>
          <w:p w14:paraId="71C32D7F">
            <w:pPr>
              <w:pStyle w:val="83"/>
              <w:ind w:firstLine="480"/>
            </w:pPr>
            <w:r>
              <w:rPr>
                <w:rFonts w:hint="eastAsia"/>
              </w:rPr>
              <w:t>本次对现有</w:t>
            </w:r>
            <w:r>
              <w:rPr>
                <w:kern w:val="0"/>
                <w:szCs w:val="21"/>
                <w:lang w:bidi="ar"/>
              </w:rPr>
              <w:t>危废暂存间</w:t>
            </w:r>
            <w:r>
              <w:t>按《危险废物识别标志设置技术规范》（HJ 1276-2022）</w:t>
            </w:r>
            <w:r>
              <w:rPr>
                <w:kern w:val="0"/>
              </w:rPr>
              <w:t>《危险废物贮存污染控制标准》（GB18597-2023）的相关规定进行</w:t>
            </w:r>
            <w:r>
              <w:t>危险废物标志牌</w:t>
            </w:r>
            <w:r>
              <w:rPr>
                <w:rFonts w:hint="eastAsia"/>
                <w:kern w:val="0"/>
              </w:rPr>
              <w:t>更新</w:t>
            </w:r>
            <w:r>
              <w:rPr>
                <w:kern w:val="0"/>
              </w:rPr>
              <w:t>。</w:t>
            </w:r>
            <w:r>
              <w:rPr>
                <w:rFonts w:hint="eastAsia"/>
                <w:kern w:val="24"/>
              </w:rPr>
              <w:t>危险废物的收集、运输应按照《危险废物收集、贮存、运输技术规范》（</w:t>
            </w:r>
            <w:r>
              <w:rPr>
                <w:kern w:val="24"/>
              </w:rPr>
              <w:t>HJ2025-2012</w:t>
            </w:r>
            <w:r>
              <w:rPr>
                <w:rFonts w:hint="eastAsia"/>
                <w:kern w:val="24"/>
              </w:rPr>
              <w:t>）的要求进行。</w:t>
            </w:r>
          </w:p>
          <w:p w14:paraId="656018D4">
            <w:pPr>
              <w:adjustRightInd w:val="0"/>
              <w:snapToGrid w:val="0"/>
              <w:spacing w:line="360" w:lineRule="auto"/>
              <w:jc w:val="left"/>
              <w:rPr>
                <w:b/>
                <w:bCs/>
                <w:sz w:val="24"/>
              </w:rPr>
            </w:pPr>
            <w:r>
              <w:rPr>
                <w:rFonts w:hint="eastAsia"/>
                <w:b/>
                <w:bCs/>
                <w:sz w:val="24"/>
              </w:rPr>
              <w:t>4.3 固体废物环境影响分析</w:t>
            </w:r>
          </w:p>
          <w:p w14:paraId="33A5335C">
            <w:pPr>
              <w:adjustRightInd w:val="0"/>
              <w:snapToGrid w:val="0"/>
              <w:spacing w:line="360" w:lineRule="auto"/>
              <w:ind w:firstLine="480" w:firstLineChars="200"/>
              <w:rPr>
                <w:kern w:val="24"/>
                <w:sz w:val="24"/>
              </w:rPr>
            </w:pPr>
            <w:r>
              <w:rPr>
                <w:rFonts w:hint="eastAsia"/>
                <w:kern w:val="24"/>
                <w:sz w:val="24"/>
              </w:rPr>
              <w:t>本项目产生的固废经妥善处理、处置后，对周围环境不会造成影响，所采取的治理措施是可行的。</w:t>
            </w:r>
          </w:p>
          <w:p w14:paraId="10041310">
            <w:pPr>
              <w:adjustRightInd w:val="0"/>
              <w:snapToGrid w:val="0"/>
              <w:spacing w:line="360" w:lineRule="auto"/>
              <w:jc w:val="left"/>
              <w:rPr>
                <w:b/>
                <w:bCs/>
                <w:sz w:val="24"/>
              </w:rPr>
            </w:pPr>
            <w:r>
              <w:rPr>
                <w:rFonts w:hint="eastAsia"/>
                <w:b/>
                <w:bCs/>
                <w:sz w:val="24"/>
              </w:rPr>
              <w:t>5、运营期</w:t>
            </w:r>
            <w:r>
              <w:rPr>
                <w:rFonts w:hint="eastAsia"/>
                <w:b/>
                <w:kern w:val="24"/>
                <w:sz w:val="24"/>
              </w:rPr>
              <w:t>地下水、土壤</w:t>
            </w:r>
            <w:r>
              <w:rPr>
                <w:rFonts w:hint="eastAsia"/>
                <w:b/>
                <w:bCs/>
                <w:sz w:val="24"/>
              </w:rPr>
              <w:t>环境影响和保护措施</w:t>
            </w:r>
          </w:p>
          <w:p w14:paraId="075C18CB">
            <w:pPr>
              <w:adjustRightInd w:val="0"/>
              <w:snapToGrid w:val="0"/>
              <w:spacing w:line="360" w:lineRule="auto"/>
              <w:jc w:val="left"/>
              <w:rPr>
                <w:b/>
                <w:bCs/>
                <w:sz w:val="24"/>
              </w:rPr>
            </w:pPr>
            <w:r>
              <w:rPr>
                <w:rFonts w:hint="eastAsia"/>
                <w:b/>
                <w:bCs/>
                <w:sz w:val="24"/>
              </w:rPr>
              <w:t>5.</w:t>
            </w:r>
            <w:r>
              <w:rPr>
                <w:b/>
                <w:bCs/>
                <w:sz w:val="24"/>
              </w:rPr>
              <w:t>1</w:t>
            </w:r>
            <w:r>
              <w:rPr>
                <w:rFonts w:hint="eastAsia"/>
                <w:b/>
                <w:bCs/>
                <w:sz w:val="24"/>
              </w:rPr>
              <w:t xml:space="preserve"> </w:t>
            </w:r>
            <w:r>
              <w:rPr>
                <w:rFonts w:hint="eastAsia"/>
                <w:b/>
                <w:kern w:val="24"/>
                <w:sz w:val="24"/>
              </w:rPr>
              <w:t>地下水、土壤污染</w:t>
            </w:r>
            <w:r>
              <w:rPr>
                <w:rFonts w:hint="eastAsia"/>
                <w:b/>
                <w:bCs/>
                <w:sz w:val="24"/>
              </w:rPr>
              <w:t>分析</w:t>
            </w:r>
          </w:p>
          <w:p w14:paraId="07BF2D80">
            <w:pPr>
              <w:adjustRightInd w:val="0"/>
              <w:snapToGrid w:val="0"/>
              <w:spacing w:line="360" w:lineRule="auto"/>
              <w:ind w:firstLine="480" w:firstLineChars="200"/>
              <w:rPr>
                <w:bCs/>
                <w:sz w:val="24"/>
              </w:rPr>
            </w:pPr>
            <w:r>
              <w:rPr>
                <w:rFonts w:hint="eastAsia"/>
                <w:bCs/>
                <w:sz w:val="24"/>
              </w:rPr>
              <w:t>本项目正常情况下，无地下水、土壤污染途径。但若发生防渗层破损等非正常状况下，危废暂存间液体废物泄露、循环水池冷却水、生活污水垂直入渗，可能对区域地下水及土壤造成影响。</w:t>
            </w:r>
          </w:p>
          <w:p w14:paraId="5CCEAD46">
            <w:pPr>
              <w:pStyle w:val="31"/>
              <w:adjustRightInd w:val="0"/>
              <w:snapToGrid w:val="0"/>
              <w:spacing w:after="0" w:line="360" w:lineRule="auto"/>
              <w:ind w:left="0" w:leftChars="0" w:firstLine="480"/>
              <w:rPr>
                <w:sz w:val="24"/>
              </w:rPr>
            </w:pPr>
            <w:r>
              <w:rPr>
                <w:rFonts w:hint="eastAsia"/>
                <w:sz w:val="24"/>
              </w:rPr>
              <w:t>本项目地下水、土壤污染分析见下表。</w:t>
            </w:r>
          </w:p>
          <w:p w14:paraId="7FDA447F">
            <w:pPr>
              <w:adjustRightInd w:val="0"/>
              <w:snapToGrid w:val="0"/>
              <w:spacing w:line="360" w:lineRule="auto"/>
              <w:ind w:firstLine="482" w:firstLineChars="200"/>
              <w:jc w:val="center"/>
              <w:rPr>
                <w:b/>
                <w:kern w:val="24"/>
                <w:sz w:val="24"/>
              </w:rPr>
            </w:pPr>
            <w:r>
              <w:rPr>
                <w:rFonts w:hint="eastAsia"/>
                <w:b/>
                <w:kern w:val="24"/>
                <w:sz w:val="24"/>
              </w:rPr>
              <w:t>表4-19  地下水、土壤污染分析一览表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171"/>
              <w:gridCol w:w="1559"/>
              <w:gridCol w:w="3828"/>
              <w:gridCol w:w="1332"/>
            </w:tblGrid>
            <w:tr w14:paraId="13D7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171" w:type="dxa"/>
                  <w:vAlign w:val="center"/>
                </w:tcPr>
                <w:p w14:paraId="7382B5D1">
                  <w:pPr>
                    <w:adjustRightInd w:val="0"/>
                    <w:snapToGrid w:val="0"/>
                    <w:jc w:val="center"/>
                    <w:rPr>
                      <w:kern w:val="24"/>
                      <w:szCs w:val="21"/>
                    </w:rPr>
                  </w:pPr>
                  <w:r>
                    <w:rPr>
                      <w:rFonts w:hint="eastAsia"/>
                      <w:kern w:val="24"/>
                      <w:szCs w:val="21"/>
                    </w:rPr>
                    <w:t>地下水、土壤污染源</w:t>
                  </w:r>
                </w:p>
              </w:tc>
              <w:tc>
                <w:tcPr>
                  <w:tcW w:w="1559" w:type="dxa"/>
                  <w:vAlign w:val="center"/>
                </w:tcPr>
                <w:p w14:paraId="78861287">
                  <w:pPr>
                    <w:adjustRightInd w:val="0"/>
                    <w:snapToGrid w:val="0"/>
                    <w:jc w:val="center"/>
                    <w:rPr>
                      <w:kern w:val="24"/>
                      <w:szCs w:val="21"/>
                    </w:rPr>
                  </w:pPr>
                  <w:r>
                    <w:rPr>
                      <w:rFonts w:hint="eastAsia"/>
                      <w:kern w:val="24"/>
                      <w:szCs w:val="21"/>
                    </w:rPr>
                    <w:t>污染物类型</w:t>
                  </w:r>
                </w:p>
              </w:tc>
              <w:tc>
                <w:tcPr>
                  <w:tcW w:w="3828" w:type="dxa"/>
                  <w:vAlign w:val="center"/>
                </w:tcPr>
                <w:p w14:paraId="4A81ABC5">
                  <w:pPr>
                    <w:adjustRightInd w:val="0"/>
                    <w:snapToGrid w:val="0"/>
                    <w:jc w:val="center"/>
                    <w:rPr>
                      <w:kern w:val="24"/>
                      <w:szCs w:val="21"/>
                    </w:rPr>
                  </w:pPr>
                  <w:r>
                    <w:rPr>
                      <w:rFonts w:hint="eastAsia"/>
                      <w:kern w:val="24"/>
                      <w:szCs w:val="21"/>
                    </w:rPr>
                    <w:t>污染途径</w:t>
                  </w:r>
                </w:p>
              </w:tc>
              <w:tc>
                <w:tcPr>
                  <w:tcW w:w="1332" w:type="dxa"/>
                  <w:vAlign w:val="center"/>
                </w:tcPr>
                <w:p w14:paraId="6BA77F9A">
                  <w:pPr>
                    <w:adjustRightInd w:val="0"/>
                    <w:snapToGrid w:val="0"/>
                    <w:jc w:val="center"/>
                    <w:rPr>
                      <w:kern w:val="24"/>
                      <w:szCs w:val="21"/>
                    </w:rPr>
                  </w:pPr>
                  <w:r>
                    <w:rPr>
                      <w:rFonts w:hint="eastAsia"/>
                      <w:kern w:val="24"/>
                      <w:szCs w:val="21"/>
                    </w:rPr>
                    <w:t>分区防控</w:t>
                  </w:r>
                </w:p>
              </w:tc>
            </w:tr>
            <w:tr w14:paraId="5F8E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171" w:type="dxa"/>
                  <w:vAlign w:val="center"/>
                </w:tcPr>
                <w:p w14:paraId="2BBE8B24">
                  <w:pPr>
                    <w:adjustRightInd w:val="0"/>
                    <w:snapToGrid w:val="0"/>
                    <w:jc w:val="center"/>
                    <w:rPr>
                      <w:kern w:val="24"/>
                      <w:szCs w:val="21"/>
                    </w:rPr>
                  </w:pPr>
                  <w:r>
                    <w:rPr>
                      <w:rFonts w:hint="eastAsia"/>
                      <w:kern w:val="24"/>
                      <w:szCs w:val="21"/>
                    </w:rPr>
                    <w:t>现有项目危废暂存间</w:t>
                  </w:r>
                </w:p>
              </w:tc>
              <w:tc>
                <w:tcPr>
                  <w:tcW w:w="1559" w:type="dxa"/>
                  <w:vAlign w:val="center"/>
                </w:tcPr>
                <w:p w14:paraId="47EC9EAC">
                  <w:pPr>
                    <w:adjustRightInd w:val="0"/>
                    <w:snapToGrid w:val="0"/>
                    <w:jc w:val="center"/>
                    <w:rPr>
                      <w:kern w:val="24"/>
                      <w:szCs w:val="21"/>
                    </w:rPr>
                  </w:pPr>
                  <w:r>
                    <w:rPr>
                      <w:rFonts w:hint="eastAsia"/>
                      <w:kern w:val="24"/>
                      <w:szCs w:val="21"/>
                    </w:rPr>
                    <w:t>废机油、废机油桶</w:t>
                  </w:r>
                </w:p>
              </w:tc>
              <w:tc>
                <w:tcPr>
                  <w:tcW w:w="3828" w:type="dxa"/>
                  <w:vAlign w:val="center"/>
                </w:tcPr>
                <w:p w14:paraId="5B9007F8">
                  <w:pPr>
                    <w:adjustRightInd w:val="0"/>
                    <w:snapToGrid w:val="0"/>
                    <w:jc w:val="center"/>
                    <w:rPr>
                      <w:kern w:val="24"/>
                      <w:szCs w:val="21"/>
                    </w:rPr>
                  </w:pPr>
                  <w:r>
                    <w:rPr>
                      <w:rFonts w:hint="eastAsia"/>
                      <w:kern w:val="24"/>
                      <w:szCs w:val="21"/>
                    </w:rPr>
                    <w:t>防渗层破裂、围堰破损、危险废物容器破损导致液体废物泄露（垂直入渗）</w:t>
                  </w:r>
                </w:p>
              </w:tc>
              <w:tc>
                <w:tcPr>
                  <w:tcW w:w="1332" w:type="dxa"/>
                  <w:vAlign w:val="center"/>
                </w:tcPr>
                <w:p w14:paraId="3F8EACFB">
                  <w:pPr>
                    <w:adjustRightInd w:val="0"/>
                    <w:snapToGrid w:val="0"/>
                    <w:jc w:val="center"/>
                    <w:rPr>
                      <w:kern w:val="24"/>
                      <w:szCs w:val="21"/>
                    </w:rPr>
                  </w:pPr>
                  <w:r>
                    <w:rPr>
                      <w:rFonts w:hint="eastAsia"/>
                      <w:kern w:val="24"/>
                      <w:szCs w:val="21"/>
                    </w:rPr>
                    <w:t>重点防渗区</w:t>
                  </w:r>
                </w:p>
              </w:tc>
            </w:tr>
            <w:tr w14:paraId="368D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171" w:type="dxa"/>
                  <w:vAlign w:val="center"/>
                </w:tcPr>
                <w:p w14:paraId="07E617B0">
                  <w:pPr>
                    <w:adjustRightInd w:val="0"/>
                    <w:snapToGrid w:val="0"/>
                    <w:jc w:val="center"/>
                    <w:rPr>
                      <w:kern w:val="24"/>
                      <w:szCs w:val="21"/>
                    </w:rPr>
                  </w:pPr>
                  <w:r>
                    <w:rPr>
                      <w:rFonts w:hint="eastAsia"/>
                      <w:szCs w:val="21"/>
                    </w:rPr>
                    <w:t>现有项目化粪池、</w:t>
                  </w:r>
                  <w:r>
                    <w:rPr>
                      <w:rFonts w:hint="eastAsia"/>
                      <w:kern w:val="24"/>
                      <w:szCs w:val="21"/>
                    </w:rPr>
                    <w:t>现有项目污水处理设施</w:t>
                  </w:r>
                </w:p>
              </w:tc>
              <w:tc>
                <w:tcPr>
                  <w:tcW w:w="1559" w:type="dxa"/>
                  <w:vAlign w:val="center"/>
                </w:tcPr>
                <w:p w14:paraId="21275F94">
                  <w:pPr>
                    <w:adjustRightInd w:val="0"/>
                    <w:snapToGrid w:val="0"/>
                    <w:jc w:val="center"/>
                    <w:rPr>
                      <w:kern w:val="24"/>
                      <w:szCs w:val="21"/>
                    </w:rPr>
                  </w:pPr>
                  <w:r>
                    <w:rPr>
                      <w:rFonts w:hint="eastAsia"/>
                      <w:kern w:val="24"/>
                      <w:szCs w:val="21"/>
                    </w:rPr>
                    <w:t>CODcr、NH</w:t>
                  </w:r>
                  <w:r>
                    <w:rPr>
                      <w:rFonts w:hint="eastAsia"/>
                      <w:kern w:val="24"/>
                      <w:szCs w:val="21"/>
                      <w:vertAlign w:val="subscript"/>
                    </w:rPr>
                    <w:t>3</w:t>
                  </w:r>
                  <w:r>
                    <w:rPr>
                      <w:rFonts w:hint="eastAsia"/>
                      <w:kern w:val="24"/>
                      <w:szCs w:val="21"/>
                    </w:rPr>
                    <w:t>-N、TP、动植物油</w:t>
                  </w:r>
                </w:p>
              </w:tc>
              <w:tc>
                <w:tcPr>
                  <w:tcW w:w="3828" w:type="dxa"/>
                  <w:vAlign w:val="center"/>
                </w:tcPr>
                <w:p w14:paraId="7E8A83C8">
                  <w:pPr>
                    <w:adjustRightInd w:val="0"/>
                    <w:snapToGrid w:val="0"/>
                    <w:jc w:val="center"/>
                    <w:rPr>
                      <w:kern w:val="24"/>
                      <w:szCs w:val="21"/>
                    </w:rPr>
                  </w:pPr>
                  <w:r>
                    <w:rPr>
                      <w:rFonts w:hint="eastAsia"/>
                      <w:kern w:val="24"/>
                      <w:szCs w:val="21"/>
                    </w:rPr>
                    <w:t>化粪池池体、池壁破裂导致生活污水渗漏；污水管道破损导致生活污水渗漏，污水处理设施池体防渗层破裂导致生活污水泄露（垂直入渗）</w:t>
                  </w:r>
                </w:p>
              </w:tc>
              <w:tc>
                <w:tcPr>
                  <w:tcW w:w="1332" w:type="dxa"/>
                  <w:vAlign w:val="center"/>
                </w:tcPr>
                <w:p w14:paraId="22EE99C0">
                  <w:pPr>
                    <w:adjustRightInd w:val="0"/>
                    <w:snapToGrid w:val="0"/>
                    <w:jc w:val="center"/>
                    <w:rPr>
                      <w:kern w:val="24"/>
                      <w:szCs w:val="21"/>
                    </w:rPr>
                  </w:pPr>
                  <w:r>
                    <w:rPr>
                      <w:rFonts w:hint="eastAsia"/>
                      <w:kern w:val="24"/>
                      <w:szCs w:val="21"/>
                    </w:rPr>
                    <w:t>一般防渗区</w:t>
                  </w:r>
                </w:p>
              </w:tc>
            </w:tr>
            <w:tr w14:paraId="1B53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171" w:type="dxa"/>
                  <w:vAlign w:val="center"/>
                </w:tcPr>
                <w:p w14:paraId="109D224C">
                  <w:pPr>
                    <w:adjustRightInd w:val="0"/>
                    <w:snapToGrid w:val="0"/>
                    <w:jc w:val="center"/>
                    <w:rPr>
                      <w:szCs w:val="21"/>
                    </w:rPr>
                  </w:pPr>
                  <w:r>
                    <w:rPr>
                      <w:rFonts w:hint="eastAsia"/>
                      <w:kern w:val="0"/>
                      <w:szCs w:val="21"/>
                      <w:lang w:bidi="ar"/>
                    </w:rPr>
                    <w:t>各循环水池</w:t>
                  </w:r>
                  <w:r>
                    <w:rPr>
                      <w:rFonts w:hint="eastAsia"/>
                      <w:szCs w:val="21"/>
                    </w:rPr>
                    <w:t>、</w:t>
                  </w:r>
                  <w:r>
                    <w:rPr>
                      <w:rFonts w:hint="eastAsia"/>
                      <w:kern w:val="0"/>
                      <w:szCs w:val="21"/>
                    </w:rPr>
                    <w:t>循环水槽/水箱</w:t>
                  </w:r>
                </w:p>
              </w:tc>
              <w:tc>
                <w:tcPr>
                  <w:tcW w:w="1559" w:type="dxa"/>
                  <w:vAlign w:val="center"/>
                </w:tcPr>
                <w:p w14:paraId="77398756">
                  <w:pPr>
                    <w:adjustRightInd w:val="0"/>
                    <w:snapToGrid w:val="0"/>
                    <w:jc w:val="center"/>
                    <w:rPr>
                      <w:kern w:val="24"/>
                      <w:szCs w:val="21"/>
                    </w:rPr>
                  </w:pPr>
                  <w:r>
                    <w:rPr>
                      <w:rFonts w:hint="eastAsia"/>
                      <w:kern w:val="24"/>
                      <w:szCs w:val="21"/>
                    </w:rPr>
                    <w:t>CODcr、S</w:t>
                  </w:r>
                  <w:r>
                    <w:rPr>
                      <w:kern w:val="24"/>
                      <w:szCs w:val="21"/>
                    </w:rPr>
                    <w:t>S</w:t>
                  </w:r>
                </w:p>
              </w:tc>
              <w:tc>
                <w:tcPr>
                  <w:tcW w:w="3828" w:type="dxa"/>
                  <w:vAlign w:val="center"/>
                </w:tcPr>
                <w:p w14:paraId="7509E440">
                  <w:pPr>
                    <w:adjustRightInd w:val="0"/>
                    <w:snapToGrid w:val="0"/>
                    <w:jc w:val="center"/>
                    <w:rPr>
                      <w:kern w:val="24"/>
                      <w:szCs w:val="21"/>
                    </w:rPr>
                  </w:pPr>
                  <w:r>
                    <w:rPr>
                      <w:rFonts w:hint="eastAsia"/>
                      <w:kern w:val="0"/>
                      <w:szCs w:val="21"/>
                      <w:lang w:bidi="ar"/>
                    </w:rPr>
                    <w:t>循环水池池底、池壁防渗层破裂或管道老化腐蚀等</w:t>
                  </w:r>
                  <w:r>
                    <w:rPr>
                      <w:rFonts w:hint="eastAsia"/>
                      <w:kern w:val="24"/>
                      <w:szCs w:val="21"/>
                    </w:rPr>
                    <w:t>导致冷却水泄露（垂直入渗）</w:t>
                  </w:r>
                </w:p>
              </w:tc>
              <w:tc>
                <w:tcPr>
                  <w:tcW w:w="1332" w:type="dxa"/>
                  <w:vAlign w:val="center"/>
                </w:tcPr>
                <w:p w14:paraId="17866EC0">
                  <w:pPr>
                    <w:adjustRightInd w:val="0"/>
                    <w:snapToGrid w:val="0"/>
                    <w:jc w:val="center"/>
                    <w:rPr>
                      <w:kern w:val="24"/>
                      <w:szCs w:val="21"/>
                    </w:rPr>
                  </w:pPr>
                  <w:r>
                    <w:rPr>
                      <w:rFonts w:hint="eastAsia"/>
                      <w:kern w:val="24"/>
                      <w:szCs w:val="21"/>
                    </w:rPr>
                    <w:t>一般防渗区</w:t>
                  </w:r>
                </w:p>
              </w:tc>
            </w:tr>
          </w:tbl>
          <w:p w14:paraId="3CA3141A">
            <w:pPr>
              <w:pStyle w:val="31"/>
              <w:adjustRightInd w:val="0"/>
              <w:snapToGrid w:val="0"/>
              <w:spacing w:after="0" w:line="360" w:lineRule="auto"/>
              <w:ind w:left="0" w:leftChars="0" w:firstLine="480"/>
              <w:rPr>
                <w:sz w:val="24"/>
              </w:rPr>
            </w:pPr>
          </w:p>
          <w:p w14:paraId="2588E3AC">
            <w:pPr>
              <w:adjustRightInd w:val="0"/>
              <w:snapToGrid w:val="0"/>
              <w:spacing w:line="360" w:lineRule="auto"/>
              <w:jc w:val="left"/>
              <w:rPr>
                <w:b/>
                <w:bCs/>
                <w:sz w:val="24"/>
              </w:rPr>
            </w:pPr>
            <w:r>
              <w:rPr>
                <w:rFonts w:hint="eastAsia"/>
                <w:b/>
                <w:bCs/>
                <w:sz w:val="24"/>
              </w:rPr>
              <w:t>5.</w:t>
            </w:r>
            <w:r>
              <w:rPr>
                <w:b/>
                <w:bCs/>
                <w:sz w:val="24"/>
              </w:rPr>
              <w:t>2</w:t>
            </w:r>
            <w:r>
              <w:rPr>
                <w:rFonts w:hint="eastAsia"/>
                <w:b/>
                <w:bCs/>
                <w:sz w:val="24"/>
              </w:rPr>
              <w:t xml:space="preserve"> </w:t>
            </w:r>
            <w:r>
              <w:rPr>
                <w:rFonts w:hint="eastAsia"/>
                <w:b/>
                <w:kern w:val="24"/>
                <w:sz w:val="24"/>
              </w:rPr>
              <w:t>地下水、土壤污染防控措施</w:t>
            </w:r>
          </w:p>
          <w:p w14:paraId="21271E03">
            <w:pPr>
              <w:pStyle w:val="31"/>
              <w:adjustRightInd w:val="0"/>
              <w:snapToGrid w:val="0"/>
              <w:spacing w:after="0" w:line="360" w:lineRule="auto"/>
              <w:ind w:left="0" w:leftChars="0" w:firstLine="480"/>
              <w:rPr>
                <w:sz w:val="24"/>
              </w:rPr>
            </w:pPr>
            <w:r>
              <w:rPr>
                <w:rFonts w:hint="eastAsia"/>
                <w:sz w:val="24"/>
              </w:rPr>
              <w:t>本项目地下水、土壤污染防治措施按照“源头控制、分区防治、应急响应”相结合的原则，从污染物的产生、入渗、扩散、应急响应进行控制。</w:t>
            </w:r>
          </w:p>
          <w:p w14:paraId="74B719E6">
            <w:pPr>
              <w:pStyle w:val="31"/>
              <w:adjustRightInd w:val="0"/>
              <w:snapToGrid w:val="0"/>
              <w:spacing w:after="0" w:line="360" w:lineRule="auto"/>
              <w:ind w:left="48" w:leftChars="23" w:firstLine="480"/>
              <w:rPr>
                <w:sz w:val="24"/>
              </w:rPr>
            </w:pPr>
            <w:r>
              <w:rPr>
                <w:rFonts w:hint="eastAsia"/>
                <w:sz w:val="24"/>
              </w:rPr>
              <w:t>①源头控制措施</w:t>
            </w:r>
          </w:p>
          <w:p w14:paraId="2F699154">
            <w:pPr>
              <w:pStyle w:val="31"/>
              <w:adjustRightInd w:val="0"/>
              <w:snapToGrid w:val="0"/>
              <w:spacing w:after="0" w:line="360" w:lineRule="auto"/>
              <w:ind w:left="48" w:leftChars="23" w:firstLine="480"/>
              <w:rPr>
                <w:sz w:val="24"/>
              </w:rPr>
            </w:pPr>
            <w:r>
              <w:rPr>
                <w:rFonts w:hint="eastAsia"/>
                <w:sz w:val="24"/>
              </w:rPr>
              <w:t>污水管严格按照国家相关规范要求，使用合格的管材尽可能从源头上减少污染物的产生；防止和降低可能污染物的跑、冒、滴、漏，将废水泄漏的环境风险事故降低到最低程度。</w:t>
            </w:r>
          </w:p>
          <w:p w14:paraId="7FF91842">
            <w:pPr>
              <w:pStyle w:val="31"/>
              <w:adjustRightInd w:val="0"/>
              <w:snapToGrid w:val="0"/>
              <w:spacing w:after="0" w:line="360" w:lineRule="auto"/>
              <w:ind w:left="48" w:leftChars="23" w:firstLine="480"/>
              <w:rPr>
                <w:sz w:val="24"/>
              </w:rPr>
            </w:pPr>
            <w:r>
              <w:rPr>
                <w:rFonts w:hint="eastAsia"/>
                <w:sz w:val="24"/>
              </w:rPr>
              <w:t>②分区防控措施</w:t>
            </w:r>
          </w:p>
          <w:p w14:paraId="12248687">
            <w:pPr>
              <w:pStyle w:val="31"/>
              <w:adjustRightInd w:val="0"/>
              <w:snapToGrid w:val="0"/>
              <w:spacing w:after="0" w:line="360" w:lineRule="auto"/>
              <w:ind w:left="0" w:leftChars="0" w:firstLine="480"/>
              <w:rPr>
                <w:sz w:val="24"/>
              </w:rPr>
            </w:pPr>
            <w:r>
              <w:rPr>
                <w:rFonts w:hint="eastAsia"/>
                <w:sz w:val="24"/>
              </w:rPr>
              <w:t>根据项目地下水、土壤污染分析，本项目按照分区防控的要求，将厂区分为重点防渗区、一般防渗区和简单防渗区，不同的分区采取相应的防渗措施。</w:t>
            </w:r>
          </w:p>
          <w:p w14:paraId="1E49A7E9">
            <w:pPr>
              <w:pStyle w:val="31"/>
              <w:adjustRightInd w:val="0"/>
              <w:snapToGrid w:val="0"/>
              <w:spacing w:after="0" w:line="360" w:lineRule="auto"/>
              <w:ind w:left="0" w:leftChars="0" w:firstLine="480"/>
              <w:rPr>
                <w:sz w:val="24"/>
              </w:rPr>
            </w:pPr>
            <w:r>
              <w:rPr>
                <w:rFonts w:hint="eastAsia"/>
                <w:sz w:val="24"/>
              </w:rPr>
              <w:t>本项目运行期地下水、土壤防控措施见下表。</w:t>
            </w:r>
          </w:p>
          <w:p w14:paraId="1A9141EA">
            <w:pPr>
              <w:adjustRightInd w:val="0"/>
              <w:snapToGrid w:val="0"/>
              <w:spacing w:line="360" w:lineRule="auto"/>
              <w:ind w:firstLine="482" w:firstLineChars="200"/>
              <w:jc w:val="center"/>
              <w:rPr>
                <w:b/>
                <w:kern w:val="24"/>
                <w:sz w:val="24"/>
              </w:rPr>
            </w:pPr>
            <w:r>
              <w:rPr>
                <w:rFonts w:hint="eastAsia"/>
                <w:b/>
                <w:kern w:val="24"/>
                <w:sz w:val="24"/>
              </w:rPr>
              <w:t>表4-20  本项目分区防渗内容及要求汇总表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21"/>
              <w:gridCol w:w="1559"/>
              <w:gridCol w:w="6010"/>
            </w:tblGrid>
            <w:tr w14:paraId="31F7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Align w:val="center"/>
                </w:tcPr>
                <w:p w14:paraId="519A78B6">
                  <w:pPr>
                    <w:adjustRightInd w:val="0"/>
                    <w:snapToGrid w:val="0"/>
                    <w:jc w:val="center"/>
                    <w:rPr>
                      <w:kern w:val="24"/>
                      <w:szCs w:val="21"/>
                    </w:rPr>
                  </w:pPr>
                  <w:r>
                    <w:rPr>
                      <w:rFonts w:hint="eastAsia"/>
                      <w:kern w:val="24"/>
                      <w:szCs w:val="21"/>
                    </w:rPr>
                    <w:t>防渗分区</w:t>
                  </w:r>
                </w:p>
              </w:tc>
              <w:tc>
                <w:tcPr>
                  <w:tcW w:w="1559" w:type="dxa"/>
                  <w:vAlign w:val="center"/>
                </w:tcPr>
                <w:p w14:paraId="2E15BBA1">
                  <w:pPr>
                    <w:adjustRightInd w:val="0"/>
                    <w:snapToGrid w:val="0"/>
                    <w:jc w:val="center"/>
                    <w:rPr>
                      <w:kern w:val="24"/>
                      <w:szCs w:val="21"/>
                    </w:rPr>
                  </w:pPr>
                  <w:r>
                    <w:rPr>
                      <w:rFonts w:hint="eastAsia"/>
                      <w:kern w:val="24"/>
                      <w:szCs w:val="21"/>
                    </w:rPr>
                    <w:t>区域</w:t>
                  </w:r>
                </w:p>
              </w:tc>
              <w:tc>
                <w:tcPr>
                  <w:tcW w:w="6010" w:type="dxa"/>
                  <w:vAlign w:val="center"/>
                </w:tcPr>
                <w:p w14:paraId="12CBDD58">
                  <w:pPr>
                    <w:adjustRightInd w:val="0"/>
                    <w:snapToGrid w:val="0"/>
                    <w:jc w:val="center"/>
                    <w:rPr>
                      <w:kern w:val="24"/>
                      <w:szCs w:val="21"/>
                    </w:rPr>
                  </w:pPr>
                  <w:r>
                    <w:rPr>
                      <w:rFonts w:hint="eastAsia"/>
                      <w:kern w:val="24"/>
                      <w:szCs w:val="21"/>
                    </w:rPr>
                    <w:t>防渗要求、措施</w:t>
                  </w:r>
                </w:p>
              </w:tc>
            </w:tr>
            <w:tr w14:paraId="2EAA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Align w:val="center"/>
                </w:tcPr>
                <w:p w14:paraId="70DB9551">
                  <w:pPr>
                    <w:adjustRightInd w:val="0"/>
                    <w:snapToGrid w:val="0"/>
                    <w:jc w:val="center"/>
                    <w:rPr>
                      <w:kern w:val="24"/>
                      <w:szCs w:val="21"/>
                    </w:rPr>
                  </w:pPr>
                  <w:r>
                    <w:rPr>
                      <w:rFonts w:hint="eastAsia"/>
                      <w:kern w:val="24"/>
                      <w:szCs w:val="21"/>
                    </w:rPr>
                    <w:t>重点防渗区</w:t>
                  </w:r>
                </w:p>
              </w:tc>
              <w:tc>
                <w:tcPr>
                  <w:tcW w:w="1559" w:type="dxa"/>
                  <w:vAlign w:val="center"/>
                </w:tcPr>
                <w:p w14:paraId="32FC49CD">
                  <w:pPr>
                    <w:adjustRightInd w:val="0"/>
                    <w:snapToGrid w:val="0"/>
                    <w:jc w:val="center"/>
                    <w:rPr>
                      <w:kern w:val="24"/>
                      <w:szCs w:val="21"/>
                    </w:rPr>
                  </w:pPr>
                  <w:r>
                    <w:rPr>
                      <w:rFonts w:hint="eastAsia"/>
                      <w:kern w:val="24"/>
                      <w:szCs w:val="21"/>
                    </w:rPr>
                    <w:t>现有项目危废暂存间</w:t>
                  </w:r>
                </w:p>
              </w:tc>
              <w:tc>
                <w:tcPr>
                  <w:tcW w:w="6010" w:type="dxa"/>
                  <w:vAlign w:val="center"/>
                </w:tcPr>
                <w:p w14:paraId="13A7FD3D">
                  <w:pPr>
                    <w:adjustRightInd w:val="0"/>
                    <w:snapToGrid w:val="0"/>
                    <w:jc w:val="center"/>
                    <w:rPr>
                      <w:kern w:val="24"/>
                      <w:szCs w:val="21"/>
                    </w:rPr>
                  </w:pPr>
                  <w:r>
                    <w:rPr>
                      <w:rFonts w:hint="eastAsia"/>
                      <w:kern w:val="0"/>
                      <w:szCs w:val="21"/>
                      <w:lang w:bidi="ar"/>
                    </w:rPr>
                    <w:t>现有</w:t>
                  </w:r>
                  <w:r>
                    <w:rPr>
                      <w:kern w:val="0"/>
                      <w:szCs w:val="21"/>
                      <w:lang w:bidi="ar"/>
                    </w:rPr>
                    <w:t>项目危废暂存间</w:t>
                  </w:r>
                  <w:r>
                    <w:rPr>
                      <w:rFonts w:hint="eastAsia"/>
                      <w:kern w:val="0"/>
                      <w:szCs w:val="21"/>
                      <w:lang w:bidi="ar"/>
                    </w:rPr>
                    <w:t>已进行重点防渗</w:t>
                  </w:r>
                  <w:r>
                    <w:rPr>
                      <w:kern w:val="0"/>
                      <w:szCs w:val="21"/>
                      <w:lang w:bidi="ar"/>
                    </w:rPr>
                    <w:t>，其防渗措施</w:t>
                  </w:r>
                  <w:r>
                    <w:rPr>
                      <w:rFonts w:hint="eastAsia"/>
                      <w:kern w:val="0"/>
                      <w:szCs w:val="21"/>
                      <w:lang w:bidi="ar"/>
                    </w:rPr>
                    <w:t>采用抗渗混凝土+2mm厚高密度聚乙烯膜+环氧树脂涂层</w:t>
                  </w:r>
                  <w:r>
                    <w:rPr>
                      <w:kern w:val="0"/>
                      <w:szCs w:val="21"/>
                      <w:lang w:bidi="ar"/>
                    </w:rPr>
                    <w:t>。</w:t>
                  </w:r>
                  <w:r>
                    <w:rPr>
                      <w:rFonts w:hint="eastAsia"/>
                      <w:kern w:val="24"/>
                      <w:szCs w:val="21"/>
                    </w:rPr>
                    <w:t>渗透系数≦10</w:t>
                  </w:r>
                  <w:r>
                    <w:rPr>
                      <w:rFonts w:hint="eastAsia"/>
                      <w:kern w:val="24"/>
                      <w:szCs w:val="21"/>
                      <w:vertAlign w:val="superscript"/>
                    </w:rPr>
                    <w:t>-10</w:t>
                  </w:r>
                  <w:r>
                    <w:rPr>
                      <w:rFonts w:hint="eastAsia"/>
                      <w:kern w:val="24"/>
                      <w:szCs w:val="21"/>
                    </w:rPr>
                    <w:t>cm/s。</w:t>
                  </w:r>
                </w:p>
              </w:tc>
            </w:tr>
            <w:tr w14:paraId="663A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Merge w:val="restart"/>
                  <w:vAlign w:val="center"/>
                </w:tcPr>
                <w:p w14:paraId="3868CC83">
                  <w:pPr>
                    <w:adjustRightInd w:val="0"/>
                    <w:snapToGrid w:val="0"/>
                    <w:jc w:val="center"/>
                    <w:rPr>
                      <w:kern w:val="24"/>
                      <w:szCs w:val="21"/>
                    </w:rPr>
                  </w:pPr>
                  <w:r>
                    <w:rPr>
                      <w:rFonts w:hint="eastAsia"/>
                      <w:kern w:val="24"/>
                      <w:szCs w:val="21"/>
                    </w:rPr>
                    <w:t>一般防渗区</w:t>
                  </w:r>
                </w:p>
              </w:tc>
              <w:tc>
                <w:tcPr>
                  <w:tcW w:w="1559" w:type="dxa"/>
                  <w:vAlign w:val="center"/>
                </w:tcPr>
                <w:p w14:paraId="277A9781">
                  <w:pPr>
                    <w:adjustRightInd w:val="0"/>
                    <w:snapToGrid w:val="0"/>
                    <w:jc w:val="center"/>
                    <w:rPr>
                      <w:kern w:val="24"/>
                      <w:szCs w:val="21"/>
                    </w:rPr>
                  </w:pPr>
                  <w:r>
                    <w:rPr>
                      <w:rFonts w:hint="eastAsia"/>
                      <w:kern w:val="0"/>
                      <w:szCs w:val="21"/>
                      <w:lang w:bidi="ar"/>
                    </w:rPr>
                    <w:t>各循环水池</w:t>
                  </w:r>
                  <w:r>
                    <w:rPr>
                      <w:rFonts w:hint="eastAsia"/>
                      <w:szCs w:val="21"/>
                    </w:rPr>
                    <w:t>、</w:t>
                  </w:r>
                  <w:r>
                    <w:rPr>
                      <w:rFonts w:hint="eastAsia"/>
                      <w:kern w:val="0"/>
                      <w:szCs w:val="21"/>
                    </w:rPr>
                    <w:t>循环水槽/水箱</w:t>
                  </w:r>
                </w:p>
              </w:tc>
              <w:tc>
                <w:tcPr>
                  <w:tcW w:w="6010" w:type="dxa"/>
                  <w:vAlign w:val="center"/>
                </w:tcPr>
                <w:p w14:paraId="25130881">
                  <w:pPr>
                    <w:adjustRightInd w:val="0"/>
                    <w:snapToGrid w:val="0"/>
                    <w:jc w:val="center"/>
                    <w:rPr>
                      <w:kern w:val="24"/>
                      <w:szCs w:val="21"/>
                    </w:rPr>
                  </w:pPr>
                  <w:r>
                    <w:rPr>
                      <w:rFonts w:hint="eastAsia"/>
                      <w:kern w:val="24"/>
                      <w:szCs w:val="21"/>
                    </w:rPr>
                    <w:t>采用抗渗混凝土硬化，渗透系数≤10</w:t>
                  </w:r>
                  <w:r>
                    <w:rPr>
                      <w:rFonts w:hint="eastAsia"/>
                      <w:kern w:val="24"/>
                      <w:szCs w:val="21"/>
                      <w:vertAlign w:val="superscript"/>
                    </w:rPr>
                    <w:t>-7</w:t>
                  </w:r>
                  <w:r>
                    <w:rPr>
                      <w:rFonts w:hint="eastAsia"/>
                      <w:kern w:val="24"/>
                      <w:szCs w:val="21"/>
                    </w:rPr>
                    <w:t>cm/s</w:t>
                  </w:r>
                </w:p>
              </w:tc>
            </w:tr>
            <w:tr w14:paraId="710F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Merge w:val="continue"/>
                  <w:tcBorders>
                    <w:bottom w:val="single" w:color="auto" w:sz="4" w:space="0"/>
                  </w:tcBorders>
                  <w:vAlign w:val="center"/>
                </w:tcPr>
                <w:p w14:paraId="5CD670F3">
                  <w:pPr>
                    <w:adjustRightInd w:val="0"/>
                    <w:snapToGrid w:val="0"/>
                    <w:jc w:val="center"/>
                    <w:rPr>
                      <w:kern w:val="24"/>
                      <w:szCs w:val="21"/>
                    </w:rPr>
                  </w:pPr>
                </w:p>
              </w:tc>
              <w:tc>
                <w:tcPr>
                  <w:tcW w:w="1559" w:type="dxa"/>
                  <w:tcBorders>
                    <w:bottom w:val="single" w:color="auto" w:sz="4" w:space="0"/>
                  </w:tcBorders>
                  <w:vAlign w:val="center"/>
                </w:tcPr>
                <w:p w14:paraId="29B808E0">
                  <w:pPr>
                    <w:adjustRightInd w:val="0"/>
                    <w:snapToGrid w:val="0"/>
                    <w:jc w:val="center"/>
                    <w:rPr>
                      <w:kern w:val="24"/>
                      <w:szCs w:val="21"/>
                    </w:rPr>
                  </w:pPr>
                  <w:r>
                    <w:rPr>
                      <w:rFonts w:hint="eastAsia"/>
                      <w:szCs w:val="21"/>
                    </w:rPr>
                    <w:t>现有项目化粪池、</w:t>
                  </w:r>
                  <w:r>
                    <w:rPr>
                      <w:rFonts w:hint="eastAsia"/>
                      <w:kern w:val="24"/>
                      <w:szCs w:val="21"/>
                    </w:rPr>
                    <w:t>现有项目污水处理设施</w:t>
                  </w:r>
                </w:p>
              </w:tc>
              <w:tc>
                <w:tcPr>
                  <w:tcW w:w="6010" w:type="dxa"/>
                  <w:tcBorders>
                    <w:bottom w:val="single" w:color="auto" w:sz="4" w:space="0"/>
                  </w:tcBorders>
                  <w:vAlign w:val="center"/>
                </w:tcPr>
                <w:p w14:paraId="143930C0">
                  <w:pPr>
                    <w:adjustRightInd w:val="0"/>
                    <w:snapToGrid w:val="0"/>
                    <w:jc w:val="center"/>
                    <w:rPr>
                      <w:kern w:val="24"/>
                      <w:szCs w:val="21"/>
                    </w:rPr>
                  </w:pPr>
                  <w:r>
                    <w:rPr>
                      <w:rFonts w:hint="eastAsia"/>
                      <w:szCs w:val="21"/>
                    </w:rPr>
                    <w:t>现有项目化粪池、</w:t>
                  </w:r>
                  <w:r>
                    <w:rPr>
                      <w:rFonts w:hint="eastAsia"/>
                      <w:kern w:val="24"/>
                      <w:szCs w:val="21"/>
                    </w:rPr>
                    <w:t>现有项目污水处理设施已做抗渗混凝土硬化。渗透系数≤10</w:t>
                  </w:r>
                  <w:r>
                    <w:rPr>
                      <w:rFonts w:hint="eastAsia"/>
                      <w:kern w:val="24"/>
                      <w:szCs w:val="21"/>
                      <w:vertAlign w:val="superscript"/>
                    </w:rPr>
                    <w:t>-7</w:t>
                  </w:r>
                  <w:r>
                    <w:rPr>
                      <w:rFonts w:hint="eastAsia"/>
                      <w:kern w:val="24"/>
                      <w:szCs w:val="21"/>
                    </w:rPr>
                    <w:t>cm/s</w:t>
                  </w:r>
                </w:p>
              </w:tc>
            </w:tr>
            <w:tr w14:paraId="628F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Align w:val="center"/>
                </w:tcPr>
                <w:p w14:paraId="229EE1D9">
                  <w:pPr>
                    <w:adjustRightInd w:val="0"/>
                    <w:snapToGrid w:val="0"/>
                    <w:jc w:val="center"/>
                    <w:rPr>
                      <w:kern w:val="24"/>
                      <w:szCs w:val="21"/>
                    </w:rPr>
                  </w:pPr>
                  <w:r>
                    <w:rPr>
                      <w:rFonts w:hint="eastAsia"/>
                      <w:kern w:val="24"/>
                      <w:szCs w:val="21"/>
                    </w:rPr>
                    <w:t>简单防渗区</w:t>
                  </w:r>
                </w:p>
              </w:tc>
              <w:tc>
                <w:tcPr>
                  <w:tcW w:w="1559" w:type="dxa"/>
                  <w:vAlign w:val="center"/>
                </w:tcPr>
                <w:p w14:paraId="444AF888">
                  <w:pPr>
                    <w:adjustRightInd w:val="0"/>
                    <w:snapToGrid w:val="0"/>
                    <w:jc w:val="center"/>
                    <w:rPr>
                      <w:kern w:val="24"/>
                      <w:szCs w:val="21"/>
                    </w:rPr>
                  </w:pPr>
                  <w:r>
                    <w:rPr>
                      <w:rFonts w:hint="eastAsia"/>
                      <w:kern w:val="0"/>
                      <w:szCs w:val="21"/>
                      <w:lang w:bidi="ar"/>
                    </w:rPr>
                    <w:t>生产车间、厂内道路</w:t>
                  </w:r>
                </w:p>
              </w:tc>
              <w:tc>
                <w:tcPr>
                  <w:tcW w:w="6010" w:type="dxa"/>
                  <w:vAlign w:val="center"/>
                </w:tcPr>
                <w:p w14:paraId="0B2D43D0">
                  <w:pPr>
                    <w:adjustRightInd w:val="0"/>
                    <w:snapToGrid w:val="0"/>
                    <w:jc w:val="center"/>
                    <w:rPr>
                      <w:kern w:val="24"/>
                      <w:szCs w:val="21"/>
                    </w:rPr>
                  </w:pPr>
                  <w:r>
                    <w:rPr>
                      <w:rFonts w:hint="eastAsia"/>
                      <w:kern w:val="24"/>
                      <w:szCs w:val="21"/>
                    </w:rPr>
                    <w:t>一般地面硬化</w:t>
                  </w:r>
                </w:p>
              </w:tc>
            </w:tr>
          </w:tbl>
          <w:p w14:paraId="75AF16A9">
            <w:pPr>
              <w:pStyle w:val="31"/>
              <w:adjustRightInd w:val="0"/>
              <w:snapToGrid w:val="0"/>
              <w:spacing w:after="0" w:line="360" w:lineRule="auto"/>
              <w:ind w:left="0" w:leftChars="0" w:firstLine="480"/>
              <w:rPr>
                <w:sz w:val="24"/>
              </w:rPr>
            </w:pPr>
            <w:r>
              <w:rPr>
                <w:rFonts w:hint="eastAsia"/>
                <w:sz w:val="24"/>
              </w:rPr>
              <w:t>③跟踪监测计划</w:t>
            </w:r>
          </w:p>
          <w:p w14:paraId="59054635">
            <w:pPr>
              <w:adjustRightInd w:val="0"/>
              <w:snapToGrid w:val="0"/>
              <w:spacing w:line="360" w:lineRule="auto"/>
              <w:ind w:firstLine="480" w:firstLineChars="200"/>
              <w:rPr>
                <w:bCs/>
                <w:sz w:val="24"/>
              </w:rPr>
            </w:pPr>
            <w:r>
              <w:rPr>
                <w:rFonts w:hint="eastAsia"/>
                <w:kern w:val="24"/>
                <w:sz w:val="24"/>
              </w:rPr>
              <w:t>本项目厂界外500 米范围内有</w:t>
            </w:r>
            <w:r>
              <w:rPr>
                <w:kern w:val="24"/>
                <w:sz w:val="24"/>
              </w:rPr>
              <w:t>2</w:t>
            </w:r>
            <w:r>
              <w:rPr>
                <w:rFonts w:hint="eastAsia"/>
                <w:kern w:val="24"/>
                <w:sz w:val="24"/>
              </w:rPr>
              <w:t>个村级地下水集中式饮用水水源（古城村、二街村地下井）</w:t>
            </w:r>
            <w:r>
              <w:rPr>
                <w:rFonts w:hint="eastAsia"/>
                <w:bCs/>
                <w:sz w:val="24"/>
              </w:rPr>
              <w:t>。本项目在防渗层破损等非正常状况下危废暂存间液体废物泄露、循环水池冷却水、生活污水垂直入渗可能造成地下水环境污染。</w:t>
            </w:r>
            <w:r>
              <w:rPr>
                <w:rFonts w:hint="eastAsia"/>
                <w:sz w:val="24"/>
              </w:rPr>
              <w:t>因此，本项目应设置地下水环境跟踪监测点。</w:t>
            </w:r>
          </w:p>
          <w:p w14:paraId="3A633FFD">
            <w:pPr>
              <w:pStyle w:val="31"/>
              <w:adjustRightInd w:val="0"/>
              <w:snapToGrid w:val="0"/>
              <w:spacing w:after="0" w:line="360" w:lineRule="auto"/>
              <w:ind w:left="0" w:leftChars="0" w:firstLine="480"/>
              <w:rPr>
                <w:sz w:val="24"/>
              </w:rPr>
            </w:pPr>
            <w:r>
              <w:rPr>
                <w:rFonts w:hint="eastAsia"/>
                <w:sz w:val="24"/>
              </w:rPr>
              <w:t>参照《排污单位自行监测技术指南 钢铁工业及炼焦化学工业》（HJ 878-2017），本项目地下水跟踪监测计划见下表。</w:t>
            </w:r>
          </w:p>
          <w:p w14:paraId="0C9A937F">
            <w:pPr>
              <w:adjustRightInd w:val="0"/>
              <w:snapToGrid w:val="0"/>
              <w:spacing w:line="360" w:lineRule="auto"/>
              <w:ind w:firstLine="482" w:firstLineChars="200"/>
              <w:jc w:val="center"/>
              <w:rPr>
                <w:b/>
                <w:bCs/>
                <w:kern w:val="24"/>
                <w:sz w:val="24"/>
              </w:rPr>
            </w:pPr>
            <w:r>
              <w:rPr>
                <w:b/>
                <w:bCs/>
                <w:kern w:val="24"/>
                <w:sz w:val="24"/>
              </w:rPr>
              <w:t>表</w:t>
            </w:r>
            <w:r>
              <w:rPr>
                <w:rFonts w:hint="eastAsia"/>
                <w:b/>
                <w:bCs/>
                <w:kern w:val="24"/>
                <w:sz w:val="24"/>
              </w:rPr>
              <w:t>4-21 本项目运营期地下水跟踪</w:t>
            </w:r>
            <w:r>
              <w:rPr>
                <w:b/>
                <w:bCs/>
                <w:kern w:val="24"/>
                <w:sz w:val="24"/>
              </w:rPr>
              <w:t>监测</w:t>
            </w:r>
            <w:r>
              <w:rPr>
                <w:rFonts w:hint="eastAsia"/>
                <w:b/>
                <w:bCs/>
                <w:kern w:val="24"/>
                <w:sz w:val="24"/>
              </w:rPr>
              <w:t>计划</w:t>
            </w:r>
          </w:p>
          <w:tbl>
            <w:tblPr>
              <w:tblStyle w:val="33"/>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44"/>
              <w:gridCol w:w="3969"/>
              <w:gridCol w:w="1134"/>
              <w:gridCol w:w="1882"/>
            </w:tblGrid>
            <w:tr w14:paraId="2054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11926A9">
                  <w:pPr>
                    <w:jc w:val="center"/>
                    <w:rPr>
                      <w:szCs w:val="21"/>
                    </w:rPr>
                  </w:pPr>
                  <w:r>
                    <w:rPr>
                      <w:rFonts w:hint="eastAsia"/>
                      <w:szCs w:val="21"/>
                    </w:rPr>
                    <w:t>项目</w:t>
                  </w:r>
                </w:p>
              </w:tc>
              <w:tc>
                <w:tcPr>
                  <w:tcW w:w="1144" w:type="dxa"/>
                  <w:vAlign w:val="center"/>
                </w:tcPr>
                <w:p w14:paraId="5CECEBB9">
                  <w:pPr>
                    <w:jc w:val="center"/>
                    <w:rPr>
                      <w:szCs w:val="21"/>
                    </w:rPr>
                  </w:pPr>
                  <w:r>
                    <w:rPr>
                      <w:rFonts w:hint="eastAsia"/>
                      <w:szCs w:val="21"/>
                    </w:rPr>
                    <w:t>监测点位</w:t>
                  </w:r>
                </w:p>
              </w:tc>
              <w:tc>
                <w:tcPr>
                  <w:tcW w:w="3969" w:type="dxa"/>
                  <w:vAlign w:val="center"/>
                </w:tcPr>
                <w:p w14:paraId="081BF93E">
                  <w:pPr>
                    <w:jc w:val="center"/>
                    <w:rPr>
                      <w:szCs w:val="21"/>
                    </w:rPr>
                  </w:pPr>
                  <w:r>
                    <w:rPr>
                      <w:rFonts w:hint="eastAsia"/>
                      <w:szCs w:val="21"/>
                    </w:rPr>
                    <w:t>监测因子</w:t>
                  </w:r>
                </w:p>
              </w:tc>
              <w:tc>
                <w:tcPr>
                  <w:tcW w:w="1134" w:type="dxa"/>
                  <w:vAlign w:val="center"/>
                </w:tcPr>
                <w:p w14:paraId="34357B9E">
                  <w:pPr>
                    <w:jc w:val="center"/>
                    <w:rPr>
                      <w:szCs w:val="21"/>
                    </w:rPr>
                  </w:pPr>
                  <w:r>
                    <w:rPr>
                      <w:rFonts w:hint="eastAsia"/>
                      <w:szCs w:val="21"/>
                    </w:rPr>
                    <w:t>监测频次</w:t>
                  </w:r>
                </w:p>
              </w:tc>
              <w:tc>
                <w:tcPr>
                  <w:tcW w:w="1882" w:type="dxa"/>
                  <w:vAlign w:val="center"/>
                </w:tcPr>
                <w:p w14:paraId="02D429CE">
                  <w:pPr>
                    <w:jc w:val="center"/>
                    <w:rPr>
                      <w:szCs w:val="21"/>
                    </w:rPr>
                  </w:pPr>
                  <w:r>
                    <w:rPr>
                      <w:rFonts w:hint="eastAsia"/>
                      <w:szCs w:val="21"/>
                    </w:rPr>
                    <w:t>执行标准</w:t>
                  </w:r>
                </w:p>
              </w:tc>
            </w:tr>
            <w:tr w14:paraId="3C4D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restart"/>
                  <w:vAlign w:val="center"/>
                </w:tcPr>
                <w:p w14:paraId="615881EB">
                  <w:pPr>
                    <w:jc w:val="center"/>
                    <w:rPr>
                      <w:szCs w:val="21"/>
                    </w:rPr>
                  </w:pPr>
                  <w:r>
                    <w:rPr>
                      <w:rFonts w:hint="eastAsia"/>
                      <w:szCs w:val="21"/>
                    </w:rPr>
                    <w:t>地下水</w:t>
                  </w:r>
                </w:p>
              </w:tc>
              <w:tc>
                <w:tcPr>
                  <w:tcW w:w="1144" w:type="dxa"/>
                  <w:vAlign w:val="center"/>
                </w:tcPr>
                <w:p w14:paraId="1B7D0823">
                  <w:pPr>
                    <w:jc w:val="center"/>
                    <w:rPr>
                      <w:szCs w:val="21"/>
                    </w:rPr>
                  </w:pPr>
                  <w:r>
                    <w:rPr>
                      <w:rFonts w:hint="eastAsia"/>
                      <w:szCs w:val="21"/>
                    </w:rPr>
                    <w:t>古城村地下井</w:t>
                  </w:r>
                </w:p>
              </w:tc>
              <w:tc>
                <w:tcPr>
                  <w:tcW w:w="3969" w:type="dxa"/>
                  <w:vMerge w:val="restart"/>
                  <w:vAlign w:val="center"/>
                </w:tcPr>
                <w:p w14:paraId="26ADF28B">
                  <w:pPr>
                    <w:jc w:val="center"/>
                    <w:rPr>
                      <w:szCs w:val="21"/>
                    </w:rPr>
                  </w:pPr>
                  <w:r>
                    <w:rPr>
                      <w:rFonts w:hint="eastAsia"/>
                      <w:szCs w:val="21"/>
                    </w:rPr>
                    <w:t>pH、总硬度、溶解性总固体、硫酸盐、氯化物、铁、铜、锌、挥发酚、高锰酸盐指数、硝酸盐、亚硝酸盐、氨氮、氟化物、氰化物、汞、砷、镉、六价铬、铅、镍、硫化物、总铬、多环芳烃、苯、甲苯、二甲苯</w:t>
                  </w:r>
                </w:p>
              </w:tc>
              <w:tc>
                <w:tcPr>
                  <w:tcW w:w="1134" w:type="dxa"/>
                  <w:vAlign w:val="center"/>
                </w:tcPr>
                <w:p w14:paraId="7A3E9170">
                  <w:pPr>
                    <w:jc w:val="center"/>
                    <w:rPr>
                      <w:szCs w:val="21"/>
                    </w:rPr>
                  </w:pPr>
                  <w:r>
                    <w:rPr>
                      <w:rFonts w:hint="eastAsia"/>
                      <w:szCs w:val="21"/>
                    </w:rPr>
                    <w:t>1次/年</w:t>
                  </w:r>
                </w:p>
              </w:tc>
              <w:tc>
                <w:tcPr>
                  <w:tcW w:w="1882" w:type="dxa"/>
                  <w:vMerge w:val="restart"/>
                  <w:vAlign w:val="center"/>
                </w:tcPr>
                <w:p w14:paraId="4D5E78D0">
                  <w:pPr>
                    <w:jc w:val="center"/>
                    <w:rPr>
                      <w:szCs w:val="21"/>
                    </w:rPr>
                  </w:pPr>
                  <w:r>
                    <w:rPr>
                      <w:rFonts w:hint="eastAsia"/>
                      <w:szCs w:val="21"/>
                    </w:rPr>
                    <w:t>《地下水质量标准》(GB/T14848-2017)Ⅲ类标准</w:t>
                  </w:r>
                </w:p>
              </w:tc>
            </w:tr>
            <w:tr w14:paraId="0AFA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vAlign w:val="center"/>
                </w:tcPr>
                <w:p w14:paraId="2BFA20E6">
                  <w:pPr>
                    <w:jc w:val="center"/>
                    <w:rPr>
                      <w:szCs w:val="21"/>
                    </w:rPr>
                  </w:pPr>
                </w:p>
              </w:tc>
              <w:tc>
                <w:tcPr>
                  <w:tcW w:w="1144" w:type="dxa"/>
                  <w:vAlign w:val="center"/>
                </w:tcPr>
                <w:p w14:paraId="35CCEABA">
                  <w:pPr>
                    <w:jc w:val="center"/>
                    <w:rPr>
                      <w:szCs w:val="21"/>
                    </w:rPr>
                  </w:pPr>
                  <w:r>
                    <w:rPr>
                      <w:rFonts w:hint="eastAsia"/>
                      <w:szCs w:val="21"/>
                    </w:rPr>
                    <w:t>二街村地下井</w:t>
                  </w:r>
                </w:p>
              </w:tc>
              <w:tc>
                <w:tcPr>
                  <w:tcW w:w="3969" w:type="dxa"/>
                  <w:vMerge w:val="continue"/>
                  <w:vAlign w:val="center"/>
                </w:tcPr>
                <w:p w14:paraId="1155ACE0">
                  <w:pPr>
                    <w:jc w:val="center"/>
                  </w:pPr>
                </w:p>
              </w:tc>
              <w:tc>
                <w:tcPr>
                  <w:tcW w:w="1134" w:type="dxa"/>
                  <w:vAlign w:val="center"/>
                </w:tcPr>
                <w:p w14:paraId="1ED5D5E8">
                  <w:pPr>
                    <w:jc w:val="center"/>
                    <w:rPr>
                      <w:szCs w:val="21"/>
                    </w:rPr>
                  </w:pPr>
                  <w:r>
                    <w:rPr>
                      <w:rFonts w:hint="eastAsia"/>
                      <w:szCs w:val="21"/>
                    </w:rPr>
                    <w:t>1次/年</w:t>
                  </w:r>
                </w:p>
              </w:tc>
              <w:tc>
                <w:tcPr>
                  <w:tcW w:w="1882" w:type="dxa"/>
                  <w:vMerge w:val="continue"/>
                  <w:vAlign w:val="center"/>
                </w:tcPr>
                <w:p w14:paraId="0C7BF888">
                  <w:pPr>
                    <w:jc w:val="center"/>
                    <w:rPr>
                      <w:szCs w:val="21"/>
                    </w:rPr>
                  </w:pPr>
                </w:p>
              </w:tc>
            </w:tr>
          </w:tbl>
          <w:p w14:paraId="70E39558">
            <w:pPr>
              <w:adjustRightInd w:val="0"/>
              <w:snapToGrid w:val="0"/>
              <w:spacing w:line="360" w:lineRule="auto"/>
              <w:jc w:val="left"/>
              <w:rPr>
                <w:b/>
                <w:bCs/>
                <w:sz w:val="24"/>
              </w:rPr>
            </w:pPr>
            <w:r>
              <w:rPr>
                <w:rFonts w:hint="eastAsia"/>
                <w:b/>
                <w:bCs/>
                <w:sz w:val="24"/>
              </w:rPr>
              <w:t>5.</w:t>
            </w:r>
            <w:r>
              <w:rPr>
                <w:b/>
                <w:bCs/>
                <w:sz w:val="24"/>
              </w:rPr>
              <w:t>4</w:t>
            </w:r>
            <w:r>
              <w:rPr>
                <w:rFonts w:hint="eastAsia"/>
                <w:b/>
                <w:bCs/>
                <w:sz w:val="24"/>
              </w:rPr>
              <w:t xml:space="preserve"> 地下水、土壤环境影响分析</w:t>
            </w:r>
          </w:p>
          <w:p w14:paraId="55A2DE76">
            <w:pPr>
              <w:adjustRightInd w:val="0"/>
              <w:snapToGrid w:val="0"/>
              <w:spacing w:line="360" w:lineRule="auto"/>
              <w:ind w:firstLine="480" w:firstLineChars="200"/>
              <w:rPr>
                <w:bCs/>
                <w:sz w:val="24"/>
              </w:rPr>
            </w:pPr>
            <w:r>
              <w:rPr>
                <w:rFonts w:hint="eastAsia"/>
                <w:bCs/>
                <w:sz w:val="24"/>
              </w:rPr>
              <w:t>本项目正常情况下，无地下水、土壤污染途径。但若发生防渗层破损等非正常状况下，危废暂存间液体废物泄露、循环水池冷却水、生活污水垂直入渗，可能对区域地下水及土壤造成影响。</w:t>
            </w:r>
            <w:r>
              <w:rPr>
                <w:rFonts w:hint="eastAsia"/>
                <w:sz w:val="24"/>
              </w:rPr>
              <w:t>根据</w:t>
            </w:r>
            <w:r>
              <w:rPr>
                <w:sz w:val="24"/>
              </w:rPr>
              <w:t>项目地下水、土壤污染分析</w:t>
            </w:r>
            <w:r>
              <w:rPr>
                <w:rFonts w:hint="eastAsia"/>
                <w:sz w:val="24"/>
              </w:rPr>
              <w:t>结果，</w:t>
            </w:r>
            <w:r>
              <w:rPr>
                <w:rFonts w:hint="eastAsia"/>
                <w:kern w:val="24"/>
                <w:sz w:val="24"/>
              </w:rPr>
              <w:t>本项目厂界外500 米范围内有</w:t>
            </w:r>
            <w:r>
              <w:rPr>
                <w:kern w:val="24"/>
                <w:sz w:val="24"/>
              </w:rPr>
              <w:t>2</w:t>
            </w:r>
            <w:r>
              <w:rPr>
                <w:rFonts w:hint="eastAsia"/>
                <w:kern w:val="24"/>
                <w:sz w:val="24"/>
              </w:rPr>
              <w:t>个村级地下水集中式饮用水水源（古城村、二街村地下井）</w:t>
            </w:r>
            <w:r>
              <w:rPr>
                <w:rFonts w:hint="eastAsia"/>
                <w:bCs/>
                <w:sz w:val="24"/>
              </w:rPr>
              <w:t>，</w:t>
            </w:r>
            <w:r>
              <w:rPr>
                <w:rFonts w:hint="eastAsia"/>
                <w:sz w:val="24"/>
              </w:rPr>
              <w:t>因此，本项目应设置地下水环境跟踪监测点。</w:t>
            </w:r>
          </w:p>
          <w:p w14:paraId="643D3765">
            <w:pPr>
              <w:pStyle w:val="31"/>
              <w:adjustRightInd w:val="0"/>
              <w:snapToGrid w:val="0"/>
              <w:spacing w:after="0" w:line="360" w:lineRule="auto"/>
              <w:ind w:left="0" w:leftChars="0" w:firstLine="480"/>
              <w:rPr>
                <w:sz w:val="24"/>
              </w:rPr>
            </w:pPr>
            <w:r>
              <w:rPr>
                <w:rFonts w:hint="eastAsia"/>
                <w:sz w:val="24"/>
              </w:rPr>
              <w:t>根据项目地下水、土壤污染分析，本项目按照分区防控的要求，将厂区分为重点防渗区、一般防渗区和简单防渗区，不同的分区采取相应的防渗措施。杜绝污水及泄漏物料的跑、冒、滴、漏，并在日常管理中加强设施维护。</w:t>
            </w:r>
          </w:p>
          <w:p w14:paraId="0F4CD54F">
            <w:pPr>
              <w:pStyle w:val="31"/>
              <w:adjustRightInd w:val="0"/>
              <w:snapToGrid w:val="0"/>
              <w:spacing w:after="0" w:line="360" w:lineRule="auto"/>
              <w:ind w:left="0" w:leftChars="0" w:firstLine="480"/>
              <w:rPr>
                <w:sz w:val="24"/>
              </w:rPr>
            </w:pPr>
            <w:r>
              <w:rPr>
                <w:rFonts w:hint="eastAsia"/>
                <w:sz w:val="24"/>
              </w:rPr>
              <w:t>综上所述，经采取有效分区防控措施后，项目对地下水、土壤环境影响较小。</w:t>
            </w:r>
          </w:p>
          <w:p w14:paraId="4FBDA188">
            <w:pPr>
              <w:adjustRightInd w:val="0"/>
              <w:snapToGrid w:val="0"/>
              <w:spacing w:line="360" w:lineRule="auto"/>
              <w:jc w:val="left"/>
              <w:rPr>
                <w:b/>
                <w:bCs/>
                <w:sz w:val="24"/>
              </w:rPr>
            </w:pPr>
            <w:r>
              <w:rPr>
                <w:b/>
                <w:bCs/>
                <w:sz w:val="24"/>
              </w:rPr>
              <w:t>6</w:t>
            </w:r>
            <w:r>
              <w:rPr>
                <w:rFonts w:hint="eastAsia"/>
                <w:b/>
                <w:bCs/>
                <w:sz w:val="24"/>
              </w:rPr>
              <w:t>、环境风险分析</w:t>
            </w:r>
          </w:p>
          <w:p w14:paraId="38EABA0B">
            <w:pPr>
              <w:spacing w:line="360" w:lineRule="auto"/>
              <w:rPr>
                <w:b/>
                <w:bCs/>
                <w:kern w:val="24"/>
                <w:sz w:val="24"/>
              </w:rPr>
            </w:pPr>
            <w:r>
              <w:rPr>
                <w:b/>
                <w:bCs/>
                <w:kern w:val="24"/>
                <w:sz w:val="24"/>
              </w:rPr>
              <w:t>6</w:t>
            </w:r>
            <w:r>
              <w:rPr>
                <w:rFonts w:hint="eastAsia"/>
                <w:b/>
                <w:bCs/>
                <w:kern w:val="24"/>
                <w:sz w:val="24"/>
              </w:rPr>
              <w:t>.1 环境风险识别</w:t>
            </w:r>
          </w:p>
          <w:p w14:paraId="7E5D1FFE">
            <w:pPr>
              <w:spacing w:line="360" w:lineRule="auto"/>
              <w:ind w:firstLine="480" w:firstLineChars="200"/>
              <w:rPr>
                <w:kern w:val="24"/>
                <w:sz w:val="24"/>
              </w:rPr>
            </w:pPr>
            <w:r>
              <w:rPr>
                <w:rFonts w:hint="eastAsia"/>
                <w:kern w:val="24"/>
                <w:sz w:val="24"/>
              </w:rPr>
              <w:t>本项目运营期涉及的危险物质和风险源分布情况及可能影响途径识别见下表4-22。</w:t>
            </w:r>
          </w:p>
          <w:p w14:paraId="42B2E91B">
            <w:pPr>
              <w:adjustRightInd w:val="0"/>
              <w:snapToGrid w:val="0"/>
              <w:spacing w:line="360" w:lineRule="auto"/>
              <w:ind w:firstLine="482" w:firstLineChars="200"/>
              <w:jc w:val="center"/>
              <w:rPr>
                <w:b/>
                <w:kern w:val="24"/>
                <w:sz w:val="24"/>
              </w:rPr>
            </w:pPr>
            <w:r>
              <w:rPr>
                <w:rFonts w:hint="eastAsia"/>
                <w:b/>
                <w:kern w:val="24"/>
                <w:sz w:val="24"/>
              </w:rPr>
              <w:t>表4-23  环境风险识别汇总表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51"/>
              <w:gridCol w:w="1061"/>
              <w:gridCol w:w="923"/>
              <w:gridCol w:w="851"/>
              <w:gridCol w:w="850"/>
              <w:gridCol w:w="709"/>
              <w:gridCol w:w="1276"/>
              <w:gridCol w:w="1899"/>
            </w:tblGrid>
            <w:tr w14:paraId="109F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14:paraId="64A57BF6">
                  <w:pPr>
                    <w:jc w:val="center"/>
                    <w:rPr>
                      <w:kern w:val="24"/>
                      <w:szCs w:val="21"/>
                    </w:rPr>
                  </w:pPr>
                  <w:r>
                    <w:rPr>
                      <w:rFonts w:hint="eastAsia"/>
                      <w:kern w:val="24"/>
                      <w:szCs w:val="21"/>
                    </w:rPr>
                    <w:t>序号</w:t>
                  </w:r>
                </w:p>
              </w:tc>
              <w:tc>
                <w:tcPr>
                  <w:tcW w:w="851" w:type="dxa"/>
                  <w:vAlign w:val="center"/>
                </w:tcPr>
                <w:p w14:paraId="3B916D53">
                  <w:pPr>
                    <w:jc w:val="center"/>
                    <w:rPr>
                      <w:kern w:val="24"/>
                      <w:szCs w:val="21"/>
                    </w:rPr>
                  </w:pPr>
                  <w:r>
                    <w:rPr>
                      <w:rFonts w:hint="eastAsia"/>
                      <w:kern w:val="24"/>
                      <w:szCs w:val="21"/>
                    </w:rPr>
                    <w:t>风险源</w:t>
                  </w:r>
                </w:p>
              </w:tc>
              <w:tc>
                <w:tcPr>
                  <w:tcW w:w="1061" w:type="dxa"/>
                  <w:vAlign w:val="center"/>
                </w:tcPr>
                <w:p w14:paraId="551BE4A4">
                  <w:pPr>
                    <w:jc w:val="center"/>
                    <w:rPr>
                      <w:kern w:val="24"/>
                      <w:szCs w:val="21"/>
                    </w:rPr>
                  </w:pPr>
                  <w:r>
                    <w:rPr>
                      <w:rFonts w:hint="eastAsia"/>
                      <w:kern w:val="24"/>
                      <w:szCs w:val="21"/>
                    </w:rPr>
                    <w:t>危险物质</w:t>
                  </w:r>
                </w:p>
              </w:tc>
              <w:tc>
                <w:tcPr>
                  <w:tcW w:w="923" w:type="dxa"/>
                  <w:vAlign w:val="center"/>
                </w:tcPr>
                <w:p w14:paraId="2A1F391A">
                  <w:pPr>
                    <w:jc w:val="center"/>
                    <w:rPr>
                      <w:kern w:val="24"/>
                      <w:szCs w:val="21"/>
                    </w:rPr>
                  </w:pPr>
                  <w:r>
                    <w:rPr>
                      <w:rFonts w:hint="eastAsia"/>
                      <w:kern w:val="24"/>
                      <w:szCs w:val="21"/>
                    </w:rPr>
                    <w:t>危险性</w:t>
                  </w:r>
                </w:p>
              </w:tc>
              <w:tc>
                <w:tcPr>
                  <w:tcW w:w="851" w:type="dxa"/>
                  <w:vAlign w:val="center"/>
                </w:tcPr>
                <w:p w14:paraId="0ADE65E7">
                  <w:pPr>
                    <w:jc w:val="center"/>
                    <w:rPr>
                      <w:kern w:val="24"/>
                      <w:szCs w:val="21"/>
                    </w:rPr>
                  </w:pPr>
                  <w:r>
                    <w:rPr>
                      <w:rFonts w:hint="eastAsia"/>
                      <w:kern w:val="24"/>
                      <w:szCs w:val="21"/>
                    </w:rPr>
                    <w:t>最大储存量</w:t>
                  </w:r>
                </w:p>
              </w:tc>
              <w:tc>
                <w:tcPr>
                  <w:tcW w:w="850" w:type="dxa"/>
                  <w:vAlign w:val="center"/>
                </w:tcPr>
                <w:p w14:paraId="10F7FF06">
                  <w:pPr>
                    <w:jc w:val="center"/>
                    <w:rPr>
                      <w:kern w:val="24"/>
                      <w:szCs w:val="21"/>
                    </w:rPr>
                  </w:pPr>
                  <w:r>
                    <w:rPr>
                      <w:rFonts w:hint="eastAsia"/>
                      <w:kern w:val="24"/>
                      <w:szCs w:val="21"/>
                    </w:rPr>
                    <w:t>临界量</w:t>
                  </w:r>
                </w:p>
              </w:tc>
              <w:tc>
                <w:tcPr>
                  <w:tcW w:w="709" w:type="dxa"/>
                  <w:vAlign w:val="center"/>
                </w:tcPr>
                <w:p w14:paraId="14FF5430">
                  <w:pPr>
                    <w:jc w:val="center"/>
                    <w:rPr>
                      <w:kern w:val="24"/>
                      <w:szCs w:val="21"/>
                    </w:rPr>
                  </w:pPr>
                  <w:r>
                    <w:rPr>
                      <w:rFonts w:hint="eastAsia"/>
                      <w:kern w:val="24"/>
                      <w:szCs w:val="21"/>
                    </w:rPr>
                    <w:t>储存方式</w:t>
                  </w:r>
                </w:p>
              </w:tc>
              <w:tc>
                <w:tcPr>
                  <w:tcW w:w="1276" w:type="dxa"/>
                  <w:vAlign w:val="center"/>
                </w:tcPr>
                <w:p w14:paraId="224D6219">
                  <w:pPr>
                    <w:jc w:val="center"/>
                    <w:rPr>
                      <w:kern w:val="24"/>
                      <w:szCs w:val="21"/>
                    </w:rPr>
                  </w:pPr>
                  <w:r>
                    <w:rPr>
                      <w:rFonts w:hint="eastAsia"/>
                      <w:kern w:val="24"/>
                      <w:szCs w:val="21"/>
                    </w:rPr>
                    <w:t>风险类型</w:t>
                  </w:r>
                </w:p>
              </w:tc>
              <w:tc>
                <w:tcPr>
                  <w:tcW w:w="1899" w:type="dxa"/>
                  <w:vAlign w:val="center"/>
                </w:tcPr>
                <w:p w14:paraId="0DB91674">
                  <w:pPr>
                    <w:jc w:val="center"/>
                    <w:rPr>
                      <w:kern w:val="24"/>
                      <w:szCs w:val="21"/>
                    </w:rPr>
                  </w:pPr>
                  <w:r>
                    <w:rPr>
                      <w:rFonts w:hint="eastAsia"/>
                      <w:kern w:val="24"/>
                      <w:szCs w:val="21"/>
                    </w:rPr>
                    <w:t>可能影响途径</w:t>
                  </w:r>
                </w:p>
              </w:tc>
            </w:tr>
            <w:tr w14:paraId="0187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14:paraId="406495B8">
                  <w:pPr>
                    <w:jc w:val="center"/>
                    <w:rPr>
                      <w:kern w:val="24"/>
                      <w:szCs w:val="21"/>
                    </w:rPr>
                  </w:pPr>
                  <w:r>
                    <w:rPr>
                      <w:rFonts w:hint="eastAsia"/>
                      <w:kern w:val="24"/>
                      <w:szCs w:val="21"/>
                    </w:rPr>
                    <w:t>1</w:t>
                  </w:r>
                </w:p>
              </w:tc>
              <w:tc>
                <w:tcPr>
                  <w:tcW w:w="851" w:type="dxa"/>
                  <w:vAlign w:val="center"/>
                </w:tcPr>
                <w:p w14:paraId="6DD08D28">
                  <w:pPr>
                    <w:jc w:val="center"/>
                    <w:rPr>
                      <w:kern w:val="24"/>
                      <w:szCs w:val="21"/>
                    </w:rPr>
                  </w:pPr>
                  <w:r>
                    <w:rPr>
                      <w:rFonts w:hint="eastAsia"/>
                      <w:kern w:val="24"/>
                      <w:szCs w:val="21"/>
                    </w:rPr>
                    <w:t>现有项目危废暂存间</w:t>
                  </w:r>
                </w:p>
              </w:tc>
              <w:tc>
                <w:tcPr>
                  <w:tcW w:w="1061" w:type="dxa"/>
                  <w:vAlign w:val="center"/>
                </w:tcPr>
                <w:p w14:paraId="74C42526">
                  <w:pPr>
                    <w:jc w:val="center"/>
                    <w:rPr>
                      <w:kern w:val="24"/>
                      <w:szCs w:val="21"/>
                    </w:rPr>
                  </w:pPr>
                  <w:r>
                    <w:rPr>
                      <w:rFonts w:hint="eastAsia" w:hAnsi="Calibri"/>
                      <w:szCs w:val="21"/>
                    </w:rPr>
                    <w:t>废矿物油</w:t>
                  </w:r>
                </w:p>
              </w:tc>
              <w:tc>
                <w:tcPr>
                  <w:tcW w:w="923" w:type="dxa"/>
                  <w:vAlign w:val="center"/>
                </w:tcPr>
                <w:p w14:paraId="23D2191E">
                  <w:pPr>
                    <w:jc w:val="center"/>
                    <w:rPr>
                      <w:kern w:val="24"/>
                      <w:szCs w:val="21"/>
                    </w:rPr>
                  </w:pPr>
                  <w:r>
                    <w:rPr>
                      <w:rFonts w:hint="eastAsia"/>
                      <w:kern w:val="24"/>
                      <w:szCs w:val="21"/>
                    </w:rPr>
                    <w:t>毒性、易燃性</w:t>
                  </w:r>
                </w:p>
              </w:tc>
              <w:tc>
                <w:tcPr>
                  <w:tcW w:w="851" w:type="dxa"/>
                  <w:vAlign w:val="center"/>
                </w:tcPr>
                <w:p w14:paraId="4E1A668B">
                  <w:pPr>
                    <w:jc w:val="center"/>
                    <w:rPr>
                      <w:kern w:val="24"/>
                      <w:szCs w:val="21"/>
                    </w:rPr>
                  </w:pPr>
                  <w:r>
                    <w:rPr>
                      <w:kern w:val="24"/>
                      <w:szCs w:val="21"/>
                    </w:rPr>
                    <w:t>0.4</w:t>
                  </w:r>
                  <w:r>
                    <w:rPr>
                      <w:rFonts w:hint="eastAsia"/>
                      <w:kern w:val="24"/>
                      <w:szCs w:val="21"/>
                    </w:rPr>
                    <w:t xml:space="preserve"> t</w:t>
                  </w:r>
                </w:p>
              </w:tc>
              <w:tc>
                <w:tcPr>
                  <w:tcW w:w="850" w:type="dxa"/>
                  <w:vAlign w:val="center"/>
                </w:tcPr>
                <w:p w14:paraId="65DCC9BF">
                  <w:pPr>
                    <w:jc w:val="center"/>
                    <w:rPr>
                      <w:kern w:val="24"/>
                      <w:szCs w:val="21"/>
                    </w:rPr>
                  </w:pPr>
                  <w:r>
                    <w:rPr>
                      <w:kern w:val="24"/>
                      <w:szCs w:val="21"/>
                    </w:rPr>
                    <w:t>2500</w:t>
                  </w:r>
                  <w:r>
                    <w:rPr>
                      <w:rFonts w:hint="eastAsia"/>
                      <w:kern w:val="24"/>
                      <w:szCs w:val="21"/>
                    </w:rPr>
                    <w:t xml:space="preserve"> t</w:t>
                  </w:r>
                </w:p>
              </w:tc>
              <w:tc>
                <w:tcPr>
                  <w:tcW w:w="709" w:type="dxa"/>
                  <w:vAlign w:val="center"/>
                </w:tcPr>
                <w:p w14:paraId="623489C3">
                  <w:pPr>
                    <w:jc w:val="center"/>
                    <w:rPr>
                      <w:kern w:val="24"/>
                      <w:szCs w:val="21"/>
                    </w:rPr>
                  </w:pPr>
                  <w:r>
                    <w:rPr>
                      <w:rFonts w:hint="eastAsia"/>
                      <w:kern w:val="24"/>
                      <w:szCs w:val="21"/>
                    </w:rPr>
                    <w:t>桶装</w:t>
                  </w:r>
                </w:p>
              </w:tc>
              <w:tc>
                <w:tcPr>
                  <w:tcW w:w="1276" w:type="dxa"/>
                  <w:vAlign w:val="center"/>
                </w:tcPr>
                <w:p w14:paraId="1495F4D4">
                  <w:pPr>
                    <w:jc w:val="center"/>
                    <w:rPr>
                      <w:kern w:val="24"/>
                      <w:szCs w:val="21"/>
                    </w:rPr>
                  </w:pPr>
                  <w:r>
                    <w:rPr>
                      <w:rFonts w:hint="eastAsia"/>
                      <w:kern w:val="24"/>
                      <w:szCs w:val="21"/>
                    </w:rPr>
                    <w:t>泄露，火灾、爆炸引发的伴生/次生污染</w:t>
                  </w:r>
                </w:p>
              </w:tc>
              <w:tc>
                <w:tcPr>
                  <w:tcW w:w="1899" w:type="dxa"/>
                  <w:vAlign w:val="center"/>
                </w:tcPr>
                <w:p w14:paraId="57DE2D93">
                  <w:pPr>
                    <w:jc w:val="center"/>
                    <w:rPr>
                      <w:kern w:val="24"/>
                      <w:szCs w:val="21"/>
                    </w:rPr>
                  </w:pPr>
                  <w:r>
                    <w:rPr>
                      <w:rFonts w:hint="eastAsia"/>
                      <w:kern w:val="24"/>
                      <w:szCs w:val="21"/>
                    </w:rPr>
                    <w:t>环境空气、地表水、地下水、土壤</w:t>
                  </w:r>
                </w:p>
              </w:tc>
            </w:tr>
          </w:tbl>
          <w:p w14:paraId="2118EFB2">
            <w:pPr>
              <w:spacing w:line="360" w:lineRule="auto"/>
              <w:ind w:firstLine="480" w:firstLineChars="200"/>
              <w:rPr>
                <w:kern w:val="24"/>
                <w:sz w:val="24"/>
              </w:rPr>
            </w:pPr>
            <w:r>
              <w:rPr>
                <w:rFonts w:hint="eastAsia"/>
                <w:kern w:val="24"/>
                <w:sz w:val="24"/>
              </w:rPr>
              <w:t>综上，根据危险物质本身的危险性及潜在风险源识别，确定本项目主要环境风险源和危险物质为现有项目危废暂存间暂存的废机油。可能的影响途径为危废暂存间防渗层破损或破裂，废机油发生泄露导致地表水、土壤、地下水污染，或发生火灾、爆炸引发的伴生/次生污染物排放。</w:t>
            </w:r>
          </w:p>
          <w:p w14:paraId="480C730A">
            <w:pPr>
              <w:spacing w:line="360" w:lineRule="auto"/>
              <w:rPr>
                <w:b/>
                <w:bCs/>
                <w:kern w:val="24"/>
                <w:sz w:val="24"/>
              </w:rPr>
            </w:pPr>
            <w:r>
              <w:rPr>
                <w:b/>
                <w:bCs/>
                <w:kern w:val="24"/>
                <w:sz w:val="24"/>
              </w:rPr>
              <w:t>6</w:t>
            </w:r>
            <w:r>
              <w:rPr>
                <w:rFonts w:hint="eastAsia"/>
                <w:b/>
                <w:bCs/>
                <w:kern w:val="24"/>
                <w:sz w:val="24"/>
              </w:rPr>
              <w:t>.2环境风险防范措施</w:t>
            </w:r>
          </w:p>
          <w:p w14:paraId="6E63C1A2">
            <w:pPr>
              <w:spacing w:line="360" w:lineRule="auto"/>
              <w:ind w:firstLine="480" w:firstLineChars="200"/>
              <w:rPr>
                <w:kern w:val="24"/>
                <w:sz w:val="24"/>
              </w:rPr>
            </w:pPr>
            <w:r>
              <w:rPr>
                <w:rFonts w:hint="eastAsia"/>
                <w:kern w:val="24"/>
                <w:sz w:val="24"/>
              </w:rPr>
              <w:t>根据本项目特点，风险管理措施如下：</w:t>
            </w:r>
          </w:p>
          <w:p w14:paraId="6D8ECB6A">
            <w:pPr>
              <w:spacing w:line="360" w:lineRule="auto"/>
              <w:ind w:firstLine="480" w:firstLineChars="200"/>
              <w:rPr>
                <w:kern w:val="24"/>
                <w:sz w:val="24"/>
              </w:rPr>
            </w:pPr>
            <w:r>
              <w:rPr>
                <w:rFonts w:hint="eastAsia"/>
                <w:kern w:val="24"/>
                <w:sz w:val="24"/>
              </w:rPr>
              <w:t>（1）环境风险管理</w:t>
            </w:r>
          </w:p>
          <w:p w14:paraId="04085CF1">
            <w:pPr>
              <w:spacing w:line="360" w:lineRule="auto"/>
              <w:ind w:firstLine="480" w:firstLineChars="200"/>
              <w:rPr>
                <w:kern w:val="24"/>
                <w:sz w:val="24"/>
              </w:rPr>
            </w:pPr>
            <w:r>
              <w:rPr>
                <w:rFonts w:hint="eastAsia"/>
                <w:kern w:val="24"/>
                <w:sz w:val="24"/>
              </w:rPr>
              <w:t>项目建成运行后，建设单位应编制《突发事故环境风险应急预案》报送生态环境主管部门进行备案，并配备相应的风险应急物资。</w:t>
            </w:r>
          </w:p>
          <w:p w14:paraId="329A2641">
            <w:pPr>
              <w:spacing w:line="360" w:lineRule="auto"/>
              <w:ind w:firstLine="480" w:firstLineChars="200"/>
              <w:rPr>
                <w:kern w:val="24"/>
                <w:sz w:val="24"/>
              </w:rPr>
            </w:pPr>
            <w:r>
              <w:rPr>
                <w:rFonts w:hint="eastAsia"/>
                <w:kern w:val="24"/>
                <w:sz w:val="24"/>
              </w:rPr>
              <w:t>②危险废物在厂区使用专用容器，并将收集容器贴上标签，存储于现有项目危废暂存间内，委托有资质的单位处理。危废暂存间必须派专人进行管理，并严格执行危废暂存间的管理制度，降低管理产生的风险。</w:t>
            </w:r>
          </w:p>
          <w:p w14:paraId="5EBA5C9C">
            <w:pPr>
              <w:spacing w:line="360" w:lineRule="auto"/>
              <w:ind w:firstLine="480" w:firstLineChars="200"/>
              <w:rPr>
                <w:kern w:val="24"/>
                <w:sz w:val="24"/>
              </w:rPr>
            </w:pPr>
            <w:r>
              <w:rPr>
                <w:rFonts w:hint="eastAsia"/>
                <w:kern w:val="24"/>
                <w:sz w:val="24"/>
              </w:rPr>
              <w:t>③加强职工安全环保教育，防止和减少因人为因素造成的事故，同时也要加强防火安全教育。</w:t>
            </w:r>
          </w:p>
          <w:p w14:paraId="2E7FB413">
            <w:pPr>
              <w:spacing w:line="360" w:lineRule="auto"/>
              <w:ind w:firstLine="480" w:firstLineChars="200"/>
              <w:rPr>
                <w:kern w:val="24"/>
                <w:sz w:val="24"/>
              </w:rPr>
            </w:pPr>
            <w:r>
              <w:rPr>
                <w:rFonts w:hint="eastAsia"/>
                <w:kern w:val="24"/>
                <w:sz w:val="24"/>
              </w:rPr>
              <w:t>④应配备足够的消防设施，落实安全管理责任。</w:t>
            </w:r>
          </w:p>
          <w:p w14:paraId="742C09DA">
            <w:pPr>
              <w:spacing w:line="360" w:lineRule="auto"/>
              <w:ind w:firstLine="480" w:firstLineChars="200"/>
              <w:rPr>
                <w:kern w:val="24"/>
                <w:sz w:val="24"/>
              </w:rPr>
            </w:pPr>
            <w:r>
              <w:rPr>
                <w:rFonts w:hint="eastAsia"/>
                <w:kern w:val="24"/>
                <w:sz w:val="24"/>
              </w:rPr>
              <w:t>⑤强化设备检修，减少因设备损坏、老化带来的遗漏。</w:t>
            </w:r>
          </w:p>
          <w:p w14:paraId="0649E57F">
            <w:pPr>
              <w:spacing w:line="360" w:lineRule="auto"/>
              <w:ind w:firstLine="480" w:firstLineChars="200"/>
              <w:rPr>
                <w:kern w:val="24"/>
                <w:sz w:val="24"/>
              </w:rPr>
            </w:pPr>
            <w:r>
              <w:rPr>
                <w:rFonts w:hint="eastAsia"/>
                <w:kern w:val="24"/>
                <w:sz w:val="24"/>
              </w:rPr>
              <w:t>（2）环境风险防范措施</w:t>
            </w:r>
          </w:p>
          <w:p w14:paraId="4239D6C6">
            <w:pPr>
              <w:spacing w:line="360" w:lineRule="auto"/>
              <w:ind w:firstLine="480" w:firstLineChars="200"/>
              <w:rPr>
                <w:kern w:val="24"/>
                <w:sz w:val="24"/>
              </w:rPr>
            </w:pPr>
            <w:r>
              <w:rPr>
                <w:rFonts w:hint="eastAsia"/>
                <w:kern w:val="24"/>
                <w:sz w:val="24"/>
              </w:rPr>
              <w:t>①现有项目危废暂存间按照《危险废物贮存污染控制标准》</w:t>
            </w:r>
            <w:r>
              <w:rPr>
                <w:kern w:val="24"/>
                <w:sz w:val="24"/>
              </w:rPr>
              <w:t>(GB 18597-2023)</w:t>
            </w:r>
            <w:r>
              <w:rPr>
                <w:rFonts w:hint="eastAsia"/>
                <w:kern w:val="24"/>
                <w:sz w:val="24"/>
              </w:rPr>
              <w:t xml:space="preserve"> 中相关要求设置防渗层，并分类存放、贮存，并必须采取防扬散、防流失、防渗漏及其他防止污染环境的措施，不得随意露天堆放。</w:t>
            </w:r>
          </w:p>
          <w:p w14:paraId="2B12AC0E">
            <w:pPr>
              <w:spacing w:line="360" w:lineRule="auto"/>
              <w:ind w:firstLine="480" w:firstLineChars="200"/>
              <w:rPr>
                <w:kern w:val="24"/>
                <w:sz w:val="24"/>
              </w:rPr>
            </w:pPr>
            <w:r>
              <w:rPr>
                <w:rFonts w:hint="eastAsia"/>
                <w:kern w:val="24"/>
                <w:sz w:val="24"/>
              </w:rPr>
              <w:t>②应具有液体泄漏堵截设施，设置围堰、导流沟、集液池，对围堰区进行防渗处理。</w:t>
            </w:r>
          </w:p>
          <w:p w14:paraId="0F12D780">
            <w:pPr>
              <w:spacing w:line="360" w:lineRule="auto"/>
              <w:ind w:firstLine="480" w:firstLineChars="200"/>
              <w:rPr>
                <w:kern w:val="24"/>
                <w:sz w:val="24"/>
              </w:rPr>
            </w:pPr>
            <w:r>
              <w:rPr>
                <w:rFonts w:hint="eastAsia"/>
                <w:kern w:val="24"/>
                <w:sz w:val="24"/>
              </w:rPr>
              <w:t>③机油泄漏时，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w:t>
            </w:r>
          </w:p>
          <w:p w14:paraId="573FDF6C">
            <w:pPr>
              <w:spacing w:line="360" w:lineRule="auto"/>
              <w:ind w:firstLine="480" w:firstLineChars="200"/>
              <w:rPr>
                <w:kern w:val="24"/>
                <w:sz w:val="24"/>
              </w:rPr>
            </w:pPr>
            <w:r>
              <w:rPr>
                <w:rFonts w:hint="eastAsia"/>
                <w:kern w:val="24"/>
                <w:sz w:val="24"/>
              </w:rPr>
              <w:t>④因火灾事故产生的消防废水应将储存于现有项目应急事故池中，不得外排。现有项目应急事故池中应做好相应防渗措施。</w:t>
            </w:r>
          </w:p>
          <w:p w14:paraId="486B06E7">
            <w:pPr>
              <w:spacing w:line="360" w:lineRule="auto"/>
              <w:ind w:firstLine="480" w:firstLineChars="200"/>
              <w:rPr>
                <w:kern w:val="24"/>
                <w:sz w:val="24"/>
              </w:rPr>
            </w:pPr>
            <w:r>
              <w:rPr>
                <w:rFonts w:hint="eastAsia"/>
                <w:kern w:val="24"/>
                <w:sz w:val="24"/>
              </w:rPr>
              <w:t>⑤库房远离火源、电源、同时加强管理，严禁烟火。</w:t>
            </w:r>
          </w:p>
          <w:p w14:paraId="4CF4AF7F">
            <w:pPr>
              <w:spacing w:line="360" w:lineRule="auto"/>
              <w:ind w:firstLine="480" w:firstLineChars="200"/>
              <w:rPr>
                <w:kern w:val="24"/>
                <w:sz w:val="24"/>
              </w:rPr>
            </w:pPr>
            <w:r>
              <w:rPr>
                <w:rFonts w:hint="eastAsia"/>
                <w:kern w:val="24"/>
                <w:sz w:val="24"/>
              </w:rPr>
              <w:t>⑥严格执行防火、防爆、防雷击、防毒害等各项要求；按照GB50140-2005《建筑灭火器配置设计规范》规定，配置相应的灭火器类型(干粉灭火器等)与数量，并在火灾危险场所设置报警装置；严禁区内有明火出现。</w:t>
            </w:r>
          </w:p>
          <w:p w14:paraId="61FD8456">
            <w:pPr>
              <w:spacing w:line="360" w:lineRule="auto"/>
              <w:ind w:firstLine="480" w:firstLineChars="200"/>
              <w:rPr>
                <w:kern w:val="24"/>
                <w:sz w:val="24"/>
              </w:rPr>
            </w:pPr>
            <w:r>
              <w:rPr>
                <w:rFonts w:hint="eastAsia"/>
                <w:kern w:val="24"/>
                <w:sz w:val="24"/>
              </w:rPr>
              <w:t>⑦待火灾或爆炸彻底排除或安全隐患彻底消除后，应立即清理现场，残留的灭火剂或使用过的惰性吸附和灭火材料集中收集后，作为危险废物送专门危险废物处理场所处置，禁止乱堆、乱放、乱倒。</w:t>
            </w:r>
          </w:p>
          <w:p w14:paraId="060606DF">
            <w:pPr>
              <w:spacing w:line="360" w:lineRule="auto"/>
              <w:ind w:firstLine="480" w:firstLineChars="200"/>
              <w:rPr>
                <w:kern w:val="24"/>
                <w:sz w:val="24"/>
              </w:rPr>
            </w:pPr>
          </w:p>
          <w:p w14:paraId="77BCE8C4">
            <w:pPr>
              <w:spacing w:line="360" w:lineRule="auto"/>
              <w:ind w:firstLine="480" w:firstLineChars="200"/>
              <w:rPr>
                <w:kern w:val="24"/>
                <w:sz w:val="24"/>
              </w:rPr>
            </w:pPr>
          </w:p>
          <w:p w14:paraId="5238A05D">
            <w:pPr>
              <w:spacing w:line="360" w:lineRule="auto"/>
              <w:ind w:firstLine="480" w:firstLineChars="200"/>
              <w:rPr>
                <w:kern w:val="24"/>
                <w:sz w:val="24"/>
              </w:rPr>
            </w:pPr>
          </w:p>
          <w:p w14:paraId="2B0088A7">
            <w:pPr>
              <w:spacing w:line="360" w:lineRule="auto"/>
              <w:ind w:firstLine="480" w:firstLineChars="200"/>
              <w:rPr>
                <w:kern w:val="24"/>
                <w:sz w:val="24"/>
              </w:rPr>
            </w:pPr>
          </w:p>
          <w:p w14:paraId="327A8880">
            <w:pPr>
              <w:spacing w:line="360" w:lineRule="auto"/>
              <w:ind w:firstLine="480" w:firstLineChars="200"/>
              <w:rPr>
                <w:kern w:val="24"/>
                <w:sz w:val="24"/>
              </w:rPr>
            </w:pPr>
          </w:p>
          <w:p w14:paraId="46AC353C">
            <w:pPr>
              <w:spacing w:line="360" w:lineRule="auto"/>
              <w:ind w:firstLine="480" w:firstLineChars="200"/>
              <w:rPr>
                <w:kern w:val="24"/>
                <w:sz w:val="24"/>
              </w:rPr>
            </w:pPr>
          </w:p>
          <w:p w14:paraId="5CD345AF">
            <w:pPr>
              <w:spacing w:line="360" w:lineRule="auto"/>
              <w:ind w:firstLine="480" w:firstLineChars="200"/>
              <w:rPr>
                <w:kern w:val="24"/>
                <w:sz w:val="24"/>
              </w:rPr>
            </w:pPr>
          </w:p>
          <w:p w14:paraId="1FFAB9C1">
            <w:pPr>
              <w:spacing w:line="360" w:lineRule="auto"/>
              <w:ind w:firstLine="480" w:firstLineChars="200"/>
              <w:rPr>
                <w:kern w:val="24"/>
                <w:sz w:val="24"/>
              </w:rPr>
            </w:pPr>
          </w:p>
          <w:p w14:paraId="66BC3A76">
            <w:pPr>
              <w:spacing w:line="360" w:lineRule="auto"/>
              <w:ind w:firstLine="480" w:firstLineChars="200"/>
              <w:rPr>
                <w:kern w:val="24"/>
                <w:sz w:val="24"/>
              </w:rPr>
            </w:pPr>
          </w:p>
          <w:p w14:paraId="67F3366B">
            <w:pPr>
              <w:spacing w:line="360" w:lineRule="auto"/>
              <w:ind w:firstLine="480" w:firstLineChars="200"/>
              <w:rPr>
                <w:kern w:val="24"/>
                <w:sz w:val="24"/>
              </w:rPr>
            </w:pPr>
          </w:p>
          <w:p w14:paraId="3880AFB3">
            <w:pPr>
              <w:spacing w:line="360" w:lineRule="auto"/>
              <w:ind w:firstLine="480" w:firstLineChars="200"/>
              <w:rPr>
                <w:kern w:val="24"/>
                <w:sz w:val="24"/>
              </w:rPr>
            </w:pPr>
          </w:p>
          <w:p w14:paraId="49900E03">
            <w:pPr>
              <w:spacing w:line="360" w:lineRule="auto"/>
              <w:ind w:firstLine="480" w:firstLineChars="200"/>
              <w:rPr>
                <w:kern w:val="24"/>
                <w:sz w:val="24"/>
              </w:rPr>
            </w:pPr>
          </w:p>
          <w:p w14:paraId="77C0CA7E">
            <w:pPr>
              <w:spacing w:line="360" w:lineRule="auto"/>
              <w:ind w:firstLine="480" w:firstLineChars="200"/>
              <w:rPr>
                <w:kern w:val="24"/>
                <w:sz w:val="24"/>
              </w:rPr>
            </w:pPr>
          </w:p>
          <w:p w14:paraId="42856D2B">
            <w:pPr>
              <w:spacing w:line="360" w:lineRule="auto"/>
              <w:ind w:firstLine="480" w:firstLineChars="200"/>
              <w:rPr>
                <w:kern w:val="24"/>
                <w:sz w:val="24"/>
              </w:rPr>
            </w:pPr>
          </w:p>
        </w:tc>
      </w:tr>
    </w:tbl>
    <w:p w14:paraId="309CDED7">
      <w:pPr>
        <w:adjustRightInd w:val="0"/>
        <w:snapToGrid w:val="0"/>
        <w:spacing w:line="360" w:lineRule="auto"/>
        <w:rPr>
          <w:b/>
          <w:kern w:val="0"/>
          <w:sz w:val="28"/>
          <w:szCs w:val="28"/>
        </w:rPr>
        <w:sectPr>
          <w:pgSz w:w="11907" w:h="16840"/>
          <w:pgMar w:top="1701" w:right="1531" w:bottom="2127" w:left="1531" w:header="851" w:footer="851" w:gutter="0"/>
          <w:cols w:space="720" w:num="1"/>
          <w:docGrid w:linePitch="312" w:charSpace="0"/>
        </w:sectPr>
      </w:pPr>
    </w:p>
    <w:p w14:paraId="4121CCBC">
      <w:pPr>
        <w:pStyle w:val="28"/>
        <w:jc w:val="center"/>
        <w:outlineLvl w:val="0"/>
        <w:rPr>
          <w:rFonts w:ascii="Times New Roman" w:hAnsi="Times New Roman" w:eastAsia="黑体"/>
          <w:snapToGrid w:val="0"/>
          <w:sz w:val="30"/>
          <w:szCs w:val="30"/>
        </w:rPr>
      </w:pPr>
      <w:bookmarkStart w:id="22" w:name="_Toc127436954"/>
      <w:r>
        <w:rPr>
          <w:rFonts w:ascii="Times New Roman" w:hAnsi="黑体" w:eastAsia="黑体"/>
          <w:snapToGrid w:val="0"/>
          <w:sz w:val="30"/>
          <w:szCs w:val="30"/>
        </w:rPr>
        <w:t>五、</w:t>
      </w:r>
      <w:bookmarkStart w:id="23" w:name="_Hlk54167917"/>
      <w:r>
        <w:rPr>
          <w:rFonts w:ascii="Times New Roman" w:hAnsi="黑体" w:eastAsia="黑体"/>
          <w:snapToGrid w:val="0"/>
          <w:sz w:val="30"/>
          <w:szCs w:val="30"/>
        </w:rPr>
        <w:t>环境保护措施监督检查清单</w:t>
      </w:r>
      <w:bookmarkEnd w:id="22"/>
      <w:bookmarkEnd w:id="23"/>
    </w:p>
    <w:tbl>
      <w:tblPr>
        <w:tblStyle w:val="32"/>
        <w:tblW w:w="9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701"/>
        <w:gridCol w:w="1435"/>
        <w:gridCol w:w="2762"/>
        <w:gridCol w:w="1925"/>
      </w:tblGrid>
      <w:tr w14:paraId="32E48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816" w:type="dxa"/>
            <w:tcBorders>
              <w:tl2br w:val="single" w:color="auto" w:sz="4" w:space="0"/>
            </w:tcBorders>
          </w:tcPr>
          <w:p w14:paraId="48B81A91">
            <w:pPr>
              <w:adjustRightInd w:val="0"/>
              <w:snapToGrid w:val="0"/>
              <w:ind w:firstLine="840"/>
              <w:rPr>
                <w:szCs w:val="21"/>
              </w:rPr>
            </w:pPr>
            <w:r>
              <w:rPr>
                <w:rFonts w:hAnsi="宋体"/>
                <w:szCs w:val="21"/>
              </w:rPr>
              <w:t>内容</w:t>
            </w:r>
          </w:p>
          <w:p w14:paraId="59E01773">
            <w:pPr>
              <w:adjustRightInd w:val="0"/>
              <w:snapToGrid w:val="0"/>
              <w:rPr>
                <w:szCs w:val="21"/>
              </w:rPr>
            </w:pPr>
            <w:r>
              <w:rPr>
                <w:rFonts w:hAnsi="宋体"/>
                <w:szCs w:val="21"/>
              </w:rPr>
              <w:t>要素</w:t>
            </w:r>
          </w:p>
        </w:tc>
        <w:tc>
          <w:tcPr>
            <w:tcW w:w="1701" w:type="dxa"/>
            <w:vAlign w:val="center"/>
          </w:tcPr>
          <w:p w14:paraId="04F06A67">
            <w:pPr>
              <w:adjustRightInd w:val="0"/>
              <w:snapToGrid w:val="0"/>
              <w:jc w:val="center"/>
              <w:rPr>
                <w:szCs w:val="21"/>
              </w:rPr>
            </w:pPr>
            <w:r>
              <w:rPr>
                <w:rFonts w:hAnsi="宋体"/>
                <w:szCs w:val="21"/>
              </w:rPr>
              <w:t>排放口</w:t>
            </w:r>
            <w:r>
              <w:rPr>
                <w:szCs w:val="21"/>
              </w:rPr>
              <w:t>(</w:t>
            </w:r>
            <w:r>
              <w:rPr>
                <w:rFonts w:hAnsi="宋体"/>
                <w:szCs w:val="21"/>
              </w:rPr>
              <w:t>编号、</w:t>
            </w:r>
          </w:p>
          <w:p w14:paraId="162E99CF">
            <w:pPr>
              <w:adjustRightInd w:val="0"/>
              <w:snapToGrid w:val="0"/>
              <w:jc w:val="center"/>
              <w:rPr>
                <w:szCs w:val="21"/>
              </w:rPr>
            </w:pPr>
            <w:r>
              <w:rPr>
                <w:rFonts w:hAnsi="宋体"/>
                <w:szCs w:val="21"/>
              </w:rPr>
              <w:t>名称</w:t>
            </w:r>
            <w:r>
              <w:rPr>
                <w:szCs w:val="21"/>
              </w:rPr>
              <w:t>)/</w:t>
            </w:r>
            <w:r>
              <w:rPr>
                <w:rFonts w:hAnsi="宋体"/>
                <w:szCs w:val="21"/>
              </w:rPr>
              <w:t>污染源</w:t>
            </w:r>
          </w:p>
        </w:tc>
        <w:tc>
          <w:tcPr>
            <w:tcW w:w="1435" w:type="dxa"/>
            <w:vAlign w:val="center"/>
          </w:tcPr>
          <w:p w14:paraId="14CF4A02">
            <w:pPr>
              <w:adjustRightInd w:val="0"/>
              <w:snapToGrid w:val="0"/>
              <w:jc w:val="center"/>
              <w:rPr>
                <w:szCs w:val="21"/>
              </w:rPr>
            </w:pPr>
            <w:r>
              <w:rPr>
                <w:rFonts w:hAnsi="宋体"/>
                <w:szCs w:val="21"/>
              </w:rPr>
              <w:t>污染物项目</w:t>
            </w:r>
          </w:p>
        </w:tc>
        <w:tc>
          <w:tcPr>
            <w:tcW w:w="2762" w:type="dxa"/>
            <w:vAlign w:val="center"/>
          </w:tcPr>
          <w:p w14:paraId="6F56DDDB">
            <w:pPr>
              <w:adjustRightInd w:val="0"/>
              <w:snapToGrid w:val="0"/>
              <w:jc w:val="center"/>
              <w:rPr>
                <w:szCs w:val="21"/>
              </w:rPr>
            </w:pPr>
            <w:r>
              <w:rPr>
                <w:rFonts w:hAnsi="宋体"/>
                <w:szCs w:val="21"/>
              </w:rPr>
              <w:t>环境保护措施</w:t>
            </w:r>
          </w:p>
        </w:tc>
        <w:tc>
          <w:tcPr>
            <w:tcW w:w="1925" w:type="dxa"/>
            <w:vAlign w:val="center"/>
          </w:tcPr>
          <w:p w14:paraId="7289FE10">
            <w:pPr>
              <w:adjustRightInd w:val="0"/>
              <w:snapToGrid w:val="0"/>
              <w:jc w:val="center"/>
              <w:rPr>
                <w:szCs w:val="21"/>
              </w:rPr>
            </w:pPr>
            <w:r>
              <w:rPr>
                <w:rFonts w:hAnsi="宋体"/>
                <w:szCs w:val="21"/>
              </w:rPr>
              <w:t>执行标准</w:t>
            </w:r>
          </w:p>
        </w:tc>
      </w:tr>
      <w:tr w14:paraId="75F91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restart"/>
            <w:vAlign w:val="center"/>
          </w:tcPr>
          <w:p w14:paraId="052A1AEF">
            <w:pPr>
              <w:adjustRightInd w:val="0"/>
              <w:snapToGrid w:val="0"/>
              <w:jc w:val="center"/>
              <w:rPr>
                <w:szCs w:val="21"/>
              </w:rPr>
            </w:pPr>
            <w:r>
              <w:rPr>
                <w:rFonts w:hAnsi="宋体"/>
                <w:szCs w:val="21"/>
              </w:rPr>
              <w:t>大气环境</w:t>
            </w:r>
          </w:p>
        </w:tc>
        <w:tc>
          <w:tcPr>
            <w:tcW w:w="1701" w:type="dxa"/>
            <w:vAlign w:val="center"/>
          </w:tcPr>
          <w:p w14:paraId="3B57FB9F">
            <w:pPr>
              <w:adjustRightInd w:val="0"/>
              <w:snapToGrid w:val="0"/>
              <w:jc w:val="center"/>
              <w:rPr>
                <w:szCs w:val="21"/>
              </w:rPr>
            </w:pPr>
            <w:r>
              <w:rPr>
                <w:rFonts w:hint="eastAsia"/>
                <w:kern w:val="24"/>
                <w:szCs w:val="21"/>
              </w:rPr>
              <w:t>三车间、四车间高频焊接烟尘(DA001)</w:t>
            </w:r>
            <w:r>
              <w:rPr>
                <w:szCs w:val="21"/>
              </w:rPr>
              <w:t xml:space="preserve"> </w:t>
            </w:r>
          </w:p>
        </w:tc>
        <w:tc>
          <w:tcPr>
            <w:tcW w:w="1435" w:type="dxa"/>
            <w:vAlign w:val="center"/>
          </w:tcPr>
          <w:p w14:paraId="395CD077">
            <w:pPr>
              <w:adjustRightInd w:val="0"/>
              <w:snapToGrid w:val="0"/>
              <w:jc w:val="center"/>
              <w:rPr>
                <w:szCs w:val="21"/>
              </w:rPr>
            </w:pPr>
            <w:r>
              <w:rPr>
                <w:rFonts w:hint="eastAsia" w:eastAsiaTheme="minorEastAsia"/>
                <w:kern w:val="24"/>
                <w:szCs w:val="21"/>
              </w:rPr>
              <w:t>颗粒物</w:t>
            </w:r>
          </w:p>
        </w:tc>
        <w:tc>
          <w:tcPr>
            <w:tcW w:w="2762" w:type="dxa"/>
            <w:vAlign w:val="center"/>
          </w:tcPr>
          <w:p w14:paraId="38B62692">
            <w:pPr>
              <w:adjustRightInd w:val="0"/>
              <w:snapToGrid w:val="0"/>
              <w:jc w:val="center"/>
              <w:rPr>
                <w:szCs w:val="21"/>
              </w:rPr>
            </w:pPr>
            <w:r>
              <w:rPr>
                <w:rFonts w:hint="eastAsia"/>
                <w:szCs w:val="21"/>
              </w:rPr>
              <w:t>项目三车间、四车间高频焊接产生焊接烟尘，经生产线焊接工段配套的1套集气罩(四周设置软帘)+布袋除尘器（TA001）收集处理后，通过1根15m高排气筒排放（DA001）。</w:t>
            </w:r>
          </w:p>
        </w:tc>
        <w:tc>
          <w:tcPr>
            <w:tcW w:w="1925" w:type="dxa"/>
            <w:vAlign w:val="center"/>
          </w:tcPr>
          <w:p w14:paraId="3EF27180">
            <w:pPr>
              <w:adjustRightInd w:val="0"/>
              <w:snapToGrid w:val="0"/>
              <w:jc w:val="center"/>
              <w:rPr>
                <w:szCs w:val="21"/>
              </w:rPr>
            </w:pPr>
            <w:r>
              <w:rPr>
                <w:rFonts w:hint="eastAsia" w:eastAsiaTheme="minorEastAsia"/>
              </w:rPr>
              <w:t>《大气污染物综合排放标准》（GB16297-1996）表2 中二级标准限值</w:t>
            </w:r>
          </w:p>
        </w:tc>
      </w:tr>
      <w:tr w14:paraId="10DE5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3A961D4E">
            <w:pPr>
              <w:adjustRightInd w:val="0"/>
              <w:snapToGrid w:val="0"/>
              <w:jc w:val="center"/>
              <w:rPr>
                <w:rFonts w:hint="eastAsia" w:hAnsi="宋体"/>
                <w:szCs w:val="21"/>
              </w:rPr>
            </w:pPr>
          </w:p>
        </w:tc>
        <w:tc>
          <w:tcPr>
            <w:tcW w:w="1701" w:type="dxa"/>
            <w:vAlign w:val="center"/>
          </w:tcPr>
          <w:p w14:paraId="2BEF0B02">
            <w:pPr>
              <w:adjustRightInd w:val="0"/>
              <w:snapToGrid w:val="0"/>
              <w:jc w:val="center"/>
              <w:rPr>
                <w:kern w:val="24"/>
                <w:szCs w:val="21"/>
              </w:rPr>
            </w:pPr>
            <w:r>
              <w:rPr>
                <w:rFonts w:hint="eastAsia"/>
                <w:kern w:val="24"/>
                <w:szCs w:val="21"/>
              </w:rPr>
              <w:t>七车间高频焊接烟尘(DA002)</w:t>
            </w:r>
          </w:p>
        </w:tc>
        <w:tc>
          <w:tcPr>
            <w:tcW w:w="1435" w:type="dxa"/>
            <w:vAlign w:val="center"/>
          </w:tcPr>
          <w:p w14:paraId="0C86251F">
            <w:pPr>
              <w:adjustRightInd w:val="0"/>
              <w:snapToGrid w:val="0"/>
              <w:jc w:val="center"/>
              <w:rPr>
                <w:rFonts w:eastAsiaTheme="minorEastAsia"/>
                <w:kern w:val="24"/>
                <w:szCs w:val="21"/>
              </w:rPr>
            </w:pPr>
            <w:r>
              <w:rPr>
                <w:rFonts w:hint="eastAsia" w:eastAsiaTheme="minorEastAsia"/>
                <w:kern w:val="24"/>
                <w:szCs w:val="21"/>
              </w:rPr>
              <w:t>颗粒物</w:t>
            </w:r>
          </w:p>
        </w:tc>
        <w:tc>
          <w:tcPr>
            <w:tcW w:w="2762" w:type="dxa"/>
            <w:vAlign w:val="center"/>
          </w:tcPr>
          <w:p w14:paraId="114ABE20">
            <w:pPr>
              <w:adjustRightInd w:val="0"/>
              <w:snapToGrid w:val="0"/>
              <w:jc w:val="center"/>
              <w:rPr>
                <w:szCs w:val="21"/>
              </w:rPr>
            </w:pPr>
            <w:r>
              <w:rPr>
                <w:rFonts w:hint="eastAsia"/>
                <w:szCs w:val="21"/>
              </w:rPr>
              <w:t>项目七车间高频焊接产生焊接烟尘，经3条生产线焊接工段配套的3套集气罩(四周设置软帘)+布袋除尘器（TA002、TA003、TA004）收集处理后，经管道引入1根15m高排气筒排放（DA002）。</w:t>
            </w:r>
          </w:p>
        </w:tc>
        <w:tc>
          <w:tcPr>
            <w:tcW w:w="1925" w:type="dxa"/>
            <w:vAlign w:val="center"/>
          </w:tcPr>
          <w:p w14:paraId="7B6C9D60">
            <w:pPr>
              <w:adjustRightInd w:val="0"/>
              <w:snapToGrid w:val="0"/>
              <w:jc w:val="center"/>
              <w:rPr>
                <w:szCs w:val="21"/>
              </w:rPr>
            </w:pPr>
            <w:r>
              <w:rPr>
                <w:rFonts w:hint="eastAsia" w:eastAsiaTheme="minorEastAsia"/>
              </w:rPr>
              <w:t>《大气污染物综合排放标准》（GB16297-1996）表2 中二级标准限值</w:t>
            </w:r>
          </w:p>
        </w:tc>
      </w:tr>
      <w:tr w14:paraId="5B155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3E8D7F70">
            <w:pPr>
              <w:adjustRightInd w:val="0"/>
              <w:snapToGrid w:val="0"/>
              <w:jc w:val="center"/>
              <w:rPr>
                <w:rFonts w:hint="eastAsia" w:hAnsi="宋体"/>
                <w:szCs w:val="21"/>
              </w:rPr>
            </w:pPr>
          </w:p>
        </w:tc>
        <w:tc>
          <w:tcPr>
            <w:tcW w:w="1701" w:type="dxa"/>
            <w:vAlign w:val="center"/>
          </w:tcPr>
          <w:p w14:paraId="555EC095">
            <w:pPr>
              <w:adjustRightInd w:val="0"/>
              <w:snapToGrid w:val="0"/>
              <w:jc w:val="center"/>
              <w:rPr>
                <w:kern w:val="24"/>
                <w:szCs w:val="21"/>
              </w:rPr>
            </w:pPr>
            <w:r>
              <w:rPr>
                <w:rFonts w:hint="eastAsia"/>
                <w:kern w:val="24"/>
                <w:szCs w:val="21"/>
              </w:rPr>
              <w:t>八车间高频焊接烟尘(DA003)</w:t>
            </w:r>
          </w:p>
        </w:tc>
        <w:tc>
          <w:tcPr>
            <w:tcW w:w="1435" w:type="dxa"/>
            <w:vAlign w:val="center"/>
          </w:tcPr>
          <w:p w14:paraId="2F0EE640">
            <w:pPr>
              <w:adjustRightInd w:val="0"/>
              <w:snapToGrid w:val="0"/>
              <w:jc w:val="center"/>
              <w:rPr>
                <w:rFonts w:eastAsiaTheme="minorEastAsia"/>
                <w:kern w:val="24"/>
                <w:szCs w:val="21"/>
              </w:rPr>
            </w:pPr>
            <w:r>
              <w:rPr>
                <w:rFonts w:hint="eastAsia" w:eastAsiaTheme="minorEastAsia"/>
                <w:kern w:val="24"/>
                <w:szCs w:val="21"/>
              </w:rPr>
              <w:t>颗粒物</w:t>
            </w:r>
          </w:p>
        </w:tc>
        <w:tc>
          <w:tcPr>
            <w:tcW w:w="2762" w:type="dxa"/>
            <w:vAlign w:val="center"/>
          </w:tcPr>
          <w:p w14:paraId="69A40215">
            <w:pPr>
              <w:adjustRightInd w:val="0"/>
              <w:snapToGrid w:val="0"/>
              <w:jc w:val="center"/>
              <w:rPr>
                <w:szCs w:val="21"/>
              </w:rPr>
            </w:pPr>
            <w:r>
              <w:rPr>
                <w:rFonts w:hint="eastAsia"/>
                <w:szCs w:val="21"/>
              </w:rPr>
              <w:t>项目八车间高频焊接产生焊接烟尘，经2条生产线焊接工段配套的2套集气罩(四周设置软帘)+布袋除尘器（TA005、TA006）收集处理后，经管道引入1根15m高排气筒排放（DA003）。</w:t>
            </w:r>
          </w:p>
        </w:tc>
        <w:tc>
          <w:tcPr>
            <w:tcW w:w="1925" w:type="dxa"/>
            <w:vAlign w:val="center"/>
          </w:tcPr>
          <w:p w14:paraId="53F0E1DA">
            <w:pPr>
              <w:adjustRightInd w:val="0"/>
              <w:snapToGrid w:val="0"/>
              <w:jc w:val="center"/>
              <w:rPr>
                <w:szCs w:val="21"/>
              </w:rPr>
            </w:pPr>
            <w:r>
              <w:rPr>
                <w:rFonts w:hint="eastAsia" w:eastAsiaTheme="minorEastAsia"/>
              </w:rPr>
              <w:t>《大气污染物综合排放标准》（GB16297-1996）表2 中二级标准限值</w:t>
            </w:r>
          </w:p>
        </w:tc>
      </w:tr>
      <w:tr w14:paraId="1B46D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30E4BC0F">
            <w:pPr>
              <w:adjustRightInd w:val="0"/>
              <w:snapToGrid w:val="0"/>
              <w:jc w:val="center"/>
              <w:rPr>
                <w:rFonts w:hint="eastAsia" w:hAnsi="宋体"/>
                <w:szCs w:val="21"/>
              </w:rPr>
            </w:pPr>
          </w:p>
        </w:tc>
        <w:tc>
          <w:tcPr>
            <w:tcW w:w="1701" w:type="dxa"/>
            <w:vAlign w:val="center"/>
          </w:tcPr>
          <w:p w14:paraId="520F5CBF">
            <w:pPr>
              <w:adjustRightInd w:val="0"/>
              <w:snapToGrid w:val="0"/>
              <w:jc w:val="center"/>
              <w:rPr>
                <w:kern w:val="24"/>
                <w:szCs w:val="21"/>
              </w:rPr>
            </w:pPr>
            <w:r>
              <w:rPr>
                <w:rFonts w:hint="eastAsia"/>
                <w:kern w:val="24"/>
                <w:szCs w:val="21"/>
              </w:rPr>
              <w:t>项目车间未收集焊接烟尘（无组织）</w:t>
            </w:r>
          </w:p>
        </w:tc>
        <w:tc>
          <w:tcPr>
            <w:tcW w:w="1435" w:type="dxa"/>
            <w:vAlign w:val="center"/>
          </w:tcPr>
          <w:p w14:paraId="3265E84D">
            <w:pPr>
              <w:adjustRightInd w:val="0"/>
              <w:snapToGrid w:val="0"/>
              <w:jc w:val="center"/>
              <w:rPr>
                <w:rFonts w:eastAsiaTheme="minorEastAsia"/>
                <w:kern w:val="24"/>
                <w:szCs w:val="21"/>
              </w:rPr>
            </w:pPr>
            <w:r>
              <w:rPr>
                <w:rFonts w:hint="eastAsia" w:eastAsiaTheme="minorEastAsia"/>
                <w:kern w:val="24"/>
                <w:szCs w:val="21"/>
              </w:rPr>
              <w:t>颗粒物</w:t>
            </w:r>
          </w:p>
        </w:tc>
        <w:tc>
          <w:tcPr>
            <w:tcW w:w="2762" w:type="dxa"/>
            <w:vAlign w:val="center"/>
          </w:tcPr>
          <w:p w14:paraId="0A8D8E72">
            <w:pPr>
              <w:adjustRightInd w:val="0"/>
              <w:snapToGrid w:val="0"/>
              <w:jc w:val="center"/>
              <w:rPr>
                <w:szCs w:val="21"/>
              </w:rPr>
            </w:pPr>
            <w:r>
              <w:rPr>
                <w:rFonts w:hint="eastAsia"/>
                <w:szCs w:val="21"/>
              </w:rPr>
              <w:t>项目车间改造为封闭式厂房。</w:t>
            </w:r>
          </w:p>
        </w:tc>
        <w:tc>
          <w:tcPr>
            <w:tcW w:w="1925" w:type="dxa"/>
            <w:vAlign w:val="center"/>
          </w:tcPr>
          <w:p w14:paraId="739E4EED">
            <w:pPr>
              <w:adjustRightInd w:val="0"/>
              <w:snapToGrid w:val="0"/>
              <w:jc w:val="center"/>
              <w:rPr>
                <w:szCs w:val="21"/>
              </w:rPr>
            </w:pPr>
            <w:r>
              <w:rPr>
                <w:rFonts w:hint="eastAsia"/>
                <w:szCs w:val="21"/>
              </w:rPr>
              <w:t>《大气污染物综合排放标准》（GB16297-1996）表2中新污染源大气污染物排放限值</w:t>
            </w:r>
          </w:p>
        </w:tc>
      </w:tr>
      <w:tr w14:paraId="34DC5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restart"/>
            <w:vAlign w:val="center"/>
          </w:tcPr>
          <w:p w14:paraId="06430CC1">
            <w:pPr>
              <w:adjustRightInd w:val="0"/>
              <w:snapToGrid w:val="0"/>
              <w:jc w:val="center"/>
              <w:rPr>
                <w:szCs w:val="21"/>
              </w:rPr>
            </w:pPr>
            <w:r>
              <w:rPr>
                <w:rFonts w:hAnsi="宋体"/>
                <w:szCs w:val="21"/>
              </w:rPr>
              <w:t>地表水环境</w:t>
            </w:r>
          </w:p>
        </w:tc>
        <w:tc>
          <w:tcPr>
            <w:tcW w:w="1701" w:type="dxa"/>
            <w:vAlign w:val="center"/>
          </w:tcPr>
          <w:p w14:paraId="554D0BB3">
            <w:pPr>
              <w:adjustRightInd w:val="0"/>
              <w:snapToGrid w:val="0"/>
              <w:jc w:val="center"/>
              <w:rPr>
                <w:szCs w:val="21"/>
              </w:rPr>
            </w:pPr>
            <w:r>
              <w:rPr>
                <w:szCs w:val="21"/>
              </w:rPr>
              <w:t>生活污水</w:t>
            </w:r>
          </w:p>
        </w:tc>
        <w:tc>
          <w:tcPr>
            <w:tcW w:w="1435" w:type="dxa"/>
            <w:vAlign w:val="center"/>
          </w:tcPr>
          <w:p w14:paraId="07C6A5BA">
            <w:pPr>
              <w:adjustRightInd w:val="0"/>
              <w:snapToGrid w:val="0"/>
              <w:jc w:val="center"/>
              <w:rPr>
                <w:szCs w:val="21"/>
              </w:rPr>
            </w:pPr>
            <w:r>
              <w:rPr>
                <w:szCs w:val="21"/>
              </w:rPr>
              <w:t>COD</w:t>
            </w:r>
            <w:r>
              <w:rPr>
                <w:szCs w:val="21"/>
                <w:vertAlign w:val="subscript"/>
              </w:rPr>
              <w:t>cr</w:t>
            </w:r>
            <w:r>
              <w:rPr>
                <w:rFonts w:hint="eastAsia"/>
                <w:szCs w:val="21"/>
              </w:rPr>
              <w:t>、</w:t>
            </w:r>
            <w:r>
              <w:rPr>
                <w:szCs w:val="21"/>
              </w:rPr>
              <w:t>BOD</w:t>
            </w:r>
            <w:r>
              <w:rPr>
                <w:szCs w:val="21"/>
                <w:vertAlign w:val="subscript"/>
              </w:rPr>
              <w:t>5</w:t>
            </w:r>
            <w:r>
              <w:rPr>
                <w:rFonts w:hint="eastAsia"/>
                <w:szCs w:val="21"/>
              </w:rPr>
              <w:t>、</w:t>
            </w:r>
            <w:r>
              <w:rPr>
                <w:szCs w:val="21"/>
              </w:rPr>
              <w:t>NH</w:t>
            </w:r>
            <w:r>
              <w:rPr>
                <w:szCs w:val="21"/>
                <w:vertAlign w:val="subscript"/>
              </w:rPr>
              <w:t>3</w:t>
            </w:r>
            <w:r>
              <w:rPr>
                <w:szCs w:val="21"/>
              </w:rPr>
              <w:t>-N</w:t>
            </w:r>
            <w:r>
              <w:rPr>
                <w:rFonts w:hint="eastAsia"/>
                <w:szCs w:val="21"/>
              </w:rPr>
              <w:t>、</w:t>
            </w:r>
            <w:r>
              <w:rPr>
                <w:szCs w:val="21"/>
              </w:rPr>
              <w:t>SS</w:t>
            </w:r>
            <w:r>
              <w:rPr>
                <w:rFonts w:hint="eastAsia"/>
                <w:szCs w:val="21"/>
              </w:rPr>
              <w:t>、</w:t>
            </w:r>
            <w:r>
              <w:rPr>
                <w:szCs w:val="21"/>
              </w:rPr>
              <w:t>T</w:t>
            </w:r>
            <w:r>
              <w:rPr>
                <w:rFonts w:hint="eastAsia"/>
                <w:szCs w:val="21"/>
              </w:rPr>
              <w:t>P、动植物油</w:t>
            </w:r>
          </w:p>
        </w:tc>
        <w:tc>
          <w:tcPr>
            <w:tcW w:w="2762" w:type="dxa"/>
            <w:vAlign w:val="center"/>
          </w:tcPr>
          <w:p w14:paraId="6AD07FEC">
            <w:pPr>
              <w:adjustRightInd w:val="0"/>
              <w:snapToGrid w:val="0"/>
              <w:jc w:val="center"/>
              <w:rPr>
                <w:szCs w:val="21"/>
              </w:rPr>
            </w:pPr>
            <w:r>
              <w:rPr>
                <w:szCs w:val="21"/>
              </w:rPr>
              <w:t>依托现有</w:t>
            </w:r>
            <w:r>
              <w:rPr>
                <w:rFonts w:hint="eastAsia"/>
                <w:szCs w:val="21"/>
              </w:rPr>
              <w:t>污水处理设施，处理达标后用于直接冷却水的补充水，不外排。</w:t>
            </w:r>
          </w:p>
        </w:tc>
        <w:tc>
          <w:tcPr>
            <w:tcW w:w="1925" w:type="dxa"/>
            <w:vAlign w:val="center"/>
          </w:tcPr>
          <w:p w14:paraId="5BC87925">
            <w:pPr>
              <w:adjustRightInd w:val="0"/>
              <w:snapToGrid w:val="0"/>
              <w:jc w:val="center"/>
              <w:rPr>
                <w:szCs w:val="21"/>
              </w:rPr>
            </w:pPr>
            <w:r>
              <w:rPr>
                <w:rFonts w:hint="eastAsia"/>
                <w:bCs/>
              </w:rPr>
              <w:t>《城市污水再生利用 工业用水水质》（GB/T 19923-2024）表1间冷开式循环冷却水补充水</w:t>
            </w:r>
          </w:p>
        </w:tc>
      </w:tr>
      <w:tr w14:paraId="7D308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6AEF7147">
            <w:pPr>
              <w:adjustRightInd w:val="0"/>
              <w:snapToGrid w:val="0"/>
              <w:jc w:val="center"/>
              <w:rPr>
                <w:rFonts w:hint="eastAsia" w:hAnsi="宋体"/>
                <w:szCs w:val="21"/>
              </w:rPr>
            </w:pPr>
          </w:p>
        </w:tc>
        <w:tc>
          <w:tcPr>
            <w:tcW w:w="1701" w:type="dxa"/>
            <w:vAlign w:val="center"/>
          </w:tcPr>
          <w:p w14:paraId="7ED991E6">
            <w:pPr>
              <w:adjustRightInd w:val="0"/>
              <w:snapToGrid w:val="0"/>
              <w:jc w:val="center"/>
              <w:rPr>
                <w:szCs w:val="21"/>
              </w:rPr>
            </w:pPr>
            <w:r>
              <w:rPr>
                <w:rFonts w:hint="eastAsia"/>
                <w:bCs/>
              </w:rPr>
              <w:t>设备间接冷却水</w:t>
            </w:r>
          </w:p>
        </w:tc>
        <w:tc>
          <w:tcPr>
            <w:tcW w:w="1435" w:type="dxa"/>
            <w:vAlign w:val="center"/>
          </w:tcPr>
          <w:p w14:paraId="7BBF0DFA">
            <w:pPr>
              <w:adjustRightInd w:val="0"/>
              <w:snapToGrid w:val="0"/>
              <w:jc w:val="center"/>
              <w:rPr>
                <w:szCs w:val="21"/>
              </w:rPr>
            </w:pPr>
            <w:r>
              <w:rPr>
                <w:szCs w:val="21"/>
              </w:rPr>
              <w:t>SS</w:t>
            </w:r>
          </w:p>
        </w:tc>
        <w:tc>
          <w:tcPr>
            <w:tcW w:w="2762" w:type="dxa"/>
            <w:vAlign w:val="center"/>
          </w:tcPr>
          <w:p w14:paraId="2B911229">
            <w:pPr>
              <w:adjustRightInd w:val="0"/>
              <w:snapToGrid w:val="0"/>
              <w:jc w:val="center"/>
            </w:pPr>
            <w:r>
              <w:rPr>
                <w:rFonts w:hint="eastAsia"/>
              </w:rPr>
              <w:t>经焊管设备净循环水池冷却后循环使用，不外排。</w:t>
            </w:r>
          </w:p>
          <w:p w14:paraId="6B881F89">
            <w:pPr>
              <w:adjustRightInd w:val="0"/>
              <w:snapToGrid w:val="0"/>
              <w:jc w:val="center"/>
              <w:rPr>
                <w:szCs w:val="21"/>
              </w:rPr>
            </w:pPr>
            <w:r>
              <w:rPr>
                <w:rFonts w:hint="eastAsia"/>
                <w:kern w:val="0"/>
                <w:szCs w:val="21"/>
              </w:rPr>
              <w:t>项目三车间、四车间设置净循环水箱</w:t>
            </w:r>
            <w:r>
              <w:rPr>
                <w:kern w:val="0"/>
                <w:szCs w:val="21"/>
              </w:rPr>
              <w:t>1</w:t>
            </w:r>
            <w:r>
              <w:rPr>
                <w:rFonts w:hint="eastAsia"/>
                <w:kern w:val="0"/>
                <w:szCs w:val="21"/>
              </w:rPr>
              <w:t>个，容积</w:t>
            </w:r>
            <w:r>
              <w:rPr>
                <w:kern w:val="0"/>
                <w:szCs w:val="21"/>
              </w:rPr>
              <w:t>6</w:t>
            </w:r>
            <w:r>
              <w:rPr>
                <w:rFonts w:hint="eastAsia"/>
                <w:kern w:val="0"/>
                <w:szCs w:val="21"/>
              </w:rPr>
              <w:t>0m</w:t>
            </w:r>
            <w:r>
              <w:rPr>
                <w:rFonts w:hint="eastAsia"/>
                <w:kern w:val="0"/>
                <w:szCs w:val="21"/>
                <w:vertAlign w:val="superscript"/>
              </w:rPr>
              <w:t>3</w:t>
            </w:r>
            <w:r>
              <w:rPr>
                <w:rFonts w:hint="eastAsia"/>
                <w:kern w:val="0"/>
                <w:szCs w:val="21"/>
              </w:rPr>
              <w:t>。项目七车间设置2个</w:t>
            </w:r>
            <w:r>
              <w:rPr>
                <w:rFonts w:hint="eastAsia"/>
              </w:rPr>
              <w:t>净循环水池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。项目</w:t>
            </w:r>
            <w:r>
              <w:rPr>
                <w:rFonts w:hint="eastAsia"/>
                <w:szCs w:val="21"/>
              </w:rPr>
              <w:t>八</w:t>
            </w:r>
            <w:r>
              <w:rPr>
                <w:rFonts w:hint="eastAsia"/>
                <w:kern w:val="0"/>
                <w:szCs w:val="21"/>
              </w:rPr>
              <w:t>车间设置2个</w:t>
            </w:r>
            <w:r>
              <w:rPr>
                <w:rFonts w:hint="eastAsia"/>
              </w:rPr>
              <w:t>净循环水池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w:t>
            </w:r>
          </w:p>
        </w:tc>
        <w:tc>
          <w:tcPr>
            <w:tcW w:w="1925" w:type="dxa"/>
            <w:vAlign w:val="center"/>
          </w:tcPr>
          <w:p w14:paraId="602EC460">
            <w:pPr>
              <w:adjustRightInd w:val="0"/>
              <w:snapToGrid w:val="0"/>
              <w:jc w:val="center"/>
              <w:rPr>
                <w:szCs w:val="21"/>
              </w:rPr>
            </w:pPr>
            <w:r>
              <w:rPr>
                <w:rFonts w:hint="eastAsia"/>
                <w:szCs w:val="21"/>
              </w:rPr>
              <w:t>不外排</w:t>
            </w:r>
          </w:p>
        </w:tc>
      </w:tr>
      <w:tr w14:paraId="34F99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46DCA87E">
            <w:pPr>
              <w:adjustRightInd w:val="0"/>
              <w:snapToGrid w:val="0"/>
              <w:jc w:val="center"/>
              <w:rPr>
                <w:rFonts w:hint="eastAsia" w:hAnsi="宋体"/>
                <w:szCs w:val="21"/>
              </w:rPr>
            </w:pPr>
          </w:p>
        </w:tc>
        <w:tc>
          <w:tcPr>
            <w:tcW w:w="1701" w:type="dxa"/>
            <w:vAlign w:val="center"/>
          </w:tcPr>
          <w:p w14:paraId="1A38B7A0">
            <w:pPr>
              <w:adjustRightInd w:val="0"/>
              <w:snapToGrid w:val="0"/>
              <w:jc w:val="center"/>
              <w:rPr>
                <w:szCs w:val="21"/>
              </w:rPr>
            </w:pPr>
            <w:r>
              <w:rPr>
                <w:rFonts w:hint="eastAsia"/>
                <w:bCs/>
              </w:rPr>
              <w:t>产品直接冷却水</w:t>
            </w:r>
          </w:p>
        </w:tc>
        <w:tc>
          <w:tcPr>
            <w:tcW w:w="1435" w:type="dxa"/>
            <w:vAlign w:val="center"/>
          </w:tcPr>
          <w:p w14:paraId="0CE94467">
            <w:pPr>
              <w:adjustRightInd w:val="0"/>
              <w:snapToGrid w:val="0"/>
              <w:jc w:val="center"/>
              <w:rPr>
                <w:szCs w:val="21"/>
              </w:rPr>
            </w:pPr>
            <w:r>
              <w:rPr>
                <w:szCs w:val="21"/>
              </w:rPr>
              <w:t>COD</w:t>
            </w:r>
            <w:r>
              <w:rPr>
                <w:szCs w:val="21"/>
                <w:vertAlign w:val="subscript"/>
              </w:rPr>
              <w:t>cr</w:t>
            </w:r>
            <w:r>
              <w:rPr>
                <w:rFonts w:hint="eastAsia"/>
                <w:szCs w:val="21"/>
              </w:rPr>
              <w:t>、</w:t>
            </w:r>
            <w:r>
              <w:rPr>
                <w:szCs w:val="21"/>
              </w:rPr>
              <w:t>SS</w:t>
            </w:r>
          </w:p>
        </w:tc>
        <w:tc>
          <w:tcPr>
            <w:tcW w:w="2762" w:type="dxa"/>
            <w:vAlign w:val="center"/>
          </w:tcPr>
          <w:p w14:paraId="4B46B0E2">
            <w:pPr>
              <w:adjustRightInd w:val="0"/>
              <w:snapToGrid w:val="0"/>
              <w:jc w:val="center"/>
            </w:pPr>
            <w:r>
              <w:rPr>
                <w:rFonts w:hint="eastAsia"/>
              </w:rPr>
              <w:t>经焊管车间浊循环水池冷却后循环使用，不外排。</w:t>
            </w:r>
          </w:p>
          <w:p w14:paraId="6BF1DDA3">
            <w:pPr>
              <w:adjustRightInd w:val="0"/>
              <w:snapToGrid w:val="0"/>
              <w:jc w:val="center"/>
              <w:rPr>
                <w:szCs w:val="21"/>
              </w:rPr>
            </w:pPr>
            <w:r>
              <w:rPr>
                <w:rFonts w:hint="eastAsia"/>
                <w:kern w:val="0"/>
                <w:szCs w:val="21"/>
              </w:rPr>
              <w:t>项目三车间、四车间设置浊循环水槽6个，每个容积20m</w:t>
            </w:r>
            <w:r>
              <w:rPr>
                <w:rFonts w:hint="eastAsia"/>
                <w:kern w:val="0"/>
                <w:szCs w:val="21"/>
                <w:vertAlign w:val="superscript"/>
              </w:rPr>
              <w:t>3</w:t>
            </w:r>
            <w:r>
              <w:rPr>
                <w:rFonts w:hint="eastAsia"/>
                <w:kern w:val="0"/>
                <w:szCs w:val="21"/>
              </w:rPr>
              <w:t>，共120m</w:t>
            </w:r>
            <w:r>
              <w:rPr>
                <w:rFonts w:hint="eastAsia"/>
                <w:kern w:val="0"/>
                <w:szCs w:val="21"/>
                <w:vertAlign w:val="superscript"/>
              </w:rPr>
              <w:t>3</w:t>
            </w:r>
            <w:r>
              <w:rPr>
                <w:rFonts w:hint="eastAsia"/>
                <w:kern w:val="0"/>
                <w:szCs w:val="21"/>
              </w:rPr>
              <w:t>。项目七车间设置2个</w:t>
            </w:r>
            <w:r>
              <w:rPr>
                <w:rFonts w:hint="eastAsia"/>
              </w:rPr>
              <w:t>浊循环水池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。项目</w:t>
            </w:r>
            <w:r>
              <w:rPr>
                <w:rFonts w:hint="eastAsia"/>
                <w:szCs w:val="21"/>
              </w:rPr>
              <w:t>八</w:t>
            </w:r>
            <w:r>
              <w:rPr>
                <w:rFonts w:hint="eastAsia"/>
                <w:kern w:val="0"/>
                <w:szCs w:val="21"/>
              </w:rPr>
              <w:t>车间设置2个</w:t>
            </w:r>
            <w:r>
              <w:rPr>
                <w:rFonts w:hint="eastAsia"/>
              </w:rPr>
              <w:t>浊循环水池</w:t>
            </w:r>
            <w:r>
              <w:rPr>
                <w:rFonts w:hint="eastAsia"/>
                <w:kern w:val="0"/>
                <w:szCs w:val="21"/>
              </w:rPr>
              <w:t>，每个容积110</w:t>
            </w:r>
            <w:r>
              <w:rPr>
                <w:rFonts w:hint="eastAsia"/>
                <w:kern w:val="0"/>
                <w:szCs w:val="21"/>
                <w:vertAlign w:val="superscript"/>
              </w:rPr>
              <w:t>3</w:t>
            </w:r>
            <w:r>
              <w:rPr>
                <w:rFonts w:hint="eastAsia"/>
                <w:kern w:val="0"/>
                <w:szCs w:val="21"/>
              </w:rPr>
              <w:t>、总容积220m</w:t>
            </w:r>
            <w:r>
              <w:rPr>
                <w:rFonts w:hint="eastAsia"/>
                <w:kern w:val="0"/>
                <w:szCs w:val="21"/>
                <w:vertAlign w:val="superscript"/>
              </w:rPr>
              <w:t>3</w:t>
            </w:r>
            <w:r>
              <w:rPr>
                <w:rFonts w:hint="eastAsia"/>
                <w:kern w:val="0"/>
                <w:szCs w:val="21"/>
              </w:rPr>
              <w:t>。</w:t>
            </w:r>
          </w:p>
        </w:tc>
        <w:tc>
          <w:tcPr>
            <w:tcW w:w="1925" w:type="dxa"/>
            <w:vAlign w:val="center"/>
          </w:tcPr>
          <w:p w14:paraId="38D0953A">
            <w:pPr>
              <w:adjustRightInd w:val="0"/>
              <w:snapToGrid w:val="0"/>
              <w:jc w:val="center"/>
              <w:rPr>
                <w:szCs w:val="21"/>
              </w:rPr>
            </w:pPr>
            <w:r>
              <w:rPr>
                <w:rFonts w:hint="eastAsia"/>
                <w:szCs w:val="21"/>
              </w:rPr>
              <w:t>不外排</w:t>
            </w:r>
          </w:p>
        </w:tc>
      </w:tr>
      <w:tr w14:paraId="43890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Align w:val="center"/>
          </w:tcPr>
          <w:p w14:paraId="3FCA9B20">
            <w:pPr>
              <w:adjustRightInd w:val="0"/>
              <w:snapToGrid w:val="0"/>
              <w:jc w:val="center"/>
              <w:rPr>
                <w:szCs w:val="21"/>
              </w:rPr>
            </w:pPr>
            <w:r>
              <w:rPr>
                <w:rFonts w:hAnsi="宋体"/>
                <w:szCs w:val="21"/>
              </w:rPr>
              <w:t>声环境</w:t>
            </w:r>
          </w:p>
        </w:tc>
        <w:tc>
          <w:tcPr>
            <w:tcW w:w="1701" w:type="dxa"/>
            <w:vAlign w:val="center"/>
          </w:tcPr>
          <w:p w14:paraId="5AADEDB8">
            <w:pPr>
              <w:adjustRightInd w:val="0"/>
              <w:snapToGrid w:val="0"/>
              <w:jc w:val="center"/>
              <w:rPr>
                <w:szCs w:val="21"/>
              </w:rPr>
            </w:pPr>
            <w:r>
              <w:rPr>
                <w:szCs w:val="21"/>
              </w:rPr>
              <w:t>生产设备</w:t>
            </w:r>
          </w:p>
        </w:tc>
        <w:tc>
          <w:tcPr>
            <w:tcW w:w="1435" w:type="dxa"/>
            <w:vAlign w:val="center"/>
          </w:tcPr>
          <w:p w14:paraId="5D85968A">
            <w:pPr>
              <w:adjustRightInd w:val="0"/>
              <w:snapToGrid w:val="0"/>
              <w:jc w:val="center"/>
              <w:rPr>
                <w:szCs w:val="21"/>
              </w:rPr>
            </w:pPr>
            <w:r>
              <w:rPr>
                <w:szCs w:val="21"/>
              </w:rPr>
              <w:t>机械噪声</w:t>
            </w:r>
          </w:p>
        </w:tc>
        <w:tc>
          <w:tcPr>
            <w:tcW w:w="2762" w:type="dxa"/>
            <w:vAlign w:val="center"/>
          </w:tcPr>
          <w:p w14:paraId="68ED1F25">
            <w:pPr>
              <w:adjustRightInd w:val="0"/>
              <w:snapToGrid w:val="0"/>
              <w:jc w:val="center"/>
              <w:rPr>
                <w:szCs w:val="21"/>
              </w:rPr>
            </w:pPr>
            <w:r>
              <w:rPr>
                <w:rFonts w:hint="eastAsia"/>
                <w:szCs w:val="21"/>
              </w:rPr>
              <w:t>基础减振、厂房隔声、对空气动力性噪声设备安装消声器、合理布局</w:t>
            </w:r>
          </w:p>
        </w:tc>
        <w:tc>
          <w:tcPr>
            <w:tcW w:w="1925" w:type="dxa"/>
            <w:vAlign w:val="center"/>
          </w:tcPr>
          <w:p w14:paraId="6BD0C7AC">
            <w:pPr>
              <w:adjustRightInd w:val="0"/>
              <w:snapToGrid w:val="0"/>
              <w:jc w:val="center"/>
              <w:rPr>
                <w:szCs w:val="21"/>
              </w:rPr>
            </w:pPr>
            <w:r>
              <w:rPr>
                <w:rFonts w:hint="eastAsia"/>
                <w:szCs w:val="21"/>
              </w:rPr>
              <w:t>《工业企业厂界环境噪声排放标准》（GB12348-2008）2类、4类标准</w:t>
            </w:r>
          </w:p>
        </w:tc>
      </w:tr>
      <w:tr w14:paraId="4DE99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Align w:val="center"/>
          </w:tcPr>
          <w:p w14:paraId="7BDD25AA">
            <w:pPr>
              <w:adjustRightInd w:val="0"/>
              <w:snapToGrid w:val="0"/>
              <w:jc w:val="center"/>
              <w:rPr>
                <w:szCs w:val="21"/>
              </w:rPr>
            </w:pPr>
            <w:r>
              <w:rPr>
                <w:rFonts w:hAnsi="宋体"/>
                <w:szCs w:val="21"/>
              </w:rPr>
              <w:t>电磁辐射</w:t>
            </w:r>
          </w:p>
        </w:tc>
        <w:tc>
          <w:tcPr>
            <w:tcW w:w="7823" w:type="dxa"/>
            <w:gridSpan w:val="4"/>
            <w:vAlign w:val="center"/>
          </w:tcPr>
          <w:p w14:paraId="6DFAE9D5">
            <w:pPr>
              <w:adjustRightInd w:val="0"/>
              <w:snapToGrid w:val="0"/>
              <w:jc w:val="center"/>
              <w:rPr>
                <w:szCs w:val="21"/>
              </w:rPr>
            </w:pPr>
            <w:r>
              <w:rPr>
                <w:rFonts w:hint="eastAsia"/>
                <w:szCs w:val="21"/>
              </w:rPr>
              <w:t>/</w:t>
            </w:r>
          </w:p>
        </w:tc>
      </w:tr>
      <w:tr w14:paraId="14F4F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restart"/>
            <w:vAlign w:val="center"/>
          </w:tcPr>
          <w:p w14:paraId="14B871BD">
            <w:pPr>
              <w:adjustRightInd w:val="0"/>
              <w:snapToGrid w:val="0"/>
              <w:jc w:val="center"/>
              <w:rPr>
                <w:rFonts w:hint="eastAsia" w:hAnsi="宋体"/>
                <w:szCs w:val="21"/>
              </w:rPr>
            </w:pPr>
            <w:r>
              <w:rPr>
                <w:rFonts w:hAnsi="宋体"/>
                <w:szCs w:val="21"/>
              </w:rPr>
              <w:t>固体废物</w:t>
            </w:r>
          </w:p>
        </w:tc>
        <w:tc>
          <w:tcPr>
            <w:tcW w:w="1701" w:type="dxa"/>
            <w:vAlign w:val="center"/>
          </w:tcPr>
          <w:p w14:paraId="02F02F3D">
            <w:pPr>
              <w:pStyle w:val="8"/>
              <w:spacing w:line="280" w:lineRule="exact"/>
              <w:ind w:firstLine="0"/>
              <w:jc w:val="center"/>
              <w:rPr>
                <w:sz w:val="21"/>
                <w:szCs w:val="21"/>
              </w:rPr>
            </w:pPr>
            <w:r>
              <w:rPr>
                <w:rFonts w:hint="eastAsia"/>
                <w:sz w:val="21"/>
                <w:szCs w:val="21"/>
                <w:lang w:bidi="ar"/>
              </w:rPr>
              <w:t>办公、生活</w:t>
            </w:r>
          </w:p>
        </w:tc>
        <w:tc>
          <w:tcPr>
            <w:tcW w:w="1435" w:type="dxa"/>
            <w:vAlign w:val="center"/>
          </w:tcPr>
          <w:p w14:paraId="5350E6E3">
            <w:pPr>
              <w:pStyle w:val="8"/>
              <w:spacing w:line="280" w:lineRule="exact"/>
              <w:ind w:firstLine="0"/>
              <w:jc w:val="center"/>
              <w:rPr>
                <w:sz w:val="21"/>
                <w:szCs w:val="21"/>
              </w:rPr>
            </w:pPr>
            <w:r>
              <w:rPr>
                <w:sz w:val="21"/>
                <w:szCs w:val="21"/>
                <w:lang w:bidi="ar"/>
              </w:rPr>
              <w:t>生活</w:t>
            </w:r>
            <w:r>
              <w:rPr>
                <w:rFonts w:hint="eastAsia"/>
                <w:sz w:val="21"/>
                <w:szCs w:val="21"/>
                <w:lang w:bidi="ar"/>
              </w:rPr>
              <w:t>垃圾</w:t>
            </w:r>
          </w:p>
        </w:tc>
        <w:tc>
          <w:tcPr>
            <w:tcW w:w="2762" w:type="dxa"/>
            <w:vAlign w:val="center"/>
          </w:tcPr>
          <w:p w14:paraId="61B6875B">
            <w:pPr>
              <w:pStyle w:val="8"/>
              <w:spacing w:line="280" w:lineRule="exact"/>
              <w:ind w:firstLine="0"/>
              <w:jc w:val="center"/>
              <w:rPr>
                <w:sz w:val="21"/>
                <w:szCs w:val="21"/>
              </w:rPr>
            </w:pPr>
            <w:r>
              <w:rPr>
                <w:rFonts w:hint="eastAsia"/>
                <w:szCs w:val="21"/>
              </w:rPr>
              <w:t>依托现有</w:t>
            </w:r>
            <w:r>
              <w:rPr>
                <w:szCs w:val="21"/>
              </w:rPr>
              <w:t>垃圾桶，</w:t>
            </w:r>
            <w:r>
              <w:rPr>
                <w:rFonts w:hint="eastAsia"/>
                <w:szCs w:val="21"/>
              </w:rPr>
              <w:t>经集中收集后</w:t>
            </w:r>
            <w:r>
              <w:rPr>
                <w:rFonts w:hint="eastAsia" w:asciiTheme="minorEastAsia" w:hAnsiTheme="minorEastAsia" w:eastAsiaTheme="minorEastAsia"/>
                <w:szCs w:val="21"/>
              </w:rPr>
              <w:t>委托环卫部门清运处置</w:t>
            </w:r>
          </w:p>
        </w:tc>
        <w:tc>
          <w:tcPr>
            <w:tcW w:w="1925" w:type="dxa"/>
            <w:vMerge w:val="restart"/>
            <w:vAlign w:val="center"/>
          </w:tcPr>
          <w:p w14:paraId="3D16519C">
            <w:pPr>
              <w:jc w:val="center"/>
              <w:rPr>
                <w:szCs w:val="21"/>
              </w:rPr>
            </w:pPr>
            <w:r>
              <w:rPr>
                <w:rFonts w:hint="eastAsia"/>
                <w:szCs w:val="21"/>
              </w:rPr>
              <w:t>《一般工业固体废物贮存和填埋污染控制标准》（GB 18599-2020），</w:t>
            </w:r>
          </w:p>
          <w:p w14:paraId="32738653">
            <w:pPr>
              <w:jc w:val="center"/>
              <w:rPr>
                <w:szCs w:val="21"/>
              </w:rPr>
            </w:pPr>
            <w:r>
              <w:rPr>
                <w:kern w:val="0"/>
                <w:szCs w:val="21"/>
                <w:lang w:bidi="ar"/>
              </w:rPr>
              <w:t>处置</w:t>
            </w:r>
            <w:r>
              <w:rPr>
                <w:rFonts w:hint="eastAsia"/>
                <w:kern w:val="0"/>
                <w:szCs w:val="21"/>
                <w:lang w:bidi="ar"/>
              </w:rPr>
              <w:t>率</w:t>
            </w:r>
            <w:r>
              <w:rPr>
                <w:kern w:val="0"/>
                <w:szCs w:val="21"/>
                <w:lang w:bidi="ar"/>
              </w:rPr>
              <w:t>100%</w:t>
            </w:r>
          </w:p>
        </w:tc>
      </w:tr>
      <w:tr w14:paraId="45111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14B25EC2">
            <w:pPr>
              <w:adjustRightInd w:val="0"/>
              <w:snapToGrid w:val="0"/>
              <w:jc w:val="center"/>
              <w:rPr>
                <w:rFonts w:hint="eastAsia" w:hAnsi="宋体"/>
                <w:szCs w:val="21"/>
              </w:rPr>
            </w:pPr>
          </w:p>
        </w:tc>
        <w:tc>
          <w:tcPr>
            <w:tcW w:w="1701" w:type="dxa"/>
            <w:vAlign w:val="center"/>
          </w:tcPr>
          <w:p w14:paraId="19E9FED6">
            <w:pPr>
              <w:pStyle w:val="8"/>
              <w:spacing w:line="280" w:lineRule="exact"/>
              <w:ind w:firstLine="0"/>
              <w:jc w:val="center"/>
              <w:rPr>
                <w:kern w:val="24"/>
                <w:sz w:val="21"/>
                <w:szCs w:val="21"/>
              </w:rPr>
            </w:pPr>
            <w:r>
              <w:rPr>
                <w:rFonts w:hint="eastAsia"/>
                <w:sz w:val="21"/>
                <w:szCs w:val="21"/>
                <w:lang w:bidi="ar"/>
              </w:rPr>
              <w:t>袋式除尘器</w:t>
            </w:r>
          </w:p>
        </w:tc>
        <w:tc>
          <w:tcPr>
            <w:tcW w:w="1435" w:type="dxa"/>
            <w:vAlign w:val="center"/>
          </w:tcPr>
          <w:p w14:paraId="40E220B9">
            <w:pPr>
              <w:pStyle w:val="8"/>
              <w:spacing w:line="280" w:lineRule="exact"/>
              <w:ind w:firstLine="0"/>
              <w:jc w:val="center"/>
              <w:rPr>
                <w:kern w:val="24"/>
                <w:sz w:val="21"/>
                <w:szCs w:val="21"/>
              </w:rPr>
            </w:pPr>
            <w:r>
              <w:rPr>
                <w:rFonts w:hint="eastAsia"/>
                <w:kern w:val="24"/>
                <w:sz w:val="21"/>
                <w:szCs w:val="21"/>
              </w:rPr>
              <w:t>除尘灰</w:t>
            </w:r>
          </w:p>
        </w:tc>
        <w:tc>
          <w:tcPr>
            <w:tcW w:w="2762" w:type="dxa"/>
            <w:vAlign w:val="center"/>
          </w:tcPr>
          <w:p w14:paraId="3E0E2FE6">
            <w:pPr>
              <w:pStyle w:val="8"/>
              <w:spacing w:line="280" w:lineRule="exact"/>
              <w:ind w:firstLine="0"/>
              <w:jc w:val="center"/>
              <w:rPr>
                <w:kern w:val="24"/>
                <w:sz w:val="21"/>
                <w:szCs w:val="21"/>
              </w:rPr>
            </w:pPr>
            <w:r>
              <w:rPr>
                <w:rFonts w:hint="eastAsia"/>
                <w:szCs w:val="21"/>
              </w:rPr>
              <w:t>收集后暂存于一般固废收集箱，外售处置。</w:t>
            </w:r>
          </w:p>
        </w:tc>
        <w:tc>
          <w:tcPr>
            <w:tcW w:w="1925" w:type="dxa"/>
            <w:vMerge w:val="continue"/>
            <w:vAlign w:val="center"/>
          </w:tcPr>
          <w:p w14:paraId="41506A77">
            <w:pPr>
              <w:jc w:val="center"/>
              <w:rPr>
                <w:szCs w:val="21"/>
              </w:rPr>
            </w:pPr>
          </w:p>
        </w:tc>
      </w:tr>
      <w:tr w14:paraId="23F94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3CB47252">
            <w:pPr>
              <w:adjustRightInd w:val="0"/>
              <w:snapToGrid w:val="0"/>
              <w:jc w:val="center"/>
              <w:rPr>
                <w:rFonts w:hint="eastAsia" w:hAnsi="宋体"/>
                <w:szCs w:val="21"/>
              </w:rPr>
            </w:pPr>
          </w:p>
        </w:tc>
        <w:tc>
          <w:tcPr>
            <w:tcW w:w="1701" w:type="dxa"/>
            <w:vAlign w:val="center"/>
          </w:tcPr>
          <w:p w14:paraId="719279FF">
            <w:pPr>
              <w:pStyle w:val="8"/>
              <w:spacing w:line="280" w:lineRule="exact"/>
              <w:ind w:firstLine="0"/>
              <w:jc w:val="center"/>
              <w:rPr>
                <w:kern w:val="24"/>
                <w:sz w:val="21"/>
                <w:szCs w:val="21"/>
              </w:rPr>
            </w:pPr>
            <w:r>
              <w:rPr>
                <w:rFonts w:hint="eastAsia"/>
                <w:kern w:val="24"/>
                <w:sz w:val="21"/>
                <w:szCs w:val="21"/>
              </w:rPr>
              <w:t>焊管生产</w:t>
            </w:r>
          </w:p>
        </w:tc>
        <w:tc>
          <w:tcPr>
            <w:tcW w:w="1435" w:type="dxa"/>
            <w:vAlign w:val="center"/>
          </w:tcPr>
          <w:p w14:paraId="1B5F0D0C">
            <w:pPr>
              <w:pStyle w:val="8"/>
              <w:spacing w:line="280" w:lineRule="exact"/>
              <w:ind w:firstLine="0"/>
              <w:jc w:val="center"/>
              <w:rPr>
                <w:kern w:val="24"/>
                <w:sz w:val="21"/>
                <w:szCs w:val="21"/>
              </w:rPr>
            </w:pPr>
            <w:r>
              <w:t>废边角料</w:t>
            </w:r>
            <w:r>
              <w:rPr>
                <w:rFonts w:hint="eastAsia"/>
              </w:rPr>
              <w:t>、不合格产品、金属沉渣</w:t>
            </w:r>
          </w:p>
        </w:tc>
        <w:tc>
          <w:tcPr>
            <w:tcW w:w="2762" w:type="dxa"/>
            <w:vAlign w:val="center"/>
          </w:tcPr>
          <w:p w14:paraId="28843DEF">
            <w:pPr>
              <w:pStyle w:val="8"/>
              <w:spacing w:line="280" w:lineRule="exact"/>
              <w:ind w:firstLine="0"/>
              <w:jc w:val="center"/>
              <w:rPr>
                <w:kern w:val="24"/>
                <w:sz w:val="21"/>
                <w:szCs w:val="21"/>
              </w:rPr>
            </w:pPr>
            <w:r>
              <w:rPr>
                <w:rFonts w:hint="eastAsia"/>
                <w:szCs w:val="21"/>
              </w:rPr>
              <w:t>收集后暂存于一般固废收集箱，外售处置。</w:t>
            </w:r>
          </w:p>
        </w:tc>
        <w:tc>
          <w:tcPr>
            <w:tcW w:w="1925" w:type="dxa"/>
            <w:vMerge w:val="continue"/>
            <w:vAlign w:val="center"/>
          </w:tcPr>
          <w:p w14:paraId="7448B29E">
            <w:pPr>
              <w:jc w:val="center"/>
              <w:rPr>
                <w:szCs w:val="21"/>
              </w:rPr>
            </w:pPr>
          </w:p>
        </w:tc>
      </w:tr>
      <w:tr w14:paraId="3016B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7B0C962A">
            <w:pPr>
              <w:adjustRightInd w:val="0"/>
              <w:snapToGrid w:val="0"/>
              <w:jc w:val="center"/>
              <w:rPr>
                <w:rFonts w:hint="eastAsia" w:hAnsi="宋体"/>
                <w:szCs w:val="21"/>
              </w:rPr>
            </w:pPr>
          </w:p>
        </w:tc>
        <w:tc>
          <w:tcPr>
            <w:tcW w:w="1701" w:type="dxa"/>
            <w:vAlign w:val="center"/>
          </w:tcPr>
          <w:p w14:paraId="2CE9C4AB">
            <w:pPr>
              <w:pStyle w:val="8"/>
              <w:spacing w:line="280" w:lineRule="exact"/>
              <w:ind w:firstLine="0"/>
              <w:jc w:val="center"/>
              <w:rPr>
                <w:sz w:val="21"/>
                <w:szCs w:val="21"/>
              </w:rPr>
            </w:pPr>
            <w:r>
              <w:rPr>
                <w:rFonts w:hint="eastAsia"/>
                <w:sz w:val="21"/>
                <w:szCs w:val="21"/>
              </w:rPr>
              <w:t>化粪池</w:t>
            </w:r>
          </w:p>
        </w:tc>
        <w:tc>
          <w:tcPr>
            <w:tcW w:w="1435" w:type="dxa"/>
            <w:vAlign w:val="center"/>
          </w:tcPr>
          <w:p w14:paraId="1F2A8DE5">
            <w:pPr>
              <w:pStyle w:val="8"/>
              <w:spacing w:line="280" w:lineRule="exact"/>
              <w:ind w:firstLine="0"/>
              <w:jc w:val="center"/>
              <w:rPr>
                <w:sz w:val="21"/>
                <w:szCs w:val="21"/>
              </w:rPr>
            </w:pPr>
            <w:r>
              <w:rPr>
                <w:rFonts w:hint="eastAsia"/>
                <w:sz w:val="21"/>
                <w:szCs w:val="21"/>
              </w:rPr>
              <w:t>污泥</w:t>
            </w:r>
          </w:p>
        </w:tc>
        <w:tc>
          <w:tcPr>
            <w:tcW w:w="2762" w:type="dxa"/>
            <w:vAlign w:val="center"/>
          </w:tcPr>
          <w:p w14:paraId="3E923F64">
            <w:pPr>
              <w:pStyle w:val="8"/>
              <w:spacing w:line="280" w:lineRule="exact"/>
              <w:ind w:firstLine="0"/>
              <w:jc w:val="center"/>
              <w:rPr>
                <w:bCs/>
                <w:sz w:val="21"/>
                <w:szCs w:val="21"/>
              </w:rPr>
            </w:pPr>
            <w:r>
              <w:rPr>
                <w:rFonts w:hint="eastAsia"/>
                <w:sz w:val="21"/>
                <w:szCs w:val="21"/>
                <w:lang w:bidi="ar"/>
              </w:rPr>
              <w:t>委托环卫部门清掏处置</w:t>
            </w:r>
          </w:p>
        </w:tc>
        <w:tc>
          <w:tcPr>
            <w:tcW w:w="1925" w:type="dxa"/>
            <w:vMerge w:val="continue"/>
            <w:vAlign w:val="center"/>
          </w:tcPr>
          <w:p w14:paraId="0B96B7D2">
            <w:pPr>
              <w:jc w:val="center"/>
              <w:rPr>
                <w:szCs w:val="21"/>
              </w:rPr>
            </w:pPr>
          </w:p>
        </w:tc>
      </w:tr>
      <w:tr w14:paraId="64198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08701ACD">
            <w:pPr>
              <w:adjustRightInd w:val="0"/>
              <w:snapToGrid w:val="0"/>
              <w:jc w:val="center"/>
              <w:rPr>
                <w:rFonts w:hint="eastAsia" w:hAnsi="宋体"/>
                <w:szCs w:val="21"/>
              </w:rPr>
            </w:pPr>
          </w:p>
        </w:tc>
        <w:tc>
          <w:tcPr>
            <w:tcW w:w="1701" w:type="dxa"/>
            <w:vAlign w:val="center"/>
          </w:tcPr>
          <w:p w14:paraId="4FC0E6CA">
            <w:pPr>
              <w:pStyle w:val="8"/>
              <w:spacing w:line="280" w:lineRule="exact"/>
              <w:ind w:firstLine="0"/>
              <w:jc w:val="center"/>
              <w:rPr>
                <w:sz w:val="21"/>
                <w:szCs w:val="21"/>
              </w:rPr>
            </w:pPr>
            <w:r>
              <w:rPr>
                <w:rFonts w:hint="eastAsia"/>
                <w:sz w:val="21"/>
                <w:szCs w:val="21"/>
              </w:rPr>
              <w:t>污水处理站</w:t>
            </w:r>
          </w:p>
        </w:tc>
        <w:tc>
          <w:tcPr>
            <w:tcW w:w="1435" w:type="dxa"/>
            <w:vAlign w:val="center"/>
          </w:tcPr>
          <w:p w14:paraId="3662B5B1">
            <w:pPr>
              <w:pStyle w:val="8"/>
              <w:spacing w:line="280" w:lineRule="exact"/>
              <w:ind w:firstLine="0"/>
              <w:jc w:val="center"/>
              <w:rPr>
                <w:sz w:val="21"/>
                <w:szCs w:val="21"/>
              </w:rPr>
            </w:pPr>
            <w:r>
              <w:rPr>
                <w:rFonts w:hint="eastAsia"/>
                <w:sz w:val="21"/>
                <w:szCs w:val="21"/>
              </w:rPr>
              <w:t>污泥</w:t>
            </w:r>
          </w:p>
        </w:tc>
        <w:tc>
          <w:tcPr>
            <w:tcW w:w="2762" w:type="dxa"/>
            <w:vAlign w:val="center"/>
          </w:tcPr>
          <w:p w14:paraId="03E106C5">
            <w:pPr>
              <w:pStyle w:val="8"/>
              <w:spacing w:line="280" w:lineRule="exact"/>
              <w:ind w:firstLine="0"/>
              <w:jc w:val="center"/>
              <w:rPr>
                <w:bCs/>
                <w:sz w:val="21"/>
                <w:szCs w:val="21"/>
              </w:rPr>
            </w:pPr>
            <w:r>
              <w:rPr>
                <w:rFonts w:hint="eastAsia"/>
                <w:sz w:val="21"/>
                <w:szCs w:val="21"/>
                <w:lang w:bidi="ar"/>
              </w:rPr>
              <w:t>定期清掏，回用于现有项目厂内绿化带施肥</w:t>
            </w:r>
          </w:p>
        </w:tc>
        <w:tc>
          <w:tcPr>
            <w:tcW w:w="1925" w:type="dxa"/>
            <w:vMerge w:val="continue"/>
            <w:vAlign w:val="center"/>
          </w:tcPr>
          <w:p w14:paraId="6ACD6145">
            <w:pPr>
              <w:jc w:val="center"/>
              <w:rPr>
                <w:szCs w:val="21"/>
              </w:rPr>
            </w:pPr>
          </w:p>
        </w:tc>
      </w:tr>
      <w:tr w14:paraId="04219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6" w:type="dxa"/>
            <w:vMerge w:val="continue"/>
            <w:vAlign w:val="center"/>
          </w:tcPr>
          <w:p w14:paraId="7CC54622">
            <w:pPr>
              <w:adjustRightInd w:val="0"/>
              <w:snapToGrid w:val="0"/>
              <w:jc w:val="center"/>
              <w:rPr>
                <w:rFonts w:hint="eastAsia" w:hAnsi="宋体"/>
                <w:szCs w:val="21"/>
              </w:rPr>
            </w:pPr>
          </w:p>
        </w:tc>
        <w:tc>
          <w:tcPr>
            <w:tcW w:w="1701" w:type="dxa"/>
            <w:vAlign w:val="center"/>
          </w:tcPr>
          <w:p w14:paraId="37207C11">
            <w:pPr>
              <w:pStyle w:val="8"/>
              <w:spacing w:line="280" w:lineRule="exact"/>
              <w:ind w:firstLine="0"/>
              <w:jc w:val="center"/>
              <w:rPr>
                <w:sz w:val="21"/>
                <w:szCs w:val="21"/>
              </w:rPr>
            </w:pPr>
            <w:r>
              <w:rPr>
                <w:sz w:val="21"/>
                <w:szCs w:val="21"/>
              </w:rPr>
              <w:t>机械设备保养</w:t>
            </w:r>
            <w:r>
              <w:rPr>
                <w:rFonts w:hint="eastAsia"/>
                <w:sz w:val="21"/>
                <w:szCs w:val="21"/>
              </w:rPr>
              <w:t>、</w:t>
            </w:r>
            <w:r>
              <w:rPr>
                <w:sz w:val="21"/>
                <w:szCs w:val="21"/>
              </w:rPr>
              <w:t>维修</w:t>
            </w:r>
          </w:p>
        </w:tc>
        <w:tc>
          <w:tcPr>
            <w:tcW w:w="1435" w:type="dxa"/>
            <w:vAlign w:val="center"/>
          </w:tcPr>
          <w:p w14:paraId="7444596F">
            <w:pPr>
              <w:pStyle w:val="8"/>
              <w:spacing w:line="280" w:lineRule="exact"/>
              <w:ind w:firstLine="0"/>
              <w:jc w:val="center"/>
              <w:rPr>
                <w:sz w:val="21"/>
                <w:szCs w:val="21"/>
              </w:rPr>
            </w:pPr>
            <w:r>
              <w:rPr>
                <w:rFonts w:hint="eastAsia"/>
                <w:sz w:val="21"/>
                <w:szCs w:val="21"/>
              </w:rPr>
              <w:t>废机油、废机油桶</w:t>
            </w:r>
          </w:p>
        </w:tc>
        <w:tc>
          <w:tcPr>
            <w:tcW w:w="2762" w:type="dxa"/>
            <w:vAlign w:val="center"/>
          </w:tcPr>
          <w:p w14:paraId="7D27FF8A">
            <w:pPr>
              <w:pStyle w:val="8"/>
              <w:spacing w:line="280" w:lineRule="exact"/>
              <w:ind w:firstLine="0"/>
              <w:jc w:val="center"/>
              <w:rPr>
                <w:bCs/>
                <w:sz w:val="21"/>
                <w:szCs w:val="21"/>
              </w:rPr>
            </w:pPr>
            <w:r>
              <w:rPr>
                <w:rFonts w:hint="eastAsia"/>
                <w:sz w:val="21"/>
                <w:szCs w:val="21"/>
                <w:lang w:bidi="ar"/>
              </w:rPr>
              <w:t>分类收集后暂存于现有危废暂存间，委托有资质单位处置</w:t>
            </w:r>
          </w:p>
        </w:tc>
        <w:tc>
          <w:tcPr>
            <w:tcW w:w="1925" w:type="dxa"/>
            <w:vAlign w:val="center"/>
          </w:tcPr>
          <w:p w14:paraId="02835A08">
            <w:pPr>
              <w:jc w:val="center"/>
              <w:rPr>
                <w:szCs w:val="21"/>
              </w:rPr>
            </w:pPr>
            <w:r>
              <w:rPr>
                <w:rFonts w:hint="eastAsia"/>
                <w:szCs w:val="21"/>
              </w:rPr>
              <w:t>《危险废物贮存污染控制标准》（GB18597-2023）</w:t>
            </w:r>
          </w:p>
        </w:tc>
      </w:tr>
      <w:tr w14:paraId="000C6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16" w:type="dxa"/>
            <w:vAlign w:val="center"/>
          </w:tcPr>
          <w:p w14:paraId="10EC0956">
            <w:pPr>
              <w:adjustRightInd w:val="0"/>
              <w:snapToGrid w:val="0"/>
              <w:jc w:val="center"/>
              <w:rPr>
                <w:szCs w:val="21"/>
              </w:rPr>
            </w:pPr>
            <w:r>
              <w:rPr>
                <w:rFonts w:hAnsi="宋体"/>
                <w:szCs w:val="21"/>
              </w:rPr>
              <w:t>土壤及地下水</w:t>
            </w:r>
          </w:p>
          <w:p w14:paraId="4A2EE250">
            <w:pPr>
              <w:adjustRightInd w:val="0"/>
              <w:snapToGrid w:val="0"/>
              <w:jc w:val="center"/>
              <w:rPr>
                <w:szCs w:val="21"/>
              </w:rPr>
            </w:pPr>
            <w:r>
              <w:rPr>
                <w:rFonts w:hAnsi="宋体"/>
                <w:szCs w:val="21"/>
              </w:rPr>
              <w:t>污染防治措施</w:t>
            </w:r>
          </w:p>
        </w:tc>
        <w:tc>
          <w:tcPr>
            <w:tcW w:w="7823" w:type="dxa"/>
            <w:gridSpan w:val="4"/>
            <w:vAlign w:val="center"/>
          </w:tcPr>
          <w:p w14:paraId="13268344">
            <w:pPr>
              <w:pStyle w:val="31"/>
              <w:adjustRightInd w:val="0"/>
              <w:snapToGrid w:val="0"/>
              <w:spacing w:after="0" w:line="360" w:lineRule="auto"/>
              <w:ind w:left="0" w:leftChars="0"/>
              <w:rPr>
                <w:szCs w:val="21"/>
              </w:rPr>
            </w:pPr>
            <w:r>
              <w:rPr>
                <w:rFonts w:hint="eastAsia"/>
                <w:szCs w:val="21"/>
              </w:rPr>
              <w:t>本项目地下水、土壤污染防治措施按照“源头控制、分区防治、应急响应”相结合的原则，从污染物的产生、入渗、扩散、应急响应进行控制。</w:t>
            </w:r>
          </w:p>
          <w:p w14:paraId="47867F73">
            <w:pPr>
              <w:pStyle w:val="31"/>
              <w:adjustRightInd w:val="0"/>
              <w:snapToGrid w:val="0"/>
              <w:spacing w:after="0" w:line="360" w:lineRule="auto"/>
              <w:ind w:left="48" w:leftChars="23"/>
              <w:rPr>
                <w:szCs w:val="21"/>
              </w:rPr>
            </w:pPr>
            <w:r>
              <w:rPr>
                <w:rFonts w:hint="eastAsia"/>
                <w:szCs w:val="21"/>
              </w:rPr>
              <w:t>①源头控制措施</w:t>
            </w:r>
          </w:p>
          <w:p w14:paraId="0DD43E04">
            <w:pPr>
              <w:pStyle w:val="31"/>
              <w:adjustRightInd w:val="0"/>
              <w:snapToGrid w:val="0"/>
              <w:spacing w:after="0" w:line="360" w:lineRule="auto"/>
              <w:ind w:left="48" w:leftChars="23"/>
              <w:rPr>
                <w:szCs w:val="21"/>
              </w:rPr>
            </w:pPr>
            <w:r>
              <w:rPr>
                <w:rFonts w:hint="eastAsia"/>
                <w:szCs w:val="21"/>
              </w:rPr>
              <w:t>污水管严格按照国家相关规范要求，使用合格的管材尽可能从源头上减少污染物的产生；防止和降低可能污染物的跑、冒、滴、漏，将废水泄漏的环境风险事故降低到最低程度。</w:t>
            </w:r>
          </w:p>
          <w:p w14:paraId="225BCDC3">
            <w:pPr>
              <w:pStyle w:val="31"/>
              <w:adjustRightInd w:val="0"/>
              <w:snapToGrid w:val="0"/>
              <w:spacing w:after="0" w:line="360" w:lineRule="auto"/>
              <w:ind w:left="48" w:leftChars="23"/>
              <w:rPr>
                <w:szCs w:val="21"/>
              </w:rPr>
            </w:pPr>
            <w:r>
              <w:rPr>
                <w:rFonts w:hint="eastAsia"/>
                <w:szCs w:val="21"/>
              </w:rPr>
              <w:t>②分区防控措施</w:t>
            </w:r>
          </w:p>
          <w:p w14:paraId="36F16F0F">
            <w:pPr>
              <w:pStyle w:val="31"/>
              <w:adjustRightInd w:val="0"/>
              <w:snapToGrid w:val="0"/>
              <w:spacing w:after="0" w:line="360" w:lineRule="auto"/>
              <w:ind w:left="0" w:leftChars="0"/>
              <w:rPr>
                <w:szCs w:val="21"/>
              </w:rPr>
            </w:pPr>
            <w:r>
              <w:rPr>
                <w:rFonts w:hint="eastAsia"/>
                <w:szCs w:val="21"/>
              </w:rPr>
              <w:t>根据项目地下水、土壤污染分析，本项目按照分区防控的要求，将厂区分为重点防渗区、一般防渗区和简单防渗区，不同的分区采取相应的防渗措施。</w:t>
            </w:r>
          </w:p>
          <w:p w14:paraId="7ED54499">
            <w:pPr>
              <w:pStyle w:val="31"/>
              <w:adjustRightInd w:val="0"/>
              <w:snapToGrid w:val="0"/>
              <w:spacing w:after="0" w:line="360" w:lineRule="auto"/>
              <w:ind w:left="0" w:leftChars="0"/>
              <w:rPr>
                <w:szCs w:val="21"/>
              </w:rPr>
            </w:pPr>
            <w:r>
              <w:rPr>
                <w:rFonts w:hint="eastAsia"/>
                <w:szCs w:val="21"/>
              </w:rPr>
              <w:t>本项目运行期地下水、土壤防控措施见下表。</w:t>
            </w:r>
          </w:p>
          <w:p w14:paraId="7B22B7F9">
            <w:pPr>
              <w:adjustRightInd w:val="0"/>
              <w:snapToGrid w:val="0"/>
              <w:spacing w:line="360" w:lineRule="auto"/>
              <w:ind w:firstLine="422" w:firstLineChars="200"/>
              <w:jc w:val="center"/>
              <w:rPr>
                <w:b/>
                <w:kern w:val="24"/>
                <w:szCs w:val="21"/>
              </w:rPr>
            </w:pPr>
            <w:r>
              <w:rPr>
                <w:rFonts w:hint="eastAsia"/>
                <w:b/>
                <w:kern w:val="24"/>
                <w:szCs w:val="21"/>
              </w:rPr>
              <w:t>表</w:t>
            </w:r>
            <w:r>
              <w:rPr>
                <w:b/>
                <w:kern w:val="24"/>
                <w:szCs w:val="21"/>
              </w:rPr>
              <w:t>5-1</w:t>
            </w:r>
            <w:r>
              <w:rPr>
                <w:rFonts w:hint="eastAsia"/>
                <w:b/>
                <w:kern w:val="24"/>
                <w:szCs w:val="21"/>
              </w:rPr>
              <w:t xml:space="preserve">  本项目分区防渗内容及要求汇总表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49"/>
              <w:gridCol w:w="1350"/>
              <w:gridCol w:w="5098"/>
            </w:tblGrid>
            <w:tr w14:paraId="6716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Align w:val="center"/>
                </w:tcPr>
                <w:p w14:paraId="7DF8CC2E">
                  <w:pPr>
                    <w:adjustRightInd w:val="0"/>
                    <w:snapToGrid w:val="0"/>
                    <w:jc w:val="center"/>
                    <w:rPr>
                      <w:kern w:val="24"/>
                      <w:sz w:val="18"/>
                      <w:szCs w:val="18"/>
                    </w:rPr>
                  </w:pPr>
                  <w:r>
                    <w:rPr>
                      <w:rFonts w:hint="eastAsia"/>
                      <w:kern w:val="24"/>
                      <w:sz w:val="18"/>
                      <w:szCs w:val="18"/>
                    </w:rPr>
                    <w:t>防渗分区</w:t>
                  </w:r>
                </w:p>
              </w:tc>
              <w:tc>
                <w:tcPr>
                  <w:tcW w:w="1559" w:type="dxa"/>
                  <w:vAlign w:val="center"/>
                </w:tcPr>
                <w:p w14:paraId="4CBE034F">
                  <w:pPr>
                    <w:adjustRightInd w:val="0"/>
                    <w:snapToGrid w:val="0"/>
                    <w:jc w:val="center"/>
                    <w:rPr>
                      <w:kern w:val="24"/>
                      <w:sz w:val="18"/>
                      <w:szCs w:val="18"/>
                    </w:rPr>
                  </w:pPr>
                  <w:r>
                    <w:rPr>
                      <w:rFonts w:hint="eastAsia"/>
                      <w:kern w:val="24"/>
                      <w:sz w:val="18"/>
                      <w:szCs w:val="18"/>
                    </w:rPr>
                    <w:t>区域</w:t>
                  </w:r>
                </w:p>
              </w:tc>
              <w:tc>
                <w:tcPr>
                  <w:tcW w:w="6010" w:type="dxa"/>
                  <w:vAlign w:val="center"/>
                </w:tcPr>
                <w:p w14:paraId="3091DE9E">
                  <w:pPr>
                    <w:adjustRightInd w:val="0"/>
                    <w:snapToGrid w:val="0"/>
                    <w:jc w:val="center"/>
                    <w:rPr>
                      <w:kern w:val="24"/>
                      <w:sz w:val="18"/>
                      <w:szCs w:val="18"/>
                    </w:rPr>
                  </w:pPr>
                  <w:r>
                    <w:rPr>
                      <w:rFonts w:hint="eastAsia"/>
                      <w:kern w:val="24"/>
                      <w:sz w:val="18"/>
                      <w:szCs w:val="18"/>
                    </w:rPr>
                    <w:t>防渗要求、措施</w:t>
                  </w:r>
                </w:p>
              </w:tc>
            </w:tr>
            <w:tr w14:paraId="27AF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Align w:val="center"/>
                </w:tcPr>
                <w:p w14:paraId="5748808C">
                  <w:pPr>
                    <w:adjustRightInd w:val="0"/>
                    <w:snapToGrid w:val="0"/>
                    <w:jc w:val="center"/>
                    <w:rPr>
                      <w:kern w:val="24"/>
                      <w:sz w:val="18"/>
                      <w:szCs w:val="18"/>
                    </w:rPr>
                  </w:pPr>
                  <w:r>
                    <w:rPr>
                      <w:rFonts w:hint="eastAsia"/>
                      <w:kern w:val="24"/>
                      <w:sz w:val="18"/>
                      <w:szCs w:val="18"/>
                    </w:rPr>
                    <w:t>重点防渗区</w:t>
                  </w:r>
                </w:p>
              </w:tc>
              <w:tc>
                <w:tcPr>
                  <w:tcW w:w="1559" w:type="dxa"/>
                  <w:vAlign w:val="center"/>
                </w:tcPr>
                <w:p w14:paraId="13786FC0">
                  <w:pPr>
                    <w:adjustRightInd w:val="0"/>
                    <w:snapToGrid w:val="0"/>
                    <w:jc w:val="center"/>
                    <w:rPr>
                      <w:kern w:val="24"/>
                      <w:sz w:val="18"/>
                      <w:szCs w:val="18"/>
                    </w:rPr>
                  </w:pPr>
                  <w:r>
                    <w:rPr>
                      <w:rFonts w:hint="eastAsia"/>
                      <w:kern w:val="24"/>
                      <w:sz w:val="18"/>
                      <w:szCs w:val="18"/>
                    </w:rPr>
                    <w:t>现有项目危废暂存间</w:t>
                  </w:r>
                </w:p>
              </w:tc>
              <w:tc>
                <w:tcPr>
                  <w:tcW w:w="6010" w:type="dxa"/>
                  <w:vAlign w:val="center"/>
                </w:tcPr>
                <w:p w14:paraId="0E63DA04">
                  <w:pPr>
                    <w:adjustRightInd w:val="0"/>
                    <w:snapToGrid w:val="0"/>
                    <w:jc w:val="center"/>
                    <w:rPr>
                      <w:kern w:val="24"/>
                      <w:sz w:val="18"/>
                      <w:szCs w:val="18"/>
                    </w:rPr>
                  </w:pPr>
                  <w:r>
                    <w:rPr>
                      <w:rFonts w:hint="eastAsia"/>
                      <w:kern w:val="0"/>
                      <w:sz w:val="18"/>
                      <w:szCs w:val="18"/>
                      <w:lang w:bidi="ar"/>
                    </w:rPr>
                    <w:t>现有</w:t>
                  </w:r>
                  <w:r>
                    <w:rPr>
                      <w:kern w:val="0"/>
                      <w:sz w:val="18"/>
                      <w:szCs w:val="18"/>
                      <w:lang w:bidi="ar"/>
                    </w:rPr>
                    <w:t>项目危废暂存间</w:t>
                  </w:r>
                  <w:r>
                    <w:rPr>
                      <w:rFonts w:hint="eastAsia"/>
                      <w:kern w:val="0"/>
                      <w:sz w:val="18"/>
                      <w:szCs w:val="18"/>
                      <w:lang w:bidi="ar"/>
                    </w:rPr>
                    <w:t>已进行重点防渗</w:t>
                  </w:r>
                  <w:r>
                    <w:rPr>
                      <w:kern w:val="0"/>
                      <w:sz w:val="18"/>
                      <w:szCs w:val="18"/>
                      <w:lang w:bidi="ar"/>
                    </w:rPr>
                    <w:t>，其防渗措施</w:t>
                  </w:r>
                  <w:r>
                    <w:rPr>
                      <w:rFonts w:hint="eastAsia"/>
                      <w:kern w:val="0"/>
                      <w:sz w:val="18"/>
                      <w:szCs w:val="18"/>
                      <w:lang w:bidi="ar"/>
                    </w:rPr>
                    <w:t>采用抗渗混凝土+2mm厚高密度聚乙烯膜+环氧树脂涂层</w:t>
                  </w:r>
                  <w:r>
                    <w:rPr>
                      <w:kern w:val="0"/>
                      <w:sz w:val="18"/>
                      <w:szCs w:val="18"/>
                      <w:lang w:bidi="ar"/>
                    </w:rPr>
                    <w:t>。</w:t>
                  </w:r>
                </w:p>
              </w:tc>
            </w:tr>
            <w:tr w14:paraId="0CA6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Merge w:val="restart"/>
                  <w:vAlign w:val="center"/>
                </w:tcPr>
                <w:p w14:paraId="13D8D44C">
                  <w:pPr>
                    <w:adjustRightInd w:val="0"/>
                    <w:snapToGrid w:val="0"/>
                    <w:jc w:val="center"/>
                    <w:rPr>
                      <w:kern w:val="24"/>
                      <w:sz w:val="18"/>
                      <w:szCs w:val="18"/>
                    </w:rPr>
                  </w:pPr>
                  <w:r>
                    <w:rPr>
                      <w:rFonts w:hint="eastAsia"/>
                      <w:kern w:val="24"/>
                      <w:sz w:val="18"/>
                      <w:szCs w:val="18"/>
                    </w:rPr>
                    <w:t>一般防渗区</w:t>
                  </w:r>
                </w:p>
              </w:tc>
              <w:tc>
                <w:tcPr>
                  <w:tcW w:w="1559" w:type="dxa"/>
                  <w:vAlign w:val="center"/>
                </w:tcPr>
                <w:p w14:paraId="00552E0C">
                  <w:pPr>
                    <w:adjustRightInd w:val="0"/>
                    <w:snapToGrid w:val="0"/>
                    <w:jc w:val="center"/>
                    <w:rPr>
                      <w:kern w:val="24"/>
                      <w:sz w:val="18"/>
                      <w:szCs w:val="18"/>
                    </w:rPr>
                  </w:pPr>
                  <w:r>
                    <w:rPr>
                      <w:rFonts w:hint="eastAsia"/>
                      <w:kern w:val="0"/>
                      <w:sz w:val="18"/>
                      <w:szCs w:val="18"/>
                      <w:lang w:bidi="ar"/>
                    </w:rPr>
                    <w:t>各循环水池</w:t>
                  </w:r>
                  <w:r>
                    <w:rPr>
                      <w:rFonts w:hint="eastAsia"/>
                      <w:sz w:val="18"/>
                      <w:szCs w:val="18"/>
                    </w:rPr>
                    <w:t>、</w:t>
                  </w:r>
                  <w:r>
                    <w:rPr>
                      <w:rFonts w:hint="eastAsia"/>
                      <w:kern w:val="0"/>
                      <w:sz w:val="18"/>
                      <w:szCs w:val="18"/>
                    </w:rPr>
                    <w:t>循环水槽/水箱</w:t>
                  </w:r>
                </w:p>
              </w:tc>
              <w:tc>
                <w:tcPr>
                  <w:tcW w:w="6010" w:type="dxa"/>
                  <w:vAlign w:val="center"/>
                </w:tcPr>
                <w:p w14:paraId="5ED42BF1">
                  <w:pPr>
                    <w:adjustRightInd w:val="0"/>
                    <w:snapToGrid w:val="0"/>
                    <w:jc w:val="center"/>
                    <w:rPr>
                      <w:kern w:val="24"/>
                      <w:sz w:val="18"/>
                      <w:szCs w:val="18"/>
                    </w:rPr>
                  </w:pPr>
                  <w:r>
                    <w:rPr>
                      <w:rFonts w:hint="eastAsia"/>
                      <w:kern w:val="24"/>
                      <w:sz w:val="18"/>
                      <w:szCs w:val="18"/>
                    </w:rPr>
                    <w:t>采用抗渗混凝土硬化，或等效黏土防渗层Mb≥1.5m，渗透系数≤10</w:t>
                  </w:r>
                  <w:r>
                    <w:rPr>
                      <w:rFonts w:hint="eastAsia"/>
                      <w:kern w:val="24"/>
                      <w:sz w:val="18"/>
                      <w:szCs w:val="18"/>
                      <w:vertAlign w:val="superscript"/>
                    </w:rPr>
                    <w:t>-7</w:t>
                  </w:r>
                  <w:r>
                    <w:rPr>
                      <w:rFonts w:hint="eastAsia"/>
                      <w:kern w:val="24"/>
                      <w:sz w:val="18"/>
                      <w:szCs w:val="18"/>
                    </w:rPr>
                    <w:t>cm/s</w:t>
                  </w:r>
                </w:p>
              </w:tc>
            </w:tr>
            <w:tr w14:paraId="1150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Merge w:val="continue"/>
                  <w:tcBorders>
                    <w:bottom w:val="single" w:color="auto" w:sz="4" w:space="0"/>
                  </w:tcBorders>
                  <w:vAlign w:val="center"/>
                </w:tcPr>
                <w:p w14:paraId="728D44B7">
                  <w:pPr>
                    <w:adjustRightInd w:val="0"/>
                    <w:snapToGrid w:val="0"/>
                    <w:jc w:val="center"/>
                    <w:rPr>
                      <w:kern w:val="24"/>
                      <w:sz w:val="18"/>
                      <w:szCs w:val="18"/>
                    </w:rPr>
                  </w:pPr>
                </w:p>
              </w:tc>
              <w:tc>
                <w:tcPr>
                  <w:tcW w:w="1559" w:type="dxa"/>
                  <w:tcBorders>
                    <w:bottom w:val="single" w:color="auto" w:sz="4" w:space="0"/>
                  </w:tcBorders>
                  <w:vAlign w:val="center"/>
                </w:tcPr>
                <w:p w14:paraId="3092052F">
                  <w:pPr>
                    <w:adjustRightInd w:val="0"/>
                    <w:snapToGrid w:val="0"/>
                    <w:jc w:val="center"/>
                    <w:rPr>
                      <w:kern w:val="24"/>
                      <w:sz w:val="18"/>
                      <w:szCs w:val="18"/>
                    </w:rPr>
                  </w:pPr>
                  <w:r>
                    <w:rPr>
                      <w:rFonts w:hint="eastAsia"/>
                      <w:sz w:val="18"/>
                      <w:szCs w:val="18"/>
                    </w:rPr>
                    <w:t>现有项目化粪池、</w:t>
                  </w:r>
                  <w:r>
                    <w:rPr>
                      <w:rFonts w:hint="eastAsia"/>
                      <w:kern w:val="24"/>
                      <w:sz w:val="18"/>
                      <w:szCs w:val="18"/>
                    </w:rPr>
                    <w:t>现有项目污水处理设施</w:t>
                  </w:r>
                </w:p>
              </w:tc>
              <w:tc>
                <w:tcPr>
                  <w:tcW w:w="6010" w:type="dxa"/>
                  <w:tcBorders>
                    <w:bottom w:val="single" w:color="auto" w:sz="4" w:space="0"/>
                  </w:tcBorders>
                  <w:vAlign w:val="center"/>
                </w:tcPr>
                <w:p w14:paraId="6CDDBAB5">
                  <w:pPr>
                    <w:adjustRightInd w:val="0"/>
                    <w:snapToGrid w:val="0"/>
                    <w:jc w:val="center"/>
                    <w:rPr>
                      <w:kern w:val="24"/>
                      <w:sz w:val="18"/>
                      <w:szCs w:val="18"/>
                    </w:rPr>
                  </w:pPr>
                  <w:r>
                    <w:rPr>
                      <w:rFonts w:hint="eastAsia"/>
                      <w:sz w:val="18"/>
                      <w:szCs w:val="18"/>
                    </w:rPr>
                    <w:t>现有项目化粪池、</w:t>
                  </w:r>
                  <w:r>
                    <w:rPr>
                      <w:rFonts w:hint="eastAsia"/>
                      <w:kern w:val="24"/>
                      <w:sz w:val="18"/>
                      <w:szCs w:val="18"/>
                    </w:rPr>
                    <w:t>现有项目污水处理设施已做抗渗混凝土硬化，渗透系数≤10</w:t>
                  </w:r>
                  <w:r>
                    <w:rPr>
                      <w:rFonts w:hint="eastAsia"/>
                      <w:kern w:val="24"/>
                      <w:sz w:val="18"/>
                      <w:szCs w:val="18"/>
                      <w:vertAlign w:val="superscript"/>
                    </w:rPr>
                    <w:t>-7</w:t>
                  </w:r>
                  <w:r>
                    <w:rPr>
                      <w:rFonts w:hint="eastAsia"/>
                      <w:kern w:val="24"/>
                      <w:sz w:val="18"/>
                      <w:szCs w:val="18"/>
                    </w:rPr>
                    <w:t>cm/s</w:t>
                  </w:r>
                </w:p>
              </w:tc>
            </w:tr>
            <w:tr w14:paraId="276A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21" w:type="dxa"/>
                  <w:vAlign w:val="center"/>
                </w:tcPr>
                <w:p w14:paraId="5C669CC0">
                  <w:pPr>
                    <w:adjustRightInd w:val="0"/>
                    <w:snapToGrid w:val="0"/>
                    <w:jc w:val="center"/>
                    <w:rPr>
                      <w:kern w:val="24"/>
                      <w:sz w:val="18"/>
                      <w:szCs w:val="18"/>
                    </w:rPr>
                  </w:pPr>
                  <w:r>
                    <w:rPr>
                      <w:rFonts w:hint="eastAsia"/>
                      <w:kern w:val="24"/>
                      <w:sz w:val="18"/>
                      <w:szCs w:val="18"/>
                    </w:rPr>
                    <w:t>简单防渗区</w:t>
                  </w:r>
                </w:p>
              </w:tc>
              <w:tc>
                <w:tcPr>
                  <w:tcW w:w="1559" w:type="dxa"/>
                  <w:vAlign w:val="center"/>
                </w:tcPr>
                <w:p w14:paraId="679865E3">
                  <w:pPr>
                    <w:adjustRightInd w:val="0"/>
                    <w:snapToGrid w:val="0"/>
                    <w:jc w:val="center"/>
                    <w:rPr>
                      <w:kern w:val="24"/>
                      <w:sz w:val="18"/>
                      <w:szCs w:val="18"/>
                    </w:rPr>
                  </w:pPr>
                  <w:r>
                    <w:rPr>
                      <w:rFonts w:hint="eastAsia"/>
                      <w:kern w:val="0"/>
                      <w:sz w:val="18"/>
                      <w:szCs w:val="18"/>
                      <w:lang w:bidi="ar"/>
                    </w:rPr>
                    <w:t>生产车间、厂内道路</w:t>
                  </w:r>
                </w:p>
              </w:tc>
              <w:tc>
                <w:tcPr>
                  <w:tcW w:w="6010" w:type="dxa"/>
                  <w:vAlign w:val="center"/>
                </w:tcPr>
                <w:p w14:paraId="5C89A422">
                  <w:pPr>
                    <w:adjustRightInd w:val="0"/>
                    <w:snapToGrid w:val="0"/>
                    <w:jc w:val="center"/>
                    <w:rPr>
                      <w:kern w:val="24"/>
                      <w:sz w:val="18"/>
                      <w:szCs w:val="18"/>
                    </w:rPr>
                  </w:pPr>
                  <w:r>
                    <w:rPr>
                      <w:rFonts w:hint="eastAsia"/>
                      <w:kern w:val="24"/>
                      <w:sz w:val="18"/>
                      <w:szCs w:val="18"/>
                    </w:rPr>
                    <w:t>一般地面硬化</w:t>
                  </w:r>
                </w:p>
              </w:tc>
            </w:tr>
          </w:tbl>
          <w:p w14:paraId="42B3C2AE">
            <w:pPr>
              <w:pStyle w:val="31"/>
              <w:adjustRightInd w:val="0"/>
              <w:snapToGrid w:val="0"/>
              <w:spacing w:after="0" w:line="360" w:lineRule="auto"/>
              <w:ind w:left="0" w:leftChars="0"/>
              <w:rPr>
                <w:szCs w:val="21"/>
              </w:rPr>
            </w:pPr>
          </w:p>
          <w:p w14:paraId="77083FE6">
            <w:pPr>
              <w:pStyle w:val="31"/>
              <w:adjustRightInd w:val="0"/>
              <w:snapToGrid w:val="0"/>
              <w:spacing w:after="0" w:line="360" w:lineRule="auto"/>
              <w:ind w:left="0" w:leftChars="0" w:firstLine="480"/>
              <w:rPr>
                <w:szCs w:val="21"/>
              </w:rPr>
            </w:pPr>
            <w:r>
              <w:rPr>
                <w:rFonts w:hint="eastAsia"/>
                <w:sz w:val="24"/>
              </w:rPr>
              <w:t>③</w:t>
            </w:r>
            <w:r>
              <w:rPr>
                <w:rFonts w:hint="eastAsia"/>
                <w:szCs w:val="21"/>
              </w:rPr>
              <w:t>跟踪监测计划</w:t>
            </w:r>
          </w:p>
          <w:p w14:paraId="1C1F83B4">
            <w:pPr>
              <w:adjustRightInd w:val="0"/>
              <w:snapToGrid w:val="0"/>
              <w:spacing w:line="360" w:lineRule="auto"/>
              <w:ind w:firstLine="420" w:firstLineChars="200"/>
              <w:rPr>
                <w:szCs w:val="21"/>
              </w:rPr>
            </w:pPr>
            <w:r>
              <w:rPr>
                <w:rFonts w:hint="eastAsia"/>
                <w:szCs w:val="21"/>
              </w:rPr>
              <w:t>本项目厂界外500 米范围内有2个村级地下水集中式饮用水水源（古城村、二街村地下井）。本项目在防渗层破损等非正常状况下危废暂存间液体废物泄露、循环水池冷却水、生活污水垂直入渗可能造成地下水环境污染。因此，本项目设置2个地下水环境跟踪监测点。</w:t>
            </w:r>
          </w:p>
        </w:tc>
      </w:tr>
      <w:tr w14:paraId="54316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16" w:type="dxa"/>
            <w:vAlign w:val="center"/>
          </w:tcPr>
          <w:p w14:paraId="766E3573">
            <w:pPr>
              <w:adjustRightInd w:val="0"/>
              <w:snapToGrid w:val="0"/>
              <w:jc w:val="center"/>
              <w:rPr>
                <w:szCs w:val="21"/>
              </w:rPr>
            </w:pPr>
            <w:r>
              <w:rPr>
                <w:rFonts w:hAnsi="宋体"/>
                <w:szCs w:val="21"/>
              </w:rPr>
              <w:t>生态保护措施</w:t>
            </w:r>
          </w:p>
        </w:tc>
        <w:tc>
          <w:tcPr>
            <w:tcW w:w="7823" w:type="dxa"/>
            <w:gridSpan w:val="4"/>
            <w:vAlign w:val="center"/>
          </w:tcPr>
          <w:p w14:paraId="7D056CF1">
            <w:pPr>
              <w:adjustRightInd w:val="0"/>
              <w:snapToGrid w:val="0"/>
              <w:jc w:val="center"/>
              <w:rPr>
                <w:szCs w:val="21"/>
              </w:rPr>
            </w:pPr>
            <w:r>
              <w:rPr>
                <w:rFonts w:hint="eastAsia"/>
                <w:szCs w:val="21"/>
              </w:rPr>
              <w:t>/</w:t>
            </w:r>
          </w:p>
        </w:tc>
      </w:tr>
      <w:tr w14:paraId="223F2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816" w:type="dxa"/>
            <w:vAlign w:val="center"/>
          </w:tcPr>
          <w:p w14:paraId="05DF80C2">
            <w:pPr>
              <w:adjustRightInd w:val="0"/>
              <w:snapToGrid w:val="0"/>
              <w:jc w:val="center"/>
              <w:rPr>
                <w:szCs w:val="21"/>
              </w:rPr>
            </w:pPr>
            <w:r>
              <w:rPr>
                <w:rFonts w:hAnsi="宋体"/>
                <w:szCs w:val="21"/>
              </w:rPr>
              <w:t>环境风险</w:t>
            </w:r>
          </w:p>
          <w:p w14:paraId="6A5B4AF8">
            <w:pPr>
              <w:adjustRightInd w:val="0"/>
              <w:snapToGrid w:val="0"/>
              <w:jc w:val="center"/>
              <w:rPr>
                <w:szCs w:val="21"/>
              </w:rPr>
            </w:pPr>
            <w:r>
              <w:rPr>
                <w:rFonts w:hAnsi="宋体"/>
                <w:szCs w:val="21"/>
              </w:rPr>
              <w:t>防范措施</w:t>
            </w:r>
          </w:p>
        </w:tc>
        <w:tc>
          <w:tcPr>
            <w:tcW w:w="7823" w:type="dxa"/>
            <w:gridSpan w:val="4"/>
            <w:vAlign w:val="center"/>
          </w:tcPr>
          <w:p w14:paraId="69903B1D">
            <w:pPr>
              <w:spacing w:line="360" w:lineRule="auto"/>
              <w:rPr>
                <w:kern w:val="24"/>
                <w:szCs w:val="21"/>
              </w:rPr>
            </w:pPr>
            <w:r>
              <w:rPr>
                <w:rFonts w:hint="eastAsia"/>
                <w:kern w:val="24"/>
                <w:szCs w:val="21"/>
              </w:rPr>
              <w:t>（1）环境风险管理</w:t>
            </w:r>
          </w:p>
          <w:p w14:paraId="5D38C1E4">
            <w:pPr>
              <w:spacing w:line="360" w:lineRule="auto"/>
              <w:ind w:firstLine="420" w:firstLineChars="200"/>
              <w:rPr>
                <w:kern w:val="24"/>
                <w:szCs w:val="21"/>
              </w:rPr>
            </w:pPr>
            <w:r>
              <w:rPr>
                <w:rFonts w:hint="eastAsia"/>
                <w:kern w:val="24"/>
                <w:szCs w:val="21"/>
              </w:rPr>
              <w:t>项目建成运行后，建设单位应编制《突发事故环境风险应急预案》报送生态环境主管部门进行备案，并配备相应的风险应急物资。</w:t>
            </w:r>
          </w:p>
          <w:p w14:paraId="6573396B">
            <w:pPr>
              <w:spacing w:line="360" w:lineRule="auto"/>
              <w:ind w:firstLine="420" w:firstLineChars="200"/>
              <w:rPr>
                <w:kern w:val="24"/>
                <w:szCs w:val="21"/>
              </w:rPr>
            </w:pPr>
            <w:r>
              <w:rPr>
                <w:rFonts w:hint="eastAsia"/>
                <w:kern w:val="24"/>
                <w:szCs w:val="21"/>
              </w:rPr>
              <w:t>②危险废物在厂区使用专用容器，并将收集容器贴上标签，存储于现有项目危废暂存间内，委托有资质的单位处理。危废暂存间必须派专人进行管理，并严格执行危废暂存间的管理制度，降低管理产生的风险。</w:t>
            </w:r>
          </w:p>
          <w:p w14:paraId="106EA5CD">
            <w:pPr>
              <w:spacing w:line="360" w:lineRule="auto"/>
              <w:ind w:firstLine="420" w:firstLineChars="200"/>
              <w:rPr>
                <w:kern w:val="24"/>
                <w:szCs w:val="21"/>
              </w:rPr>
            </w:pPr>
            <w:r>
              <w:rPr>
                <w:rFonts w:hint="eastAsia"/>
                <w:kern w:val="24"/>
                <w:szCs w:val="21"/>
              </w:rPr>
              <w:t>③加强职工安全环保教育，防止和减少因人为因素造成的事故，同时也要加强防火安全教育。</w:t>
            </w:r>
          </w:p>
          <w:p w14:paraId="7FDB5A79">
            <w:pPr>
              <w:spacing w:line="360" w:lineRule="auto"/>
              <w:ind w:firstLine="420" w:firstLineChars="200"/>
              <w:rPr>
                <w:kern w:val="24"/>
                <w:szCs w:val="21"/>
              </w:rPr>
            </w:pPr>
            <w:r>
              <w:rPr>
                <w:rFonts w:hint="eastAsia"/>
                <w:kern w:val="24"/>
                <w:szCs w:val="21"/>
              </w:rPr>
              <w:t>④应配备足够的消防设施，落实安全管理责任。</w:t>
            </w:r>
          </w:p>
          <w:p w14:paraId="1D2ACC38">
            <w:pPr>
              <w:spacing w:line="360" w:lineRule="auto"/>
              <w:ind w:firstLine="420" w:firstLineChars="200"/>
              <w:rPr>
                <w:kern w:val="24"/>
                <w:szCs w:val="21"/>
              </w:rPr>
            </w:pPr>
            <w:r>
              <w:rPr>
                <w:rFonts w:hint="eastAsia"/>
                <w:kern w:val="24"/>
                <w:szCs w:val="21"/>
              </w:rPr>
              <w:t>⑤强化设备检修，减少因设备损坏、老化带来的遗漏。</w:t>
            </w:r>
          </w:p>
          <w:p w14:paraId="0DE9485A">
            <w:pPr>
              <w:spacing w:line="360" w:lineRule="auto"/>
              <w:rPr>
                <w:kern w:val="24"/>
                <w:szCs w:val="21"/>
              </w:rPr>
            </w:pPr>
            <w:r>
              <w:rPr>
                <w:rFonts w:hint="eastAsia"/>
                <w:kern w:val="24"/>
                <w:szCs w:val="21"/>
              </w:rPr>
              <w:t>（2）环境风险防范措施</w:t>
            </w:r>
          </w:p>
          <w:p w14:paraId="6F5D9541">
            <w:pPr>
              <w:spacing w:line="360" w:lineRule="auto"/>
              <w:ind w:firstLine="420" w:firstLineChars="200"/>
              <w:rPr>
                <w:kern w:val="24"/>
                <w:szCs w:val="21"/>
              </w:rPr>
            </w:pPr>
            <w:r>
              <w:rPr>
                <w:rFonts w:hint="eastAsia"/>
                <w:kern w:val="24"/>
                <w:szCs w:val="21"/>
              </w:rPr>
              <w:t>①现有项目危废暂存间按照《危险废物贮存污染控制标准》(GB 18597-2023) 中相关要求设置防渗层，并分类存放、贮存，并必须采取防扬散、防流失、防渗漏及其他防止污染环境的措施，不得随意露天堆放。</w:t>
            </w:r>
          </w:p>
          <w:p w14:paraId="7433DDEA">
            <w:pPr>
              <w:spacing w:line="360" w:lineRule="auto"/>
              <w:ind w:firstLine="420" w:firstLineChars="200"/>
              <w:rPr>
                <w:kern w:val="24"/>
                <w:szCs w:val="21"/>
              </w:rPr>
            </w:pPr>
            <w:r>
              <w:rPr>
                <w:rFonts w:hint="eastAsia"/>
                <w:kern w:val="24"/>
                <w:szCs w:val="21"/>
              </w:rPr>
              <w:t>②应具有液体泄漏堵截设施，设置围堰、导流沟、集液池，对围堰区进行防渗处理。</w:t>
            </w:r>
          </w:p>
          <w:p w14:paraId="04D54B3A">
            <w:pPr>
              <w:spacing w:line="360" w:lineRule="auto"/>
              <w:ind w:firstLine="420" w:firstLineChars="200"/>
              <w:rPr>
                <w:kern w:val="24"/>
                <w:szCs w:val="21"/>
              </w:rPr>
            </w:pPr>
            <w:r>
              <w:rPr>
                <w:rFonts w:hint="eastAsia"/>
                <w:kern w:val="24"/>
                <w:szCs w:val="21"/>
              </w:rPr>
              <w:t>③机油泄漏时，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w:t>
            </w:r>
          </w:p>
          <w:p w14:paraId="05B3B53C">
            <w:pPr>
              <w:spacing w:line="360" w:lineRule="auto"/>
              <w:ind w:firstLine="420" w:firstLineChars="200"/>
              <w:rPr>
                <w:kern w:val="24"/>
                <w:szCs w:val="21"/>
              </w:rPr>
            </w:pPr>
            <w:r>
              <w:rPr>
                <w:rFonts w:hint="eastAsia"/>
                <w:kern w:val="24"/>
                <w:szCs w:val="21"/>
              </w:rPr>
              <w:t>④因火灾事故产生的消防废水应将储存于现有项目应急事故池中，不得外排。现有项目应急事故池中应做好相应防渗措施。</w:t>
            </w:r>
          </w:p>
          <w:p w14:paraId="5A3C6502">
            <w:pPr>
              <w:spacing w:line="360" w:lineRule="auto"/>
              <w:ind w:firstLine="420" w:firstLineChars="200"/>
              <w:rPr>
                <w:kern w:val="24"/>
                <w:szCs w:val="21"/>
              </w:rPr>
            </w:pPr>
            <w:r>
              <w:rPr>
                <w:rFonts w:hint="eastAsia"/>
                <w:kern w:val="24"/>
                <w:szCs w:val="21"/>
              </w:rPr>
              <w:t>⑤库房远离火源、电源、同时加强管理，严禁烟火。</w:t>
            </w:r>
          </w:p>
          <w:p w14:paraId="59FBEFFE">
            <w:pPr>
              <w:spacing w:line="360" w:lineRule="auto"/>
              <w:ind w:firstLine="420" w:firstLineChars="200"/>
              <w:rPr>
                <w:kern w:val="24"/>
                <w:szCs w:val="21"/>
              </w:rPr>
            </w:pPr>
            <w:r>
              <w:rPr>
                <w:rFonts w:hint="eastAsia"/>
                <w:kern w:val="24"/>
                <w:szCs w:val="21"/>
              </w:rPr>
              <w:t>⑥严格执行防火、防爆、防雷击、防毒害等各项要求；按照GB50140-2005《建筑灭火器配置设计规范》规定，配置相应的灭火器类型(干粉灭火器等)与数量，并在火灾危险场所设置报警装置；严禁区内有明火出现。</w:t>
            </w:r>
          </w:p>
          <w:p w14:paraId="34B86D20">
            <w:pPr>
              <w:spacing w:line="360" w:lineRule="auto"/>
              <w:ind w:firstLine="420" w:firstLineChars="200"/>
              <w:rPr>
                <w:kern w:val="24"/>
                <w:szCs w:val="21"/>
              </w:rPr>
            </w:pPr>
            <w:r>
              <w:rPr>
                <w:rFonts w:hint="eastAsia"/>
                <w:kern w:val="24"/>
                <w:szCs w:val="21"/>
              </w:rPr>
              <w:t>⑦待火灾或爆炸彻底排除或安全隐患彻底消除后，应立即清理现场，残留的灭火剂或使用过的惰性吸附和灭火材料集中收集后，作为危险废物送专门危险废物处理场所处置，禁止乱堆、乱放、乱倒。</w:t>
            </w:r>
          </w:p>
        </w:tc>
      </w:tr>
      <w:tr w14:paraId="25089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16" w:type="dxa"/>
            <w:vAlign w:val="center"/>
          </w:tcPr>
          <w:p w14:paraId="6C01F2CB">
            <w:pPr>
              <w:adjustRightInd w:val="0"/>
              <w:snapToGrid w:val="0"/>
              <w:jc w:val="center"/>
              <w:rPr>
                <w:szCs w:val="21"/>
              </w:rPr>
            </w:pPr>
            <w:r>
              <w:rPr>
                <w:rFonts w:hAnsi="宋体"/>
                <w:szCs w:val="21"/>
              </w:rPr>
              <w:t>其他环境</w:t>
            </w:r>
          </w:p>
          <w:p w14:paraId="21CC4158">
            <w:pPr>
              <w:adjustRightInd w:val="0"/>
              <w:snapToGrid w:val="0"/>
              <w:jc w:val="center"/>
              <w:rPr>
                <w:spacing w:val="-8"/>
                <w:szCs w:val="21"/>
              </w:rPr>
            </w:pPr>
            <w:r>
              <w:rPr>
                <w:rFonts w:hAnsi="宋体"/>
                <w:szCs w:val="21"/>
              </w:rPr>
              <w:t>管理要求</w:t>
            </w:r>
          </w:p>
        </w:tc>
        <w:tc>
          <w:tcPr>
            <w:tcW w:w="7823" w:type="dxa"/>
            <w:gridSpan w:val="4"/>
            <w:vAlign w:val="center"/>
          </w:tcPr>
          <w:p w14:paraId="33F3A084">
            <w:pPr>
              <w:adjustRightInd w:val="0"/>
              <w:snapToGrid w:val="0"/>
              <w:spacing w:line="360" w:lineRule="auto"/>
              <w:rPr>
                <w:b/>
                <w:szCs w:val="21"/>
              </w:rPr>
            </w:pPr>
            <w:r>
              <w:rPr>
                <w:rFonts w:hint="eastAsia"/>
                <w:b/>
                <w:szCs w:val="21"/>
              </w:rPr>
              <w:t>1、环境管理</w:t>
            </w:r>
          </w:p>
          <w:p w14:paraId="2461AFBD">
            <w:pPr>
              <w:adjustRightInd w:val="0"/>
              <w:snapToGrid w:val="0"/>
              <w:spacing w:line="360" w:lineRule="auto"/>
              <w:ind w:firstLine="420" w:firstLineChars="200"/>
              <w:rPr>
                <w:szCs w:val="21"/>
              </w:rPr>
            </w:pPr>
            <w:r>
              <w:rPr>
                <w:rFonts w:hint="eastAsia"/>
                <w:szCs w:val="21"/>
              </w:rPr>
              <w:t>建立环境保护管理机构，根据工程环境影响评价中提出的施工期和营运期环境保护措施，落实环境保护经费，实施环境保护对策措施；协调政府环境管理与工程环境管理间的关系，具体管理内容如下：</w:t>
            </w:r>
          </w:p>
          <w:p w14:paraId="5DFED80A">
            <w:pPr>
              <w:adjustRightInd w:val="0"/>
              <w:snapToGrid w:val="0"/>
              <w:spacing w:line="360" w:lineRule="auto"/>
              <w:ind w:firstLine="420" w:firstLineChars="200"/>
              <w:rPr>
                <w:szCs w:val="21"/>
              </w:rPr>
            </w:pPr>
            <w:r>
              <w:rPr>
                <w:rFonts w:hint="eastAsia"/>
                <w:szCs w:val="21"/>
              </w:rPr>
              <w:t>（1）项目在建设和运行中应认真执行国家、地方环境保护的有关规定和要求。按照当地</w:t>
            </w:r>
            <w:r>
              <w:rPr>
                <w:rFonts w:hint="eastAsia"/>
                <w:kern w:val="24"/>
                <w:szCs w:val="21"/>
              </w:rPr>
              <w:t>生态环境主管部门</w:t>
            </w:r>
            <w:r>
              <w:rPr>
                <w:rFonts w:hint="eastAsia"/>
                <w:szCs w:val="21"/>
              </w:rPr>
              <w:t>的要求及时反映发生的环保问题，接受</w:t>
            </w:r>
            <w:r>
              <w:rPr>
                <w:rFonts w:hint="eastAsia"/>
                <w:kern w:val="24"/>
                <w:szCs w:val="21"/>
              </w:rPr>
              <w:t>生态环境主管部门</w:t>
            </w:r>
            <w:r>
              <w:rPr>
                <w:rFonts w:hint="eastAsia"/>
                <w:szCs w:val="21"/>
              </w:rPr>
              <w:t>的检查监督。</w:t>
            </w:r>
          </w:p>
          <w:p w14:paraId="14B2DAB1">
            <w:pPr>
              <w:adjustRightInd w:val="0"/>
              <w:snapToGrid w:val="0"/>
              <w:spacing w:line="360" w:lineRule="auto"/>
              <w:ind w:firstLine="420" w:firstLineChars="200"/>
              <w:rPr>
                <w:szCs w:val="21"/>
              </w:rPr>
            </w:pPr>
            <w:r>
              <w:rPr>
                <w:rFonts w:hint="eastAsia"/>
                <w:szCs w:val="21"/>
              </w:rPr>
              <w:t>（2）项目建成运行后，建设单位应自主组织相关人员进行环保验收，并编制《突发事故环境风险应急预案》报送环保主管部门进行备案。</w:t>
            </w:r>
          </w:p>
          <w:p w14:paraId="3CFD3A6E">
            <w:pPr>
              <w:adjustRightInd w:val="0"/>
              <w:snapToGrid w:val="0"/>
              <w:spacing w:line="360" w:lineRule="auto"/>
              <w:ind w:firstLine="420" w:firstLineChars="200"/>
              <w:rPr>
                <w:szCs w:val="21"/>
              </w:rPr>
            </w:pPr>
            <w:r>
              <w:rPr>
                <w:rFonts w:hint="eastAsia"/>
                <w:szCs w:val="21"/>
              </w:rPr>
              <w:t>（</w:t>
            </w:r>
            <w:r>
              <w:rPr>
                <w:szCs w:val="21"/>
              </w:rPr>
              <w:t>3</w:t>
            </w:r>
            <w:r>
              <w:rPr>
                <w:rFonts w:hint="eastAsia"/>
                <w:szCs w:val="21"/>
              </w:rPr>
              <w:t>）加强风险事故防范机制，避免污染性的突发事件发生。</w:t>
            </w:r>
          </w:p>
          <w:p w14:paraId="59B763E7">
            <w:pPr>
              <w:adjustRightInd w:val="0"/>
              <w:snapToGrid w:val="0"/>
              <w:spacing w:line="360" w:lineRule="auto"/>
              <w:ind w:firstLine="420" w:firstLineChars="200"/>
              <w:rPr>
                <w:szCs w:val="21"/>
              </w:rPr>
            </w:pPr>
            <w:r>
              <w:rPr>
                <w:rFonts w:hint="eastAsia"/>
                <w:szCs w:val="21"/>
              </w:rPr>
              <w:t>（</w:t>
            </w:r>
            <w:r>
              <w:rPr>
                <w:szCs w:val="21"/>
              </w:rPr>
              <w:t>4</w:t>
            </w:r>
            <w:r>
              <w:rPr>
                <w:rFonts w:hint="eastAsia"/>
                <w:szCs w:val="21"/>
              </w:rPr>
              <w:t>）加强宣传教育，增强施工及管理人员的环保意识。</w:t>
            </w:r>
          </w:p>
          <w:p w14:paraId="3AC1FFD9">
            <w:pPr>
              <w:adjustRightInd w:val="0"/>
              <w:snapToGrid w:val="0"/>
              <w:spacing w:line="360" w:lineRule="auto"/>
              <w:rPr>
                <w:b/>
                <w:szCs w:val="21"/>
              </w:rPr>
            </w:pPr>
            <w:r>
              <w:rPr>
                <w:rFonts w:hint="eastAsia"/>
                <w:b/>
                <w:szCs w:val="21"/>
              </w:rPr>
              <w:t>2、排污许可证办理</w:t>
            </w:r>
          </w:p>
          <w:p w14:paraId="61E33093">
            <w:pPr>
              <w:adjustRightInd w:val="0"/>
              <w:snapToGrid w:val="0"/>
              <w:spacing w:line="360" w:lineRule="auto"/>
              <w:ind w:firstLine="420" w:firstLineChars="200"/>
              <w:rPr>
                <w:szCs w:val="21"/>
              </w:rPr>
            </w:pPr>
            <w:r>
              <w:rPr>
                <w:rFonts w:hint="eastAsia"/>
                <w:szCs w:val="21"/>
              </w:rPr>
              <w:t>根据《排污许可管理条例》（中华人民共和国国务院令 第736号），本项目应当在启动生产设施或者发生实际排污之前，向玉溪市生态环境局申请取得排污许可证。</w:t>
            </w:r>
          </w:p>
          <w:p w14:paraId="63CB4F4B">
            <w:pPr>
              <w:adjustRightInd w:val="0"/>
              <w:snapToGrid w:val="0"/>
              <w:spacing w:line="360" w:lineRule="auto"/>
              <w:ind w:firstLine="420" w:firstLineChars="200"/>
              <w:rPr>
                <w:szCs w:val="21"/>
              </w:rPr>
            </w:pPr>
            <w:r>
              <w:rPr>
                <w:rFonts w:hint="eastAsia"/>
                <w:szCs w:val="21"/>
              </w:rPr>
              <w:t>根据《固定污染源排污许可分类管理名录（2019年版）》，本项目属于“二十六、黑色金属冶炼和压延加工业31”中的“钢压延加工313”“其他”，属于排污许可登记管理的排污单位。</w:t>
            </w:r>
          </w:p>
          <w:p w14:paraId="68DEC650">
            <w:pPr>
              <w:adjustRightInd w:val="0"/>
              <w:snapToGrid w:val="0"/>
              <w:spacing w:line="360" w:lineRule="auto"/>
              <w:rPr>
                <w:b/>
                <w:szCs w:val="21"/>
              </w:rPr>
            </w:pPr>
            <w:r>
              <w:rPr>
                <w:rFonts w:hint="eastAsia"/>
                <w:b/>
                <w:szCs w:val="21"/>
              </w:rPr>
              <w:t>3、建设项目竣工环境保护验收</w:t>
            </w:r>
          </w:p>
          <w:p w14:paraId="456AC8A6">
            <w:pPr>
              <w:adjustRightInd w:val="0"/>
              <w:snapToGrid w:val="0"/>
              <w:spacing w:line="360" w:lineRule="auto"/>
              <w:ind w:firstLine="420" w:firstLineChars="200"/>
              <w:rPr>
                <w:bCs/>
                <w:szCs w:val="21"/>
              </w:rPr>
            </w:pPr>
            <w:r>
              <w:rPr>
                <w:bCs/>
                <w:szCs w:val="21"/>
              </w:rPr>
              <w:t>本项目环保设施竣工验收由</w:t>
            </w:r>
            <w:r>
              <w:rPr>
                <w:rFonts w:hint="eastAsia"/>
                <w:bCs/>
                <w:szCs w:val="21"/>
              </w:rPr>
              <w:t>建设单位自行</w:t>
            </w:r>
            <w:r>
              <w:rPr>
                <w:bCs/>
                <w:szCs w:val="21"/>
              </w:rPr>
              <w:t>组织实施验收。</w:t>
            </w:r>
          </w:p>
          <w:p w14:paraId="2CA05D20">
            <w:pPr>
              <w:adjustRightInd w:val="0"/>
              <w:snapToGrid w:val="0"/>
              <w:spacing w:line="360" w:lineRule="auto"/>
              <w:ind w:firstLine="420" w:firstLineChars="200"/>
              <w:rPr>
                <w:bCs/>
                <w:szCs w:val="21"/>
              </w:rPr>
            </w:pPr>
            <w:r>
              <w:rPr>
                <w:rFonts w:hint="eastAsia"/>
                <w:bCs/>
                <w:szCs w:val="21"/>
              </w:rPr>
              <w:t>建设单位是建设项目竣工环境保护验收的责任主体，应当按照《建设项目竣工环境保护验收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14:paraId="5E1C5F99">
            <w:pPr>
              <w:spacing w:line="360" w:lineRule="auto"/>
              <w:rPr>
                <w:b/>
                <w:bCs/>
                <w:kern w:val="24"/>
                <w:szCs w:val="21"/>
              </w:rPr>
            </w:pPr>
            <w:r>
              <w:rPr>
                <w:b/>
                <w:bCs/>
                <w:kern w:val="24"/>
                <w:szCs w:val="21"/>
              </w:rPr>
              <w:t>4</w:t>
            </w:r>
            <w:r>
              <w:rPr>
                <w:rFonts w:hint="eastAsia"/>
                <w:b/>
                <w:bCs/>
                <w:kern w:val="24"/>
                <w:szCs w:val="21"/>
              </w:rPr>
              <w:t>、</w:t>
            </w:r>
            <w:r>
              <w:rPr>
                <w:rFonts w:hint="eastAsia"/>
                <w:b/>
                <w:szCs w:val="21"/>
              </w:rPr>
              <w:t>项目运营期自行监测计划汇总</w:t>
            </w:r>
          </w:p>
          <w:p w14:paraId="018C6972">
            <w:pPr>
              <w:adjustRightInd w:val="0"/>
              <w:snapToGrid w:val="0"/>
              <w:spacing w:line="360" w:lineRule="auto"/>
              <w:ind w:firstLine="422" w:firstLineChars="200"/>
              <w:jc w:val="center"/>
              <w:rPr>
                <w:b/>
                <w:bCs/>
                <w:kern w:val="24"/>
                <w:szCs w:val="21"/>
              </w:rPr>
            </w:pPr>
            <w:r>
              <w:rPr>
                <w:b/>
                <w:bCs/>
                <w:kern w:val="24"/>
                <w:szCs w:val="21"/>
              </w:rPr>
              <w:t>表</w:t>
            </w:r>
            <w:r>
              <w:rPr>
                <w:rFonts w:hint="eastAsia"/>
                <w:b/>
                <w:bCs/>
                <w:kern w:val="24"/>
                <w:szCs w:val="21"/>
              </w:rPr>
              <w:t>5-2</w:t>
            </w:r>
            <w:r>
              <w:rPr>
                <w:b/>
                <w:bCs/>
                <w:kern w:val="24"/>
                <w:szCs w:val="21"/>
              </w:rPr>
              <w:t xml:space="preserve">  </w:t>
            </w:r>
            <w:r>
              <w:rPr>
                <w:rFonts w:hint="eastAsia"/>
                <w:b/>
                <w:bCs/>
                <w:kern w:val="24"/>
                <w:szCs w:val="21"/>
              </w:rPr>
              <w:t>项目运营期自行</w:t>
            </w:r>
            <w:r>
              <w:rPr>
                <w:b/>
                <w:bCs/>
                <w:kern w:val="24"/>
                <w:szCs w:val="21"/>
              </w:rPr>
              <w:t>监测计划一览表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20"/>
              <w:gridCol w:w="1728"/>
              <w:gridCol w:w="1060"/>
              <w:gridCol w:w="2804"/>
            </w:tblGrid>
            <w:tr w14:paraId="4851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1B217783">
                  <w:pPr>
                    <w:jc w:val="center"/>
                    <w:rPr>
                      <w:sz w:val="18"/>
                      <w:szCs w:val="18"/>
                    </w:rPr>
                  </w:pPr>
                  <w:r>
                    <w:rPr>
                      <w:rFonts w:hint="eastAsia"/>
                      <w:sz w:val="18"/>
                      <w:szCs w:val="18"/>
                    </w:rPr>
                    <w:t>项目</w:t>
                  </w:r>
                </w:p>
              </w:tc>
              <w:tc>
                <w:tcPr>
                  <w:tcW w:w="1220" w:type="dxa"/>
                  <w:vAlign w:val="center"/>
                </w:tcPr>
                <w:p w14:paraId="6DF29515">
                  <w:pPr>
                    <w:jc w:val="center"/>
                    <w:rPr>
                      <w:sz w:val="18"/>
                      <w:szCs w:val="18"/>
                    </w:rPr>
                  </w:pPr>
                  <w:r>
                    <w:rPr>
                      <w:rFonts w:hint="eastAsia"/>
                      <w:sz w:val="18"/>
                      <w:szCs w:val="18"/>
                    </w:rPr>
                    <w:t>监测点位</w:t>
                  </w:r>
                </w:p>
              </w:tc>
              <w:tc>
                <w:tcPr>
                  <w:tcW w:w="1728" w:type="dxa"/>
                  <w:vAlign w:val="center"/>
                </w:tcPr>
                <w:p w14:paraId="0E4E4530">
                  <w:pPr>
                    <w:jc w:val="center"/>
                    <w:rPr>
                      <w:sz w:val="18"/>
                      <w:szCs w:val="18"/>
                    </w:rPr>
                  </w:pPr>
                  <w:r>
                    <w:rPr>
                      <w:rFonts w:hint="eastAsia"/>
                      <w:sz w:val="18"/>
                      <w:szCs w:val="18"/>
                    </w:rPr>
                    <w:t>监测因子</w:t>
                  </w:r>
                </w:p>
              </w:tc>
              <w:tc>
                <w:tcPr>
                  <w:tcW w:w="1060" w:type="dxa"/>
                  <w:vAlign w:val="center"/>
                </w:tcPr>
                <w:p w14:paraId="6BC0EDF8">
                  <w:pPr>
                    <w:jc w:val="center"/>
                    <w:rPr>
                      <w:sz w:val="18"/>
                      <w:szCs w:val="18"/>
                    </w:rPr>
                  </w:pPr>
                  <w:r>
                    <w:rPr>
                      <w:rFonts w:hint="eastAsia"/>
                      <w:sz w:val="18"/>
                      <w:szCs w:val="18"/>
                    </w:rPr>
                    <w:t>监测频次</w:t>
                  </w:r>
                </w:p>
              </w:tc>
              <w:tc>
                <w:tcPr>
                  <w:tcW w:w="2804" w:type="dxa"/>
                  <w:vAlign w:val="center"/>
                </w:tcPr>
                <w:p w14:paraId="63763163">
                  <w:pPr>
                    <w:jc w:val="center"/>
                    <w:rPr>
                      <w:sz w:val="18"/>
                      <w:szCs w:val="18"/>
                    </w:rPr>
                  </w:pPr>
                  <w:r>
                    <w:rPr>
                      <w:rFonts w:hint="eastAsia"/>
                      <w:sz w:val="18"/>
                      <w:szCs w:val="18"/>
                    </w:rPr>
                    <w:t>执行标准</w:t>
                  </w:r>
                </w:p>
              </w:tc>
            </w:tr>
            <w:tr w14:paraId="6259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13520A8F">
                  <w:pPr>
                    <w:jc w:val="center"/>
                    <w:rPr>
                      <w:sz w:val="18"/>
                      <w:szCs w:val="18"/>
                    </w:rPr>
                  </w:pPr>
                  <w:r>
                    <w:rPr>
                      <w:rFonts w:hint="eastAsia"/>
                      <w:sz w:val="18"/>
                      <w:szCs w:val="18"/>
                    </w:rPr>
                    <w:t>有组织废气</w:t>
                  </w:r>
                </w:p>
              </w:tc>
              <w:tc>
                <w:tcPr>
                  <w:tcW w:w="1220" w:type="dxa"/>
                  <w:vAlign w:val="center"/>
                </w:tcPr>
                <w:p w14:paraId="4D6BBBB5">
                  <w:pPr>
                    <w:jc w:val="center"/>
                    <w:rPr>
                      <w:sz w:val="18"/>
                      <w:szCs w:val="18"/>
                    </w:rPr>
                  </w:pPr>
                  <w:r>
                    <w:rPr>
                      <w:rFonts w:hint="eastAsia"/>
                      <w:kern w:val="24"/>
                      <w:sz w:val="18"/>
                      <w:szCs w:val="18"/>
                    </w:rPr>
                    <w:t>高频焊接烟尘（DA00</w:t>
                  </w:r>
                  <w:r>
                    <w:rPr>
                      <w:kern w:val="24"/>
                      <w:sz w:val="18"/>
                      <w:szCs w:val="18"/>
                    </w:rPr>
                    <w:t>1</w:t>
                  </w:r>
                  <w:r>
                    <w:rPr>
                      <w:rFonts w:hint="eastAsia"/>
                      <w:kern w:val="24"/>
                      <w:sz w:val="18"/>
                      <w:szCs w:val="18"/>
                    </w:rPr>
                    <w:t>、DA002、DA003）</w:t>
                  </w:r>
                </w:p>
              </w:tc>
              <w:tc>
                <w:tcPr>
                  <w:tcW w:w="1728" w:type="dxa"/>
                  <w:vAlign w:val="center"/>
                </w:tcPr>
                <w:p w14:paraId="390CEB97">
                  <w:pPr>
                    <w:jc w:val="center"/>
                    <w:rPr>
                      <w:sz w:val="18"/>
                      <w:szCs w:val="18"/>
                    </w:rPr>
                  </w:pPr>
                  <w:r>
                    <w:rPr>
                      <w:rFonts w:hint="eastAsia" w:eastAsiaTheme="minorEastAsia"/>
                      <w:kern w:val="24"/>
                      <w:sz w:val="18"/>
                      <w:szCs w:val="18"/>
                    </w:rPr>
                    <w:t>颗粒物</w:t>
                  </w:r>
                </w:p>
              </w:tc>
              <w:tc>
                <w:tcPr>
                  <w:tcW w:w="1060" w:type="dxa"/>
                  <w:vAlign w:val="center"/>
                </w:tcPr>
                <w:p w14:paraId="3FB6DBB8">
                  <w:pPr>
                    <w:jc w:val="center"/>
                    <w:rPr>
                      <w:sz w:val="18"/>
                      <w:szCs w:val="18"/>
                    </w:rPr>
                  </w:pPr>
                  <w:r>
                    <w:rPr>
                      <w:kern w:val="0"/>
                      <w:sz w:val="18"/>
                      <w:szCs w:val="18"/>
                      <w:lang w:bidi="ar"/>
                    </w:rPr>
                    <w:t>1次/</w:t>
                  </w:r>
                  <w:r>
                    <w:rPr>
                      <w:rFonts w:hint="eastAsia"/>
                      <w:kern w:val="0"/>
                      <w:sz w:val="18"/>
                      <w:szCs w:val="18"/>
                      <w:lang w:bidi="ar"/>
                    </w:rPr>
                    <w:t>两</w:t>
                  </w:r>
                  <w:r>
                    <w:rPr>
                      <w:rFonts w:hint="eastAsia"/>
                      <w:sz w:val="18"/>
                      <w:szCs w:val="18"/>
                    </w:rPr>
                    <w:t>年</w:t>
                  </w:r>
                </w:p>
              </w:tc>
              <w:tc>
                <w:tcPr>
                  <w:tcW w:w="2804" w:type="dxa"/>
                  <w:vAlign w:val="center"/>
                </w:tcPr>
                <w:p w14:paraId="6517EFD8">
                  <w:pPr>
                    <w:jc w:val="center"/>
                    <w:rPr>
                      <w:sz w:val="18"/>
                      <w:szCs w:val="18"/>
                    </w:rPr>
                  </w:pPr>
                  <w:r>
                    <w:rPr>
                      <w:rFonts w:hint="eastAsia" w:eastAsiaTheme="minorEastAsia"/>
                      <w:sz w:val="18"/>
                      <w:szCs w:val="18"/>
                    </w:rPr>
                    <w:t>《大气污染物综合排放标准》（GB16297-1996）表2 中二级标准限值</w:t>
                  </w:r>
                </w:p>
              </w:tc>
            </w:tr>
            <w:tr w14:paraId="1588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0EEE5BAE">
                  <w:pPr>
                    <w:jc w:val="center"/>
                    <w:rPr>
                      <w:sz w:val="18"/>
                      <w:szCs w:val="18"/>
                    </w:rPr>
                  </w:pPr>
                  <w:r>
                    <w:rPr>
                      <w:rFonts w:hint="eastAsia"/>
                      <w:sz w:val="18"/>
                      <w:szCs w:val="18"/>
                    </w:rPr>
                    <w:t>无组织废气</w:t>
                  </w:r>
                </w:p>
              </w:tc>
              <w:tc>
                <w:tcPr>
                  <w:tcW w:w="1220" w:type="dxa"/>
                  <w:vAlign w:val="center"/>
                </w:tcPr>
                <w:p w14:paraId="693FEC3D">
                  <w:pPr>
                    <w:jc w:val="center"/>
                    <w:rPr>
                      <w:kern w:val="24"/>
                      <w:sz w:val="18"/>
                      <w:szCs w:val="18"/>
                    </w:rPr>
                  </w:pPr>
                  <w:r>
                    <w:rPr>
                      <w:rFonts w:hint="eastAsia"/>
                      <w:sz w:val="18"/>
                      <w:szCs w:val="18"/>
                    </w:rPr>
                    <w:t>项目厂界上风向设置1个，项目厂界下风向设置3个</w:t>
                  </w:r>
                </w:p>
              </w:tc>
              <w:tc>
                <w:tcPr>
                  <w:tcW w:w="1728" w:type="dxa"/>
                  <w:vAlign w:val="center"/>
                </w:tcPr>
                <w:p w14:paraId="5456CBAE">
                  <w:pPr>
                    <w:jc w:val="center"/>
                    <w:rPr>
                      <w:rFonts w:eastAsiaTheme="minorEastAsia"/>
                      <w:kern w:val="24"/>
                      <w:sz w:val="18"/>
                      <w:szCs w:val="18"/>
                    </w:rPr>
                  </w:pPr>
                  <w:r>
                    <w:rPr>
                      <w:rFonts w:hint="eastAsia" w:eastAsiaTheme="minorEastAsia"/>
                      <w:kern w:val="24"/>
                      <w:sz w:val="18"/>
                      <w:szCs w:val="18"/>
                    </w:rPr>
                    <w:t>颗粒物</w:t>
                  </w:r>
                </w:p>
              </w:tc>
              <w:tc>
                <w:tcPr>
                  <w:tcW w:w="1060" w:type="dxa"/>
                  <w:vAlign w:val="center"/>
                </w:tcPr>
                <w:p w14:paraId="20D0C527">
                  <w:pPr>
                    <w:jc w:val="center"/>
                    <w:rPr>
                      <w:sz w:val="18"/>
                      <w:szCs w:val="18"/>
                    </w:rPr>
                  </w:pPr>
                  <w:r>
                    <w:rPr>
                      <w:rFonts w:hint="eastAsia"/>
                      <w:kern w:val="0"/>
                      <w:sz w:val="18"/>
                      <w:szCs w:val="18"/>
                      <w:lang w:bidi="ar"/>
                    </w:rPr>
                    <w:t>1次/年</w:t>
                  </w:r>
                </w:p>
              </w:tc>
              <w:tc>
                <w:tcPr>
                  <w:tcW w:w="2804" w:type="dxa"/>
                  <w:vAlign w:val="center"/>
                </w:tcPr>
                <w:p w14:paraId="04283513">
                  <w:pPr>
                    <w:jc w:val="center"/>
                    <w:rPr>
                      <w:sz w:val="18"/>
                      <w:szCs w:val="18"/>
                    </w:rPr>
                  </w:pPr>
                  <w:r>
                    <w:rPr>
                      <w:rFonts w:hint="eastAsia"/>
                      <w:sz w:val="18"/>
                      <w:szCs w:val="18"/>
                    </w:rPr>
                    <w:t>《大气污染物综合排放标准》（GB16297-1996）表2中新污染源大气污染物排放限值</w:t>
                  </w:r>
                </w:p>
              </w:tc>
            </w:tr>
            <w:tr w14:paraId="2F2E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14:paraId="00D1F9A4">
                  <w:pPr>
                    <w:jc w:val="center"/>
                    <w:rPr>
                      <w:sz w:val="18"/>
                      <w:szCs w:val="18"/>
                    </w:rPr>
                  </w:pPr>
                  <w:r>
                    <w:rPr>
                      <w:rFonts w:hint="eastAsia"/>
                      <w:sz w:val="18"/>
                      <w:szCs w:val="18"/>
                    </w:rPr>
                    <w:t>废水</w:t>
                  </w:r>
                </w:p>
              </w:tc>
              <w:tc>
                <w:tcPr>
                  <w:tcW w:w="1220" w:type="dxa"/>
                  <w:vAlign w:val="center"/>
                </w:tcPr>
                <w:p w14:paraId="1262A760">
                  <w:pPr>
                    <w:jc w:val="center"/>
                    <w:rPr>
                      <w:sz w:val="18"/>
                      <w:szCs w:val="18"/>
                    </w:rPr>
                  </w:pPr>
                  <w:r>
                    <w:rPr>
                      <w:rFonts w:hint="eastAsia"/>
                      <w:sz w:val="18"/>
                      <w:szCs w:val="18"/>
                    </w:rPr>
                    <w:t>现有项目污水处理站出水口</w:t>
                  </w:r>
                </w:p>
              </w:tc>
              <w:tc>
                <w:tcPr>
                  <w:tcW w:w="1728" w:type="dxa"/>
                  <w:vAlign w:val="center"/>
                </w:tcPr>
                <w:p w14:paraId="6DBBDA73">
                  <w:pPr>
                    <w:jc w:val="center"/>
                    <w:rPr>
                      <w:rFonts w:eastAsiaTheme="minorEastAsia"/>
                      <w:kern w:val="24"/>
                      <w:sz w:val="18"/>
                      <w:szCs w:val="18"/>
                    </w:rPr>
                  </w:pPr>
                  <w:r>
                    <w:rPr>
                      <w:rFonts w:hint="eastAsia"/>
                      <w:sz w:val="18"/>
                      <w:szCs w:val="18"/>
                    </w:rPr>
                    <w:t>流量、pH、浊度、色度、五日生化需氧量、化学需氧量、铁、锰、氯化物、二氧化硅、总硬度、总碱度、硫酸盐、氨氮、总磷、溶解性总固体、石油类、阴离子表面活性、总余氯、粪大肠菌群</w:t>
                  </w:r>
                </w:p>
              </w:tc>
              <w:tc>
                <w:tcPr>
                  <w:tcW w:w="1060" w:type="dxa"/>
                  <w:vAlign w:val="center"/>
                </w:tcPr>
                <w:p w14:paraId="5AB86B8B">
                  <w:pPr>
                    <w:jc w:val="center"/>
                    <w:rPr>
                      <w:kern w:val="0"/>
                      <w:sz w:val="18"/>
                      <w:szCs w:val="18"/>
                      <w:lang w:bidi="ar"/>
                    </w:rPr>
                  </w:pPr>
                  <w:r>
                    <w:rPr>
                      <w:rFonts w:hint="eastAsia"/>
                      <w:sz w:val="18"/>
                      <w:szCs w:val="18"/>
                    </w:rPr>
                    <w:t>1次/年</w:t>
                  </w:r>
                </w:p>
              </w:tc>
              <w:tc>
                <w:tcPr>
                  <w:tcW w:w="2804" w:type="dxa"/>
                  <w:vAlign w:val="center"/>
                </w:tcPr>
                <w:p w14:paraId="70029C2B">
                  <w:pPr>
                    <w:jc w:val="center"/>
                    <w:rPr>
                      <w:sz w:val="18"/>
                      <w:szCs w:val="18"/>
                    </w:rPr>
                  </w:pPr>
                  <w:r>
                    <w:rPr>
                      <w:rFonts w:hint="eastAsia"/>
                      <w:sz w:val="18"/>
                      <w:szCs w:val="18"/>
                    </w:rPr>
                    <w:t>《城市污水再生利用 工业用水水质》（GB/T 19923-2024）表1间冷开式循环冷却水补充水标准</w:t>
                  </w:r>
                </w:p>
              </w:tc>
            </w:tr>
            <w:tr w14:paraId="2A1B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vAlign w:val="center"/>
                </w:tcPr>
                <w:p w14:paraId="1D6D94AC">
                  <w:pPr>
                    <w:jc w:val="center"/>
                    <w:rPr>
                      <w:sz w:val="18"/>
                      <w:szCs w:val="18"/>
                    </w:rPr>
                  </w:pPr>
                  <w:r>
                    <w:rPr>
                      <w:sz w:val="18"/>
                      <w:szCs w:val="18"/>
                    </w:rPr>
                    <w:t>噪声</w:t>
                  </w:r>
                </w:p>
              </w:tc>
              <w:tc>
                <w:tcPr>
                  <w:tcW w:w="1220" w:type="dxa"/>
                  <w:vAlign w:val="center"/>
                </w:tcPr>
                <w:p w14:paraId="0FED41B6">
                  <w:pPr>
                    <w:jc w:val="center"/>
                    <w:rPr>
                      <w:sz w:val="18"/>
                      <w:szCs w:val="18"/>
                    </w:rPr>
                  </w:pPr>
                  <w:r>
                    <w:rPr>
                      <w:rFonts w:hint="eastAsia"/>
                      <w:sz w:val="18"/>
                      <w:szCs w:val="18"/>
                    </w:rPr>
                    <w:t>东北、东南、西南厂界</w:t>
                  </w:r>
                </w:p>
              </w:tc>
              <w:tc>
                <w:tcPr>
                  <w:tcW w:w="1728" w:type="dxa"/>
                  <w:vMerge w:val="restart"/>
                  <w:vAlign w:val="center"/>
                </w:tcPr>
                <w:p w14:paraId="1BFE9193">
                  <w:pPr>
                    <w:jc w:val="center"/>
                    <w:rPr>
                      <w:sz w:val="18"/>
                      <w:szCs w:val="18"/>
                    </w:rPr>
                  </w:pPr>
                  <w:r>
                    <w:rPr>
                      <w:rFonts w:hint="eastAsia"/>
                      <w:sz w:val="18"/>
                      <w:szCs w:val="18"/>
                    </w:rPr>
                    <w:t>昼间、夜间等效声级 Leq(A)</w:t>
                  </w:r>
                </w:p>
              </w:tc>
              <w:tc>
                <w:tcPr>
                  <w:tcW w:w="1060" w:type="dxa"/>
                  <w:vMerge w:val="restart"/>
                  <w:vAlign w:val="center"/>
                </w:tcPr>
                <w:p w14:paraId="10237F8F">
                  <w:pPr>
                    <w:jc w:val="center"/>
                    <w:rPr>
                      <w:sz w:val="18"/>
                      <w:szCs w:val="18"/>
                    </w:rPr>
                  </w:pPr>
                  <w:r>
                    <w:rPr>
                      <w:rFonts w:hint="eastAsia"/>
                      <w:sz w:val="18"/>
                      <w:szCs w:val="18"/>
                    </w:rPr>
                    <w:t>1次/季度</w:t>
                  </w:r>
                </w:p>
              </w:tc>
              <w:tc>
                <w:tcPr>
                  <w:tcW w:w="2804" w:type="dxa"/>
                  <w:vAlign w:val="center"/>
                </w:tcPr>
                <w:p w14:paraId="3CE14B8B">
                  <w:pPr>
                    <w:jc w:val="center"/>
                    <w:rPr>
                      <w:sz w:val="18"/>
                      <w:szCs w:val="18"/>
                    </w:rPr>
                  </w:pPr>
                  <w:r>
                    <w:rPr>
                      <w:rFonts w:hint="eastAsia"/>
                      <w:sz w:val="18"/>
                      <w:szCs w:val="18"/>
                    </w:rPr>
                    <w:t>《工业企业厂界环境噪声排放标准》（GB12348-2008）中</w:t>
                  </w:r>
                  <w:r>
                    <w:rPr>
                      <w:sz w:val="18"/>
                      <w:szCs w:val="18"/>
                    </w:rPr>
                    <w:t>2</w:t>
                  </w:r>
                  <w:r>
                    <w:rPr>
                      <w:rFonts w:hint="eastAsia"/>
                      <w:sz w:val="18"/>
                      <w:szCs w:val="18"/>
                    </w:rPr>
                    <w:t>类标准</w:t>
                  </w:r>
                </w:p>
              </w:tc>
            </w:tr>
            <w:tr w14:paraId="2E22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vAlign w:val="center"/>
                </w:tcPr>
                <w:p w14:paraId="62D9990A">
                  <w:pPr>
                    <w:jc w:val="center"/>
                    <w:rPr>
                      <w:sz w:val="18"/>
                      <w:szCs w:val="18"/>
                    </w:rPr>
                  </w:pPr>
                </w:p>
              </w:tc>
              <w:tc>
                <w:tcPr>
                  <w:tcW w:w="1220" w:type="dxa"/>
                  <w:vAlign w:val="center"/>
                </w:tcPr>
                <w:p w14:paraId="50D10BC5">
                  <w:pPr>
                    <w:jc w:val="center"/>
                    <w:rPr>
                      <w:sz w:val="18"/>
                      <w:szCs w:val="18"/>
                    </w:rPr>
                  </w:pPr>
                  <w:r>
                    <w:rPr>
                      <w:rFonts w:hint="eastAsia"/>
                      <w:sz w:val="18"/>
                      <w:szCs w:val="18"/>
                    </w:rPr>
                    <w:t>西北厂界</w:t>
                  </w:r>
                </w:p>
              </w:tc>
              <w:tc>
                <w:tcPr>
                  <w:tcW w:w="1728" w:type="dxa"/>
                  <w:vMerge w:val="continue"/>
                  <w:vAlign w:val="center"/>
                </w:tcPr>
                <w:p w14:paraId="7EBD570F">
                  <w:pPr>
                    <w:jc w:val="center"/>
                    <w:rPr>
                      <w:sz w:val="18"/>
                      <w:szCs w:val="18"/>
                    </w:rPr>
                  </w:pPr>
                </w:p>
              </w:tc>
              <w:tc>
                <w:tcPr>
                  <w:tcW w:w="1060" w:type="dxa"/>
                  <w:vMerge w:val="continue"/>
                  <w:vAlign w:val="center"/>
                </w:tcPr>
                <w:p w14:paraId="40C1DA21">
                  <w:pPr>
                    <w:jc w:val="center"/>
                    <w:rPr>
                      <w:sz w:val="18"/>
                      <w:szCs w:val="18"/>
                    </w:rPr>
                  </w:pPr>
                </w:p>
              </w:tc>
              <w:tc>
                <w:tcPr>
                  <w:tcW w:w="2804" w:type="dxa"/>
                  <w:vAlign w:val="center"/>
                </w:tcPr>
                <w:p w14:paraId="67D9EB3E">
                  <w:pPr>
                    <w:jc w:val="center"/>
                    <w:rPr>
                      <w:sz w:val="18"/>
                      <w:szCs w:val="18"/>
                    </w:rPr>
                  </w:pPr>
                  <w:r>
                    <w:rPr>
                      <w:rFonts w:hint="eastAsia"/>
                      <w:sz w:val="18"/>
                      <w:szCs w:val="18"/>
                    </w:rPr>
                    <w:t>《工业企业厂界环境噪声排放标准》（GB12348-2008）中</w:t>
                  </w:r>
                  <w:r>
                    <w:rPr>
                      <w:sz w:val="18"/>
                      <w:szCs w:val="18"/>
                    </w:rPr>
                    <w:t>4</w:t>
                  </w:r>
                  <w:r>
                    <w:rPr>
                      <w:rFonts w:hint="eastAsia"/>
                      <w:sz w:val="18"/>
                      <w:szCs w:val="18"/>
                    </w:rPr>
                    <w:t>类标准</w:t>
                  </w:r>
                </w:p>
              </w:tc>
            </w:tr>
          </w:tbl>
          <w:p w14:paraId="68F86243">
            <w:pPr>
              <w:adjustRightInd w:val="0"/>
              <w:snapToGrid w:val="0"/>
              <w:spacing w:line="360" w:lineRule="auto"/>
              <w:ind w:firstLine="422" w:firstLineChars="200"/>
              <w:jc w:val="center"/>
              <w:rPr>
                <w:b/>
                <w:bCs/>
                <w:kern w:val="24"/>
                <w:szCs w:val="21"/>
              </w:rPr>
            </w:pPr>
          </w:p>
          <w:p w14:paraId="019E7F49">
            <w:pPr>
              <w:adjustRightInd w:val="0"/>
              <w:snapToGrid w:val="0"/>
              <w:spacing w:line="360" w:lineRule="auto"/>
              <w:ind w:firstLine="422" w:firstLineChars="200"/>
              <w:jc w:val="center"/>
              <w:rPr>
                <w:b/>
                <w:bCs/>
                <w:kern w:val="24"/>
                <w:szCs w:val="21"/>
              </w:rPr>
            </w:pPr>
            <w:r>
              <w:rPr>
                <w:b/>
                <w:bCs/>
                <w:kern w:val="24"/>
                <w:szCs w:val="21"/>
              </w:rPr>
              <w:t>表5-</w:t>
            </w:r>
            <w:r>
              <w:rPr>
                <w:rFonts w:hint="eastAsia"/>
                <w:b/>
                <w:bCs/>
                <w:kern w:val="24"/>
                <w:szCs w:val="21"/>
              </w:rPr>
              <w:t>3</w:t>
            </w:r>
            <w:r>
              <w:rPr>
                <w:b/>
                <w:bCs/>
                <w:kern w:val="24"/>
                <w:szCs w:val="21"/>
              </w:rPr>
              <w:t xml:space="preserve"> </w:t>
            </w:r>
            <w:r>
              <w:rPr>
                <w:rFonts w:hint="eastAsia"/>
                <w:b/>
                <w:bCs/>
                <w:kern w:val="24"/>
                <w:szCs w:val="21"/>
              </w:rPr>
              <w:t xml:space="preserve"> 项目运营期地下水跟踪</w:t>
            </w:r>
            <w:r>
              <w:rPr>
                <w:b/>
                <w:bCs/>
                <w:kern w:val="24"/>
                <w:szCs w:val="21"/>
              </w:rPr>
              <w:t>监测</w:t>
            </w:r>
            <w:r>
              <w:rPr>
                <w:rFonts w:hint="eastAsia"/>
                <w:b/>
                <w:bCs/>
                <w:kern w:val="24"/>
                <w:szCs w:val="21"/>
              </w:rPr>
              <w:t>计划表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92"/>
              <w:gridCol w:w="3343"/>
              <w:gridCol w:w="983"/>
              <w:gridCol w:w="1606"/>
            </w:tblGrid>
            <w:tr w14:paraId="3F97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9512075">
                  <w:pPr>
                    <w:jc w:val="center"/>
                    <w:rPr>
                      <w:sz w:val="18"/>
                      <w:szCs w:val="18"/>
                    </w:rPr>
                  </w:pPr>
                  <w:r>
                    <w:rPr>
                      <w:rFonts w:hint="eastAsia"/>
                      <w:sz w:val="18"/>
                      <w:szCs w:val="18"/>
                    </w:rPr>
                    <w:t>项目</w:t>
                  </w:r>
                </w:p>
              </w:tc>
              <w:tc>
                <w:tcPr>
                  <w:tcW w:w="1144" w:type="dxa"/>
                  <w:vAlign w:val="center"/>
                </w:tcPr>
                <w:p w14:paraId="7856E8F0">
                  <w:pPr>
                    <w:jc w:val="center"/>
                    <w:rPr>
                      <w:sz w:val="18"/>
                      <w:szCs w:val="18"/>
                    </w:rPr>
                  </w:pPr>
                  <w:r>
                    <w:rPr>
                      <w:rFonts w:hint="eastAsia"/>
                      <w:sz w:val="18"/>
                      <w:szCs w:val="18"/>
                    </w:rPr>
                    <w:t>监测点位</w:t>
                  </w:r>
                </w:p>
              </w:tc>
              <w:tc>
                <w:tcPr>
                  <w:tcW w:w="3969" w:type="dxa"/>
                  <w:vAlign w:val="center"/>
                </w:tcPr>
                <w:p w14:paraId="3933477C">
                  <w:pPr>
                    <w:jc w:val="center"/>
                    <w:rPr>
                      <w:sz w:val="18"/>
                      <w:szCs w:val="18"/>
                    </w:rPr>
                  </w:pPr>
                  <w:r>
                    <w:rPr>
                      <w:rFonts w:hint="eastAsia"/>
                      <w:sz w:val="18"/>
                      <w:szCs w:val="18"/>
                    </w:rPr>
                    <w:t>监测因子</w:t>
                  </w:r>
                </w:p>
              </w:tc>
              <w:tc>
                <w:tcPr>
                  <w:tcW w:w="1134" w:type="dxa"/>
                  <w:vAlign w:val="center"/>
                </w:tcPr>
                <w:p w14:paraId="7F4A231B">
                  <w:pPr>
                    <w:jc w:val="center"/>
                    <w:rPr>
                      <w:sz w:val="18"/>
                      <w:szCs w:val="18"/>
                    </w:rPr>
                  </w:pPr>
                  <w:r>
                    <w:rPr>
                      <w:rFonts w:hint="eastAsia"/>
                      <w:sz w:val="18"/>
                      <w:szCs w:val="18"/>
                    </w:rPr>
                    <w:t>监测频次</w:t>
                  </w:r>
                </w:p>
              </w:tc>
              <w:tc>
                <w:tcPr>
                  <w:tcW w:w="1882" w:type="dxa"/>
                  <w:vAlign w:val="center"/>
                </w:tcPr>
                <w:p w14:paraId="5A31B273">
                  <w:pPr>
                    <w:jc w:val="center"/>
                    <w:rPr>
                      <w:sz w:val="18"/>
                      <w:szCs w:val="18"/>
                    </w:rPr>
                  </w:pPr>
                  <w:r>
                    <w:rPr>
                      <w:rFonts w:hint="eastAsia"/>
                      <w:sz w:val="18"/>
                      <w:szCs w:val="18"/>
                    </w:rPr>
                    <w:t>执行标准</w:t>
                  </w:r>
                </w:p>
              </w:tc>
            </w:tr>
            <w:tr w14:paraId="4154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restart"/>
                  <w:vAlign w:val="center"/>
                </w:tcPr>
                <w:p w14:paraId="3F593722">
                  <w:pPr>
                    <w:jc w:val="center"/>
                    <w:rPr>
                      <w:sz w:val="18"/>
                      <w:szCs w:val="18"/>
                    </w:rPr>
                  </w:pPr>
                  <w:r>
                    <w:rPr>
                      <w:rFonts w:hint="eastAsia"/>
                      <w:sz w:val="18"/>
                      <w:szCs w:val="18"/>
                    </w:rPr>
                    <w:t>地下水</w:t>
                  </w:r>
                </w:p>
              </w:tc>
              <w:tc>
                <w:tcPr>
                  <w:tcW w:w="1144" w:type="dxa"/>
                  <w:vAlign w:val="center"/>
                </w:tcPr>
                <w:p w14:paraId="5CA4F9A1">
                  <w:pPr>
                    <w:jc w:val="center"/>
                    <w:rPr>
                      <w:sz w:val="18"/>
                      <w:szCs w:val="18"/>
                    </w:rPr>
                  </w:pPr>
                  <w:r>
                    <w:rPr>
                      <w:rFonts w:hint="eastAsia"/>
                      <w:sz w:val="18"/>
                      <w:szCs w:val="18"/>
                    </w:rPr>
                    <w:t>古城村地下井</w:t>
                  </w:r>
                </w:p>
              </w:tc>
              <w:tc>
                <w:tcPr>
                  <w:tcW w:w="3969" w:type="dxa"/>
                  <w:vMerge w:val="restart"/>
                  <w:vAlign w:val="center"/>
                </w:tcPr>
                <w:p w14:paraId="40096D01">
                  <w:pPr>
                    <w:jc w:val="center"/>
                    <w:rPr>
                      <w:sz w:val="18"/>
                      <w:szCs w:val="18"/>
                    </w:rPr>
                  </w:pPr>
                  <w:r>
                    <w:rPr>
                      <w:rFonts w:hint="eastAsia"/>
                      <w:sz w:val="18"/>
                      <w:szCs w:val="18"/>
                    </w:rPr>
                    <w:t>pH、氨氮、耗氧量（COD</w:t>
                  </w:r>
                  <w:r>
                    <w:rPr>
                      <w:rFonts w:hint="eastAsia"/>
                      <w:sz w:val="18"/>
                      <w:szCs w:val="18"/>
                      <w:vertAlign w:val="subscript"/>
                    </w:rPr>
                    <w:t>Mn</w:t>
                  </w:r>
                  <w:r>
                    <w:rPr>
                      <w:rFonts w:hint="eastAsia"/>
                      <w:sz w:val="18"/>
                      <w:szCs w:val="18"/>
                    </w:rPr>
                    <w:t>）、硝酸盐、亚硝酸盐、挥发性酚类、氰化物、砷、汞、铬(六价)、总硬度、铅、镉、铁、锰、溶解性总固体、硫酸盐、氯化物、总大肠菌群、细菌总数、氟化物</w:t>
                  </w:r>
                </w:p>
              </w:tc>
              <w:tc>
                <w:tcPr>
                  <w:tcW w:w="1134" w:type="dxa"/>
                  <w:vAlign w:val="center"/>
                </w:tcPr>
                <w:p w14:paraId="44A79F32">
                  <w:pPr>
                    <w:jc w:val="center"/>
                    <w:rPr>
                      <w:sz w:val="18"/>
                      <w:szCs w:val="18"/>
                    </w:rPr>
                  </w:pPr>
                  <w:r>
                    <w:rPr>
                      <w:rFonts w:hint="eastAsia"/>
                      <w:sz w:val="18"/>
                      <w:szCs w:val="18"/>
                    </w:rPr>
                    <w:t>1次/年</w:t>
                  </w:r>
                </w:p>
              </w:tc>
              <w:tc>
                <w:tcPr>
                  <w:tcW w:w="1882" w:type="dxa"/>
                  <w:vMerge w:val="restart"/>
                  <w:vAlign w:val="center"/>
                </w:tcPr>
                <w:p w14:paraId="6D932737">
                  <w:pPr>
                    <w:jc w:val="center"/>
                    <w:rPr>
                      <w:sz w:val="18"/>
                      <w:szCs w:val="18"/>
                    </w:rPr>
                  </w:pPr>
                  <w:r>
                    <w:rPr>
                      <w:rFonts w:hint="eastAsia"/>
                      <w:sz w:val="18"/>
                      <w:szCs w:val="18"/>
                    </w:rPr>
                    <w:t>《地下水质量标准》(GB/T14848-2017)Ⅲ类标准</w:t>
                  </w:r>
                </w:p>
              </w:tc>
            </w:tr>
            <w:tr w14:paraId="7938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vAlign w:val="center"/>
                </w:tcPr>
                <w:p w14:paraId="5AD8E9E9">
                  <w:pPr>
                    <w:jc w:val="center"/>
                    <w:rPr>
                      <w:sz w:val="18"/>
                      <w:szCs w:val="18"/>
                    </w:rPr>
                  </w:pPr>
                </w:p>
              </w:tc>
              <w:tc>
                <w:tcPr>
                  <w:tcW w:w="1144" w:type="dxa"/>
                  <w:vAlign w:val="center"/>
                </w:tcPr>
                <w:p w14:paraId="4E927B8A">
                  <w:pPr>
                    <w:jc w:val="center"/>
                    <w:rPr>
                      <w:sz w:val="18"/>
                      <w:szCs w:val="18"/>
                    </w:rPr>
                  </w:pPr>
                  <w:r>
                    <w:rPr>
                      <w:rFonts w:hint="eastAsia"/>
                      <w:sz w:val="18"/>
                      <w:szCs w:val="18"/>
                    </w:rPr>
                    <w:t>二街村地下井</w:t>
                  </w:r>
                </w:p>
              </w:tc>
              <w:tc>
                <w:tcPr>
                  <w:tcW w:w="3969" w:type="dxa"/>
                  <w:vMerge w:val="continue"/>
                  <w:vAlign w:val="center"/>
                </w:tcPr>
                <w:p w14:paraId="649A4C8D">
                  <w:pPr>
                    <w:jc w:val="center"/>
                    <w:rPr>
                      <w:sz w:val="18"/>
                      <w:szCs w:val="18"/>
                    </w:rPr>
                  </w:pPr>
                </w:p>
              </w:tc>
              <w:tc>
                <w:tcPr>
                  <w:tcW w:w="1134" w:type="dxa"/>
                  <w:vAlign w:val="center"/>
                </w:tcPr>
                <w:p w14:paraId="0E779AE3">
                  <w:pPr>
                    <w:jc w:val="center"/>
                    <w:rPr>
                      <w:sz w:val="18"/>
                      <w:szCs w:val="18"/>
                    </w:rPr>
                  </w:pPr>
                  <w:r>
                    <w:rPr>
                      <w:rFonts w:hint="eastAsia"/>
                      <w:sz w:val="18"/>
                      <w:szCs w:val="18"/>
                    </w:rPr>
                    <w:t>1次/年</w:t>
                  </w:r>
                </w:p>
              </w:tc>
              <w:tc>
                <w:tcPr>
                  <w:tcW w:w="1882" w:type="dxa"/>
                  <w:vMerge w:val="continue"/>
                  <w:vAlign w:val="center"/>
                </w:tcPr>
                <w:p w14:paraId="1D7DABE4">
                  <w:pPr>
                    <w:jc w:val="center"/>
                    <w:rPr>
                      <w:sz w:val="18"/>
                      <w:szCs w:val="18"/>
                    </w:rPr>
                  </w:pPr>
                </w:p>
              </w:tc>
            </w:tr>
          </w:tbl>
          <w:p w14:paraId="1D2E1945">
            <w:pPr>
              <w:adjustRightInd w:val="0"/>
              <w:snapToGrid w:val="0"/>
              <w:spacing w:line="360" w:lineRule="auto"/>
              <w:ind w:firstLine="420" w:firstLineChars="200"/>
              <w:rPr>
                <w:bCs/>
                <w:szCs w:val="21"/>
              </w:rPr>
            </w:pPr>
          </w:p>
          <w:p w14:paraId="44F415D8">
            <w:pPr>
              <w:adjustRightInd w:val="0"/>
              <w:snapToGrid w:val="0"/>
              <w:spacing w:line="360" w:lineRule="auto"/>
              <w:ind w:firstLine="420" w:firstLineChars="200"/>
              <w:rPr>
                <w:bCs/>
                <w:szCs w:val="21"/>
              </w:rPr>
            </w:pPr>
          </w:p>
          <w:p w14:paraId="32D8FEED">
            <w:pPr>
              <w:adjustRightInd w:val="0"/>
              <w:snapToGrid w:val="0"/>
              <w:spacing w:line="360" w:lineRule="auto"/>
              <w:ind w:firstLine="420" w:firstLineChars="200"/>
              <w:rPr>
                <w:bCs/>
                <w:szCs w:val="21"/>
              </w:rPr>
            </w:pPr>
          </w:p>
          <w:p w14:paraId="6D1DA324">
            <w:pPr>
              <w:adjustRightInd w:val="0"/>
              <w:snapToGrid w:val="0"/>
              <w:spacing w:line="360" w:lineRule="auto"/>
              <w:rPr>
                <w:szCs w:val="21"/>
              </w:rPr>
            </w:pPr>
          </w:p>
        </w:tc>
      </w:tr>
    </w:tbl>
    <w:p w14:paraId="558B9179">
      <w:pPr>
        <w:pStyle w:val="28"/>
        <w:jc w:val="center"/>
        <w:outlineLvl w:val="0"/>
        <w:rPr>
          <w:rFonts w:ascii="Times New Roman" w:hAnsi="Times New Roman" w:eastAsia="黑体"/>
          <w:snapToGrid w:val="0"/>
          <w:sz w:val="30"/>
          <w:szCs w:val="30"/>
        </w:rPr>
      </w:pPr>
      <w:r>
        <w:rPr>
          <w:rFonts w:ascii="Times New Roman" w:hAnsi="Times New Roman"/>
          <w:snapToGrid w:val="0"/>
        </w:rPr>
        <w:br w:type="page"/>
      </w:r>
      <w:bookmarkStart w:id="24" w:name="_Toc127436955"/>
      <w:r>
        <w:rPr>
          <w:rFonts w:ascii="Times New Roman" w:hAnsi="黑体" w:eastAsia="黑体"/>
          <w:snapToGrid w:val="0"/>
          <w:sz w:val="30"/>
          <w:szCs w:val="30"/>
        </w:rPr>
        <w:t>六、结论</w:t>
      </w:r>
      <w:bookmarkEnd w:id="24"/>
    </w:p>
    <w:tbl>
      <w:tblPr>
        <w:tblStyle w:val="3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31B0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060" w:type="dxa"/>
          </w:tcPr>
          <w:p w14:paraId="6658AD5D">
            <w:pPr>
              <w:spacing w:line="360" w:lineRule="auto"/>
              <w:ind w:firstLine="480" w:firstLineChars="200"/>
              <w:rPr>
                <w:kern w:val="24"/>
                <w:sz w:val="24"/>
              </w:rPr>
            </w:pPr>
          </w:p>
          <w:p w14:paraId="590AEC60">
            <w:pPr>
              <w:spacing w:line="360" w:lineRule="auto"/>
              <w:ind w:firstLine="480" w:firstLineChars="200"/>
              <w:rPr>
                <w:sz w:val="24"/>
              </w:rPr>
            </w:pPr>
            <w:r>
              <w:rPr>
                <w:kern w:val="24"/>
                <w:sz w:val="24"/>
              </w:rPr>
              <w:t>综上所述，本项目建设符合</w:t>
            </w:r>
            <w:r>
              <w:rPr>
                <w:rFonts w:hint="eastAsia"/>
                <w:kern w:val="24"/>
                <w:sz w:val="24"/>
              </w:rPr>
              <w:t>所在地“三线一单”（生态保护红线、环境质量底线、资源利用上线和生态环境准入清单）中相关要求，符合相关生态环境保护法律法规政策。</w:t>
            </w:r>
            <w:r>
              <w:rPr>
                <w:kern w:val="24"/>
                <w:sz w:val="24"/>
              </w:rPr>
              <w:t>项目运营期产生的废气、废水、噪声、固废通过采取相应的措施处理、处置后，能够达标排放，不会对项目区及外环境造成大的影响。通过分析，项目采取的污染控制措施有效、可行。在认真落实环评中提出的污染防治对策措施，保证治理设施正常运转，确保污染物达标排放的情况下，项目建设不会降低和改变该区域的环境质量和环境功能。从环境保护角度，项目的建设是可行的。</w:t>
            </w:r>
          </w:p>
        </w:tc>
      </w:tr>
    </w:tbl>
    <w:p w14:paraId="05BEA587">
      <w:pPr>
        <w:sectPr>
          <w:pgSz w:w="11906" w:h="16838"/>
          <w:pgMar w:top="1701" w:right="1531" w:bottom="1701" w:left="1531" w:header="851" w:footer="851" w:gutter="0"/>
          <w:cols w:space="720" w:num="1"/>
          <w:docGrid w:linePitch="312" w:charSpace="0"/>
        </w:sectPr>
      </w:pPr>
    </w:p>
    <w:p w14:paraId="5CF8CEF0">
      <w:pPr>
        <w:pStyle w:val="28"/>
        <w:adjustRightInd w:val="0"/>
        <w:snapToGrid w:val="0"/>
        <w:spacing w:before="0" w:beforeAutospacing="0" w:after="0" w:afterAutospacing="0" w:line="648" w:lineRule="auto"/>
        <w:outlineLvl w:val="0"/>
        <w:rPr>
          <w:rFonts w:ascii="Times New Roman" w:hAnsi="Times New Roman" w:eastAsia="黑体"/>
          <w:snapToGrid w:val="0"/>
          <w:sz w:val="32"/>
          <w:szCs w:val="32"/>
        </w:rPr>
      </w:pPr>
      <w:bookmarkStart w:id="25" w:name="_Toc127436956"/>
      <w:r>
        <w:rPr>
          <w:rFonts w:ascii="Times New Roman" w:hAnsi="黑体" w:eastAsia="黑体"/>
          <w:snapToGrid w:val="0"/>
          <w:sz w:val="32"/>
          <w:szCs w:val="32"/>
        </w:rPr>
        <w:t>附表</w:t>
      </w:r>
      <w:bookmarkEnd w:id="25"/>
    </w:p>
    <w:p w14:paraId="5027ADFF">
      <w:pPr>
        <w:pStyle w:val="28"/>
        <w:adjustRightInd w:val="0"/>
        <w:snapToGrid w:val="0"/>
        <w:spacing w:before="0" w:beforeAutospacing="0" w:after="0" w:afterAutospacing="0" w:line="360" w:lineRule="auto"/>
        <w:jc w:val="center"/>
        <w:outlineLvl w:val="0"/>
        <w:rPr>
          <w:rFonts w:ascii="Times New Roman" w:hAnsi="Times New Roman" w:eastAsia="方正小标宋_GBK"/>
          <w:snapToGrid w:val="0"/>
          <w:sz w:val="38"/>
          <w:szCs w:val="38"/>
        </w:rPr>
      </w:pPr>
      <w:bookmarkStart w:id="26" w:name="_Toc127436957"/>
      <w:r>
        <w:rPr>
          <w:rFonts w:ascii="Times New Roman" w:hAnsi="Times New Roman" w:eastAsia="方正小标宋_GBK"/>
          <w:snapToGrid w:val="0"/>
          <w:sz w:val="38"/>
          <w:szCs w:val="38"/>
        </w:rPr>
        <w:t>建设项目污染物排放量汇总表</w:t>
      </w:r>
      <w:bookmarkEnd w:id="26"/>
    </w:p>
    <w:tbl>
      <w:tblPr>
        <w:tblStyle w:val="3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14:paraId="7CF7A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01C55AEE">
            <w:pPr>
              <w:pStyle w:val="47"/>
              <w:spacing w:beforeLines="0" w:afterLines="0" w:line="240" w:lineRule="auto"/>
              <w:jc w:val="right"/>
              <w:rPr>
                <w:rFonts w:ascii="Times New Roman" w:eastAsia="黑体"/>
                <w:snapToGrid w:val="0"/>
                <w:spacing w:val="-6"/>
                <w:kern w:val="21"/>
                <w:szCs w:val="21"/>
              </w:rPr>
            </w:pPr>
            <w:r>
              <w:rPr>
                <w:rFonts w:ascii="Times New Roman" w:eastAsia="黑体"/>
                <w:snapToGrid w:val="0"/>
                <w:spacing w:val="-6"/>
                <w:kern w:val="21"/>
                <w:szCs w:val="21"/>
              </w:rPr>
              <w:t>项目</w:t>
            </w:r>
          </w:p>
          <w:p w14:paraId="0B3E072C">
            <w:pPr>
              <w:pStyle w:val="47"/>
              <w:spacing w:beforeLines="0" w:afterLines="0" w:line="240" w:lineRule="auto"/>
              <w:jc w:val="left"/>
              <w:rPr>
                <w:rFonts w:ascii="Times New Roman" w:eastAsia="黑体"/>
                <w:snapToGrid w:val="0"/>
                <w:spacing w:val="-6"/>
                <w:kern w:val="21"/>
                <w:szCs w:val="21"/>
              </w:rPr>
            </w:pPr>
            <w:r>
              <w:rPr>
                <w:rFonts w:ascii="Times New Roman" w:eastAsia="黑体"/>
                <w:snapToGrid w:val="0"/>
                <w:spacing w:val="-6"/>
                <w:kern w:val="21"/>
                <w:szCs w:val="21"/>
              </w:rPr>
              <w:t>分类</w:t>
            </w:r>
          </w:p>
        </w:tc>
        <w:tc>
          <w:tcPr>
            <w:tcW w:w="1417" w:type="dxa"/>
            <w:tcMar>
              <w:left w:w="28" w:type="dxa"/>
              <w:right w:w="28" w:type="dxa"/>
            </w:tcMar>
            <w:vAlign w:val="center"/>
          </w:tcPr>
          <w:p w14:paraId="65A5EAFE">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污染物名称</w:t>
            </w:r>
          </w:p>
        </w:tc>
        <w:tc>
          <w:tcPr>
            <w:tcW w:w="1701" w:type="dxa"/>
            <w:tcMar>
              <w:left w:w="28" w:type="dxa"/>
              <w:right w:w="28" w:type="dxa"/>
            </w:tcMar>
            <w:vAlign w:val="center"/>
          </w:tcPr>
          <w:p w14:paraId="2934F219">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14:paraId="6F387FD9">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hint="eastAsia" w:hAnsi="宋体" w:cs="宋体"/>
                <w:kern w:val="2"/>
                <w:szCs w:val="21"/>
              </w:rPr>
              <w:t>①</w:t>
            </w:r>
            <w:r>
              <w:rPr>
                <w:rFonts w:ascii="Times New Roman" w:eastAsia="黑体"/>
                <w:snapToGrid w:val="0"/>
                <w:spacing w:val="-6"/>
                <w:kern w:val="21"/>
                <w:szCs w:val="21"/>
              </w:rPr>
              <w:fldChar w:fldCharType="end"/>
            </w:r>
          </w:p>
        </w:tc>
        <w:tc>
          <w:tcPr>
            <w:tcW w:w="1276" w:type="dxa"/>
            <w:tcMar>
              <w:left w:w="28" w:type="dxa"/>
              <w:right w:w="28" w:type="dxa"/>
            </w:tcMar>
            <w:vAlign w:val="center"/>
          </w:tcPr>
          <w:p w14:paraId="658D8EB5">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14:paraId="02A89EBC">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许可排放量</w:t>
            </w:r>
          </w:p>
          <w:p w14:paraId="19DE31C5">
            <w:pPr>
              <w:pStyle w:val="47"/>
              <w:spacing w:beforeLines="0" w:afterLines="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hint="eastAsia" w:hAnsi="宋体" w:cs="宋体"/>
                <w:snapToGrid w:val="0"/>
                <w:spacing w:val="-6"/>
                <w:kern w:val="21"/>
                <w:szCs w:val="21"/>
              </w:rPr>
              <w:t>②</w:t>
            </w:r>
            <w:r>
              <w:rPr>
                <w:rFonts w:ascii="Times New Roman" w:eastAsia="黑体"/>
                <w:snapToGrid w:val="0"/>
                <w:spacing w:val="-6"/>
                <w:kern w:val="21"/>
                <w:szCs w:val="21"/>
              </w:rPr>
              <w:fldChar w:fldCharType="end"/>
            </w:r>
          </w:p>
        </w:tc>
        <w:tc>
          <w:tcPr>
            <w:tcW w:w="1701" w:type="dxa"/>
            <w:tcMar>
              <w:left w:w="28" w:type="dxa"/>
              <w:right w:w="28" w:type="dxa"/>
            </w:tcMar>
            <w:vAlign w:val="center"/>
          </w:tcPr>
          <w:p w14:paraId="7C281121">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在建工程</w:t>
            </w:r>
          </w:p>
          <w:p w14:paraId="28262988">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hint="eastAsia" w:hAnsi="宋体" w:cs="宋体"/>
                <w:kern w:val="2"/>
                <w:szCs w:val="21"/>
              </w:rPr>
              <w:t>③</w:t>
            </w:r>
            <w:r>
              <w:rPr>
                <w:rFonts w:ascii="Times New Roman" w:eastAsia="黑体"/>
                <w:snapToGrid w:val="0"/>
                <w:spacing w:val="-6"/>
                <w:kern w:val="21"/>
                <w:szCs w:val="21"/>
              </w:rPr>
              <w:fldChar w:fldCharType="end"/>
            </w:r>
          </w:p>
        </w:tc>
        <w:tc>
          <w:tcPr>
            <w:tcW w:w="1559" w:type="dxa"/>
            <w:tcMar>
              <w:left w:w="28" w:type="dxa"/>
              <w:right w:w="28" w:type="dxa"/>
            </w:tcMar>
            <w:vAlign w:val="center"/>
          </w:tcPr>
          <w:p w14:paraId="5B141AB3">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本项目</w:t>
            </w:r>
          </w:p>
          <w:p w14:paraId="2D512C21">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hint="eastAsia" w:hAnsi="宋体" w:cs="宋体"/>
                <w:kern w:val="2"/>
                <w:szCs w:val="21"/>
              </w:rPr>
              <w:t>④</w:t>
            </w:r>
            <w:r>
              <w:rPr>
                <w:rFonts w:ascii="Times New Roman" w:eastAsia="黑体"/>
                <w:snapToGrid w:val="0"/>
                <w:spacing w:val="-6"/>
                <w:kern w:val="21"/>
                <w:szCs w:val="21"/>
              </w:rPr>
              <w:fldChar w:fldCharType="end"/>
            </w:r>
          </w:p>
        </w:tc>
        <w:tc>
          <w:tcPr>
            <w:tcW w:w="1761" w:type="dxa"/>
            <w:tcMar>
              <w:left w:w="28" w:type="dxa"/>
              <w:right w:w="28" w:type="dxa"/>
            </w:tcMar>
            <w:vAlign w:val="center"/>
          </w:tcPr>
          <w:p w14:paraId="1E16C56F">
            <w:pPr>
              <w:pStyle w:val="47"/>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以新带老削减量</w:t>
            </w:r>
          </w:p>
          <w:p w14:paraId="6AA0E5D3">
            <w:pPr>
              <w:pStyle w:val="47"/>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hint="eastAsia" w:hAnsi="宋体" w:cs="宋体"/>
                <w:kern w:val="2"/>
                <w:szCs w:val="21"/>
              </w:rPr>
              <w:t>⑤</w:t>
            </w:r>
            <w:r>
              <w:rPr>
                <w:rFonts w:ascii="Times New Roman" w:eastAsia="黑体"/>
                <w:snapToGrid w:val="0"/>
                <w:spacing w:val="-16"/>
                <w:kern w:val="21"/>
                <w:szCs w:val="21"/>
              </w:rPr>
              <w:fldChar w:fldCharType="end"/>
            </w:r>
          </w:p>
        </w:tc>
        <w:tc>
          <w:tcPr>
            <w:tcW w:w="1959" w:type="dxa"/>
            <w:tcMar>
              <w:left w:w="28" w:type="dxa"/>
              <w:right w:w="28" w:type="dxa"/>
            </w:tcMar>
            <w:vAlign w:val="center"/>
          </w:tcPr>
          <w:p w14:paraId="399DB9D4">
            <w:pPr>
              <w:pStyle w:val="47"/>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本项目建成后</w:t>
            </w:r>
          </w:p>
          <w:p w14:paraId="72EEBC40">
            <w:pPr>
              <w:pStyle w:val="47"/>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全厂排放量（固体废物产生量）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hint="eastAsia" w:hAnsi="宋体" w:cs="宋体"/>
                <w:kern w:val="2"/>
                <w:szCs w:val="21"/>
              </w:rPr>
              <w:t>⑥</w:t>
            </w:r>
            <w:r>
              <w:rPr>
                <w:rFonts w:ascii="Times New Roman" w:eastAsia="黑体"/>
                <w:snapToGrid w:val="0"/>
                <w:spacing w:val="-16"/>
                <w:kern w:val="21"/>
                <w:szCs w:val="21"/>
              </w:rPr>
              <w:fldChar w:fldCharType="end"/>
            </w:r>
          </w:p>
        </w:tc>
        <w:tc>
          <w:tcPr>
            <w:tcW w:w="826" w:type="dxa"/>
            <w:tcMar>
              <w:left w:w="28" w:type="dxa"/>
              <w:right w:w="28" w:type="dxa"/>
            </w:tcMar>
            <w:vAlign w:val="center"/>
          </w:tcPr>
          <w:p w14:paraId="4BB8D2F8">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变化量</w:t>
            </w:r>
          </w:p>
          <w:p w14:paraId="0C824758">
            <w:pPr>
              <w:pStyle w:val="47"/>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hint="eastAsia" w:hAnsi="宋体" w:cs="宋体"/>
                <w:kern w:val="2"/>
                <w:szCs w:val="21"/>
              </w:rPr>
              <w:t>⑦</w:t>
            </w:r>
            <w:r>
              <w:rPr>
                <w:rFonts w:ascii="Times New Roman" w:eastAsia="黑体"/>
                <w:snapToGrid w:val="0"/>
                <w:spacing w:val="-6"/>
                <w:kern w:val="21"/>
                <w:szCs w:val="21"/>
              </w:rPr>
              <w:fldChar w:fldCharType="end"/>
            </w:r>
          </w:p>
        </w:tc>
      </w:tr>
      <w:tr w14:paraId="6B9AD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43C9CA26">
            <w:pPr>
              <w:pStyle w:val="47"/>
              <w:spacing w:beforeLines="0" w:afterLines="0" w:line="240" w:lineRule="auto"/>
              <w:rPr>
                <w:rFonts w:ascii="Times New Roman"/>
                <w:snapToGrid w:val="0"/>
                <w:kern w:val="21"/>
                <w:szCs w:val="21"/>
              </w:rPr>
            </w:pPr>
            <w:r>
              <w:rPr>
                <w:rFonts w:ascii="Times New Roman"/>
                <w:snapToGrid w:val="0"/>
                <w:kern w:val="21"/>
                <w:szCs w:val="21"/>
              </w:rPr>
              <w:t>废气</w:t>
            </w:r>
          </w:p>
        </w:tc>
        <w:tc>
          <w:tcPr>
            <w:tcW w:w="1417" w:type="dxa"/>
            <w:vAlign w:val="center"/>
          </w:tcPr>
          <w:p w14:paraId="2F5CE780">
            <w:pPr>
              <w:pStyle w:val="47"/>
              <w:spacing w:beforeLines="0" w:afterLines="0" w:line="240" w:lineRule="auto"/>
              <w:rPr>
                <w:rFonts w:ascii="Times New Roman"/>
                <w:snapToGrid w:val="0"/>
                <w:kern w:val="21"/>
                <w:szCs w:val="21"/>
              </w:rPr>
            </w:pPr>
            <w:r>
              <w:rPr>
                <w:rFonts w:ascii="Times New Roman"/>
                <w:snapToGrid w:val="0"/>
                <w:kern w:val="21"/>
                <w:szCs w:val="21"/>
              </w:rPr>
              <w:t>颗粒物</w:t>
            </w:r>
          </w:p>
        </w:tc>
        <w:tc>
          <w:tcPr>
            <w:tcW w:w="1701" w:type="dxa"/>
            <w:vAlign w:val="center"/>
          </w:tcPr>
          <w:p w14:paraId="1A29EF38">
            <w:pPr>
              <w:pStyle w:val="47"/>
              <w:spacing w:beforeLines="0" w:afterLines="0" w:line="240" w:lineRule="auto"/>
              <w:rPr>
                <w:rFonts w:ascii="Times New Roman"/>
                <w:snapToGrid w:val="0"/>
                <w:kern w:val="21"/>
                <w:szCs w:val="21"/>
              </w:rPr>
            </w:pPr>
            <w:r>
              <w:rPr>
                <w:rFonts w:hint="eastAsia" w:ascii="Times New Roman"/>
                <w:snapToGrid w:val="0"/>
                <w:kern w:val="21"/>
                <w:szCs w:val="21"/>
              </w:rPr>
              <w:t>0.113</w:t>
            </w:r>
          </w:p>
        </w:tc>
        <w:tc>
          <w:tcPr>
            <w:tcW w:w="1276" w:type="dxa"/>
            <w:vAlign w:val="center"/>
          </w:tcPr>
          <w:p w14:paraId="55CB0964">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69341732">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0E6AB927">
            <w:pPr>
              <w:pStyle w:val="47"/>
              <w:spacing w:beforeLines="0" w:afterLines="0" w:line="240" w:lineRule="auto"/>
              <w:rPr>
                <w:rFonts w:ascii="Times New Roman"/>
                <w:snapToGrid w:val="0"/>
                <w:kern w:val="21"/>
                <w:szCs w:val="21"/>
              </w:rPr>
            </w:pPr>
            <w:r>
              <w:rPr>
                <w:rFonts w:ascii="Times New Roman"/>
                <w:snapToGrid w:val="0"/>
                <w:kern w:val="21"/>
                <w:szCs w:val="21"/>
              </w:rPr>
              <w:t>0.111</w:t>
            </w:r>
          </w:p>
        </w:tc>
        <w:tc>
          <w:tcPr>
            <w:tcW w:w="1761" w:type="dxa"/>
            <w:vAlign w:val="center"/>
          </w:tcPr>
          <w:p w14:paraId="2F4DB46F">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530FC0B1">
            <w:pPr>
              <w:pStyle w:val="47"/>
              <w:spacing w:beforeLines="0" w:afterLines="0" w:line="240" w:lineRule="auto"/>
              <w:rPr>
                <w:rFonts w:ascii="Times New Roman"/>
                <w:snapToGrid w:val="0"/>
                <w:kern w:val="21"/>
                <w:szCs w:val="21"/>
              </w:rPr>
            </w:pPr>
            <w:r>
              <w:rPr>
                <w:rFonts w:ascii="Times New Roman"/>
                <w:snapToGrid w:val="0"/>
                <w:kern w:val="21"/>
                <w:szCs w:val="21"/>
              </w:rPr>
              <w:t>0.</w:t>
            </w:r>
            <w:r>
              <w:rPr>
                <w:rFonts w:hint="eastAsia" w:ascii="Times New Roman"/>
                <w:snapToGrid w:val="0"/>
                <w:kern w:val="21"/>
                <w:szCs w:val="21"/>
              </w:rPr>
              <w:t>224</w:t>
            </w:r>
          </w:p>
        </w:tc>
        <w:tc>
          <w:tcPr>
            <w:tcW w:w="826" w:type="dxa"/>
            <w:vAlign w:val="center"/>
          </w:tcPr>
          <w:p w14:paraId="1E603340">
            <w:pPr>
              <w:pStyle w:val="47"/>
              <w:spacing w:beforeLines="0" w:afterLines="0" w:line="240" w:lineRule="auto"/>
              <w:rPr>
                <w:rFonts w:ascii="Times New Roman"/>
                <w:snapToGrid w:val="0"/>
                <w:kern w:val="21"/>
                <w:szCs w:val="21"/>
              </w:rPr>
            </w:pPr>
            <w:r>
              <w:rPr>
                <w:rFonts w:ascii="Times New Roman"/>
                <w:snapToGrid w:val="0"/>
                <w:kern w:val="21"/>
                <w:szCs w:val="21"/>
              </w:rPr>
              <w:t>+0.111</w:t>
            </w:r>
          </w:p>
        </w:tc>
      </w:tr>
      <w:tr w14:paraId="0FA76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67C6BC40">
            <w:pPr>
              <w:pStyle w:val="47"/>
              <w:spacing w:beforeLines="0" w:afterLines="0" w:line="240" w:lineRule="auto"/>
              <w:rPr>
                <w:rFonts w:ascii="Times New Roman"/>
                <w:snapToGrid w:val="0"/>
                <w:kern w:val="21"/>
                <w:szCs w:val="21"/>
              </w:rPr>
            </w:pPr>
            <w:r>
              <w:rPr>
                <w:rFonts w:ascii="Times New Roman"/>
                <w:snapToGrid w:val="0"/>
                <w:kern w:val="21"/>
                <w:szCs w:val="21"/>
              </w:rPr>
              <w:t>废水</w:t>
            </w:r>
          </w:p>
        </w:tc>
        <w:tc>
          <w:tcPr>
            <w:tcW w:w="1417" w:type="dxa"/>
            <w:vAlign w:val="center"/>
          </w:tcPr>
          <w:p w14:paraId="4E30D7B0">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42CF5F1E">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276" w:type="dxa"/>
            <w:vAlign w:val="center"/>
          </w:tcPr>
          <w:p w14:paraId="2880D61F">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71A31D07">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199D9779">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61" w:type="dxa"/>
            <w:vAlign w:val="center"/>
          </w:tcPr>
          <w:p w14:paraId="4DC8AF3C">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26F76611">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826" w:type="dxa"/>
            <w:vAlign w:val="center"/>
          </w:tcPr>
          <w:p w14:paraId="7C1368C6">
            <w:pPr>
              <w:pStyle w:val="47"/>
              <w:spacing w:beforeLines="0" w:afterLines="0" w:line="240" w:lineRule="auto"/>
              <w:rPr>
                <w:rFonts w:ascii="Times New Roman"/>
                <w:snapToGrid w:val="0"/>
                <w:kern w:val="21"/>
                <w:szCs w:val="21"/>
              </w:rPr>
            </w:pPr>
            <w:r>
              <w:rPr>
                <w:rFonts w:ascii="Times New Roman"/>
                <w:snapToGrid w:val="0"/>
                <w:kern w:val="21"/>
                <w:szCs w:val="21"/>
              </w:rPr>
              <w:t>/</w:t>
            </w:r>
          </w:p>
        </w:tc>
      </w:tr>
      <w:tr w14:paraId="6C781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0DE8AE9">
            <w:pPr>
              <w:pStyle w:val="47"/>
              <w:spacing w:beforeLines="0" w:afterLines="0" w:line="240" w:lineRule="auto"/>
              <w:rPr>
                <w:rFonts w:ascii="Times New Roman"/>
                <w:snapToGrid w:val="0"/>
                <w:kern w:val="21"/>
                <w:szCs w:val="21"/>
              </w:rPr>
            </w:pPr>
            <w:r>
              <w:rPr>
                <w:rFonts w:ascii="Times New Roman"/>
                <w:snapToGrid w:val="0"/>
                <w:kern w:val="21"/>
                <w:szCs w:val="21"/>
              </w:rPr>
              <w:t>一般工业</w:t>
            </w:r>
          </w:p>
          <w:p w14:paraId="24840548">
            <w:pPr>
              <w:pStyle w:val="47"/>
              <w:spacing w:beforeLines="0" w:afterLines="0" w:line="240" w:lineRule="auto"/>
              <w:rPr>
                <w:rFonts w:ascii="Times New Roman"/>
                <w:snapToGrid w:val="0"/>
                <w:kern w:val="21"/>
                <w:szCs w:val="21"/>
              </w:rPr>
            </w:pPr>
            <w:r>
              <w:rPr>
                <w:rFonts w:ascii="Times New Roman"/>
                <w:snapToGrid w:val="0"/>
                <w:kern w:val="21"/>
                <w:szCs w:val="21"/>
              </w:rPr>
              <w:t>固体废物</w:t>
            </w:r>
          </w:p>
        </w:tc>
        <w:tc>
          <w:tcPr>
            <w:tcW w:w="1417" w:type="dxa"/>
            <w:vAlign w:val="center"/>
          </w:tcPr>
          <w:p w14:paraId="77CB5FB6">
            <w:pPr>
              <w:pStyle w:val="47"/>
              <w:spacing w:beforeLines="0" w:afterLines="0" w:line="240" w:lineRule="auto"/>
              <w:rPr>
                <w:rFonts w:ascii="Times New Roman"/>
                <w:snapToGrid w:val="0"/>
                <w:kern w:val="21"/>
                <w:szCs w:val="21"/>
              </w:rPr>
            </w:pPr>
            <w:r>
              <w:rPr>
                <w:rFonts w:hint="eastAsia"/>
              </w:rPr>
              <w:t>废边角料</w:t>
            </w:r>
          </w:p>
        </w:tc>
        <w:tc>
          <w:tcPr>
            <w:tcW w:w="1701" w:type="dxa"/>
            <w:vAlign w:val="center"/>
          </w:tcPr>
          <w:p w14:paraId="5023D109">
            <w:pPr>
              <w:pStyle w:val="47"/>
              <w:spacing w:beforeLines="0" w:afterLines="0" w:line="240" w:lineRule="auto"/>
              <w:rPr>
                <w:rFonts w:ascii="Times New Roman"/>
                <w:snapToGrid w:val="0"/>
                <w:kern w:val="21"/>
                <w:szCs w:val="21"/>
              </w:rPr>
            </w:pPr>
            <w:r>
              <w:rPr>
                <w:rFonts w:ascii="Times New Roman"/>
                <w:snapToGrid w:val="0"/>
                <w:kern w:val="21"/>
                <w:szCs w:val="21"/>
              </w:rPr>
              <w:t>60</w:t>
            </w:r>
          </w:p>
        </w:tc>
        <w:tc>
          <w:tcPr>
            <w:tcW w:w="1276" w:type="dxa"/>
            <w:vAlign w:val="center"/>
          </w:tcPr>
          <w:p w14:paraId="0917334B">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5A1782BC">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52FF52DE">
            <w:pPr>
              <w:pStyle w:val="47"/>
              <w:spacing w:beforeLines="0" w:afterLines="0" w:line="240" w:lineRule="auto"/>
              <w:rPr>
                <w:rFonts w:ascii="Times New Roman"/>
                <w:snapToGrid w:val="0"/>
                <w:kern w:val="21"/>
                <w:szCs w:val="21"/>
              </w:rPr>
            </w:pPr>
            <w:r>
              <w:rPr>
                <w:rFonts w:ascii="Times New Roman"/>
                <w:szCs w:val="21"/>
              </w:rPr>
              <w:t>120</w:t>
            </w:r>
          </w:p>
        </w:tc>
        <w:tc>
          <w:tcPr>
            <w:tcW w:w="1761" w:type="dxa"/>
            <w:vAlign w:val="center"/>
          </w:tcPr>
          <w:p w14:paraId="281AF00F">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2C782806">
            <w:pPr>
              <w:pStyle w:val="47"/>
              <w:spacing w:beforeLines="0" w:afterLines="0" w:line="240" w:lineRule="auto"/>
              <w:rPr>
                <w:rFonts w:ascii="Times New Roman"/>
                <w:snapToGrid w:val="0"/>
                <w:kern w:val="21"/>
                <w:szCs w:val="21"/>
              </w:rPr>
            </w:pPr>
            <w:r>
              <w:rPr>
                <w:rFonts w:ascii="Times New Roman"/>
                <w:szCs w:val="21"/>
              </w:rPr>
              <w:t>180</w:t>
            </w:r>
          </w:p>
        </w:tc>
        <w:tc>
          <w:tcPr>
            <w:tcW w:w="826" w:type="dxa"/>
            <w:vAlign w:val="center"/>
          </w:tcPr>
          <w:p w14:paraId="18A426FA">
            <w:pPr>
              <w:pStyle w:val="47"/>
              <w:spacing w:beforeLines="0" w:afterLines="0" w:line="240" w:lineRule="auto"/>
              <w:rPr>
                <w:rFonts w:ascii="Times New Roman"/>
                <w:snapToGrid w:val="0"/>
                <w:kern w:val="21"/>
                <w:szCs w:val="21"/>
              </w:rPr>
            </w:pPr>
            <w:r>
              <w:rPr>
                <w:rFonts w:ascii="Times New Roman"/>
                <w:szCs w:val="21"/>
              </w:rPr>
              <w:t>+120</w:t>
            </w:r>
          </w:p>
        </w:tc>
      </w:tr>
      <w:tr w14:paraId="17284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56B6004">
            <w:pPr>
              <w:pStyle w:val="47"/>
              <w:spacing w:beforeLines="0" w:afterLines="0" w:line="240" w:lineRule="auto"/>
              <w:rPr>
                <w:rFonts w:ascii="Times New Roman"/>
                <w:snapToGrid w:val="0"/>
                <w:kern w:val="21"/>
                <w:szCs w:val="21"/>
              </w:rPr>
            </w:pPr>
          </w:p>
        </w:tc>
        <w:tc>
          <w:tcPr>
            <w:tcW w:w="1417" w:type="dxa"/>
            <w:vAlign w:val="center"/>
          </w:tcPr>
          <w:p w14:paraId="134F6248">
            <w:pPr>
              <w:pStyle w:val="47"/>
              <w:spacing w:beforeLines="0" w:afterLines="0" w:line="240" w:lineRule="auto"/>
              <w:rPr>
                <w:rFonts w:ascii="Times New Roman"/>
                <w:snapToGrid w:val="0"/>
                <w:kern w:val="21"/>
                <w:szCs w:val="21"/>
              </w:rPr>
            </w:pPr>
            <w:r>
              <w:rPr>
                <w:rFonts w:hint="eastAsia"/>
              </w:rPr>
              <w:t>不合格产品</w:t>
            </w:r>
          </w:p>
        </w:tc>
        <w:tc>
          <w:tcPr>
            <w:tcW w:w="1701" w:type="dxa"/>
            <w:vAlign w:val="center"/>
          </w:tcPr>
          <w:p w14:paraId="677A1C0D">
            <w:pPr>
              <w:pStyle w:val="47"/>
              <w:spacing w:beforeLines="0" w:afterLines="0" w:line="240" w:lineRule="auto"/>
              <w:rPr>
                <w:rFonts w:ascii="Times New Roman"/>
                <w:snapToGrid w:val="0"/>
                <w:kern w:val="21"/>
                <w:szCs w:val="21"/>
              </w:rPr>
            </w:pPr>
            <w:r>
              <w:rPr>
                <w:rFonts w:ascii="Times New Roman"/>
                <w:snapToGrid w:val="0"/>
                <w:kern w:val="21"/>
                <w:szCs w:val="21"/>
              </w:rPr>
              <w:t>1900</w:t>
            </w:r>
          </w:p>
        </w:tc>
        <w:tc>
          <w:tcPr>
            <w:tcW w:w="1276" w:type="dxa"/>
            <w:vAlign w:val="center"/>
          </w:tcPr>
          <w:p w14:paraId="52930BE4">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6E3C1C9E">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1322BDBB">
            <w:pPr>
              <w:pStyle w:val="47"/>
              <w:spacing w:beforeLines="0" w:afterLines="0" w:line="240" w:lineRule="auto"/>
              <w:rPr>
                <w:rFonts w:ascii="Times New Roman"/>
                <w:snapToGrid w:val="0"/>
                <w:kern w:val="21"/>
                <w:szCs w:val="21"/>
              </w:rPr>
            </w:pPr>
            <w:r>
              <w:rPr>
                <w:rFonts w:ascii="Times New Roman"/>
                <w:szCs w:val="21"/>
              </w:rPr>
              <w:t>3800</w:t>
            </w:r>
          </w:p>
        </w:tc>
        <w:tc>
          <w:tcPr>
            <w:tcW w:w="1761" w:type="dxa"/>
            <w:vAlign w:val="center"/>
          </w:tcPr>
          <w:p w14:paraId="36D56ACD">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346F1955">
            <w:pPr>
              <w:pStyle w:val="47"/>
              <w:spacing w:beforeLines="0" w:afterLines="0" w:line="240" w:lineRule="auto"/>
              <w:rPr>
                <w:rFonts w:ascii="Times New Roman"/>
                <w:snapToGrid w:val="0"/>
                <w:kern w:val="21"/>
                <w:szCs w:val="21"/>
              </w:rPr>
            </w:pPr>
            <w:r>
              <w:rPr>
                <w:rFonts w:ascii="Times New Roman"/>
                <w:szCs w:val="21"/>
              </w:rPr>
              <w:t>5700</w:t>
            </w:r>
          </w:p>
        </w:tc>
        <w:tc>
          <w:tcPr>
            <w:tcW w:w="826" w:type="dxa"/>
            <w:vAlign w:val="center"/>
          </w:tcPr>
          <w:p w14:paraId="252BAA12">
            <w:pPr>
              <w:pStyle w:val="47"/>
              <w:spacing w:beforeLines="0" w:afterLines="0" w:line="240" w:lineRule="auto"/>
              <w:rPr>
                <w:rFonts w:ascii="Times New Roman"/>
                <w:snapToGrid w:val="0"/>
                <w:kern w:val="21"/>
                <w:szCs w:val="21"/>
              </w:rPr>
            </w:pPr>
            <w:r>
              <w:rPr>
                <w:rFonts w:ascii="Times New Roman"/>
                <w:szCs w:val="21"/>
              </w:rPr>
              <w:t>+3800</w:t>
            </w:r>
          </w:p>
        </w:tc>
      </w:tr>
      <w:tr w14:paraId="515BA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9646BF6">
            <w:pPr>
              <w:pStyle w:val="47"/>
              <w:spacing w:beforeLines="0" w:afterLines="0" w:line="240" w:lineRule="auto"/>
              <w:rPr>
                <w:rFonts w:ascii="Times New Roman"/>
                <w:snapToGrid w:val="0"/>
                <w:kern w:val="21"/>
                <w:szCs w:val="21"/>
              </w:rPr>
            </w:pPr>
          </w:p>
        </w:tc>
        <w:tc>
          <w:tcPr>
            <w:tcW w:w="1417" w:type="dxa"/>
            <w:vAlign w:val="center"/>
          </w:tcPr>
          <w:p w14:paraId="4C8EA5CA">
            <w:pPr>
              <w:pStyle w:val="47"/>
              <w:spacing w:beforeLines="0" w:afterLines="0" w:line="240" w:lineRule="auto"/>
              <w:rPr>
                <w:rFonts w:ascii="Times New Roman"/>
                <w:snapToGrid w:val="0"/>
                <w:kern w:val="21"/>
                <w:szCs w:val="21"/>
              </w:rPr>
            </w:pPr>
            <w:r>
              <w:rPr>
                <w:rFonts w:hint="eastAsia"/>
              </w:rPr>
              <w:t>浊循环水池金属沉渣</w:t>
            </w:r>
          </w:p>
        </w:tc>
        <w:tc>
          <w:tcPr>
            <w:tcW w:w="1701" w:type="dxa"/>
            <w:vAlign w:val="center"/>
          </w:tcPr>
          <w:p w14:paraId="177B2607">
            <w:pPr>
              <w:pStyle w:val="47"/>
              <w:spacing w:beforeLines="0" w:afterLines="0" w:line="240" w:lineRule="auto"/>
              <w:rPr>
                <w:rFonts w:ascii="Times New Roman"/>
                <w:snapToGrid w:val="0"/>
                <w:kern w:val="21"/>
                <w:szCs w:val="21"/>
              </w:rPr>
            </w:pPr>
            <w:r>
              <w:rPr>
                <w:rFonts w:ascii="Times New Roman"/>
                <w:snapToGrid w:val="0"/>
                <w:kern w:val="21"/>
                <w:szCs w:val="21"/>
              </w:rPr>
              <w:t>40</w:t>
            </w:r>
          </w:p>
        </w:tc>
        <w:tc>
          <w:tcPr>
            <w:tcW w:w="1276" w:type="dxa"/>
            <w:vAlign w:val="center"/>
          </w:tcPr>
          <w:p w14:paraId="6A6EA6BE">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31FFBCD0">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3AFB3FB8">
            <w:pPr>
              <w:pStyle w:val="47"/>
              <w:spacing w:beforeLines="0" w:afterLines="0" w:line="240" w:lineRule="auto"/>
              <w:rPr>
                <w:rFonts w:ascii="Times New Roman"/>
                <w:snapToGrid w:val="0"/>
                <w:kern w:val="21"/>
                <w:szCs w:val="21"/>
              </w:rPr>
            </w:pPr>
            <w:r>
              <w:rPr>
                <w:rFonts w:ascii="Times New Roman"/>
                <w:szCs w:val="21"/>
              </w:rPr>
              <w:t>80</w:t>
            </w:r>
          </w:p>
        </w:tc>
        <w:tc>
          <w:tcPr>
            <w:tcW w:w="1761" w:type="dxa"/>
            <w:vAlign w:val="center"/>
          </w:tcPr>
          <w:p w14:paraId="53C84C9C">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462FE38C">
            <w:pPr>
              <w:pStyle w:val="47"/>
              <w:spacing w:beforeLines="0" w:afterLines="0" w:line="240" w:lineRule="auto"/>
              <w:rPr>
                <w:rFonts w:ascii="Times New Roman"/>
                <w:snapToGrid w:val="0"/>
                <w:kern w:val="21"/>
                <w:szCs w:val="21"/>
              </w:rPr>
            </w:pPr>
            <w:r>
              <w:rPr>
                <w:rFonts w:ascii="Times New Roman"/>
                <w:szCs w:val="21"/>
              </w:rPr>
              <w:t>120</w:t>
            </w:r>
          </w:p>
        </w:tc>
        <w:tc>
          <w:tcPr>
            <w:tcW w:w="826" w:type="dxa"/>
            <w:vAlign w:val="center"/>
          </w:tcPr>
          <w:p w14:paraId="36395AC3">
            <w:pPr>
              <w:pStyle w:val="47"/>
              <w:spacing w:beforeLines="0" w:afterLines="0" w:line="240" w:lineRule="auto"/>
              <w:rPr>
                <w:rFonts w:ascii="Times New Roman"/>
                <w:snapToGrid w:val="0"/>
                <w:kern w:val="21"/>
                <w:szCs w:val="21"/>
              </w:rPr>
            </w:pPr>
            <w:r>
              <w:rPr>
                <w:rFonts w:ascii="Times New Roman"/>
                <w:szCs w:val="21"/>
              </w:rPr>
              <w:t>+80</w:t>
            </w:r>
          </w:p>
        </w:tc>
      </w:tr>
      <w:tr w14:paraId="63488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23056EF">
            <w:pPr>
              <w:pStyle w:val="47"/>
              <w:spacing w:beforeLines="0" w:afterLines="0" w:line="240" w:lineRule="auto"/>
              <w:rPr>
                <w:rFonts w:ascii="Times New Roman"/>
                <w:snapToGrid w:val="0"/>
                <w:kern w:val="21"/>
                <w:szCs w:val="21"/>
              </w:rPr>
            </w:pPr>
          </w:p>
        </w:tc>
        <w:tc>
          <w:tcPr>
            <w:tcW w:w="1417" w:type="dxa"/>
            <w:vAlign w:val="center"/>
          </w:tcPr>
          <w:p w14:paraId="6383CD9D">
            <w:pPr>
              <w:pStyle w:val="47"/>
              <w:spacing w:beforeLines="0" w:afterLines="0" w:line="240" w:lineRule="auto"/>
            </w:pPr>
            <w:r>
              <w:rPr>
                <w:rFonts w:hint="eastAsia"/>
              </w:rPr>
              <w:t>除尘灰</w:t>
            </w:r>
          </w:p>
        </w:tc>
        <w:tc>
          <w:tcPr>
            <w:tcW w:w="1701" w:type="dxa"/>
            <w:vAlign w:val="center"/>
          </w:tcPr>
          <w:p w14:paraId="5273E21E">
            <w:pPr>
              <w:pStyle w:val="47"/>
              <w:spacing w:beforeLines="0" w:afterLines="0" w:line="240" w:lineRule="auto"/>
              <w:rPr>
                <w:rFonts w:ascii="Times New Roman"/>
                <w:snapToGrid w:val="0"/>
                <w:kern w:val="21"/>
                <w:szCs w:val="21"/>
              </w:rPr>
            </w:pPr>
            <w:r>
              <w:rPr>
                <w:rFonts w:hint="eastAsia" w:ascii="Times New Roman"/>
                <w:snapToGrid w:val="0"/>
                <w:kern w:val="21"/>
                <w:szCs w:val="21"/>
              </w:rPr>
              <w:t>2.037</w:t>
            </w:r>
          </w:p>
        </w:tc>
        <w:tc>
          <w:tcPr>
            <w:tcW w:w="1276" w:type="dxa"/>
            <w:vAlign w:val="center"/>
          </w:tcPr>
          <w:p w14:paraId="42B669D2">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6B067DB8">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7311F347">
            <w:pPr>
              <w:pStyle w:val="47"/>
              <w:spacing w:beforeLines="0" w:afterLines="0" w:line="240" w:lineRule="auto"/>
              <w:rPr>
                <w:rFonts w:ascii="Times New Roman"/>
                <w:szCs w:val="21"/>
              </w:rPr>
            </w:pPr>
            <w:r>
              <w:rPr>
                <w:rFonts w:hint="eastAsia" w:ascii="Times New Roman"/>
                <w:snapToGrid w:val="0"/>
                <w:kern w:val="21"/>
                <w:szCs w:val="21"/>
              </w:rPr>
              <w:t>1.998</w:t>
            </w:r>
          </w:p>
        </w:tc>
        <w:tc>
          <w:tcPr>
            <w:tcW w:w="1761" w:type="dxa"/>
            <w:vAlign w:val="center"/>
          </w:tcPr>
          <w:p w14:paraId="12AED951">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58D3A8E7">
            <w:pPr>
              <w:pStyle w:val="47"/>
              <w:spacing w:beforeLines="0" w:afterLines="0" w:line="240" w:lineRule="auto"/>
              <w:rPr>
                <w:rFonts w:ascii="Times New Roman"/>
                <w:szCs w:val="21"/>
              </w:rPr>
            </w:pPr>
            <w:r>
              <w:rPr>
                <w:rFonts w:hint="eastAsia" w:ascii="Times New Roman"/>
                <w:snapToGrid w:val="0"/>
                <w:kern w:val="21"/>
                <w:szCs w:val="21"/>
              </w:rPr>
              <w:t>4.035</w:t>
            </w:r>
          </w:p>
        </w:tc>
        <w:tc>
          <w:tcPr>
            <w:tcW w:w="826" w:type="dxa"/>
            <w:vAlign w:val="center"/>
          </w:tcPr>
          <w:p w14:paraId="4B0393C3">
            <w:pPr>
              <w:pStyle w:val="47"/>
              <w:spacing w:beforeLines="0" w:afterLines="0" w:line="240" w:lineRule="auto"/>
              <w:rPr>
                <w:rFonts w:ascii="Times New Roman"/>
                <w:szCs w:val="21"/>
              </w:rPr>
            </w:pPr>
            <w:r>
              <w:rPr>
                <w:rFonts w:ascii="Times New Roman"/>
                <w:szCs w:val="21"/>
              </w:rPr>
              <w:t>+</w:t>
            </w:r>
            <w:r>
              <w:rPr>
                <w:rFonts w:hint="eastAsia" w:ascii="Times New Roman"/>
                <w:snapToGrid w:val="0"/>
                <w:kern w:val="21"/>
                <w:szCs w:val="21"/>
              </w:rPr>
              <w:t>1.998</w:t>
            </w:r>
          </w:p>
        </w:tc>
      </w:tr>
      <w:tr w14:paraId="1316D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015D5DD">
            <w:pPr>
              <w:pStyle w:val="47"/>
              <w:spacing w:beforeLines="0" w:afterLines="0" w:line="240" w:lineRule="auto"/>
              <w:rPr>
                <w:rFonts w:ascii="Times New Roman"/>
                <w:snapToGrid w:val="0"/>
                <w:kern w:val="21"/>
                <w:szCs w:val="21"/>
              </w:rPr>
            </w:pPr>
          </w:p>
        </w:tc>
        <w:tc>
          <w:tcPr>
            <w:tcW w:w="1417" w:type="dxa"/>
            <w:vAlign w:val="center"/>
          </w:tcPr>
          <w:p w14:paraId="40BA5A2C">
            <w:pPr>
              <w:pStyle w:val="47"/>
              <w:spacing w:beforeLines="0" w:afterLines="0" w:line="240" w:lineRule="auto"/>
              <w:rPr>
                <w:rFonts w:ascii="Times New Roman"/>
                <w:snapToGrid w:val="0"/>
                <w:kern w:val="21"/>
                <w:szCs w:val="21"/>
              </w:rPr>
            </w:pPr>
            <w:r>
              <w:rPr>
                <w:rFonts w:ascii="Times New Roman"/>
                <w:snapToGrid w:val="0"/>
                <w:kern w:val="21"/>
                <w:szCs w:val="21"/>
              </w:rPr>
              <w:t>化粪池污泥</w:t>
            </w:r>
          </w:p>
        </w:tc>
        <w:tc>
          <w:tcPr>
            <w:tcW w:w="1701" w:type="dxa"/>
            <w:vAlign w:val="center"/>
          </w:tcPr>
          <w:p w14:paraId="4822307C">
            <w:pPr>
              <w:pStyle w:val="47"/>
              <w:spacing w:beforeLines="0" w:afterLines="0" w:line="240" w:lineRule="auto"/>
              <w:rPr>
                <w:rFonts w:ascii="Times New Roman"/>
                <w:snapToGrid w:val="0"/>
                <w:kern w:val="21"/>
                <w:szCs w:val="21"/>
              </w:rPr>
            </w:pPr>
            <w:r>
              <w:rPr>
                <w:rFonts w:ascii="Times New Roman"/>
                <w:snapToGrid w:val="0"/>
                <w:kern w:val="21"/>
                <w:szCs w:val="21"/>
              </w:rPr>
              <w:t>0.48</w:t>
            </w:r>
          </w:p>
        </w:tc>
        <w:tc>
          <w:tcPr>
            <w:tcW w:w="1276" w:type="dxa"/>
            <w:vAlign w:val="center"/>
          </w:tcPr>
          <w:p w14:paraId="62AAF177">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52FE5C10">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031EB8FE">
            <w:pPr>
              <w:pStyle w:val="47"/>
              <w:spacing w:beforeLines="0" w:afterLines="0" w:line="240" w:lineRule="auto"/>
              <w:rPr>
                <w:rFonts w:ascii="Times New Roman"/>
                <w:snapToGrid w:val="0"/>
                <w:kern w:val="21"/>
                <w:szCs w:val="21"/>
              </w:rPr>
            </w:pPr>
            <w:r>
              <w:rPr>
                <w:rFonts w:ascii="Times New Roman"/>
                <w:szCs w:val="21"/>
              </w:rPr>
              <w:t>0.59</w:t>
            </w:r>
          </w:p>
        </w:tc>
        <w:tc>
          <w:tcPr>
            <w:tcW w:w="1761" w:type="dxa"/>
            <w:vAlign w:val="center"/>
          </w:tcPr>
          <w:p w14:paraId="4CABA052">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6F323E88">
            <w:pPr>
              <w:pStyle w:val="47"/>
              <w:spacing w:beforeLines="0" w:afterLines="0" w:line="240" w:lineRule="auto"/>
              <w:rPr>
                <w:rFonts w:ascii="Times New Roman"/>
                <w:snapToGrid w:val="0"/>
                <w:kern w:val="21"/>
                <w:szCs w:val="21"/>
              </w:rPr>
            </w:pPr>
            <w:r>
              <w:rPr>
                <w:rFonts w:ascii="Times New Roman"/>
                <w:snapToGrid w:val="0"/>
                <w:kern w:val="21"/>
                <w:szCs w:val="21"/>
              </w:rPr>
              <w:t>1.07</w:t>
            </w:r>
          </w:p>
        </w:tc>
        <w:tc>
          <w:tcPr>
            <w:tcW w:w="826" w:type="dxa"/>
            <w:vAlign w:val="center"/>
          </w:tcPr>
          <w:p w14:paraId="7595E8F4">
            <w:pPr>
              <w:pStyle w:val="47"/>
              <w:spacing w:beforeLines="0" w:afterLines="0" w:line="240" w:lineRule="auto"/>
              <w:rPr>
                <w:rFonts w:ascii="Times New Roman"/>
                <w:snapToGrid w:val="0"/>
                <w:kern w:val="21"/>
                <w:szCs w:val="21"/>
              </w:rPr>
            </w:pPr>
            <w:r>
              <w:rPr>
                <w:rFonts w:ascii="Times New Roman"/>
                <w:szCs w:val="21"/>
              </w:rPr>
              <w:t>+0.59</w:t>
            </w:r>
          </w:p>
        </w:tc>
      </w:tr>
      <w:tr w14:paraId="054DA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B985575">
            <w:pPr>
              <w:pStyle w:val="47"/>
              <w:spacing w:beforeLines="0" w:afterLines="0" w:line="240" w:lineRule="auto"/>
              <w:rPr>
                <w:rFonts w:ascii="Times New Roman"/>
                <w:snapToGrid w:val="0"/>
                <w:kern w:val="21"/>
                <w:szCs w:val="21"/>
              </w:rPr>
            </w:pPr>
          </w:p>
        </w:tc>
        <w:tc>
          <w:tcPr>
            <w:tcW w:w="1417" w:type="dxa"/>
            <w:vAlign w:val="center"/>
          </w:tcPr>
          <w:p w14:paraId="2E135614">
            <w:pPr>
              <w:pStyle w:val="47"/>
              <w:spacing w:beforeLines="0" w:afterLines="0" w:line="240" w:lineRule="auto"/>
              <w:rPr>
                <w:rFonts w:ascii="Times New Roman"/>
                <w:snapToGrid w:val="0"/>
                <w:kern w:val="21"/>
                <w:szCs w:val="21"/>
              </w:rPr>
            </w:pPr>
            <w:r>
              <w:rPr>
                <w:rFonts w:ascii="Times New Roman"/>
                <w:snapToGrid w:val="0"/>
                <w:kern w:val="21"/>
                <w:szCs w:val="21"/>
              </w:rPr>
              <w:t>污水处理站污泥</w:t>
            </w:r>
          </w:p>
        </w:tc>
        <w:tc>
          <w:tcPr>
            <w:tcW w:w="1701" w:type="dxa"/>
            <w:vAlign w:val="center"/>
          </w:tcPr>
          <w:p w14:paraId="36D9F84F">
            <w:pPr>
              <w:pStyle w:val="47"/>
              <w:spacing w:beforeLines="0" w:afterLines="0" w:line="240" w:lineRule="auto"/>
              <w:rPr>
                <w:rFonts w:ascii="Times New Roman"/>
                <w:snapToGrid w:val="0"/>
                <w:kern w:val="21"/>
                <w:szCs w:val="21"/>
              </w:rPr>
            </w:pPr>
            <w:r>
              <w:rPr>
                <w:rFonts w:ascii="Times New Roman"/>
                <w:snapToGrid w:val="0"/>
                <w:kern w:val="21"/>
                <w:szCs w:val="21"/>
              </w:rPr>
              <w:t>3.2</w:t>
            </w:r>
          </w:p>
        </w:tc>
        <w:tc>
          <w:tcPr>
            <w:tcW w:w="1276" w:type="dxa"/>
            <w:vAlign w:val="center"/>
          </w:tcPr>
          <w:p w14:paraId="6317CDA2">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23389F03">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4E3903CA">
            <w:pPr>
              <w:pStyle w:val="47"/>
              <w:spacing w:beforeLines="0" w:afterLines="0" w:line="240" w:lineRule="auto"/>
              <w:rPr>
                <w:rFonts w:ascii="Times New Roman"/>
                <w:snapToGrid w:val="0"/>
                <w:kern w:val="21"/>
                <w:szCs w:val="21"/>
              </w:rPr>
            </w:pPr>
            <w:r>
              <w:rPr>
                <w:rFonts w:ascii="Times New Roman"/>
                <w:szCs w:val="21"/>
              </w:rPr>
              <w:t>3.9</w:t>
            </w:r>
          </w:p>
        </w:tc>
        <w:tc>
          <w:tcPr>
            <w:tcW w:w="1761" w:type="dxa"/>
            <w:vAlign w:val="center"/>
          </w:tcPr>
          <w:p w14:paraId="7C534415">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2167C275">
            <w:pPr>
              <w:pStyle w:val="47"/>
              <w:spacing w:beforeLines="0" w:afterLines="0" w:line="240" w:lineRule="auto"/>
              <w:rPr>
                <w:rFonts w:ascii="Times New Roman"/>
                <w:snapToGrid w:val="0"/>
                <w:kern w:val="21"/>
                <w:szCs w:val="21"/>
              </w:rPr>
            </w:pPr>
            <w:r>
              <w:rPr>
                <w:rFonts w:ascii="Times New Roman"/>
                <w:snapToGrid w:val="0"/>
                <w:kern w:val="21"/>
                <w:szCs w:val="21"/>
              </w:rPr>
              <w:t>7.1</w:t>
            </w:r>
          </w:p>
        </w:tc>
        <w:tc>
          <w:tcPr>
            <w:tcW w:w="826" w:type="dxa"/>
            <w:vAlign w:val="center"/>
          </w:tcPr>
          <w:p w14:paraId="249BBA7A">
            <w:pPr>
              <w:pStyle w:val="47"/>
              <w:spacing w:beforeLines="0" w:afterLines="0" w:line="240" w:lineRule="auto"/>
              <w:rPr>
                <w:rFonts w:ascii="Times New Roman"/>
                <w:snapToGrid w:val="0"/>
                <w:kern w:val="21"/>
                <w:szCs w:val="21"/>
              </w:rPr>
            </w:pPr>
            <w:r>
              <w:rPr>
                <w:rFonts w:ascii="Times New Roman"/>
                <w:szCs w:val="21"/>
              </w:rPr>
              <w:t>+3.9</w:t>
            </w:r>
          </w:p>
        </w:tc>
      </w:tr>
      <w:tr w14:paraId="32D2A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7F201EBF">
            <w:pPr>
              <w:pStyle w:val="47"/>
              <w:spacing w:beforeLines="0" w:afterLines="0" w:line="240" w:lineRule="auto"/>
              <w:rPr>
                <w:rFonts w:ascii="Times New Roman"/>
                <w:snapToGrid w:val="0"/>
                <w:kern w:val="21"/>
                <w:szCs w:val="21"/>
              </w:rPr>
            </w:pPr>
            <w:r>
              <w:rPr>
                <w:rFonts w:ascii="Times New Roman"/>
                <w:snapToGrid w:val="0"/>
                <w:kern w:val="21"/>
                <w:szCs w:val="21"/>
              </w:rPr>
              <w:t>危险废物</w:t>
            </w:r>
          </w:p>
        </w:tc>
        <w:tc>
          <w:tcPr>
            <w:tcW w:w="1417" w:type="dxa"/>
            <w:vAlign w:val="center"/>
          </w:tcPr>
          <w:p w14:paraId="0E4871BD">
            <w:pPr>
              <w:pStyle w:val="47"/>
              <w:spacing w:beforeLines="0" w:afterLines="0" w:line="240" w:lineRule="auto"/>
              <w:rPr>
                <w:rFonts w:ascii="Times New Roman"/>
                <w:snapToGrid w:val="0"/>
                <w:kern w:val="21"/>
                <w:szCs w:val="21"/>
              </w:rPr>
            </w:pPr>
            <w:r>
              <w:rPr>
                <w:rFonts w:ascii="Times New Roman"/>
                <w:snapToGrid w:val="0"/>
                <w:kern w:val="21"/>
                <w:szCs w:val="21"/>
              </w:rPr>
              <w:t>废机油</w:t>
            </w:r>
          </w:p>
        </w:tc>
        <w:tc>
          <w:tcPr>
            <w:tcW w:w="1701" w:type="dxa"/>
            <w:vAlign w:val="center"/>
          </w:tcPr>
          <w:p w14:paraId="0C4005F4">
            <w:pPr>
              <w:pStyle w:val="47"/>
              <w:spacing w:beforeLines="0" w:afterLines="0" w:line="240" w:lineRule="auto"/>
              <w:rPr>
                <w:rFonts w:ascii="Times New Roman"/>
                <w:snapToGrid w:val="0"/>
                <w:kern w:val="21"/>
                <w:szCs w:val="21"/>
              </w:rPr>
            </w:pPr>
            <w:r>
              <w:rPr>
                <w:rFonts w:ascii="Times New Roman"/>
                <w:snapToGrid w:val="0"/>
                <w:kern w:val="21"/>
                <w:szCs w:val="21"/>
              </w:rPr>
              <w:t>0.4</w:t>
            </w:r>
          </w:p>
        </w:tc>
        <w:tc>
          <w:tcPr>
            <w:tcW w:w="1276" w:type="dxa"/>
            <w:vAlign w:val="center"/>
          </w:tcPr>
          <w:p w14:paraId="0F310E27">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67F89D98">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47C2CF99">
            <w:pPr>
              <w:pStyle w:val="47"/>
              <w:spacing w:beforeLines="0" w:afterLines="0" w:line="240" w:lineRule="auto"/>
              <w:rPr>
                <w:rFonts w:ascii="Times New Roman"/>
                <w:snapToGrid w:val="0"/>
                <w:kern w:val="21"/>
                <w:szCs w:val="21"/>
              </w:rPr>
            </w:pPr>
            <w:r>
              <w:rPr>
                <w:rFonts w:ascii="Times New Roman"/>
                <w:szCs w:val="21"/>
                <w:lang w:bidi="ar"/>
              </w:rPr>
              <w:t>0.8</w:t>
            </w:r>
          </w:p>
        </w:tc>
        <w:tc>
          <w:tcPr>
            <w:tcW w:w="1761" w:type="dxa"/>
            <w:vAlign w:val="center"/>
          </w:tcPr>
          <w:p w14:paraId="17A2F255">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613760DF">
            <w:pPr>
              <w:pStyle w:val="47"/>
              <w:spacing w:beforeLines="0" w:afterLines="0" w:line="240" w:lineRule="auto"/>
              <w:rPr>
                <w:rFonts w:ascii="Times New Roman"/>
                <w:snapToGrid w:val="0"/>
                <w:kern w:val="21"/>
                <w:szCs w:val="21"/>
              </w:rPr>
            </w:pPr>
            <w:r>
              <w:rPr>
                <w:rFonts w:ascii="Times New Roman"/>
                <w:snapToGrid w:val="0"/>
                <w:kern w:val="21"/>
                <w:szCs w:val="21"/>
              </w:rPr>
              <w:t>1.2</w:t>
            </w:r>
          </w:p>
        </w:tc>
        <w:tc>
          <w:tcPr>
            <w:tcW w:w="826" w:type="dxa"/>
            <w:vAlign w:val="center"/>
          </w:tcPr>
          <w:p w14:paraId="248C3B7B">
            <w:pPr>
              <w:pStyle w:val="47"/>
              <w:spacing w:beforeLines="0" w:afterLines="0" w:line="240" w:lineRule="auto"/>
              <w:rPr>
                <w:rFonts w:ascii="Times New Roman"/>
                <w:snapToGrid w:val="0"/>
                <w:kern w:val="21"/>
                <w:szCs w:val="21"/>
              </w:rPr>
            </w:pPr>
            <w:r>
              <w:rPr>
                <w:rFonts w:ascii="Times New Roman"/>
                <w:szCs w:val="21"/>
                <w:lang w:bidi="ar"/>
              </w:rPr>
              <w:t>+0.8</w:t>
            </w:r>
          </w:p>
        </w:tc>
      </w:tr>
      <w:tr w14:paraId="584DC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6C95904">
            <w:pPr>
              <w:pStyle w:val="47"/>
              <w:spacing w:beforeLines="0" w:afterLines="0" w:line="240" w:lineRule="auto"/>
              <w:rPr>
                <w:rFonts w:ascii="Times New Roman"/>
                <w:snapToGrid w:val="0"/>
                <w:kern w:val="21"/>
                <w:szCs w:val="21"/>
              </w:rPr>
            </w:pPr>
          </w:p>
        </w:tc>
        <w:tc>
          <w:tcPr>
            <w:tcW w:w="1417" w:type="dxa"/>
            <w:vAlign w:val="center"/>
          </w:tcPr>
          <w:p w14:paraId="0568E119">
            <w:pPr>
              <w:pStyle w:val="47"/>
              <w:spacing w:beforeLines="0" w:afterLines="0" w:line="240" w:lineRule="auto"/>
              <w:rPr>
                <w:rFonts w:ascii="Times New Roman"/>
                <w:snapToGrid w:val="0"/>
                <w:kern w:val="21"/>
                <w:szCs w:val="21"/>
              </w:rPr>
            </w:pPr>
            <w:r>
              <w:rPr>
                <w:rFonts w:ascii="Times New Roman"/>
                <w:snapToGrid w:val="0"/>
                <w:kern w:val="21"/>
                <w:szCs w:val="21"/>
              </w:rPr>
              <w:t>废机油桶</w:t>
            </w:r>
          </w:p>
        </w:tc>
        <w:tc>
          <w:tcPr>
            <w:tcW w:w="1701" w:type="dxa"/>
            <w:vAlign w:val="center"/>
          </w:tcPr>
          <w:p w14:paraId="23902C1D">
            <w:pPr>
              <w:pStyle w:val="47"/>
              <w:spacing w:beforeLines="0" w:afterLines="0" w:line="240" w:lineRule="auto"/>
              <w:rPr>
                <w:rFonts w:ascii="Times New Roman"/>
                <w:snapToGrid w:val="0"/>
                <w:kern w:val="21"/>
                <w:szCs w:val="21"/>
              </w:rPr>
            </w:pPr>
            <w:r>
              <w:rPr>
                <w:rFonts w:ascii="Times New Roman"/>
                <w:snapToGrid w:val="0"/>
                <w:kern w:val="21"/>
                <w:szCs w:val="21"/>
              </w:rPr>
              <w:t>0.2</w:t>
            </w:r>
          </w:p>
        </w:tc>
        <w:tc>
          <w:tcPr>
            <w:tcW w:w="1276" w:type="dxa"/>
            <w:vAlign w:val="center"/>
          </w:tcPr>
          <w:p w14:paraId="6CF91891">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701" w:type="dxa"/>
            <w:vAlign w:val="center"/>
          </w:tcPr>
          <w:p w14:paraId="2B30702F">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559" w:type="dxa"/>
            <w:vAlign w:val="center"/>
          </w:tcPr>
          <w:p w14:paraId="7C4C7823">
            <w:pPr>
              <w:pStyle w:val="47"/>
              <w:spacing w:beforeLines="0" w:afterLines="0" w:line="240" w:lineRule="auto"/>
              <w:rPr>
                <w:rFonts w:ascii="Times New Roman"/>
                <w:snapToGrid w:val="0"/>
                <w:kern w:val="21"/>
                <w:szCs w:val="21"/>
              </w:rPr>
            </w:pPr>
            <w:r>
              <w:rPr>
                <w:rFonts w:ascii="Times New Roman"/>
                <w:szCs w:val="21"/>
                <w:lang w:bidi="ar"/>
              </w:rPr>
              <w:t>0.4</w:t>
            </w:r>
          </w:p>
        </w:tc>
        <w:tc>
          <w:tcPr>
            <w:tcW w:w="1761" w:type="dxa"/>
            <w:vAlign w:val="center"/>
          </w:tcPr>
          <w:p w14:paraId="1CA9D858">
            <w:pPr>
              <w:pStyle w:val="47"/>
              <w:spacing w:beforeLines="0" w:afterLines="0" w:line="240" w:lineRule="auto"/>
              <w:rPr>
                <w:rFonts w:ascii="Times New Roman"/>
                <w:snapToGrid w:val="0"/>
                <w:kern w:val="21"/>
                <w:szCs w:val="21"/>
              </w:rPr>
            </w:pPr>
            <w:r>
              <w:rPr>
                <w:rFonts w:ascii="Times New Roman"/>
                <w:snapToGrid w:val="0"/>
                <w:kern w:val="21"/>
                <w:szCs w:val="21"/>
              </w:rPr>
              <w:t>/</w:t>
            </w:r>
          </w:p>
        </w:tc>
        <w:tc>
          <w:tcPr>
            <w:tcW w:w="1959" w:type="dxa"/>
            <w:vAlign w:val="center"/>
          </w:tcPr>
          <w:p w14:paraId="3ADD64BC">
            <w:pPr>
              <w:pStyle w:val="47"/>
              <w:spacing w:beforeLines="0" w:afterLines="0" w:line="240" w:lineRule="auto"/>
              <w:rPr>
                <w:rFonts w:ascii="Times New Roman"/>
                <w:snapToGrid w:val="0"/>
                <w:kern w:val="21"/>
                <w:szCs w:val="21"/>
              </w:rPr>
            </w:pPr>
            <w:r>
              <w:rPr>
                <w:rFonts w:ascii="Times New Roman"/>
                <w:snapToGrid w:val="0"/>
                <w:kern w:val="21"/>
                <w:szCs w:val="21"/>
              </w:rPr>
              <w:t>0.6</w:t>
            </w:r>
          </w:p>
        </w:tc>
        <w:tc>
          <w:tcPr>
            <w:tcW w:w="826" w:type="dxa"/>
            <w:vAlign w:val="center"/>
          </w:tcPr>
          <w:p w14:paraId="5A6E660C">
            <w:pPr>
              <w:pStyle w:val="47"/>
              <w:spacing w:beforeLines="0" w:afterLines="0" w:line="240" w:lineRule="auto"/>
              <w:rPr>
                <w:rFonts w:ascii="Times New Roman"/>
                <w:snapToGrid w:val="0"/>
                <w:kern w:val="21"/>
                <w:szCs w:val="21"/>
              </w:rPr>
            </w:pPr>
            <w:r>
              <w:rPr>
                <w:rFonts w:ascii="Times New Roman"/>
                <w:szCs w:val="21"/>
                <w:lang w:bidi="ar"/>
              </w:rPr>
              <w:t>+0.4</w:t>
            </w:r>
          </w:p>
        </w:tc>
      </w:tr>
    </w:tbl>
    <w:p w14:paraId="33B04007">
      <w:pPr>
        <w:pStyle w:val="47"/>
        <w:spacing w:before="192" w:beforeLines="80" w:after="24"/>
        <w:jc w:val="left"/>
        <w:rPr>
          <w:rFonts w:ascii="Times New Roman"/>
          <w:snapToGrid w:val="0"/>
          <w:spacing w:val="-6"/>
          <w:kern w:val="21"/>
          <w:szCs w:val="21"/>
        </w:rPr>
      </w:pPr>
      <w:r>
        <w:rPr>
          <w:rFonts w:ascii="Times New Roman" w:hAnsi="宋体"/>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hAnsi="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hAnsi="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hAnsi="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hAnsi="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hAnsi="宋体"/>
          <w:szCs w:val="21"/>
        </w:rPr>
        <w:t>⑤</w:t>
      </w:r>
      <w:r>
        <w:rPr>
          <w:rFonts w:ascii="Times New Roman"/>
          <w:snapToGrid w:val="0"/>
          <w:spacing w:val="-16"/>
          <w:kern w:val="21"/>
          <w:szCs w:val="21"/>
        </w:rPr>
        <w:fldChar w:fldCharType="end"/>
      </w:r>
      <w:r>
        <w:rPr>
          <w:rFonts w:ascii="Times New Roman" w:hAnsi="宋体"/>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hAnsi="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hAnsi="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hAnsi="宋体"/>
          <w:szCs w:val="21"/>
        </w:rPr>
        <w:t>①</w:t>
      </w:r>
      <w:r>
        <w:rPr>
          <w:rFonts w:ascii="Times New Roman"/>
          <w:snapToGrid w:val="0"/>
          <w:spacing w:val="-6"/>
          <w:kern w:val="21"/>
          <w:szCs w:val="21"/>
        </w:rPr>
        <w:fldChar w:fldCharType="end"/>
      </w:r>
      <w:r>
        <w:rPr>
          <w:rFonts w:hint="eastAsia" w:ascii="Times New Roman"/>
          <w:snapToGrid w:val="0"/>
          <w:spacing w:val="-6"/>
          <w:kern w:val="21"/>
          <w:szCs w:val="21"/>
        </w:rPr>
        <w:t>；单位：t/a</w:t>
      </w:r>
    </w:p>
    <w:sectPr>
      <w:footerReference r:id="rId5"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NewRomanPSMT">
    <w:altName w:val="SimSun-ExtB"/>
    <w:panose1 w:val="00000000000000000000"/>
    <w:charset w:val="86"/>
    <w:family w:val="auto"/>
    <w:pitch w:val="default"/>
    <w:sig w:usb0="00000000" w:usb1="00000000" w:usb2="00000010" w:usb3="00000000" w:csb0="0006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406C">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14AD">
    <w:pPr>
      <w:pStyle w:val="21"/>
      <w:framePr w:wrap="around" w:vAnchor="text" w:hAnchor="margin" w:xAlign="outside" w:y="1"/>
      <w:rPr>
        <w:rStyle w:val="35"/>
        <w:rFonts w:hint="eastAsia" w:ascii="宋体" w:hAnsi="宋体"/>
        <w:sz w:val="28"/>
        <w:szCs w:val="28"/>
      </w:rPr>
    </w:pPr>
    <w:r>
      <w:rPr>
        <w:rStyle w:val="35"/>
        <w:rFonts w:hint="eastAsia" w:ascii="宋体" w:hAnsi="宋体"/>
        <w:sz w:val="28"/>
        <w:szCs w:val="28"/>
      </w:rPr>
      <w:t>—</w:t>
    </w:r>
    <w:r>
      <w:rPr>
        <w:rStyle w:val="35"/>
        <w:rFonts w:ascii="宋体" w:hAnsi="宋体"/>
        <w:sz w:val="26"/>
        <w:szCs w:val="26"/>
      </w:rPr>
      <w:fldChar w:fldCharType="begin"/>
    </w:r>
    <w:r>
      <w:rPr>
        <w:rStyle w:val="35"/>
        <w:rFonts w:ascii="宋体" w:hAnsi="宋体"/>
        <w:sz w:val="26"/>
        <w:szCs w:val="26"/>
      </w:rPr>
      <w:instrText xml:space="preserve">PAGE  </w:instrText>
    </w:r>
    <w:r>
      <w:rPr>
        <w:rStyle w:val="35"/>
        <w:rFonts w:ascii="宋体" w:hAnsi="宋体"/>
        <w:sz w:val="26"/>
        <w:szCs w:val="26"/>
      </w:rPr>
      <w:fldChar w:fldCharType="separate"/>
    </w:r>
    <w:r>
      <w:rPr>
        <w:rStyle w:val="35"/>
        <w:rFonts w:ascii="宋体" w:hAnsi="宋体"/>
        <w:sz w:val="26"/>
        <w:szCs w:val="26"/>
      </w:rPr>
      <w:t>46</w:t>
    </w:r>
    <w:r>
      <w:rPr>
        <w:rStyle w:val="35"/>
        <w:rFonts w:ascii="宋体" w:hAnsi="宋体"/>
        <w:sz w:val="26"/>
        <w:szCs w:val="26"/>
      </w:rPr>
      <w:fldChar w:fldCharType="end"/>
    </w:r>
    <w:r>
      <w:rPr>
        <w:rStyle w:val="35"/>
        <w:rFonts w:hint="eastAsia" w:ascii="宋体" w:hAnsi="宋体"/>
        <w:sz w:val="28"/>
        <w:szCs w:val="28"/>
      </w:rPr>
      <w:t>—</w:t>
    </w:r>
  </w:p>
  <w:p w14:paraId="1EA4FD34">
    <w:pPr>
      <w:pStyle w:val="21"/>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6CBF">
    <w:pPr>
      <w:pStyle w:val="21"/>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lM2Y0NGZjMDgxMzMyYmJjMDRhNmY3MDRkOGEyMmYifQ=="/>
  </w:docVars>
  <w:rsids>
    <w:rsidRoot w:val="00A14947"/>
    <w:rsid w:val="00000116"/>
    <w:rsid w:val="000001AF"/>
    <w:rsid w:val="00000547"/>
    <w:rsid w:val="00000815"/>
    <w:rsid w:val="00000A1B"/>
    <w:rsid w:val="000021B7"/>
    <w:rsid w:val="00002339"/>
    <w:rsid w:val="0000253D"/>
    <w:rsid w:val="00002655"/>
    <w:rsid w:val="000029EB"/>
    <w:rsid w:val="00002D10"/>
    <w:rsid w:val="00002F19"/>
    <w:rsid w:val="00003A5C"/>
    <w:rsid w:val="00004365"/>
    <w:rsid w:val="000044E6"/>
    <w:rsid w:val="0000470A"/>
    <w:rsid w:val="000048FD"/>
    <w:rsid w:val="00004B01"/>
    <w:rsid w:val="00004ECA"/>
    <w:rsid w:val="00004FA0"/>
    <w:rsid w:val="000060B3"/>
    <w:rsid w:val="00006476"/>
    <w:rsid w:val="000065BA"/>
    <w:rsid w:val="00006ADC"/>
    <w:rsid w:val="00007C57"/>
    <w:rsid w:val="000101AE"/>
    <w:rsid w:val="0001063E"/>
    <w:rsid w:val="00010884"/>
    <w:rsid w:val="00011185"/>
    <w:rsid w:val="0001182C"/>
    <w:rsid w:val="000119DA"/>
    <w:rsid w:val="00011ED9"/>
    <w:rsid w:val="00011FDA"/>
    <w:rsid w:val="000121D8"/>
    <w:rsid w:val="000133D1"/>
    <w:rsid w:val="000135D5"/>
    <w:rsid w:val="00014378"/>
    <w:rsid w:val="00014918"/>
    <w:rsid w:val="0001563C"/>
    <w:rsid w:val="00017DA8"/>
    <w:rsid w:val="00017EEB"/>
    <w:rsid w:val="0002042C"/>
    <w:rsid w:val="00021397"/>
    <w:rsid w:val="00021B4E"/>
    <w:rsid w:val="00022374"/>
    <w:rsid w:val="0002305F"/>
    <w:rsid w:val="00023695"/>
    <w:rsid w:val="00023D07"/>
    <w:rsid w:val="0002434D"/>
    <w:rsid w:val="000247D9"/>
    <w:rsid w:val="0002487D"/>
    <w:rsid w:val="00024B03"/>
    <w:rsid w:val="00024B4D"/>
    <w:rsid w:val="00025721"/>
    <w:rsid w:val="00025E8C"/>
    <w:rsid w:val="00025FC5"/>
    <w:rsid w:val="00026732"/>
    <w:rsid w:val="000267F6"/>
    <w:rsid w:val="0002691E"/>
    <w:rsid w:val="000272F2"/>
    <w:rsid w:val="000276C7"/>
    <w:rsid w:val="00030C8F"/>
    <w:rsid w:val="00030D8B"/>
    <w:rsid w:val="00030F51"/>
    <w:rsid w:val="00031A77"/>
    <w:rsid w:val="00031FF6"/>
    <w:rsid w:val="000322A3"/>
    <w:rsid w:val="00032674"/>
    <w:rsid w:val="000339A5"/>
    <w:rsid w:val="00033B91"/>
    <w:rsid w:val="00035127"/>
    <w:rsid w:val="00035652"/>
    <w:rsid w:val="000358E8"/>
    <w:rsid w:val="000368CC"/>
    <w:rsid w:val="00036AF3"/>
    <w:rsid w:val="00037826"/>
    <w:rsid w:val="00037981"/>
    <w:rsid w:val="00037ADB"/>
    <w:rsid w:val="00040617"/>
    <w:rsid w:val="0004076B"/>
    <w:rsid w:val="000409C0"/>
    <w:rsid w:val="00040BCB"/>
    <w:rsid w:val="00040D9C"/>
    <w:rsid w:val="00041295"/>
    <w:rsid w:val="00041E44"/>
    <w:rsid w:val="000428EF"/>
    <w:rsid w:val="00042901"/>
    <w:rsid w:val="00042A08"/>
    <w:rsid w:val="0004315D"/>
    <w:rsid w:val="0004364B"/>
    <w:rsid w:val="00043B60"/>
    <w:rsid w:val="00043CDD"/>
    <w:rsid w:val="000442F2"/>
    <w:rsid w:val="0004460C"/>
    <w:rsid w:val="000447ED"/>
    <w:rsid w:val="00045CBA"/>
    <w:rsid w:val="00046203"/>
    <w:rsid w:val="00047789"/>
    <w:rsid w:val="00047929"/>
    <w:rsid w:val="00047AA4"/>
    <w:rsid w:val="000503B5"/>
    <w:rsid w:val="000507A4"/>
    <w:rsid w:val="00050FDB"/>
    <w:rsid w:val="00051233"/>
    <w:rsid w:val="00051B53"/>
    <w:rsid w:val="00051D3B"/>
    <w:rsid w:val="0005307F"/>
    <w:rsid w:val="00053804"/>
    <w:rsid w:val="00053D0E"/>
    <w:rsid w:val="00054259"/>
    <w:rsid w:val="00054738"/>
    <w:rsid w:val="000547C2"/>
    <w:rsid w:val="0005491D"/>
    <w:rsid w:val="00054CC7"/>
    <w:rsid w:val="000554B1"/>
    <w:rsid w:val="000558CF"/>
    <w:rsid w:val="00055AF6"/>
    <w:rsid w:val="0005675D"/>
    <w:rsid w:val="000568A2"/>
    <w:rsid w:val="00056D79"/>
    <w:rsid w:val="00056E65"/>
    <w:rsid w:val="000603DA"/>
    <w:rsid w:val="00061683"/>
    <w:rsid w:val="000616D4"/>
    <w:rsid w:val="00061AD0"/>
    <w:rsid w:val="00061B1F"/>
    <w:rsid w:val="00061FA6"/>
    <w:rsid w:val="0006238C"/>
    <w:rsid w:val="000633D9"/>
    <w:rsid w:val="000643E4"/>
    <w:rsid w:val="00064450"/>
    <w:rsid w:val="00064651"/>
    <w:rsid w:val="00065068"/>
    <w:rsid w:val="00065158"/>
    <w:rsid w:val="0006585B"/>
    <w:rsid w:val="00065E8E"/>
    <w:rsid w:val="0006679E"/>
    <w:rsid w:val="000668DC"/>
    <w:rsid w:val="00067142"/>
    <w:rsid w:val="00067737"/>
    <w:rsid w:val="00067BE4"/>
    <w:rsid w:val="00067F45"/>
    <w:rsid w:val="000703D0"/>
    <w:rsid w:val="000707F7"/>
    <w:rsid w:val="0007144F"/>
    <w:rsid w:val="0007147D"/>
    <w:rsid w:val="000733C4"/>
    <w:rsid w:val="00073680"/>
    <w:rsid w:val="0007409F"/>
    <w:rsid w:val="000742B6"/>
    <w:rsid w:val="00074483"/>
    <w:rsid w:val="00074783"/>
    <w:rsid w:val="00075390"/>
    <w:rsid w:val="000754B6"/>
    <w:rsid w:val="00075BF4"/>
    <w:rsid w:val="000767B8"/>
    <w:rsid w:val="00077240"/>
    <w:rsid w:val="000779EB"/>
    <w:rsid w:val="00077C85"/>
    <w:rsid w:val="0008008F"/>
    <w:rsid w:val="00080518"/>
    <w:rsid w:val="000806C4"/>
    <w:rsid w:val="0008070B"/>
    <w:rsid w:val="00080DA9"/>
    <w:rsid w:val="00081047"/>
    <w:rsid w:val="000810AC"/>
    <w:rsid w:val="0008150B"/>
    <w:rsid w:val="00081A02"/>
    <w:rsid w:val="00082231"/>
    <w:rsid w:val="00082248"/>
    <w:rsid w:val="00082315"/>
    <w:rsid w:val="00082AE8"/>
    <w:rsid w:val="00084D07"/>
    <w:rsid w:val="00084DA4"/>
    <w:rsid w:val="00085400"/>
    <w:rsid w:val="00085BD1"/>
    <w:rsid w:val="00085C0D"/>
    <w:rsid w:val="00085FCA"/>
    <w:rsid w:val="0008685C"/>
    <w:rsid w:val="00086B6D"/>
    <w:rsid w:val="00087F2D"/>
    <w:rsid w:val="000903A8"/>
    <w:rsid w:val="0009143F"/>
    <w:rsid w:val="00092971"/>
    <w:rsid w:val="00092D38"/>
    <w:rsid w:val="00092F14"/>
    <w:rsid w:val="00092F53"/>
    <w:rsid w:val="0009305B"/>
    <w:rsid w:val="000930B8"/>
    <w:rsid w:val="00093340"/>
    <w:rsid w:val="000933D4"/>
    <w:rsid w:val="0009377B"/>
    <w:rsid w:val="000939C9"/>
    <w:rsid w:val="00093EF9"/>
    <w:rsid w:val="00093FC3"/>
    <w:rsid w:val="000956CB"/>
    <w:rsid w:val="00095A13"/>
    <w:rsid w:val="00095CB1"/>
    <w:rsid w:val="00095E37"/>
    <w:rsid w:val="000961A5"/>
    <w:rsid w:val="00096267"/>
    <w:rsid w:val="00096BEF"/>
    <w:rsid w:val="00096F9F"/>
    <w:rsid w:val="0009723F"/>
    <w:rsid w:val="00097A64"/>
    <w:rsid w:val="00097DD7"/>
    <w:rsid w:val="000A043B"/>
    <w:rsid w:val="000A0734"/>
    <w:rsid w:val="000A0A1F"/>
    <w:rsid w:val="000A12E6"/>
    <w:rsid w:val="000A1BA3"/>
    <w:rsid w:val="000A1C2F"/>
    <w:rsid w:val="000A1E57"/>
    <w:rsid w:val="000A20C9"/>
    <w:rsid w:val="000A2636"/>
    <w:rsid w:val="000A2ECB"/>
    <w:rsid w:val="000A33ED"/>
    <w:rsid w:val="000A340D"/>
    <w:rsid w:val="000A3B18"/>
    <w:rsid w:val="000A4167"/>
    <w:rsid w:val="000A442D"/>
    <w:rsid w:val="000A44E2"/>
    <w:rsid w:val="000A4DD6"/>
    <w:rsid w:val="000A536A"/>
    <w:rsid w:val="000A5741"/>
    <w:rsid w:val="000A5A48"/>
    <w:rsid w:val="000A6AC9"/>
    <w:rsid w:val="000A6C49"/>
    <w:rsid w:val="000A7065"/>
    <w:rsid w:val="000A7328"/>
    <w:rsid w:val="000A7353"/>
    <w:rsid w:val="000A7EAD"/>
    <w:rsid w:val="000B033A"/>
    <w:rsid w:val="000B048A"/>
    <w:rsid w:val="000B058F"/>
    <w:rsid w:val="000B09BA"/>
    <w:rsid w:val="000B11F5"/>
    <w:rsid w:val="000B1491"/>
    <w:rsid w:val="000B1495"/>
    <w:rsid w:val="000B180B"/>
    <w:rsid w:val="000B1BEC"/>
    <w:rsid w:val="000B1C21"/>
    <w:rsid w:val="000B1D74"/>
    <w:rsid w:val="000B21B8"/>
    <w:rsid w:val="000B29CF"/>
    <w:rsid w:val="000B37E9"/>
    <w:rsid w:val="000B388B"/>
    <w:rsid w:val="000B3A45"/>
    <w:rsid w:val="000B4467"/>
    <w:rsid w:val="000B4CD9"/>
    <w:rsid w:val="000B4DB9"/>
    <w:rsid w:val="000B58CD"/>
    <w:rsid w:val="000B5921"/>
    <w:rsid w:val="000B594C"/>
    <w:rsid w:val="000B5A26"/>
    <w:rsid w:val="000B5B8A"/>
    <w:rsid w:val="000B6B2A"/>
    <w:rsid w:val="000B70CC"/>
    <w:rsid w:val="000B76A8"/>
    <w:rsid w:val="000C012E"/>
    <w:rsid w:val="000C09AC"/>
    <w:rsid w:val="000C0B3E"/>
    <w:rsid w:val="000C0D71"/>
    <w:rsid w:val="000C0FC5"/>
    <w:rsid w:val="000C1ED8"/>
    <w:rsid w:val="000C302F"/>
    <w:rsid w:val="000C30F3"/>
    <w:rsid w:val="000C40AE"/>
    <w:rsid w:val="000C40FF"/>
    <w:rsid w:val="000C4160"/>
    <w:rsid w:val="000C428A"/>
    <w:rsid w:val="000C43A4"/>
    <w:rsid w:val="000C4CF5"/>
    <w:rsid w:val="000C4D56"/>
    <w:rsid w:val="000C5019"/>
    <w:rsid w:val="000C51A3"/>
    <w:rsid w:val="000C5EA1"/>
    <w:rsid w:val="000C614B"/>
    <w:rsid w:val="000C6462"/>
    <w:rsid w:val="000C64F9"/>
    <w:rsid w:val="000C6731"/>
    <w:rsid w:val="000C6F51"/>
    <w:rsid w:val="000C723C"/>
    <w:rsid w:val="000C733F"/>
    <w:rsid w:val="000C767F"/>
    <w:rsid w:val="000D030C"/>
    <w:rsid w:val="000D0650"/>
    <w:rsid w:val="000D0E1F"/>
    <w:rsid w:val="000D10E3"/>
    <w:rsid w:val="000D1308"/>
    <w:rsid w:val="000D2654"/>
    <w:rsid w:val="000D30A1"/>
    <w:rsid w:val="000D3154"/>
    <w:rsid w:val="000D3180"/>
    <w:rsid w:val="000D36A7"/>
    <w:rsid w:val="000D3EA6"/>
    <w:rsid w:val="000D40BD"/>
    <w:rsid w:val="000D49DE"/>
    <w:rsid w:val="000D4DEB"/>
    <w:rsid w:val="000D51D6"/>
    <w:rsid w:val="000D529C"/>
    <w:rsid w:val="000D563B"/>
    <w:rsid w:val="000D5A44"/>
    <w:rsid w:val="000D5C74"/>
    <w:rsid w:val="000D609E"/>
    <w:rsid w:val="000D6143"/>
    <w:rsid w:val="000D6293"/>
    <w:rsid w:val="000D76E8"/>
    <w:rsid w:val="000D7805"/>
    <w:rsid w:val="000D7D0C"/>
    <w:rsid w:val="000E16EC"/>
    <w:rsid w:val="000E18C4"/>
    <w:rsid w:val="000E25E4"/>
    <w:rsid w:val="000E26FC"/>
    <w:rsid w:val="000E290D"/>
    <w:rsid w:val="000E31A7"/>
    <w:rsid w:val="000E3CAA"/>
    <w:rsid w:val="000E3ED2"/>
    <w:rsid w:val="000E4007"/>
    <w:rsid w:val="000E40F2"/>
    <w:rsid w:val="000E41E3"/>
    <w:rsid w:val="000E41EC"/>
    <w:rsid w:val="000E4D5D"/>
    <w:rsid w:val="000E529F"/>
    <w:rsid w:val="000E5BF1"/>
    <w:rsid w:val="000E5F24"/>
    <w:rsid w:val="000E5F6E"/>
    <w:rsid w:val="000E63A7"/>
    <w:rsid w:val="000E6CBA"/>
    <w:rsid w:val="000E6E56"/>
    <w:rsid w:val="000E7E7F"/>
    <w:rsid w:val="000E7F3C"/>
    <w:rsid w:val="000F0344"/>
    <w:rsid w:val="000F0AD5"/>
    <w:rsid w:val="000F170C"/>
    <w:rsid w:val="000F2261"/>
    <w:rsid w:val="000F281E"/>
    <w:rsid w:val="000F3381"/>
    <w:rsid w:val="000F339C"/>
    <w:rsid w:val="000F3634"/>
    <w:rsid w:val="000F390F"/>
    <w:rsid w:val="000F3B04"/>
    <w:rsid w:val="000F3E5F"/>
    <w:rsid w:val="000F479F"/>
    <w:rsid w:val="000F492B"/>
    <w:rsid w:val="000F492D"/>
    <w:rsid w:val="000F4BEA"/>
    <w:rsid w:val="000F5C4F"/>
    <w:rsid w:val="000F5EE3"/>
    <w:rsid w:val="000F6981"/>
    <w:rsid w:val="000F6E69"/>
    <w:rsid w:val="0010001E"/>
    <w:rsid w:val="00100100"/>
    <w:rsid w:val="001007DB"/>
    <w:rsid w:val="001009B2"/>
    <w:rsid w:val="00100CF4"/>
    <w:rsid w:val="001015DE"/>
    <w:rsid w:val="0010163A"/>
    <w:rsid w:val="00101AEA"/>
    <w:rsid w:val="00101C0D"/>
    <w:rsid w:val="001038A8"/>
    <w:rsid w:val="0010523F"/>
    <w:rsid w:val="001052CB"/>
    <w:rsid w:val="00105A91"/>
    <w:rsid w:val="001065CA"/>
    <w:rsid w:val="00106B8C"/>
    <w:rsid w:val="00106D66"/>
    <w:rsid w:val="00106EAB"/>
    <w:rsid w:val="00107F9C"/>
    <w:rsid w:val="00110198"/>
    <w:rsid w:val="00110C62"/>
    <w:rsid w:val="00111546"/>
    <w:rsid w:val="0011189E"/>
    <w:rsid w:val="00111CEA"/>
    <w:rsid w:val="00112021"/>
    <w:rsid w:val="0011242D"/>
    <w:rsid w:val="00112BB4"/>
    <w:rsid w:val="00112C09"/>
    <w:rsid w:val="00112D38"/>
    <w:rsid w:val="001130EE"/>
    <w:rsid w:val="0011322F"/>
    <w:rsid w:val="001137DC"/>
    <w:rsid w:val="00113B56"/>
    <w:rsid w:val="00113D89"/>
    <w:rsid w:val="0011487B"/>
    <w:rsid w:val="00114DF9"/>
    <w:rsid w:val="00115104"/>
    <w:rsid w:val="00115500"/>
    <w:rsid w:val="001157BF"/>
    <w:rsid w:val="001158D6"/>
    <w:rsid w:val="001169E4"/>
    <w:rsid w:val="001171C4"/>
    <w:rsid w:val="0011728F"/>
    <w:rsid w:val="001177AF"/>
    <w:rsid w:val="001178D2"/>
    <w:rsid w:val="00117F84"/>
    <w:rsid w:val="001210B3"/>
    <w:rsid w:val="00121B5F"/>
    <w:rsid w:val="00121C25"/>
    <w:rsid w:val="00121D86"/>
    <w:rsid w:val="00123A4F"/>
    <w:rsid w:val="00123F69"/>
    <w:rsid w:val="0012400E"/>
    <w:rsid w:val="00124108"/>
    <w:rsid w:val="00124867"/>
    <w:rsid w:val="00124AD1"/>
    <w:rsid w:val="0012559C"/>
    <w:rsid w:val="00125CA6"/>
    <w:rsid w:val="0012611C"/>
    <w:rsid w:val="00126311"/>
    <w:rsid w:val="00126CAA"/>
    <w:rsid w:val="00127207"/>
    <w:rsid w:val="00127DE3"/>
    <w:rsid w:val="00127F43"/>
    <w:rsid w:val="00127FE6"/>
    <w:rsid w:val="0013024D"/>
    <w:rsid w:val="0013036A"/>
    <w:rsid w:val="00130538"/>
    <w:rsid w:val="00130A4A"/>
    <w:rsid w:val="00130BA1"/>
    <w:rsid w:val="00131A60"/>
    <w:rsid w:val="00131F42"/>
    <w:rsid w:val="00133D0E"/>
    <w:rsid w:val="00134287"/>
    <w:rsid w:val="00134946"/>
    <w:rsid w:val="00134A9D"/>
    <w:rsid w:val="001351F9"/>
    <w:rsid w:val="001357F1"/>
    <w:rsid w:val="00136159"/>
    <w:rsid w:val="00136B6A"/>
    <w:rsid w:val="00136EF6"/>
    <w:rsid w:val="001370CC"/>
    <w:rsid w:val="001371CC"/>
    <w:rsid w:val="0013744C"/>
    <w:rsid w:val="00137D9F"/>
    <w:rsid w:val="001406D1"/>
    <w:rsid w:val="00140992"/>
    <w:rsid w:val="00140E77"/>
    <w:rsid w:val="00140FA8"/>
    <w:rsid w:val="00141593"/>
    <w:rsid w:val="0014205C"/>
    <w:rsid w:val="0014281E"/>
    <w:rsid w:val="00142B61"/>
    <w:rsid w:val="00142E80"/>
    <w:rsid w:val="00142FEA"/>
    <w:rsid w:val="00142FEB"/>
    <w:rsid w:val="00143218"/>
    <w:rsid w:val="00143A2D"/>
    <w:rsid w:val="00143FAA"/>
    <w:rsid w:val="00144D42"/>
    <w:rsid w:val="0014583A"/>
    <w:rsid w:val="00145A41"/>
    <w:rsid w:val="001467F5"/>
    <w:rsid w:val="001469EF"/>
    <w:rsid w:val="001479CF"/>
    <w:rsid w:val="0015072F"/>
    <w:rsid w:val="001508A0"/>
    <w:rsid w:val="00150964"/>
    <w:rsid w:val="00151675"/>
    <w:rsid w:val="0015179F"/>
    <w:rsid w:val="00153797"/>
    <w:rsid w:val="0015386D"/>
    <w:rsid w:val="00153E03"/>
    <w:rsid w:val="001547EB"/>
    <w:rsid w:val="0015494F"/>
    <w:rsid w:val="00154960"/>
    <w:rsid w:val="00156409"/>
    <w:rsid w:val="00157067"/>
    <w:rsid w:val="00157373"/>
    <w:rsid w:val="00157435"/>
    <w:rsid w:val="00157A9F"/>
    <w:rsid w:val="00160F85"/>
    <w:rsid w:val="0016144A"/>
    <w:rsid w:val="00161605"/>
    <w:rsid w:val="00162740"/>
    <w:rsid w:val="00163666"/>
    <w:rsid w:val="00163891"/>
    <w:rsid w:val="00163BA3"/>
    <w:rsid w:val="00163E14"/>
    <w:rsid w:val="00163F05"/>
    <w:rsid w:val="00164AD6"/>
    <w:rsid w:val="00164F72"/>
    <w:rsid w:val="00165470"/>
    <w:rsid w:val="0016681B"/>
    <w:rsid w:val="00167163"/>
    <w:rsid w:val="001679DE"/>
    <w:rsid w:val="00167B2C"/>
    <w:rsid w:val="00170405"/>
    <w:rsid w:val="00170E22"/>
    <w:rsid w:val="0017129D"/>
    <w:rsid w:val="00171A5E"/>
    <w:rsid w:val="00171D50"/>
    <w:rsid w:val="00171EF9"/>
    <w:rsid w:val="001732D2"/>
    <w:rsid w:val="00173329"/>
    <w:rsid w:val="00173982"/>
    <w:rsid w:val="00173A49"/>
    <w:rsid w:val="00173D73"/>
    <w:rsid w:val="00174B46"/>
    <w:rsid w:val="0017504D"/>
    <w:rsid w:val="001752B4"/>
    <w:rsid w:val="00175864"/>
    <w:rsid w:val="001764A6"/>
    <w:rsid w:val="00176526"/>
    <w:rsid w:val="0017671A"/>
    <w:rsid w:val="0017683E"/>
    <w:rsid w:val="001768F1"/>
    <w:rsid w:val="00176E65"/>
    <w:rsid w:val="001773C6"/>
    <w:rsid w:val="00177422"/>
    <w:rsid w:val="001777A0"/>
    <w:rsid w:val="00177FE3"/>
    <w:rsid w:val="001803DE"/>
    <w:rsid w:val="001823B8"/>
    <w:rsid w:val="00182B80"/>
    <w:rsid w:val="00182C13"/>
    <w:rsid w:val="00182F68"/>
    <w:rsid w:val="00183073"/>
    <w:rsid w:val="00183B3A"/>
    <w:rsid w:val="00184590"/>
    <w:rsid w:val="00184A4B"/>
    <w:rsid w:val="00184D52"/>
    <w:rsid w:val="00184E3D"/>
    <w:rsid w:val="00184F8E"/>
    <w:rsid w:val="00186737"/>
    <w:rsid w:val="00186756"/>
    <w:rsid w:val="001870D1"/>
    <w:rsid w:val="00187804"/>
    <w:rsid w:val="0018781E"/>
    <w:rsid w:val="00187E5D"/>
    <w:rsid w:val="00187F07"/>
    <w:rsid w:val="00187F6A"/>
    <w:rsid w:val="00190815"/>
    <w:rsid w:val="00190946"/>
    <w:rsid w:val="00190E1F"/>
    <w:rsid w:val="00191607"/>
    <w:rsid w:val="00191832"/>
    <w:rsid w:val="001921CE"/>
    <w:rsid w:val="0019262D"/>
    <w:rsid w:val="00192FAD"/>
    <w:rsid w:val="001932D4"/>
    <w:rsid w:val="00193B6E"/>
    <w:rsid w:val="00194365"/>
    <w:rsid w:val="00194B43"/>
    <w:rsid w:val="0019522E"/>
    <w:rsid w:val="00195289"/>
    <w:rsid w:val="001958F7"/>
    <w:rsid w:val="00195BE2"/>
    <w:rsid w:val="00196324"/>
    <w:rsid w:val="0019773C"/>
    <w:rsid w:val="001A00C8"/>
    <w:rsid w:val="001A0235"/>
    <w:rsid w:val="001A0DDB"/>
    <w:rsid w:val="001A1B35"/>
    <w:rsid w:val="001A2245"/>
    <w:rsid w:val="001A28B6"/>
    <w:rsid w:val="001A2BD3"/>
    <w:rsid w:val="001A4025"/>
    <w:rsid w:val="001A4795"/>
    <w:rsid w:val="001A48A2"/>
    <w:rsid w:val="001A49CC"/>
    <w:rsid w:val="001A4AC6"/>
    <w:rsid w:val="001A4C42"/>
    <w:rsid w:val="001A4C61"/>
    <w:rsid w:val="001A5B43"/>
    <w:rsid w:val="001A5DF2"/>
    <w:rsid w:val="001A619A"/>
    <w:rsid w:val="001A65C0"/>
    <w:rsid w:val="001A65F1"/>
    <w:rsid w:val="001A6F61"/>
    <w:rsid w:val="001A7010"/>
    <w:rsid w:val="001A79AB"/>
    <w:rsid w:val="001A7D9B"/>
    <w:rsid w:val="001A7FF0"/>
    <w:rsid w:val="001B053C"/>
    <w:rsid w:val="001B14DD"/>
    <w:rsid w:val="001B1798"/>
    <w:rsid w:val="001B1A77"/>
    <w:rsid w:val="001B261E"/>
    <w:rsid w:val="001B278E"/>
    <w:rsid w:val="001B2C0A"/>
    <w:rsid w:val="001B2D3E"/>
    <w:rsid w:val="001B2DE2"/>
    <w:rsid w:val="001B3159"/>
    <w:rsid w:val="001B3352"/>
    <w:rsid w:val="001B33BA"/>
    <w:rsid w:val="001B3724"/>
    <w:rsid w:val="001B3954"/>
    <w:rsid w:val="001B3DF3"/>
    <w:rsid w:val="001B4466"/>
    <w:rsid w:val="001B478E"/>
    <w:rsid w:val="001B517B"/>
    <w:rsid w:val="001B5518"/>
    <w:rsid w:val="001B5725"/>
    <w:rsid w:val="001B586D"/>
    <w:rsid w:val="001B6267"/>
    <w:rsid w:val="001B72B8"/>
    <w:rsid w:val="001B7AEB"/>
    <w:rsid w:val="001C04A8"/>
    <w:rsid w:val="001C0566"/>
    <w:rsid w:val="001C0C85"/>
    <w:rsid w:val="001C1637"/>
    <w:rsid w:val="001C1941"/>
    <w:rsid w:val="001C1F7A"/>
    <w:rsid w:val="001C1FA8"/>
    <w:rsid w:val="001C21CB"/>
    <w:rsid w:val="001C229A"/>
    <w:rsid w:val="001C2EF7"/>
    <w:rsid w:val="001C3322"/>
    <w:rsid w:val="001C380B"/>
    <w:rsid w:val="001C46AF"/>
    <w:rsid w:val="001C4A2E"/>
    <w:rsid w:val="001C4FBD"/>
    <w:rsid w:val="001C5182"/>
    <w:rsid w:val="001C530A"/>
    <w:rsid w:val="001C5D36"/>
    <w:rsid w:val="001C6026"/>
    <w:rsid w:val="001C69B3"/>
    <w:rsid w:val="001C6B17"/>
    <w:rsid w:val="001C6B1D"/>
    <w:rsid w:val="001C6D79"/>
    <w:rsid w:val="001C77CF"/>
    <w:rsid w:val="001D0077"/>
    <w:rsid w:val="001D058B"/>
    <w:rsid w:val="001D0816"/>
    <w:rsid w:val="001D0E11"/>
    <w:rsid w:val="001D15A0"/>
    <w:rsid w:val="001D1724"/>
    <w:rsid w:val="001D1877"/>
    <w:rsid w:val="001D232D"/>
    <w:rsid w:val="001D2BF0"/>
    <w:rsid w:val="001D35FF"/>
    <w:rsid w:val="001D3972"/>
    <w:rsid w:val="001D3AD4"/>
    <w:rsid w:val="001D40AB"/>
    <w:rsid w:val="001D506F"/>
    <w:rsid w:val="001D5595"/>
    <w:rsid w:val="001D60A3"/>
    <w:rsid w:val="001D62B2"/>
    <w:rsid w:val="001D647D"/>
    <w:rsid w:val="001D65E7"/>
    <w:rsid w:val="001D6936"/>
    <w:rsid w:val="001D6CF3"/>
    <w:rsid w:val="001D7387"/>
    <w:rsid w:val="001D7874"/>
    <w:rsid w:val="001D7AA1"/>
    <w:rsid w:val="001D7AD4"/>
    <w:rsid w:val="001D7F22"/>
    <w:rsid w:val="001D7FC9"/>
    <w:rsid w:val="001E0DA2"/>
    <w:rsid w:val="001E0FA1"/>
    <w:rsid w:val="001E141A"/>
    <w:rsid w:val="001E167D"/>
    <w:rsid w:val="001E1CAA"/>
    <w:rsid w:val="001E2048"/>
    <w:rsid w:val="001E2D7F"/>
    <w:rsid w:val="001E310A"/>
    <w:rsid w:val="001E334C"/>
    <w:rsid w:val="001E364B"/>
    <w:rsid w:val="001E3E66"/>
    <w:rsid w:val="001E3F09"/>
    <w:rsid w:val="001E4A05"/>
    <w:rsid w:val="001E5093"/>
    <w:rsid w:val="001E5189"/>
    <w:rsid w:val="001E5966"/>
    <w:rsid w:val="001E666C"/>
    <w:rsid w:val="001E69A6"/>
    <w:rsid w:val="001E7A44"/>
    <w:rsid w:val="001F0F17"/>
    <w:rsid w:val="001F13D8"/>
    <w:rsid w:val="001F176D"/>
    <w:rsid w:val="001F2060"/>
    <w:rsid w:val="001F2523"/>
    <w:rsid w:val="001F2FEA"/>
    <w:rsid w:val="001F3347"/>
    <w:rsid w:val="001F3CC5"/>
    <w:rsid w:val="001F422C"/>
    <w:rsid w:val="001F4746"/>
    <w:rsid w:val="001F4CBF"/>
    <w:rsid w:val="001F4D35"/>
    <w:rsid w:val="001F5BC7"/>
    <w:rsid w:val="001F5D81"/>
    <w:rsid w:val="001F5F4F"/>
    <w:rsid w:val="001F635D"/>
    <w:rsid w:val="001F69E4"/>
    <w:rsid w:val="001F6B10"/>
    <w:rsid w:val="001F6BD1"/>
    <w:rsid w:val="001F6C1C"/>
    <w:rsid w:val="001F6E48"/>
    <w:rsid w:val="001F764C"/>
    <w:rsid w:val="001F7BE7"/>
    <w:rsid w:val="00200E63"/>
    <w:rsid w:val="00201D9D"/>
    <w:rsid w:val="00202258"/>
    <w:rsid w:val="002025DC"/>
    <w:rsid w:val="002034CB"/>
    <w:rsid w:val="00203A9C"/>
    <w:rsid w:val="00203C5D"/>
    <w:rsid w:val="002047A0"/>
    <w:rsid w:val="00204F18"/>
    <w:rsid w:val="00205130"/>
    <w:rsid w:val="00205428"/>
    <w:rsid w:val="0020563D"/>
    <w:rsid w:val="002057F9"/>
    <w:rsid w:val="00206676"/>
    <w:rsid w:val="00206726"/>
    <w:rsid w:val="002068CE"/>
    <w:rsid w:val="00206FBC"/>
    <w:rsid w:val="00207742"/>
    <w:rsid w:val="00207898"/>
    <w:rsid w:val="002079DC"/>
    <w:rsid w:val="00207AF9"/>
    <w:rsid w:val="00210030"/>
    <w:rsid w:val="002102FC"/>
    <w:rsid w:val="00211432"/>
    <w:rsid w:val="00211612"/>
    <w:rsid w:val="00211E56"/>
    <w:rsid w:val="002120D3"/>
    <w:rsid w:val="0021224A"/>
    <w:rsid w:val="002125AD"/>
    <w:rsid w:val="002125B4"/>
    <w:rsid w:val="00212D58"/>
    <w:rsid w:val="00212E6B"/>
    <w:rsid w:val="00213257"/>
    <w:rsid w:val="00213D08"/>
    <w:rsid w:val="00213D70"/>
    <w:rsid w:val="0021507C"/>
    <w:rsid w:val="002150AB"/>
    <w:rsid w:val="002155B8"/>
    <w:rsid w:val="00215F7A"/>
    <w:rsid w:val="00216297"/>
    <w:rsid w:val="0021676F"/>
    <w:rsid w:val="00216ED0"/>
    <w:rsid w:val="00217A0C"/>
    <w:rsid w:val="00217B3B"/>
    <w:rsid w:val="00217EC6"/>
    <w:rsid w:val="00220CC5"/>
    <w:rsid w:val="002210EC"/>
    <w:rsid w:val="002212B5"/>
    <w:rsid w:val="002216E2"/>
    <w:rsid w:val="002220AA"/>
    <w:rsid w:val="0022238E"/>
    <w:rsid w:val="00222853"/>
    <w:rsid w:val="00222CE8"/>
    <w:rsid w:val="00222ECA"/>
    <w:rsid w:val="00222F45"/>
    <w:rsid w:val="00223018"/>
    <w:rsid w:val="00223C68"/>
    <w:rsid w:val="0022434D"/>
    <w:rsid w:val="00224557"/>
    <w:rsid w:val="00224714"/>
    <w:rsid w:val="00224839"/>
    <w:rsid w:val="00224922"/>
    <w:rsid w:val="002249B2"/>
    <w:rsid w:val="0022514B"/>
    <w:rsid w:val="002260D0"/>
    <w:rsid w:val="00226574"/>
    <w:rsid w:val="00226D01"/>
    <w:rsid w:val="0022704F"/>
    <w:rsid w:val="002278EC"/>
    <w:rsid w:val="002302F9"/>
    <w:rsid w:val="002304EF"/>
    <w:rsid w:val="002308F7"/>
    <w:rsid w:val="00230906"/>
    <w:rsid w:val="00230A28"/>
    <w:rsid w:val="00230EAF"/>
    <w:rsid w:val="00230EEC"/>
    <w:rsid w:val="00232559"/>
    <w:rsid w:val="002326A7"/>
    <w:rsid w:val="00232732"/>
    <w:rsid w:val="0023280E"/>
    <w:rsid w:val="00232A4D"/>
    <w:rsid w:val="002332E7"/>
    <w:rsid w:val="00233793"/>
    <w:rsid w:val="00233897"/>
    <w:rsid w:val="00233D48"/>
    <w:rsid w:val="00234105"/>
    <w:rsid w:val="00234140"/>
    <w:rsid w:val="00234199"/>
    <w:rsid w:val="002341DF"/>
    <w:rsid w:val="00234229"/>
    <w:rsid w:val="002342D2"/>
    <w:rsid w:val="002342F4"/>
    <w:rsid w:val="00234447"/>
    <w:rsid w:val="00234529"/>
    <w:rsid w:val="0023530B"/>
    <w:rsid w:val="00235DB0"/>
    <w:rsid w:val="00236228"/>
    <w:rsid w:val="002362D1"/>
    <w:rsid w:val="00236BF9"/>
    <w:rsid w:val="00236D34"/>
    <w:rsid w:val="00236E2A"/>
    <w:rsid w:val="00237358"/>
    <w:rsid w:val="002377D1"/>
    <w:rsid w:val="00237FAF"/>
    <w:rsid w:val="00240F12"/>
    <w:rsid w:val="002418CD"/>
    <w:rsid w:val="00241B28"/>
    <w:rsid w:val="00241B9F"/>
    <w:rsid w:val="0024214B"/>
    <w:rsid w:val="0024294C"/>
    <w:rsid w:val="00243E63"/>
    <w:rsid w:val="002442B5"/>
    <w:rsid w:val="002448E8"/>
    <w:rsid w:val="00244D22"/>
    <w:rsid w:val="00245085"/>
    <w:rsid w:val="00245162"/>
    <w:rsid w:val="00245BE0"/>
    <w:rsid w:val="00245CE4"/>
    <w:rsid w:val="00245D91"/>
    <w:rsid w:val="00245F3E"/>
    <w:rsid w:val="00246316"/>
    <w:rsid w:val="002465BF"/>
    <w:rsid w:val="00246D2A"/>
    <w:rsid w:val="00246FA3"/>
    <w:rsid w:val="0024759E"/>
    <w:rsid w:val="00247F03"/>
    <w:rsid w:val="002501CE"/>
    <w:rsid w:val="002506BC"/>
    <w:rsid w:val="0025089D"/>
    <w:rsid w:val="00250A6D"/>
    <w:rsid w:val="00251683"/>
    <w:rsid w:val="0025177E"/>
    <w:rsid w:val="00252354"/>
    <w:rsid w:val="00252813"/>
    <w:rsid w:val="00252B4A"/>
    <w:rsid w:val="00252D3F"/>
    <w:rsid w:val="00252F0A"/>
    <w:rsid w:val="00253115"/>
    <w:rsid w:val="00253396"/>
    <w:rsid w:val="00254345"/>
    <w:rsid w:val="00255C64"/>
    <w:rsid w:val="00256220"/>
    <w:rsid w:val="0025657D"/>
    <w:rsid w:val="0025662A"/>
    <w:rsid w:val="00257229"/>
    <w:rsid w:val="00257909"/>
    <w:rsid w:val="00257B41"/>
    <w:rsid w:val="00260E27"/>
    <w:rsid w:val="002612B6"/>
    <w:rsid w:val="0026165D"/>
    <w:rsid w:val="00261A1E"/>
    <w:rsid w:val="002621A5"/>
    <w:rsid w:val="0026312E"/>
    <w:rsid w:val="002631D1"/>
    <w:rsid w:val="002633DD"/>
    <w:rsid w:val="00263D4B"/>
    <w:rsid w:val="002642CC"/>
    <w:rsid w:val="002643B4"/>
    <w:rsid w:val="00264557"/>
    <w:rsid w:val="00264710"/>
    <w:rsid w:val="00265134"/>
    <w:rsid w:val="002657FE"/>
    <w:rsid w:val="002662F0"/>
    <w:rsid w:val="00266C44"/>
    <w:rsid w:val="00266E04"/>
    <w:rsid w:val="0027196C"/>
    <w:rsid w:val="00271E68"/>
    <w:rsid w:val="00272484"/>
    <w:rsid w:val="00272547"/>
    <w:rsid w:val="002725DE"/>
    <w:rsid w:val="00272C49"/>
    <w:rsid w:val="00273055"/>
    <w:rsid w:val="00273582"/>
    <w:rsid w:val="00273ABC"/>
    <w:rsid w:val="00274003"/>
    <w:rsid w:val="00274226"/>
    <w:rsid w:val="002744D7"/>
    <w:rsid w:val="0027487F"/>
    <w:rsid w:val="00274BA4"/>
    <w:rsid w:val="00274CC1"/>
    <w:rsid w:val="00274DA1"/>
    <w:rsid w:val="00274EFE"/>
    <w:rsid w:val="0027656D"/>
    <w:rsid w:val="002768A2"/>
    <w:rsid w:val="00276A35"/>
    <w:rsid w:val="0027707A"/>
    <w:rsid w:val="00277C1D"/>
    <w:rsid w:val="002805AB"/>
    <w:rsid w:val="00280EC8"/>
    <w:rsid w:val="0028182E"/>
    <w:rsid w:val="00281CE7"/>
    <w:rsid w:val="00281EF1"/>
    <w:rsid w:val="00281F5E"/>
    <w:rsid w:val="00282B36"/>
    <w:rsid w:val="00282FC3"/>
    <w:rsid w:val="0028400E"/>
    <w:rsid w:val="00284204"/>
    <w:rsid w:val="0028429F"/>
    <w:rsid w:val="00284630"/>
    <w:rsid w:val="002855A4"/>
    <w:rsid w:val="00285B9B"/>
    <w:rsid w:val="0028614F"/>
    <w:rsid w:val="00286781"/>
    <w:rsid w:val="0028679A"/>
    <w:rsid w:val="00287260"/>
    <w:rsid w:val="002873F4"/>
    <w:rsid w:val="00290985"/>
    <w:rsid w:val="00290BEA"/>
    <w:rsid w:val="002912AF"/>
    <w:rsid w:val="00291481"/>
    <w:rsid w:val="00291606"/>
    <w:rsid w:val="00291773"/>
    <w:rsid w:val="00291E4D"/>
    <w:rsid w:val="00291EEA"/>
    <w:rsid w:val="00292356"/>
    <w:rsid w:val="00292B66"/>
    <w:rsid w:val="00292BAD"/>
    <w:rsid w:val="002930D8"/>
    <w:rsid w:val="00293A6F"/>
    <w:rsid w:val="00293AFE"/>
    <w:rsid w:val="00294A1F"/>
    <w:rsid w:val="00294D12"/>
    <w:rsid w:val="00295186"/>
    <w:rsid w:val="00295294"/>
    <w:rsid w:val="0029554F"/>
    <w:rsid w:val="00295796"/>
    <w:rsid w:val="002959CB"/>
    <w:rsid w:val="00296B1D"/>
    <w:rsid w:val="00297072"/>
    <w:rsid w:val="00297083"/>
    <w:rsid w:val="00297AA6"/>
    <w:rsid w:val="00297D67"/>
    <w:rsid w:val="002A0A92"/>
    <w:rsid w:val="002A0DAF"/>
    <w:rsid w:val="002A0EFE"/>
    <w:rsid w:val="002A1044"/>
    <w:rsid w:val="002A168C"/>
    <w:rsid w:val="002A1954"/>
    <w:rsid w:val="002A2727"/>
    <w:rsid w:val="002A2851"/>
    <w:rsid w:val="002A295F"/>
    <w:rsid w:val="002A33D5"/>
    <w:rsid w:val="002A33E8"/>
    <w:rsid w:val="002A3DC7"/>
    <w:rsid w:val="002A3DE5"/>
    <w:rsid w:val="002A3E17"/>
    <w:rsid w:val="002A40B8"/>
    <w:rsid w:val="002A4F9B"/>
    <w:rsid w:val="002A5878"/>
    <w:rsid w:val="002A5F82"/>
    <w:rsid w:val="002A6CEA"/>
    <w:rsid w:val="002A775A"/>
    <w:rsid w:val="002A7975"/>
    <w:rsid w:val="002A7A0E"/>
    <w:rsid w:val="002B00D1"/>
    <w:rsid w:val="002B0A1F"/>
    <w:rsid w:val="002B0E37"/>
    <w:rsid w:val="002B1154"/>
    <w:rsid w:val="002B1F97"/>
    <w:rsid w:val="002B21F6"/>
    <w:rsid w:val="002B2436"/>
    <w:rsid w:val="002B3FC8"/>
    <w:rsid w:val="002B4932"/>
    <w:rsid w:val="002B4936"/>
    <w:rsid w:val="002B49E2"/>
    <w:rsid w:val="002B4CA4"/>
    <w:rsid w:val="002B51C3"/>
    <w:rsid w:val="002B54B0"/>
    <w:rsid w:val="002B6B2F"/>
    <w:rsid w:val="002B6B9E"/>
    <w:rsid w:val="002B6CCE"/>
    <w:rsid w:val="002B7B00"/>
    <w:rsid w:val="002B7C44"/>
    <w:rsid w:val="002C04EE"/>
    <w:rsid w:val="002C06B6"/>
    <w:rsid w:val="002C19CB"/>
    <w:rsid w:val="002C1D50"/>
    <w:rsid w:val="002C27C5"/>
    <w:rsid w:val="002C2B17"/>
    <w:rsid w:val="002C449E"/>
    <w:rsid w:val="002C480D"/>
    <w:rsid w:val="002C4A14"/>
    <w:rsid w:val="002C4AF4"/>
    <w:rsid w:val="002C4D4A"/>
    <w:rsid w:val="002C4EFA"/>
    <w:rsid w:val="002C5532"/>
    <w:rsid w:val="002C558D"/>
    <w:rsid w:val="002C582C"/>
    <w:rsid w:val="002C67D0"/>
    <w:rsid w:val="002C68B4"/>
    <w:rsid w:val="002C6BFD"/>
    <w:rsid w:val="002D05DF"/>
    <w:rsid w:val="002D0BF8"/>
    <w:rsid w:val="002D0E9E"/>
    <w:rsid w:val="002D1A57"/>
    <w:rsid w:val="002D1D8A"/>
    <w:rsid w:val="002D30AF"/>
    <w:rsid w:val="002D3DD0"/>
    <w:rsid w:val="002D406A"/>
    <w:rsid w:val="002D4077"/>
    <w:rsid w:val="002D456C"/>
    <w:rsid w:val="002D4A4E"/>
    <w:rsid w:val="002D4FF5"/>
    <w:rsid w:val="002D5133"/>
    <w:rsid w:val="002D561D"/>
    <w:rsid w:val="002D5774"/>
    <w:rsid w:val="002D5D23"/>
    <w:rsid w:val="002D6491"/>
    <w:rsid w:val="002D6791"/>
    <w:rsid w:val="002D72A8"/>
    <w:rsid w:val="002D7841"/>
    <w:rsid w:val="002D7A11"/>
    <w:rsid w:val="002E045E"/>
    <w:rsid w:val="002E0A88"/>
    <w:rsid w:val="002E0C60"/>
    <w:rsid w:val="002E0CBA"/>
    <w:rsid w:val="002E11D0"/>
    <w:rsid w:val="002E1DBB"/>
    <w:rsid w:val="002E1F3A"/>
    <w:rsid w:val="002E232D"/>
    <w:rsid w:val="002E2359"/>
    <w:rsid w:val="002E298A"/>
    <w:rsid w:val="002E2E00"/>
    <w:rsid w:val="002E2EE0"/>
    <w:rsid w:val="002E446B"/>
    <w:rsid w:val="002E455F"/>
    <w:rsid w:val="002E4847"/>
    <w:rsid w:val="002E5901"/>
    <w:rsid w:val="002E60DB"/>
    <w:rsid w:val="002E64D0"/>
    <w:rsid w:val="002E6CF2"/>
    <w:rsid w:val="002E752A"/>
    <w:rsid w:val="002E79E4"/>
    <w:rsid w:val="002F02C0"/>
    <w:rsid w:val="002F03A5"/>
    <w:rsid w:val="002F0D63"/>
    <w:rsid w:val="002F21BC"/>
    <w:rsid w:val="002F23FD"/>
    <w:rsid w:val="002F2731"/>
    <w:rsid w:val="002F2C8B"/>
    <w:rsid w:val="002F36AC"/>
    <w:rsid w:val="002F39B5"/>
    <w:rsid w:val="002F55B2"/>
    <w:rsid w:val="002F5DFA"/>
    <w:rsid w:val="002F5F1D"/>
    <w:rsid w:val="002F634A"/>
    <w:rsid w:val="002F65AF"/>
    <w:rsid w:val="002F6C84"/>
    <w:rsid w:val="002F6D51"/>
    <w:rsid w:val="002F6E79"/>
    <w:rsid w:val="002F766B"/>
    <w:rsid w:val="00300870"/>
    <w:rsid w:val="003010E9"/>
    <w:rsid w:val="0030175A"/>
    <w:rsid w:val="00301978"/>
    <w:rsid w:val="00301E94"/>
    <w:rsid w:val="00301F28"/>
    <w:rsid w:val="00302111"/>
    <w:rsid w:val="003025CD"/>
    <w:rsid w:val="00302CD3"/>
    <w:rsid w:val="0030332C"/>
    <w:rsid w:val="00303465"/>
    <w:rsid w:val="003038D8"/>
    <w:rsid w:val="00303A0E"/>
    <w:rsid w:val="00303AB2"/>
    <w:rsid w:val="00303BD7"/>
    <w:rsid w:val="00303BE6"/>
    <w:rsid w:val="00303E74"/>
    <w:rsid w:val="003046A1"/>
    <w:rsid w:val="00304C1C"/>
    <w:rsid w:val="00304D66"/>
    <w:rsid w:val="003051C2"/>
    <w:rsid w:val="00305D5D"/>
    <w:rsid w:val="003065CD"/>
    <w:rsid w:val="0030674E"/>
    <w:rsid w:val="00306874"/>
    <w:rsid w:val="00306AD7"/>
    <w:rsid w:val="00307093"/>
    <w:rsid w:val="00310BB8"/>
    <w:rsid w:val="00310C96"/>
    <w:rsid w:val="0031136C"/>
    <w:rsid w:val="00312296"/>
    <w:rsid w:val="0031270E"/>
    <w:rsid w:val="00313AC8"/>
    <w:rsid w:val="00313AF0"/>
    <w:rsid w:val="00313DB4"/>
    <w:rsid w:val="00314338"/>
    <w:rsid w:val="003144B2"/>
    <w:rsid w:val="003148DF"/>
    <w:rsid w:val="003149C6"/>
    <w:rsid w:val="00314B5F"/>
    <w:rsid w:val="00314F0E"/>
    <w:rsid w:val="00314F86"/>
    <w:rsid w:val="00315233"/>
    <w:rsid w:val="003160B0"/>
    <w:rsid w:val="003165F8"/>
    <w:rsid w:val="0031714F"/>
    <w:rsid w:val="00317880"/>
    <w:rsid w:val="00320517"/>
    <w:rsid w:val="00320E21"/>
    <w:rsid w:val="00320FE6"/>
    <w:rsid w:val="0032143D"/>
    <w:rsid w:val="00321A0D"/>
    <w:rsid w:val="00321D8E"/>
    <w:rsid w:val="00322022"/>
    <w:rsid w:val="003229ED"/>
    <w:rsid w:val="00322DCF"/>
    <w:rsid w:val="00323B06"/>
    <w:rsid w:val="003245C8"/>
    <w:rsid w:val="00325549"/>
    <w:rsid w:val="003257D7"/>
    <w:rsid w:val="00325928"/>
    <w:rsid w:val="00325AE8"/>
    <w:rsid w:val="00325EA5"/>
    <w:rsid w:val="00326006"/>
    <w:rsid w:val="00327087"/>
    <w:rsid w:val="00327983"/>
    <w:rsid w:val="00327D13"/>
    <w:rsid w:val="00330086"/>
    <w:rsid w:val="00330210"/>
    <w:rsid w:val="00330226"/>
    <w:rsid w:val="00331F3E"/>
    <w:rsid w:val="0033213A"/>
    <w:rsid w:val="003321B7"/>
    <w:rsid w:val="00332863"/>
    <w:rsid w:val="003330D2"/>
    <w:rsid w:val="003358D6"/>
    <w:rsid w:val="00335B04"/>
    <w:rsid w:val="00335CA7"/>
    <w:rsid w:val="00335FE7"/>
    <w:rsid w:val="00336273"/>
    <w:rsid w:val="0033684D"/>
    <w:rsid w:val="00336F85"/>
    <w:rsid w:val="00336FAA"/>
    <w:rsid w:val="0033726E"/>
    <w:rsid w:val="00337B08"/>
    <w:rsid w:val="00337B42"/>
    <w:rsid w:val="00337D1C"/>
    <w:rsid w:val="00337F2C"/>
    <w:rsid w:val="00340C25"/>
    <w:rsid w:val="00341025"/>
    <w:rsid w:val="00341637"/>
    <w:rsid w:val="00341B42"/>
    <w:rsid w:val="00341E76"/>
    <w:rsid w:val="0034348F"/>
    <w:rsid w:val="0034486A"/>
    <w:rsid w:val="00345510"/>
    <w:rsid w:val="00345BDD"/>
    <w:rsid w:val="00345D69"/>
    <w:rsid w:val="0034631A"/>
    <w:rsid w:val="00347EED"/>
    <w:rsid w:val="003504BD"/>
    <w:rsid w:val="003506FE"/>
    <w:rsid w:val="00351133"/>
    <w:rsid w:val="00351C98"/>
    <w:rsid w:val="00352012"/>
    <w:rsid w:val="003522EB"/>
    <w:rsid w:val="003522F2"/>
    <w:rsid w:val="00352746"/>
    <w:rsid w:val="003529AF"/>
    <w:rsid w:val="0035334E"/>
    <w:rsid w:val="00353594"/>
    <w:rsid w:val="00353983"/>
    <w:rsid w:val="00354A45"/>
    <w:rsid w:val="00354A6F"/>
    <w:rsid w:val="00354E8E"/>
    <w:rsid w:val="0035574C"/>
    <w:rsid w:val="00356653"/>
    <w:rsid w:val="00356BAA"/>
    <w:rsid w:val="0035743F"/>
    <w:rsid w:val="00357BE2"/>
    <w:rsid w:val="00361223"/>
    <w:rsid w:val="0036170C"/>
    <w:rsid w:val="00361B7D"/>
    <w:rsid w:val="00361B95"/>
    <w:rsid w:val="003626BD"/>
    <w:rsid w:val="00362B6F"/>
    <w:rsid w:val="0036310D"/>
    <w:rsid w:val="00363B6B"/>
    <w:rsid w:val="00363DE5"/>
    <w:rsid w:val="0036523B"/>
    <w:rsid w:val="00365355"/>
    <w:rsid w:val="00365BF6"/>
    <w:rsid w:val="00365F71"/>
    <w:rsid w:val="00366E0F"/>
    <w:rsid w:val="003670DA"/>
    <w:rsid w:val="00370D90"/>
    <w:rsid w:val="00371163"/>
    <w:rsid w:val="003723BD"/>
    <w:rsid w:val="00372E49"/>
    <w:rsid w:val="003732AA"/>
    <w:rsid w:val="0037357D"/>
    <w:rsid w:val="00373591"/>
    <w:rsid w:val="00373920"/>
    <w:rsid w:val="003739F4"/>
    <w:rsid w:val="00373E94"/>
    <w:rsid w:val="00373F24"/>
    <w:rsid w:val="00373FB1"/>
    <w:rsid w:val="0037431A"/>
    <w:rsid w:val="00374486"/>
    <w:rsid w:val="00374B7A"/>
    <w:rsid w:val="00375A5F"/>
    <w:rsid w:val="00375F00"/>
    <w:rsid w:val="00376F1B"/>
    <w:rsid w:val="003772B6"/>
    <w:rsid w:val="0037747F"/>
    <w:rsid w:val="00377A5D"/>
    <w:rsid w:val="00377EEE"/>
    <w:rsid w:val="00380828"/>
    <w:rsid w:val="003815BC"/>
    <w:rsid w:val="00381A72"/>
    <w:rsid w:val="00382040"/>
    <w:rsid w:val="003845CC"/>
    <w:rsid w:val="00384676"/>
    <w:rsid w:val="00384B83"/>
    <w:rsid w:val="00385EB4"/>
    <w:rsid w:val="00385F21"/>
    <w:rsid w:val="00385F82"/>
    <w:rsid w:val="00386530"/>
    <w:rsid w:val="0038653B"/>
    <w:rsid w:val="0038767A"/>
    <w:rsid w:val="00387899"/>
    <w:rsid w:val="00390095"/>
    <w:rsid w:val="00390569"/>
    <w:rsid w:val="00390857"/>
    <w:rsid w:val="00390EBA"/>
    <w:rsid w:val="00391495"/>
    <w:rsid w:val="0039150B"/>
    <w:rsid w:val="00391F2D"/>
    <w:rsid w:val="00391F83"/>
    <w:rsid w:val="0039262E"/>
    <w:rsid w:val="00392691"/>
    <w:rsid w:val="00392ECF"/>
    <w:rsid w:val="003932A7"/>
    <w:rsid w:val="00393D48"/>
    <w:rsid w:val="00393D65"/>
    <w:rsid w:val="003945F8"/>
    <w:rsid w:val="00395273"/>
    <w:rsid w:val="003953FF"/>
    <w:rsid w:val="003966E6"/>
    <w:rsid w:val="00396837"/>
    <w:rsid w:val="0039691C"/>
    <w:rsid w:val="00396A11"/>
    <w:rsid w:val="00396E45"/>
    <w:rsid w:val="00397369"/>
    <w:rsid w:val="00397506"/>
    <w:rsid w:val="003978D9"/>
    <w:rsid w:val="003A00B0"/>
    <w:rsid w:val="003A023D"/>
    <w:rsid w:val="003A0287"/>
    <w:rsid w:val="003A02F4"/>
    <w:rsid w:val="003A14DE"/>
    <w:rsid w:val="003A15F4"/>
    <w:rsid w:val="003A1A46"/>
    <w:rsid w:val="003A1EB7"/>
    <w:rsid w:val="003A31F8"/>
    <w:rsid w:val="003A3B43"/>
    <w:rsid w:val="003A4BF3"/>
    <w:rsid w:val="003A5423"/>
    <w:rsid w:val="003A5C2F"/>
    <w:rsid w:val="003A6402"/>
    <w:rsid w:val="003A661C"/>
    <w:rsid w:val="003A6A60"/>
    <w:rsid w:val="003A6C5C"/>
    <w:rsid w:val="003A73A5"/>
    <w:rsid w:val="003A7469"/>
    <w:rsid w:val="003A7BF7"/>
    <w:rsid w:val="003B041D"/>
    <w:rsid w:val="003B04B6"/>
    <w:rsid w:val="003B04C0"/>
    <w:rsid w:val="003B0BF7"/>
    <w:rsid w:val="003B0EB0"/>
    <w:rsid w:val="003B0F41"/>
    <w:rsid w:val="003B0F55"/>
    <w:rsid w:val="003B10C1"/>
    <w:rsid w:val="003B1C7C"/>
    <w:rsid w:val="003B1E5B"/>
    <w:rsid w:val="003B229C"/>
    <w:rsid w:val="003B22C5"/>
    <w:rsid w:val="003B26C4"/>
    <w:rsid w:val="003B301B"/>
    <w:rsid w:val="003B32E8"/>
    <w:rsid w:val="003B357C"/>
    <w:rsid w:val="003B3EF6"/>
    <w:rsid w:val="003B420D"/>
    <w:rsid w:val="003B4355"/>
    <w:rsid w:val="003B44FE"/>
    <w:rsid w:val="003B64CD"/>
    <w:rsid w:val="003B6A2A"/>
    <w:rsid w:val="003B716D"/>
    <w:rsid w:val="003B742B"/>
    <w:rsid w:val="003B764E"/>
    <w:rsid w:val="003B7E98"/>
    <w:rsid w:val="003C0206"/>
    <w:rsid w:val="003C0655"/>
    <w:rsid w:val="003C100D"/>
    <w:rsid w:val="003C2891"/>
    <w:rsid w:val="003C2A32"/>
    <w:rsid w:val="003C3073"/>
    <w:rsid w:val="003C33FA"/>
    <w:rsid w:val="003C3E82"/>
    <w:rsid w:val="003C3EE0"/>
    <w:rsid w:val="003C42F7"/>
    <w:rsid w:val="003C5000"/>
    <w:rsid w:val="003C51DA"/>
    <w:rsid w:val="003C5649"/>
    <w:rsid w:val="003C5999"/>
    <w:rsid w:val="003C60A7"/>
    <w:rsid w:val="003C64AA"/>
    <w:rsid w:val="003C64E3"/>
    <w:rsid w:val="003C64E4"/>
    <w:rsid w:val="003C65F3"/>
    <w:rsid w:val="003C6644"/>
    <w:rsid w:val="003C6C16"/>
    <w:rsid w:val="003C7136"/>
    <w:rsid w:val="003C71E8"/>
    <w:rsid w:val="003C76E3"/>
    <w:rsid w:val="003C79D9"/>
    <w:rsid w:val="003D1D02"/>
    <w:rsid w:val="003D1D95"/>
    <w:rsid w:val="003D2685"/>
    <w:rsid w:val="003D291D"/>
    <w:rsid w:val="003D2C2E"/>
    <w:rsid w:val="003D3639"/>
    <w:rsid w:val="003D4DE5"/>
    <w:rsid w:val="003D5523"/>
    <w:rsid w:val="003D56D3"/>
    <w:rsid w:val="003D5969"/>
    <w:rsid w:val="003D64F1"/>
    <w:rsid w:val="003D697E"/>
    <w:rsid w:val="003D6E8A"/>
    <w:rsid w:val="003D7177"/>
    <w:rsid w:val="003D794D"/>
    <w:rsid w:val="003E0255"/>
    <w:rsid w:val="003E0DEC"/>
    <w:rsid w:val="003E139F"/>
    <w:rsid w:val="003E186F"/>
    <w:rsid w:val="003E27C8"/>
    <w:rsid w:val="003E3058"/>
    <w:rsid w:val="003E31BB"/>
    <w:rsid w:val="003E3815"/>
    <w:rsid w:val="003E3888"/>
    <w:rsid w:val="003E3EFC"/>
    <w:rsid w:val="003E400F"/>
    <w:rsid w:val="003E435B"/>
    <w:rsid w:val="003E4EB5"/>
    <w:rsid w:val="003E5CD7"/>
    <w:rsid w:val="003E6007"/>
    <w:rsid w:val="003E69BC"/>
    <w:rsid w:val="003E6BE0"/>
    <w:rsid w:val="003E70E5"/>
    <w:rsid w:val="003E76A9"/>
    <w:rsid w:val="003E7A03"/>
    <w:rsid w:val="003E7DDC"/>
    <w:rsid w:val="003E7E55"/>
    <w:rsid w:val="003F0809"/>
    <w:rsid w:val="003F0EC3"/>
    <w:rsid w:val="003F0F11"/>
    <w:rsid w:val="003F1509"/>
    <w:rsid w:val="003F1B39"/>
    <w:rsid w:val="003F1D56"/>
    <w:rsid w:val="003F30DE"/>
    <w:rsid w:val="003F340F"/>
    <w:rsid w:val="003F45D3"/>
    <w:rsid w:val="003F50F8"/>
    <w:rsid w:val="003F5C6A"/>
    <w:rsid w:val="003F5E7D"/>
    <w:rsid w:val="003F657A"/>
    <w:rsid w:val="003F6A8C"/>
    <w:rsid w:val="003F6BEE"/>
    <w:rsid w:val="003F6F1B"/>
    <w:rsid w:val="003F6F90"/>
    <w:rsid w:val="003F7445"/>
    <w:rsid w:val="003F755C"/>
    <w:rsid w:val="003F75FE"/>
    <w:rsid w:val="003F777B"/>
    <w:rsid w:val="003F7B9C"/>
    <w:rsid w:val="00400845"/>
    <w:rsid w:val="00400F51"/>
    <w:rsid w:val="00401237"/>
    <w:rsid w:val="00402042"/>
    <w:rsid w:val="00402048"/>
    <w:rsid w:val="00402BB9"/>
    <w:rsid w:val="004037BC"/>
    <w:rsid w:val="00403A21"/>
    <w:rsid w:val="004042B1"/>
    <w:rsid w:val="0040470A"/>
    <w:rsid w:val="0040622D"/>
    <w:rsid w:val="004063F0"/>
    <w:rsid w:val="004066C2"/>
    <w:rsid w:val="00406DF9"/>
    <w:rsid w:val="00406F01"/>
    <w:rsid w:val="00407A69"/>
    <w:rsid w:val="00410379"/>
    <w:rsid w:val="004103A6"/>
    <w:rsid w:val="004107D5"/>
    <w:rsid w:val="00410D08"/>
    <w:rsid w:val="00411479"/>
    <w:rsid w:val="004130AF"/>
    <w:rsid w:val="00413255"/>
    <w:rsid w:val="00413288"/>
    <w:rsid w:val="004133D5"/>
    <w:rsid w:val="00413411"/>
    <w:rsid w:val="004137B6"/>
    <w:rsid w:val="004141EE"/>
    <w:rsid w:val="00414234"/>
    <w:rsid w:val="00414595"/>
    <w:rsid w:val="00414E10"/>
    <w:rsid w:val="00414FAC"/>
    <w:rsid w:val="00415805"/>
    <w:rsid w:val="00415AB0"/>
    <w:rsid w:val="004165A6"/>
    <w:rsid w:val="0041684C"/>
    <w:rsid w:val="00416A27"/>
    <w:rsid w:val="00416D50"/>
    <w:rsid w:val="00416FD5"/>
    <w:rsid w:val="004174AE"/>
    <w:rsid w:val="00417772"/>
    <w:rsid w:val="00420528"/>
    <w:rsid w:val="004206E6"/>
    <w:rsid w:val="00420E6A"/>
    <w:rsid w:val="00420FDC"/>
    <w:rsid w:val="004211B9"/>
    <w:rsid w:val="0042163E"/>
    <w:rsid w:val="004217F3"/>
    <w:rsid w:val="0042198A"/>
    <w:rsid w:val="00421A72"/>
    <w:rsid w:val="00421C5D"/>
    <w:rsid w:val="00422AE0"/>
    <w:rsid w:val="00422AE6"/>
    <w:rsid w:val="00423E6A"/>
    <w:rsid w:val="00424764"/>
    <w:rsid w:val="00424AC7"/>
    <w:rsid w:val="00424BDB"/>
    <w:rsid w:val="00424C4F"/>
    <w:rsid w:val="00424CF5"/>
    <w:rsid w:val="0042548B"/>
    <w:rsid w:val="00425A9E"/>
    <w:rsid w:val="004263B8"/>
    <w:rsid w:val="00426D6B"/>
    <w:rsid w:val="00427331"/>
    <w:rsid w:val="00427A27"/>
    <w:rsid w:val="00427A88"/>
    <w:rsid w:val="00431A02"/>
    <w:rsid w:val="00431ACD"/>
    <w:rsid w:val="00431E6C"/>
    <w:rsid w:val="004328E2"/>
    <w:rsid w:val="00432F7E"/>
    <w:rsid w:val="004337DA"/>
    <w:rsid w:val="0043382C"/>
    <w:rsid w:val="00433CE7"/>
    <w:rsid w:val="00433F79"/>
    <w:rsid w:val="00434B49"/>
    <w:rsid w:val="00435570"/>
    <w:rsid w:val="004356E1"/>
    <w:rsid w:val="00435EC8"/>
    <w:rsid w:val="00436184"/>
    <w:rsid w:val="004374C5"/>
    <w:rsid w:val="00437A0E"/>
    <w:rsid w:val="00440BF4"/>
    <w:rsid w:val="0044148A"/>
    <w:rsid w:val="0044154F"/>
    <w:rsid w:val="004416D0"/>
    <w:rsid w:val="00442703"/>
    <w:rsid w:val="00442BFB"/>
    <w:rsid w:val="004435C8"/>
    <w:rsid w:val="0044379C"/>
    <w:rsid w:val="00443947"/>
    <w:rsid w:val="00443A6B"/>
    <w:rsid w:val="00443A9F"/>
    <w:rsid w:val="00444690"/>
    <w:rsid w:val="004447EA"/>
    <w:rsid w:val="00444C46"/>
    <w:rsid w:val="00445F18"/>
    <w:rsid w:val="004461D6"/>
    <w:rsid w:val="004462F8"/>
    <w:rsid w:val="00446485"/>
    <w:rsid w:val="004470D3"/>
    <w:rsid w:val="0044759D"/>
    <w:rsid w:val="0044790F"/>
    <w:rsid w:val="00450860"/>
    <w:rsid w:val="00450BE5"/>
    <w:rsid w:val="00450D29"/>
    <w:rsid w:val="004510E8"/>
    <w:rsid w:val="0045177C"/>
    <w:rsid w:val="00452019"/>
    <w:rsid w:val="00452655"/>
    <w:rsid w:val="00452738"/>
    <w:rsid w:val="004529B7"/>
    <w:rsid w:val="00453EC8"/>
    <w:rsid w:val="00454249"/>
    <w:rsid w:val="00454678"/>
    <w:rsid w:val="004549A8"/>
    <w:rsid w:val="004552E7"/>
    <w:rsid w:val="00455546"/>
    <w:rsid w:val="004555D7"/>
    <w:rsid w:val="00455C60"/>
    <w:rsid w:val="00455E06"/>
    <w:rsid w:val="00455EAC"/>
    <w:rsid w:val="00456091"/>
    <w:rsid w:val="00456159"/>
    <w:rsid w:val="004575C4"/>
    <w:rsid w:val="004576DD"/>
    <w:rsid w:val="00457819"/>
    <w:rsid w:val="00457990"/>
    <w:rsid w:val="00460056"/>
    <w:rsid w:val="004606E3"/>
    <w:rsid w:val="0046091F"/>
    <w:rsid w:val="004612C9"/>
    <w:rsid w:val="00461567"/>
    <w:rsid w:val="0046270C"/>
    <w:rsid w:val="00463A0B"/>
    <w:rsid w:val="00463ED8"/>
    <w:rsid w:val="00464B69"/>
    <w:rsid w:val="00464BC3"/>
    <w:rsid w:val="00464F47"/>
    <w:rsid w:val="00466321"/>
    <w:rsid w:val="004667FC"/>
    <w:rsid w:val="00466E9E"/>
    <w:rsid w:val="00467047"/>
    <w:rsid w:val="004670EC"/>
    <w:rsid w:val="0046758D"/>
    <w:rsid w:val="004678B6"/>
    <w:rsid w:val="0047001A"/>
    <w:rsid w:val="00470B19"/>
    <w:rsid w:val="00470B42"/>
    <w:rsid w:val="0047156B"/>
    <w:rsid w:val="0047188E"/>
    <w:rsid w:val="004721B8"/>
    <w:rsid w:val="004724F1"/>
    <w:rsid w:val="00472CD6"/>
    <w:rsid w:val="004734B6"/>
    <w:rsid w:val="004738A3"/>
    <w:rsid w:val="00473CA2"/>
    <w:rsid w:val="00473F41"/>
    <w:rsid w:val="004741C3"/>
    <w:rsid w:val="004743A9"/>
    <w:rsid w:val="0047471D"/>
    <w:rsid w:val="00474D90"/>
    <w:rsid w:val="00474F81"/>
    <w:rsid w:val="00474FE6"/>
    <w:rsid w:val="00475124"/>
    <w:rsid w:val="00475D76"/>
    <w:rsid w:val="00476609"/>
    <w:rsid w:val="00476BC8"/>
    <w:rsid w:val="00476E5B"/>
    <w:rsid w:val="004777D2"/>
    <w:rsid w:val="00480051"/>
    <w:rsid w:val="004805B4"/>
    <w:rsid w:val="00480774"/>
    <w:rsid w:val="00480BD4"/>
    <w:rsid w:val="00480D69"/>
    <w:rsid w:val="00481F48"/>
    <w:rsid w:val="00482197"/>
    <w:rsid w:val="00482EF3"/>
    <w:rsid w:val="00483401"/>
    <w:rsid w:val="00483C4C"/>
    <w:rsid w:val="004843E5"/>
    <w:rsid w:val="00484B9B"/>
    <w:rsid w:val="0048553B"/>
    <w:rsid w:val="004855F6"/>
    <w:rsid w:val="004862F8"/>
    <w:rsid w:val="00486337"/>
    <w:rsid w:val="0048661E"/>
    <w:rsid w:val="0048671D"/>
    <w:rsid w:val="004867ED"/>
    <w:rsid w:val="00486B3C"/>
    <w:rsid w:val="00486C84"/>
    <w:rsid w:val="00486C9E"/>
    <w:rsid w:val="00486F07"/>
    <w:rsid w:val="00490B38"/>
    <w:rsid w:val="00490C46"/>
    <w:rsid w:val="00491DB2"/>
    <w:rsid w:val="004926F3"/>
    <w:rsid w:val="00493013"/>
    <w:rsid w:val="004930C8"/>
    <w:rsid w:val="00493A1B"/>
    <w:rsid w:val="00493D3E"/>
    <w:rsid w:val="00494670"/>
    <w:rsid w:val="00494ADC"/>
    <w:rsid w:val="00494D29"/>
    <w:rsid w:val="00495ADC"/>
    <w:rsid w:val="004963ED"/>
    <w:rsid w:val="00496651"/>
    <w:rsid w:val="0049686C"/>
    <w:rsid w:val="0049691F"/>
    <w:rsid w:val="00496B47"/>
    <w:rsid w:val="00496BEA"/>
    <w:rsid w:val="00496DF7"/>
    <w:rsid w:val="004972F7"/>
    <w:rsid w:val="004A198D"/>
    <w:rsid w:val="004A2A01"/>
    <w:rsid w:val="004A32D7"/>
    <w:rsid w:val="004A3823"/>
    <w:rsid w:val="004A4DBD"/>
    <w:rsid w:val="004A6367"/>
    <w:rsid w:val="004A64A6"/>
    <w:rsid w:val="004A66C1"/>
    <w:rsid w:val="004A6F63"/>
    <w:rsid w:val="004A7866"/>
    <w:rsid w:val="004B07A8"/>
    <w:rsid w:val="004B1829"/>
    <w:rsid w:val="004B198C"/>
    <w:rsid w:val="004B26F2"/>
    <w:rsid w:val="004B26FE"/>
    <w:rsid w:val="004B2F87"/>
    <w:rsid w:val="004B35AF"/>
    <w:rsid w:val="004B3A87"/>
    <w:rsid w:val="004B508A"/>
    <w:rsid w:val="004B5177"/>
    <w:rsid w:val="004B61BA"/>
    <w:rsid w:val="004B6E65"/>
    <w:rsid w:val="004B7214"/>
    <w:rsid w:val="004B7532"/>
    <w:rsid w:val="004B7A98"/>
    <w:rsid w:val="004C0947"/>
    <w:rsid w:val="004C13D0"/>
    <w:rsid w:val="004C159F"/>
    <w:rsid w:val="004C249C"/>
    <w:rsid w:val="004C277A"/>
    <w:rsid w:val="004C2D89"/>
    <w:rsid w:val="004C2E07"/>
    <w:rsid w:val="004C364C"/>
    <w:rsid w:val="004C4021"/>
    <w:rsid w:val="004C41DE"/>
    <w:rsid w:val="004C64D0"/>
    <w:rsid w:val="004C65D1"/>
    <w:rsid w:val="004C65E3"/>
    <w:rsid w:val="004C69E5"/>
    <w:rsid w:val="004C7B9D"/>
    <w:rsid w:val="004D0174"/>
    <w:rsid w:val="004D0295"/>
    <w:rsid w:val="004D0686"/>
    <w:rsid w:val="004D0C4D"/>
    <w:rsid w:val="004D28BC"/>
    <w:rsid w:val="004D3456"/>
    <w:rsid w:val="004D3827"/>
    <w:rsid w:val="004D3BDF"/>
    <w:rsid w:val="004D4402"/>
    <w:rsid w:val="004D452A"/>
    <w:rsid w:val="004D48EF"/>
    <w:rsid w:val="004D525E"/>
    <w:rsid w:val="004D58C6"/>
    <w:rsid w:val="004D5D06"/>
    <w:rsid w:val="004D5FA6"/>
    <w:rsid w:val="004D60B9"/>
    <w:rsid w:val="004D63D9"/>
    <w:rsid w:val="004D6B3C"/>
    <w:rsid w:val="004D753B"/>
    <w:rsid w:val="004D7E89"/>
    <w:rsid w:val="004E00C0"/>
    <w:rsid w:val="004E1579"/>
    <w:rsid w:val="004E2FD5"/>
    <w:rsid w:val="004E3EB5"/>
    <w:rsid w:val="004E41C3"/>
    <w:rsid w:val="004E4834"/>
    <w:rsid w:val="004E50F5"/>
    <w:rsid w:val="004E5102"/>
    <w:rsid w:val="004E6946"/>
    <w:rsid w:val="004E6B42"/>
    <w:rsid w:val="004E79CF"/>
    <w:rsid w:val="004E7AAA"/>
    <w:rsid w:val="004E7C04"/>
    <w:rsid w:val="004E7F5D"/>
    <w:rsid w:val="004F0210"/>
    <w:rsid w:val="004F0569"/>
    <w:rsid w:val="004F1105"/>
    <w:rsid w:val="004F1691"/>
    <w:rsid w:val="004F1AD8"/>
    <w:rsid w:val="004F2411"/>
    <w:rsid w:val="004F2569"/>
    <w:rsid w:val="004F280F"/>
    <w:rsid w:val="004F2E29"/>
    <w:rsid w:val="004F2EC2"/>
    <w:rsid w:val="004F3017"/>
    <w:rsid w:val="004F30A8"/>
    <w:rsid w:val="004F41AB"/>
    <w:rsid w:val="004F4392"/>
    <w:rsid w:val="004F476C"/>
    <w:rsid w:val="004F4A16"/>
    <w:rsid w:val="004F4F32"/>
    <w:rsid w:val="004F54FC"/>
    <w:rsid w:val="004F6B81"/>
    <w:rsid w:val="004F782A"/>
    <w:rsid w:val="004F7CD7"/>
    <w:rsid w:val="00500D76"/>
    <w:rsid w:val="00500E90"/>
    <w:rsid w:val="00500E9C"/>
    <w:rsid w:val="005012CF"/>
    <w:rsid w:val="0050171C"/>
    <w:rsid w:val="00501826"/>
    <w:rsid w:val="00501B0F"/>
    <w:rsid w:val="00502318"/>
    <w:rsid w:val="0050259D"/>
    <w:rsid w:val="005039CB"/>
    <w:rsid w:val="005042FE"/>
    <w:rsid w:val="00504AE0"/>
    <w:rsid w:val="00504E09"/>
    <w:rsid w:val="0050511A"/>
    <w:rsid w:val="0050558F"/>
    <w:rsid w:val="00505ED0"/>
    <w:rsid w:val="00506286"/>
    <w:rsid w:val="005065BC"/>
    <w:rsid w:val="0050694A"/>
    <w:rsid w:val="00506D25"/>
    <w:rsid w:val="00507E36"/>
    <w:rsid w:val="0051043A"/>
    <w:rsid w:val="00510813"/>
    <w:rsid w:val="00511990"/>
    <w:rsid w:val="00511B90"/>
    <w:rsid w:val="00511CC4"/>
    <w:rsid w:val="00511DE0"/>
    <w:rsid w:val="00511E93"/>
    <w:rsid w:val="00511F87"/>
    <w:rsid w:val="00513B97"/>
    <w:rsid w:val="00513C6E"/>
    <w:rsid w:val="005143E1"/>
    <w:rsid w:val="00514870"/>
    <w:rsid w:val="00514B9B"/>
    <w:rsid w:val="0051523A"/>
    <w:rsid w:val="00515745"/>
    <w:rsid w:val="005161B8"/>
    <w:rsid w:val="00516639"/>
    <w:rsid w:val="00516F7D"/>
    <w:rsid w:val="00516FF8"/>
    <w:rsid w:val="00517A35"/>
    <w:rsid w:val="00517F02"/>
    <w:rsid w:val="0052108C"/>
    <w:rsid w:val="0052135B"/>
    <w:rsid w:val="00522532"/>
    <w:rsid w:val="00522E4D"/>
    <w:rsid w:val="00523166"/>
    <w:rsid w:val="00523180"/>
    <w:rsid w:val="00523270"/>
    <w:rsid w:val="00523B68"/>
    <w:rsid w:val="00524303"/>
    <w:rsid w:val="00524697"/>
    <w:rsid w:val="005249E3"/>
    <w:rsid w:val="00524BB2"/>
    <w:rsid w:val="00524C16"/>
    <w:rsid w:val="00524E67"/>
    <w:rsid w:val="00525246"/>
    <w:rsid w:val="005254F9"/>
    <w:rsid w:val="005258A2"/>
    <w:rsid w:val="00526193"/>
    <w:rsid w:val="0052641A"/>
    <w:rsid w:val="00526BE1"/>
    <w:rsid w:val="005271ED"/>
    <w:rsid w:val="0052721E"/>
    <w:rsid w:val="005273A6"/>
    <w:rsid w:val="0052796D"/>
    <w:rsid w:val="005305C6"/>
    <w:rsid w:val="00530FF9"/>
    <w:rsid w:val="00531405"/>
    <w:rsid w:val="00531C91"/>
    <w:rsid w:val="0053215D"/>
    <w:rsid w:val="005321FE"/>
    <w:rsid w:val="00534085"/>
    <w:rsid w:val="005347EA"/>
    <w:rsid w:val="00534B13"/>
    <w:rsid w:val="00534CA2"/>
    <w:rsid w:val="005354CA"/>
    <w:rsid w:val="00535D62"/>
    <w:rsid w:val="005364E6"/>
    <w:rsid w:val="00536764"/>
    <w:rsid w:val="005369EF"/>
    <w:rsid w:val="00536A70"/>
    <w:rsid w:val="00537413"/>
    <w:rsid w:val="005375CC"/>
    <w:rsid w:val="00537D29"/>
    <w:rsid w:val="005401AE"/>
    <w:rsid w:val="005402EC"/>
    <w:rsid w:val="00540314"/>
    <w:rsid w:val="0054083D"/>
    <w:rsid w:val="00541553"/>
    <w:rsid w:val="005421C5"/>
    <w:rsid w:val="0054265E"/>
    <w:rsid w:val="00542A6E"/>
    <w:rsid w:val="00542E07"/>
    <w:rsid w:val="00543035"/>
    <w:rsid w:val="00543BF7"/>
    <w:rsid w:val="00543C91"/>
    <w:rsid w:val="00543D7F"/>
    <w:rsid w:val="00543EEA"/>
    <w:rsid w:val="00543F3A"/>
    <w:rsid w:val="00544219"/>
    <w:rsid w:val="00544F6C"/>
    <w:rsid w:val="00545424"/>
    <w:rsid w:val="005459E6"/>
    <w:rsid w:val="00545FBB"/>
    <w:rsid w:val="00546C71"/>
    <w:rsid w:val="0054767A"/>
    <w:rsid w:val="00547D72"/>
    <w:rsid w:val="00547F3A"/>
    <w:rsid w:val="005508D6"/>
    <w:rsid w:val="005508DB"/>
    <w:rsid w:val="00550A7E"/>
    <w:rsid w:val="00551D6D"/>
    <w:rsid w:val="00551DCA"/>
    <w:rsid w:val="005524BD"/>
    <w:rsid w:val="00552EF3"/>
    <w:rsid w:val="0055321A"/>
    <w:rsid w:val="005532A9"/>
    <w:rsid w:val="00553630"/>
    <w:rsid w:val="005537A6"/>
    <w:rsid w:val="00553894"/>
    <w:rsid w:val="00553994"/>
    <w:rsid w:val="005546CB"/>
    <w:rsid w:val="00554856"/>
    <w:rsid w:val="00554A7B"/>
    <w:rsid w:val="00554D8D"/>
    <w:rsid w:val="00555528"/>
    <w:rsid w:val="0055556C"/>
    <w:rsid w:val="005556CD"/>
    <w:rsid w:val="0055572C"/>
    <w:rsid w:val="005562FA"/>
    <w:rsid w:val="00557228"/>
    <w:rsid w:val="00557381"/>
    <w:rsid w:val="00557B0A"/>
    <w:rsid w:val="00557DA1"/>
    <w:rsid w:val="005600F4"/>
    <w:rsid w:val="005601A7"/>
    <w:rsid w:val="005609CA"/>
    <w:rsid w:val="00560AA7"/>
    <w:rsid w:val="0056106A"/>
    <w:rsid w:val="00561428"/>
    <w:rsid w:val="0056158E"/>
    <w:rsid w:val="00561B38"/>
    <w:rsid w:val="00562060"/>
    <w:rsid w:val="005620C7"/>
    <w:rsid w:val="00563F17"/>
    <w:rsid w:val="00564275"/>
    <w:rsid w:val="005642B9"/>
    <w:rsid w:val="005644DB"/>
    <w:rsid w:val="0056493A"/>
    <w:rsid w:val="00564CFD"/>
    <w:rsid w:val="00564E7F"/>
    <w:rsid w:val="0056530C"/>
    <w:rsid w:val="005656CD"/>
    <w:rsid w:val="00565C18"/>
    <w:rsid w:val="00566A70"/>
    <w:rsid w:val="005673E7"/>
    <w:rsid w:val="00567788"/>
    <w:rsid w:val="0057047D"/>
    <w:rsid w:val="005708F2"/>
    <w:rsid w:val="00570F26"/>
    <w:rsid w:val="005713A0"/>
    <w:rsid w:val="00571A88"/>
    <w:rsid w:val="005720AE"/>
    <w:rsid w:val="00572460"/>
    <w:rsid w:val="005724A4"/>
    <w:rsid w:val="005726CD"/>
    <w:rsid w:val="00572B2B"/>
    <w:rsid w:val="00572FFB"/>
    <w:rsid w:val="005737CC"/>
    <w:rsid w:val="005738EA"/>
    <w:rsid w:val="00574289"/>
    <w:rsid w:val="00574BA7"/>
    <w:rsid w:val="00574BAB"/>
    <w:rsid w:val="005753FC"/>
    <w:rsid w:val="00576598"/>
    <w:rsid w:val="0057686C"/>
    <w:rsid w:val="00576A7E"/>
    <w:rsid w:val="00576E74"/>
    <w:rsid w:val="0057730C"/>
    <w:rsid w:val="00577830"/>
    <w:rsid w:val="00577C37"/>
    <w:rsid w:val="00580545"/>
    <w:rsid w:val="005812F7"/>
    <w:rsid w:val="00581F9D"/>
    <w:rsid w:val="00582358"/>
    <w:rsid w:val="00582DB4"/>
    <w:rsid w:val="00583958"/>
    <w:rsid w:val="00583AD3"/>
    <w:rsid w:val="00583C00"/>
    <w:rsid w:val="00583C0B"/>
    <w:rsid w:val="00583E45"/>
    <w:rsid w:val="005842CF"/>
    <w:rsid w:val="00584488"/>
    <w:rsid w:val="0058491E"/>
    <w:rsid w:val="0058495D"/>
    <w:rsid w:val="00584DC6"/>
    <w:rsid w:val="00586919"/>
    <w:rsid w:val="0058716E"/>
    <w:rsid w:val="005871EF"/>
    <w:rsid w:val="00587819"/>
    <w:rsid w:val="005902D5"/>
    <w:rsid w:val="00590784"/>
    <w:rsid w:val="005909BF"/>
    <w:rsid w:val="005930C6"/>
    <w:rsid w:val="00594D77"/>
    <w:rsid w:val="00595B2D"/>
    <w:rsid w:val="005969E4"/>
    <w:rsid w:val="00597911"/>
    <w:rsid w:val="005A001A"/>
    <w:rsid w:val="005A0023"/>
    <w:rsid w:val="005A0105"/>
    <w:rsid w:val="005A06B7"/>
    <w:rsid w:val="005A082B"/>
    <w:rsid w:val="005A0944"/>
    <w:rsid w:val="005A0BDE"/>
    <w:rsid w:val="005A0C07"/>
    <w:rsid w:val="005A126A"/>
    <w:rsid w:val="005A15B5"/>
    <w:rsid w:val="005A1759"/>
    <w:rsid w:val="005A19C3"/>
    <w:rsid w:val="005A211C"/>
    <w:rsid w:val="005A2407"/>
    <w:rsid w:val="005A28ED"/>
    <w:rsid w:val="005A2F62"/>
    <w:rsid w:val="005A3119"/>
    <w:rsid w:val="005A3F2B"/>
    <w:rsid w:val="005A41D2"/>
    <w:rsid w:val="005A42AD"/>
    <w:rsid w:val="005A4D4E"/>
    <w:rsid w:val="005A4F1D"/>
    <w:rsid w:val="005A56EB"/>
    <w:rsid w:val="005A57B9"/>
    <w:rsid w:val="005A68A7"/>
    <w:rsid w:val="005A69C3"/>
    <w:rsid w:val="005A7118"/>
    <w:rsid w:val="005A731E"/>
    <w:rsid w:val="005A7380"/>
    <w:rsid w:val="005A7784"/>
    <w:rsid w:val="005A7C48"/>
    <w:rsid w:val="005B1FBC"/>
    <w:rsid w:val="005B2625"/>
    <w:rsid w:val="005B32C0"/>
    <w:rsid w:val="005B3555"/>
    <w:rsid w:val="005B4F53"/>
    <w:rsid w:val="005B52C0"/>
    <w:rsid w:val="005B66C9"/>
    <w:rsid w:val="005B7244"/>
    <w:rsid w:val="005B7526"/>
    <w:rsid w:val="005B79B9"/>
    <w:rsid w:val="005C037D"/>
    <w:rsid w:val="005C04D0"/>
    <w:rsid w:val="005C0C9F"/>
    <w:rsid w:val="005C155C"/>
    <w:rsid w:val="005C1922"/>
    <w:rsid w:val="005C1EEF"/>
    <w:rsid w:val="005C23EB"/>
    <w:rsid w:val="005C2737"/>
    <w:rsid w:val="005C27FE"/>
    <w:rsid w:val="005C2ECB"/>
    <w:rsid w:val="005C3EBF"/>
    <w:rsid w:val="005C427B"/>
    <w:rsid w:val="005C46B7"/>
    <w:rsid w:val="005C4965"/>
    <w:rsid w:val="005C4F01"/>
    <w:rsid w:val="005C4F3B"/>
    <w:rsid w:val="005C4FC9"/>
    <w:rsid w:val="005C55EE"/>
    <w:rsid w:val="005C59D2"/>
    <w:rsid w:val="005C5C14"/>
    <w:rsid w:val="005C5CD6"/>
    <w:rsid w:val="005C5D94"/>
    <w:rsid w:val="005C654C"/>
    <w:rsid w:val="005C683E"/>
    <w:rsid w:val="005D0081"/>
    <w:rsid w:val="005D00AE"/>
    <w:rsid w:val="005D0BCE"/>
    <w:rsid w:val="005D0E18"/>
    <w:rsid w:val="005D135B"/>
    <w:rsid w:val="005D1A59"/>
    <w:rsid w:val="005D1C85"/>
    <w:rsid w:val="005D2ED3"/>
    <w:rsid w:val="005D3253"/>
    <w:rsid w:val="005D36AB"/>
    <w:rsid w:val="005D37F6"/>
    <w:rsid w:val="005D38DF"/>
    <w:rsid w:val="005D3C3E"/>
    <w:rsid w:val="005D40BF"/>
    <w:rsid w:val="005D45C6"/>
    <w:rsid w:val="005D493B"/>
    <w:rsid w:val="005D4DD0"/>
    <w:rsid w:val="005D4FD4"/>
    <w:rsid w:val="005D5402"/>
    <w:rsid w:val="005D5647"/>
    <w:rsid w:val="005D66A8"/>
    <w:rsid w:val="005D6B12"/>
    <w:rsid w:val="005D7112"/>
    <w:rsid w:val="005D75FB"/>
    <w:rsid w:val="005D7655"/>
    <w:rsid w:val="005D7E16"/>
    <w:rsid w:val="005E18CA"/>
    <w:rsid w:val="005E1F32"/>
    <w:rsid w:val="005E230A"/>
    <w:rsid w:val="005E2663"/>
    <w:rsid w:val="005E2751"/>
    <w:rsid w:val="005E2C6D"/>
    <w:rsid w:val="005E3E45"/>
    <w:rsid w:val="005E404C"/>
    <w:rsid w:val="005E4390"/>
    <w:rsid w:val="005E4B69"/>
    <w:rsid w:val="005E5197"/>
    <w:rsid w:val="005E56CE"/>
    <w:rsid w:val="005E5B24"/>
    <w:rsid w:val="005E5E1D"/>
    <w:rsid w:val="005E5E29"/>
    <w:rsid w:val="005E60A4"/>
    <w:rsid w:val="005E69C2"/>
    <w:rsid w:val="005E6CD0"/>
    <w:rsid w:val="005E72E4"/>
    <w:rsid w:val="005F05BF"/>
    <w:rsid w:val="005F0E12"/>
    <w:rsid w:val="005F0EDD"/>
    <w:rsid w:val="005F13EB"/>
    <w:rsid w:val="005F2207"/>
    <w:rsid w:val="005F231C"/>
    <w:rsid w:val="005F2717"/>
    <w:rsid w:val="005F2F0B"/>
    <w:rsid w:val="005F30A0"/>
    <w:rsid w:val="005F3534"/>
    <w:rsid w:val="005F3BCD"/>
    <w:rsid w:val="005F4707"/>
    <w:rsid w:val="005F59FF"/>
    <w:rsid w:val="005F5E36"/>
    <w:rsid w:val="005F6583"/>
    <w:rsid w:val="005F6DD6"/>
    <w:rsid w:val="005F6EA6"/>
    <w:rsid w:val="00600308"/>
    <w:rsid w:val="0060039F"/>
    <w:rsid w:val="00601208"/>
    <w:rsid w:val="006015B2"/>
    <w:rsid w:val="006015DF"/>
    <w:rsid w:val="006022DB"/>
    <w:rsid w:val="006025A8"/>
    <w:rsid w:val="006029CE"/>
    <w:rsid w:val="0060333B"/>
    <w:rsid w:val="00604911"/>
    <w:rsid w:val="00604C9B"/>
    <w:rsid w:val="00605019"/>
    <w:rsid w:val="006050D0"/>
    <w:rsid w:val="00605356"/>
    <w:rsid w:val="00605D79"/>
    <w:rsid w:val="00605E06"/>
    <w:rsid w:val="00607583"/>
    <w:rsid w:val="006079DE"/>
    <w:rsid w:val="00607DE0"/>
    <w:rsid w:val="006106F4"/>
    <w:rsid w:val="00610756"/>
    <w:rsid w:val="00611976"/>
    <w:rsid w:val="00612B88"/>
    <w:rsid w:val="00612D89"/>
    <w:rsid w:val="0061327F"/>
    <w:rsid w:val="00613966"/>
    <w:rsid w:val="006147CB"/>
    <w:rsid w:val="00614CE9"/>
    <w:rsid w:val="006152B0"/>
    <w:rsid w:val="0061571D"/>
    <w:rsid w:val="00615729"/>
    <w:rsid w:val="00615775"/>
    <w:rsid w:val="00615E73"/>
    <w:rsid w:val="0061632A"/>
    <w:rsid w:val="00617CC3"/>
    <w:rsid w:val="00620F15"/>
    <w:rsid w:val="00620F61"/>
    <w:rsid w:val="00621034"/>
    <w:rsid w:val="00621186"/>
    <w:rsid w:val="006214F3"/>
    <w:rsid w:val="006215C3"/>
    <w:rsid w:val="0062175A"/>
    <w:rsid w:val="00621A79"/>
    <w:rsid w:val="00622E16"/>
    <w:rsid w:val="006232E3"/>
    <w:rsid w:val="00624FA4"/>
    <w:rsid w:val="006260A9"/>
    <w:rsid w:val="00626251"/>
    <w:rsid w:val="00626898"/>
    <w:rsid w:val="00626A8B"/>
    <w:rsid w:val="00627002"/>
    <w:rsid w:val="00627CE3"/>
    <w:rsid w:val="006305AE"/>
    <w:rsid w:val="00631707"/>
    <w:rsid w:val="0063318F"/>
    <w:rsid w:val="006331EA"/>
    <w:rsid w:val="00633CB4"/>
    <w:rsid w:val="00634CE0"/>
    <w:rsid w:val="0063503D"/>
    <w:rsid w:val="0063527D"/>
    <w:rsid w:val="00635348"/>
    <w:rsid w:val="00635DC0"/>
    <w:rsid w:val="006375D5"/>
    <w:rsid w:val="006376F2"/>
    <w:rsid w:val="006376FB"/>
    <w:rsid w:val="006377A6"/>
    <w:rsid w:val="00637802"/>
    <w:rsid w:val="00637A3D"/>
    <w:rsid w:val="00640700"/>
    <w:rsid w:val="00640F07"/>
    <w:rsid w:val="006411EF"/>
    <w:rsid w:val="0064135C"/>
    <w:rsid w:val="00641681"/>
    <w:rsid w:val="0064181D"/>
    <w:rsid w:val="00641D35"/>
    <w:rsid w:val="006424BE"/>
    <w:rsid w:val="006425E1"/>
    <w:rsid w:val="006428C3"/>
    <w:rsid w:val="00642E33"/>
    <w:rsid w:val="006431C0"/>
    <w:rsid w:val="0064367A"/>
    <w:rsid w:val="00643716"/>
    <w:rsid w:val="00643766"/>
    <w:rsid w:val="00643912"/>
    <w:rsid w:val="006439FD"/>
    <w:rsid w:val="006440EA"/>
    <w:rsid w:val="006444A8"/>
    <w:rsid w:val="00644639"/>
    <w:rsid w:val="00646793"/>
    <w:rsid w:val="00646859"/>
    <w:rsid w:val="00646EAF"/>
    <w:rsid w:val="0064737C"/>
    <w:rsid w:val="006505BB"/>
    <w:rsid w:val="00650CD6"/>
    <w:rsid w:val="00650DD8"/>
    <w:rsid w:val="00651291"/>
    <w:rsid w:val="00651A64"/>
    <w:rsid w:val="00651CFB"/>
    <w:rsid w:val="00652B14"/>
    <w:rsid w:val="00652CEA"/>
    <w:rsid w:val="00652D45"/>
    <w:rsid w:val="00653021"/>
    <w:rsid w:val="00653189"/>
    <w:rsid w:val="006535E4"/>
    <w:rsid w:val="0065382F"/>
    <w:rsid w:val="00653C02"/>
    <w:rsid w:val="006547B9"/>
    <w:rsid w:val="006548CE"/>
    <w:rsid w:val="00654A57"/>
    <w:rsid w:val="00654DF7"/>
    <w:rsid w:val="006559A7"/>
    <w:rsid w:val="006559EA"/>
    <w:rsid w:val="00655AAD"/>
    <w:rsid w:val="00655CBB"/>
    <w:rsid w:val="00656878"/>
    <w:rsid w:val="00656C2F"/>
    <w:rsid w:val="00657A85"/>
    <w:rsid w:val="0066087B"/>
    <w:rsid w:val="00660BEB"/>
    <w:rsid w:val="00660F51"/>
    <w:rsid w:val="00660FB5"/>
    <w:rsid w:val="00661188"/>
    <w:rsid w:val="006638D7"/>
    <w:rsid w:val="00663EFE"/>
    <w:rsid w:val="00664126"/>
    <w:rsid w:val="00664F6B"/>
    <w:rsid w:val="00665728"/>
    <w:rsid w:val="006659C3"/>
    <w:rsid w:val="006659F1"/>
    <w:rsid w:val="00666418"/>
    <w:rsid w:val="00667024"/>
    <w:rsid w:val="00667715"/>
    <w:rsid w:val="00667782"/>
    <w:rsid w:val="00667F56"/>
    <w:rsid w:val="00670D5C"/>
    <w:rsid w:val="00671550"/>
    <w:rsid w:val="006716F0"/>
    <w:rsid w:val="00672008"/>
    <w:rsid w:val="00672637"/>
    <w:rsid w:val="00673AAF"/>
    <w:rsid w:val="00673E75"/>
    <w:rsid w:val="0067480F"/>
    <w:rsid w:val="006748B8"/>
    <w:rsid w:val="00674A63"/>
    <w:rsid w:val="006752C6"/>
    <w:rsid w:val="00675581"/>
    <w:rsid w:val="00675B0E"/>
    <w:rsid w:val="00675C87"/>
    <w:rsid w:val="00675FC5"/>
    <w:rsid w:val="00676153"/>
    <w:rsid w:val="006764FC"/>
    <w:rsid w:val="006768E0"/>
    <w:rsid w:val="00676C73"/>
    <w:rsid w:val="0067730A"/>
    <w:rsid w:val="006775C3"/>
    <w:rsid w:val="00677A5E"/>
    <w:rsid w:val="006803C0"/>
    <w:rsid w:val="00680AE0"/>
    <w:rsid w:val="0068114B"/>
    <w:rsid w:val="00681A0A"/>
    <w:rsid w:val="00682241"/>
    <w:rsid w:val="00682246"/>
    <w:rsid w:val="00682DA8"/>
    <w:rsid w:val="00682FDB"/>
    <w:rsid w:val="00683AB7"/>
    <w:rsid w:val="006846B6"/>
    <w:rsid w:val="006848AA"/>
    <w:rsid w:val="00684CA1"/>
    <w:rsid w:val="00684EF6"/>
    <w:rsid w:val="006854AF"/>
    <w:rsid w:val="006854D5"/>
    <w:rsid w:val="00685803"/>
    <w:rsid w:val="0068626A"/>
    <w:rsid w:val="00686D09"/>
    <w:rsid w:val="00687C9D"/>
    <w:rsid w:val="00687E29"/>
    <w:rsid w:val="006904EC"/>
    <w:rsid w:val="00690980"/>
    <w:rsid w:val="00690B1C"/>
    <w:rsid w:val="00690D21"/>
    <w:rsid w:val="00691780"/>
    <w:rsid w:val="00691B0E"/>
    <w:rsid w:val="006922F4"/>
    <w:rsid w:val="006927DC"/>
    <w:rsid w:val="0069290A"/>
    <w:rsid w:val="00692BB1"/>
    <w:rsid w:val="00692E2C"/>
    <w:rsid w:val="00693184"/>
    <w:rsid w:val="0069446F"/>
    <w:rsid w:val="00694B40"/>
    <w:rsid w:val="006960FA"/>
    <w:rsid w:val="00696BCA"/>
    <w:rsid w:val="0069742C"/>
    <w:rsid w:val="00697666"/>
    <w:rsid w:val="0069775A"/>
    <w:rsid w:val="0069777E"/>
    <w:rsid w:val="00697813"/>
    <w:rsid w:val="00697CA9"/>
    <w:rsid w:val="006A080B"/>
    <w:rsid w:val="006A09CD"/>
    <w:rsid w:val="006A169C"/>
    <w:rsid w:val="006A1967"/>
    <w:rsid w:val="006A1DA8"/>
    <w:rsid w:val="006A378F"/>
    <w:rsid w:val="006A3DEC"/>
    <w:rsid w:val="006A3EE8"/>
    <w:rsid w:val="006A41B3"/>
    <w:rsid w:val="006A41EB"/>
    <w:rsid w:val="006A428B"/>
    <w:rsid w:val="006A4293"/>
    <w:rsid w:val="006A45D8"/>
    <w:rsid w:val="006A4736"/>
    <w:rsid w:val="006A59AB"/>
    <w:rsid w:val="006A5B81"/>
    <w:rsid w:val="006A5C36"/>
    <w:rsid w:val="006A6685"/>
    <w:rsid w:val="006A6B76"/>
    <w:rsid w:val="006A6D46"/>
    <w:rsid w:val="006A72BF"/>
    <w:rsid w:val="006B00AD"/>
    <w:rsid w:val="006B03F2"/>
    <w:rsid w:val="006B06D1"/>
    <w:rsid w:val="006B08F6"/>
    <w:rsid w:val="006B1868"/>
    <w:rsid w:val="006B1E58"/>
    <w:rsid w:val="006B1E68"/>
    <w:rsid w:val="006B27C8"/>
    <w:rsid w:val="006B2A50"/>
    <w:rsid w:val="006B2D2C"/>
    <w:rsid w:val="006B3121"/>
    <w:rsid w:val="006B37DC"/>
    <w:rsid w:val="006B3810"/>
    <w:rsid w:val="006B415C"/>
    <w:rsid w:val="006B4530"/>
    <w:rsid w:val="006B47CD"/>
    <w:rsid w:val="006B4CB2"/>
    <w:rsid w:val="006B4F68"/>
    <w:rsid w:val="006B518B"/>
    <w:rsid w:val="006B5491"/>
    <w:rsid w:val="006B5B04"/>
    <w:rsid w:val="006B66BF"/>
    <w:rsid w:val="006B675D"/>
    <w:rsid w:val="006B709C"/>
    <w:rsid w:val="006B721A"/>
    <w:rsid w:val="006B7487"/>
    <w:rsid w:val="006B7573"/>
    <w:rsid w:val="006B7A54"/>
    <w:rsid w:val="006B7F13"/>
    <w:rsid w:val="006C012D"/>
    <w:rsid w:val="006C0592"/>
    <w:rsid w:val="006C093D"/>
    <w:rsid w:val="006C0FD7"/>
    <w:rsid w:val="006C102C"/>
    <w:rsid w:val="006C1245"/>
    <w:rsid w:val="006C1331"/>
    <w:rsid w:val="006C1920"/>
    <w:rsid w:val="006C272E"/>
    <w:rsid w:val="006C30A2"/>
    <w:rsid w:val="006C3200"/>
    <w:rsid w:val="006C3CDC"/>
    <w:rsid w:val="006C3E3D"/>
    <w:rsid w:val="006C4058"/>
    <w:rsid w:val="006C46E3"/>
    <w:rsid w:val="006C48B1"/>
    <w:rsid w:val="006C4F3E"/>
    <w:rsid w:val="006C5479"/>
    <w:rsid w:val="006C625C"/>
    <w:rsid w:val="006C6BE3"/>
    <w:rsid w:val="006C6C69"/>
    <w:rsid w:val="006C702E"/>
    <w:rsid w:val="006C70C9"/>
    <w:rsid w:val="006D13B5"/>
    <w:rsid w:val="006D278A"/>
    <w:rsid w:val="006D291E"/>
    <w:rsid w:val="006D32BD"/>
    <w:rsid w:val="006D3947"/>
    <w:rsid w:val="006D4473"/>
    <w:rsid w:val="006D4869"/>
    <w:rsid w:val="006D535D"/>
    <w:rsid w:val="006D5D38"/>
    <w:rsid w:val="006D6D9F"/>
    <w:rsid w:val="006D6F20"/>
    <w:rsid w:val="006E071C"/>
    <w:rsid w:val="006E0927"/>
    <w:rsid w:val="006E09E3"/>
    <w:rsid w:val="006E0E6C"/>
    <w:rsid w:val="006E0EFE"/>
    <w:rsid w:val="006E0F36"/>
    <w:rsid w:val="006E10BE"/>
    <w:rsid w:val="006E1175"/>
    <w:rsid w:val="006E1260"/>
    <w:rsid w:val="006E12FF"/>
    <w:rsid w:val="006E14EA"/>
    <w:rsid w:val="006E2C8B"/>
    <w:rsid w:val="006E384E"/>
    <w:rsid w:val="006E3CF3"/>
    <w:rsid w:val="006E4185"/>
    <w:rsid w:val="006E4F17"/>
    <w:rsid w:val="006E55A9"/>
    <w:rsid w:val="006E5690"/>
    <w:rsid w:val="006E5767"/>
    <w:rsid w:val="006E607E"/>
    <w:rsid w:val="006E6121"/>
    <w:rsid w:val="006E6D91"/>
    <w:rsid w:val="006E7AA1"/>
    <w:rsid w:val="006E7C7A"/>
    <w:rsid w:val="006F1890"/>
    <w:rsid w:val="006F196A"/>
    <w:rsid w:val="006F1CFC"/>
    <w:rsid w:val="006F1D79"/>
    <w:rsid w:val="006F2408"/>
    <w:rsid w:val="006F2B80"/>
    <w:rsid w:val="006F2CC8"/>
    <w:rsid w:val="006F2DF7"/>
    <w:rsid w:val="006F2FAC"/>
    <w:rsid w:val="006F346F"/>
    <w:rsid w:val="006F36B1"/>
    <w:rsid w:val="006F37EA"/>
    <w:rsid w:val="006F3956"/>
    <w:rsid w:val="006F5C94"/>
    <w:rsid w:val="006F6490"/>
    <w:rsid w:val="006F6FC6"/>
    <w:rsid w:val="006F7007"/>
    <w:rsid w:val="0070065F"/>
    <w:rsid w:val="00700888"/>
    <w:rsid w:val="00700996"/>
    <w:rsid w:val="0070099B"/>
    <w:rsid w:val="00701787"/>
    <w:rsid w:val="0070185A"/>
    <w:rsid w:val="00701CDA"/>
    <w:rsid w:val="007021EF"/>
    <w:rsid w:val="0070240A"/>
    <w:rsid w:val="00702A3E"/>
    <w:rsid w:val="00702D9F"/>
    <w:rsid w:val="007030F3"/>
    <w:rsid w:val="00703676"/>
    <w:rsid w:val="00703CC0"/>
    <w:rsid w:val="00703F96"/>
    <w:rsid w:val="0070414D"/>
    <w:rsid w:val="00704709"/>
    <w:rsid w:val="00704E75"/>
    <w:rsid w:val="00704F57"/>
    <w:rsid w:val="00705EB4"/>
    <w:rsid w:val="007060EE"/>
    <w:rsid w:val="0070648D"/>
    <w:rsid w:val="00706C5D"/>
    <w:rsid w:val="00707474"/>
    <w:rsid w:val="00707E9F"/>
    <w:rsid w:val="0071029C"/>
    <w:rsid w:val="007107E9"/>
    <w:rsid w:val="007109BD"/>
    <w:rsid w:val="00711763"/>
    <w:rsid w:val="00711EA2"/>
    <w:rsid w:val="00712042"/>
    <w:rsid w:val="00712900"/>
    <w:rsid w:val="00712B8D"/>
    <w:rsid w:val="00712FFE"/>
    <w:rsid w:val="00713085"/>
    <w:rsid w:val="007131BC"/>
    <w:rsid w:val="00713F12"/>
    <w:rsid w:val="007147C9"/>
    <w:rsid w:val="00715465"/>
    <w:rsid w:val="007155E2"/>
    <w:rsid w:val="007164F3"/>
    <w:rsid w:val="00720778"/>
    <w:rsid w:val="00720C04"/>
    <w:rsid w:val="00721F45"/>
    <w:rsid w:val="0072202E"/>
    <w:rsid w:val="00723B6F"/>
    <w:rsid w:val="00723CB2"/>
    <w:rsid w:val="00724271"/>
    <w:rsid w:val="007242FE"/>
    <w:rsid w:val="007246A8"/>
    <w:rsid w:val="007249AD"/>
    <w:rsid w:val="00725911"/>
    <w:rsid w:val="00725C9F"/>
    <w:rsid w:val="0072649C"/>
    <w:rsid w:val="007268DC"/>
    <w:rsid w:val="00726B93"/>
    <w:rsid w:val="00726F13"/>
    <w:rsid w:val="00726FDC"/>
    <w:rsid w:val="007277ED"/>
    <w:rsid w:val="00727940"/>
    <w:rsid w:val="00730A4C"/>
    <w:rsid w:val="00730EF5"/>
    <w:rsid w:val="007312D2"/>
    <w:rsid w:val="007312D6"/>
    <w:rsid w:val="00731AAA"/>
    <w:rsid w:val="00731B05"/>
    <w:rsid w:val="00731BEC"/>
    <w:rsid w:val="007328E8"/>
    <w:rsid w:val="00732922"/>
    <w:rsid w:val="007330FA"/>
    <w:rsid w:val="00733432"/>
    <w:rsid w:val="007335B4"/>
    <w:rsid w:val="00733CD8"/>
    <w:rsid w:val="00733F88"/>
    <w:rsid w:val="007343E2"/>
    <w:rsid w:val="007344A1"/>
    <w:rsid w:val="0073454B"/>
    <w:rsid w:val="007347F1"/>
    <w:rsid w:val="00734933"/>
    <w:rsid w:val="00734CE9"/>
    <w:rsid w:val="00734DF6"/>
    <w:rsid w:val="00734E11"/>
    <w:rsid w:val="00736598"/>
    <w:rsid w:val="007366C7"/>
    <w:rsid w:val="007366DB"/>
    <w:rsid w:val="007404AE"/>
    <w:rsid w:val="00740533"/>
    <w:rsid w:val="00740E9F"/>
    <w:rsid w:val="007419AF"/>
    <w:rsid w:val="00741F5F"/>
    <w:rsid w:val="007429E4"/>
    <w:rsid w:val="00743042"/>
    <w:rsid w:val="00743044"/>
    <w:rsid w:val="00744AFB"/>
    <w:rsid w:val="00744FB9"/>
    <w:rsid w:val="00745168"/>
    <w:rsid w:val="007460F9"/>
    <w:rsid w:val="00746B97"/>
    <w:rsid w:val="00746D73"/>
    <w:rsid w:val="00747851"/>
    <w:rsid w:val="00747AE4"/>
    <w:rsid w:val="00747B49"/>
    <w:rsid w:val="007504C1"/>
    <w:rsid w:val="0075162E"/>
    <w:rsid w:val="007517B1"/>
    <w:rsid w:val="00751828"/>
    <w:rsid w:val="00751CBE"/>
    <w:rsid w:val="00752C5A"/>
    <w:rsid w:val="00752E56"/>
    <w:rsid w:val="00752FFF"/>
    <w:rsid w:val="0075363E"/>
    <w:rsid w:val="007537BB"/>
    <w:rsid w:val="00754034"/>
    <w:rsid w:val="007540C4"/>
    <w:rsid w:val="00754168"/>
    <w:rsid w:val="007544B7"/>
    <w:rsid w:val="0075493E"/>
    <w:rsid w:val="007554CA"/>
    <w:rsid w:val="00755758"/>
    <w:rsid w:val="00755A15"/>
    <w:rsid w:val="00755E5F"/>
    <w:rsid w:val="0075640D"/>
    <w:rsid w:val="00756556"/>
    <w:rsid w:val="007565FC"/>
    <w:rsid w:val="00757932"/>
    <w:rsid w:val="00760384"/>
    <w:rsid w:val="00760390"/>
    <w:rsid w:val="007618C4"/>
    <w:rsid w:val="00763CBB"/>
    <w:rsid w:val="00764920"/>
    <w:rsid w:val="00765288"/>
    <w:rsid w:val="007654A0"/>
    <w:rsid w:val="00766C43"/>
    <w:rsid w:val="00767897"/>
    <w:rsid w:val="00767980"/>
    <w:rsid w:val="00770983"/>
    <w:rsid w:val="00770B19"/>
    <w:rsid w:val="007711A1"/>
    <w:rsid w:val="00773070"/>
    <w:rsid w:val="007732F6"/>
    <w:rsid w:val="0077409A"/>
    <w:rsid w:val="00774292"/>
    <w:rsid w:val="0077463F"/>
    <w:rsid w:val="00774F66"/>
    <w:rsid w:val="007751C4"/>
    <w:rsid w:val="00775ADC"/>
    <w:rsid w:val="007763AC"/>
    <w:rsid w:val="00776B8E"/>
    <w:rsid w:val="007771E8"/>
    <w:rsid w:val="00777A96"/>
    <w:rsid w:val="0078112A"/>
    <w:rsid w:val="00781485"/>
    <w:rsid w:val="0078157C"/>
    <w:rsid w:val="00781D73"/>
    <w:rsid w:val="0078219A"/>
    <w:rsid w:val="0078228A"/>
    <w:rsid w:val="007826A4"/>
    <w:rsid w:val="00782ACA"/>
    <w:rsid w:val="00782F29"/>
    <w:rsid w:val="007836EA"/>
    <w:rsid w:val="007846B1"/>
    <w:rsid w:val="007848C4"/>
    <w:rsid w:val="00784CDA"/>
    <w:rsid w:val="00786C48"/>
    <w:rsid w:val="00787CEE"/>
    <w:rsid w:val="007906C4"/>
    <w:rsid w:val="00792D3E"/>
    <w:rsid w:val="00793519"/>
    <w:rsid w:val="00793953"/>
    <w:rsid w:val="007940EA"/>
    <w:rsid w:val="007947CB"/>
    <w:rsid w:val="00794D52"/>
    <w:rsid w:val="00795B35"/>
    <w:rsid w:val="00795D87"/>
    <w:rsid w:val="0079606C"/>
    <w:rsid w:val="007967E8"/>
    <w:rsid w:val="00796D4C"/>
    <w:rsid w:val="00796E69"/>
    <w:rsid w:val="0079778C"/>
    <w:rsid w:val="00797A6B"/>
    <w:rsid w:val="00797E9D"/>
    <w:rsid w:val="007A05F2"/>
    <w:rsid w:val="007A2170"/>
    <w:rsid w:val="007A22BF"/>
    <w:rsid w:val="007A2D3B"/>
    <w:rsid w:val="007A3203"/>
    <w:rsid w:val="007A3323"/>
    <w:rsid w:val="007A3FA9"/>
    <w:rsid w:val="007A4636"/>
    <w:rsid w:val="007A4D8F"/>
    <w:rsid w:val="007A56F1"/>
    <w:rsid w:val="007A5CE9"/>
    <w:rsid w:val="007A5EE1"/>
    <w:rsid w:val="007A6917"/>
    <w:rsid w:val="007A6997"/>
    <w:rsid w:val="007A7233"/>
    <w:rsid w:val="007A7624"/>
    <w:rsid w:val="007B010F"/>
    <w:rsid w:val="007B1247"/>
    <w:rsid w:val="007B15A4"/>
    <w:rsid w:val="007B1B1A"/>
    <w:rsid w:val="007B2474"/>
    <w:rsid w:val="007B25AA"/>
    <w:rsid w:val="007B32B6"/>
    <w:rsid w:val="007B3B15"/>
    <w:rsid w:val="007B43C7"/>
    <w:rsid w:val="007B442D"/>
    <w:rsid w:val="007B5597"/>
    <w:rsid w:val="007B5A83"/>
    <w:rsid w:val="007B6033"/>
    <w:rsid w:val="007B6261"/>
    <w:rsid w:val="007B649B"/>
    <w:rsid w:val="007B69BB"/>
    <w:rsid w:val="007B72B8"/>
    <w:rsid w:val="007B739B"/>
    <w:rsid w:val="007B772B"/>
    <w:rsid w:val="007B781A"/>
    <w:rsid w:val="007B7A58"/>
    <w:rsid w:val="007B7EAC"/>
    <w:rsid w:val="007C0096"/>
    <w:rsid w:val="007C00D5"/>
    <w:rsid w:val="007C062C"/>
    <w:rsid w:val="007C0704"/>
    <w:rsid w:val="007C0FE9"/>
    <w:rsid w:val="007C184F"/>
    <w:rsid w:val="007C1A95"/>
    <w:rsid w:val="007C1D89"/>
    <w:rsid w:val="007C21B5"/>
    <w:rsid w:val="007C23C7"/>
    <w:rsid w:val="007C28E0"/>
    <w:rsid w:val="007C2F59"/>
    <w:rsid w:val="007C4D1F"/>
    <w:rsid w:val="007C5208"/>
    <w:rsid w:val="007C5870"/>
    <w:rsid w:val="007C5938"/>
    <w:rsid w:val="007C5BA9"/>
    <w:rsid w:val="007C6DAD"/>
    <w:rsid w:val="007C7598"/>
    <w:rsid w:val="007C7AAB"/>
    <w:rsid w:val="007C7E28"/>
    <w:rsid w:val="007D00E3"/>
    <w:rsid w:val="007D01EA"/>
    <w:rsid w:val="007D021D"/>
    <w:rsid w:val="007D0305"/>
    <w:rsid w:val="007D0C48"/>
    <w:rsid w:val="007D109D"/>
    <w:rsid w:val="007D2516"/>
    <w:rsid w:val="007D34FC"/>
    <w:rsid w:val="007D3A29"/>
    <w:rsid w:val="007D3D29"/>
    <w:rsid w:val="007D4149"/>
    <w:rsid w:val="007D4284"/>
    <w:rsid w:val="007D492D"/>
    <w:rsid w:val="007D4D4B"/>
    <w:rsid w:val="007D53C3"/>
    <w:rsid w:val="007D677E"/>
    <w:rsid w:val="007D6CE7"/>
    <w:rsid w:val="007D6DD7"/>
    <w:rsid w:val="007D6EE6"/>
    <w:rsid w:val="007D7469"/>
    <w:rsid w:val="007D77A9"/>
    <w:rsid w:val="007D7FDF"/>
    <w:rsid w:val="007E0012"/>
    <w:rsid w:val="007E00BE"/>
    <w:rsid w:val="007E0250"/>
    <w:rsid w:val="007E05DC"/>
    <w:rsid w:val="007E0726"/>
    <w:rsid w:val="007E0CE8"/>
    <w:rsid w:val="007E0F29"/>
    <w:rsid w:val="007E0F90"/>
    <w:rsid w:val="007E1345"/>
    <w:rsid w:val="007E1387"/>
    <w:rsid w:val="007E15C1"/>
    <w:rsid w:val="007E1715"/>
    <w:rsid w:val="007E2401"/>
    <w:rsid w:val="007E2425"/>
    <w:rsid w:val="007E2CBB"/>
    <w:rsid w:val="007E3694"/>
    <w:rsid w:val="007E40CA"/>
    <w:rsid w:val="007E413A"/>
    <w:rsid w:val="007E4320"/>
    <w:rsid w:val="007E45BC"/>
    <w:rsid w:val="007E47BE"/>
    <w:rsid w:val="007E480A"/>
    <w:rsid w:val="007E4BD2"/>
    <w:rsid w:val="007E5320"/>
    <w:rsid w:val="007E58AA"/>
    <w:rsid w:val="007E5B3A"/>
    <w:rsid w:val="007E5F20"/>
    <w:rsid w:val="007E6107"/>
    <w:rsid w:val="007E687D"/>
    <w:rsid w:val="007E68A6"/>
    <w:rsid w:val="007E69EB"/>
    <w:rsid w:val="007E6D28"/>
    <w:rsid w:val="007E731B"/>
    <w:rsid w:val="007E7550"/>
    <w:rsid w:val="007E7F3E"/>
    <w:rsid w:val="007F0083"/>
    <w:rsid w:val="007F05B1"/>
    <w:rsid w:val="007F1221"/>
    <w:rsid w:val="007F28A2"/>
    <w:rsid w:val="007F38F7"/>
    <w:rsid w:val="007F3CA2"/>
    <w:rsid w:val="007F43F1"/>
    <w:rsid w:val="007F4659"/>
    <w:rsid w:val="007F4D7E"/>
    <w:rsid w:val="007F4F16"/>
    <w:rsid w:val="007F64AB"/>
    <w:rsid w:val="007F6B51"/>
    <w:rsid w:val="007F6D48"/>
    <w:rsid w:val="007F729E"/>
    <w:rsid w:val="008002BF"/>
    <w:rsid w:val="00801128"/>
    <w:rsid w:val="008012B8"/>
    <w:rsid w:val="00801393"/>
    <w:rsid w:val="008016F2"/>
    <w:rsid w:val="00801BC5"/>
    <w:rsid w:val="00801DF8"/>
    <w:rsid w:val="00802406"/>
    <w:rsid w:val="0080265E"/>
    <w:rsid w:val="00802F88"/>
    <w:rsid w:val="0080358D"/>
    <w:rsid w:val="00803AC9"/>
    <w:rsid w:val="0080474C"/>
    <w:rsid w:val="00804AC7"/>
    <w:rsid w:val="00805899"/>
    <w:rsid w:val="00805A86"/>
    <w:rsid w:val="00805F8F"/>
    <w:rsid w:val="00806136"/>
    <w:rsid w:val="008062D8"/>
    <w:rsid w:val="0081017B"/>
    <w:rsid w:val="00810518"/>
    <w:rsid w:val="008110FA"/>
    <w:rsid w:val="008118BF"/>
    <w:rsid w:val="00811C11"/>
    <w:rsid w:val="0081200C"/>
    <w:rsid w:val="00812124"/>
    <w:rsid w:val="00812859"/>
    <w:rsid w:val="0081293E"/>
    <w:rsid w:val="00812A47"/>
    <w:rsid w:val="00812CCD"/>
    <w:rsid w:val="00812D23"/>
    <w:rsid w:val="00813208"/>
    <w:rsid w:val="0081345E"/>
    <w:rsid w:val="00813855"/>
    <w:rsid w:val="00813D85"/>
    <w:rsid w:val="00813FFF"/>
    <w:rsid w:val="008148EA"/>
    <w:rsid w:val="0081534C"/>
    <w:rsid w:val="00815465"/>
    <w:rsid w:val="00815BB9"/>
    <w:rsid w:val="00815CF7"/>
    <w:rsid w:val="008166D2"/>
    <w:rsid w:val="008171E3"/>
    <w:rsid w:val="00817B04"/>
    <w:rsid w:val="00817E9A"/>
    <w:rsid w:val="00817F06"/>
    <w:rsid w:val="0082000D"/>
    <w:rsid w:val="0082021E"/>
    <w:rsid w:val="0082035B"/>
    <w:rsid w:val="00821090"/>
    <w:rsid w:val="0082178F"/>
    <w:rsid w:val="00821AC3"/>
    <w:rsid w:val="008221DB"/>
    <w:rsid w:val="008222E2"/>
    <w:rsid w:val="0082279D"/>
    <w:rsid w:val="00822B68"/>
    <w:rsid w:val="008239C3"/>
    <w:rsid w:val="00823DF2"/>
    <w:rsid w:val="0082418A"/>
    <w:rsid w:val="0082505C"/>
    <w:rsid w:val="00825272"/>
    <w:rsid w:val="0082602D"/>
    <w:rsid w:val="0082739C"/>
    <w:rsid w:val="0082740E"/>
    <w:rsid w:val="008274ED"/>
    <w:rsid w:val="00827C25"/>
    <w:rsid w:val="0083062C"/>
    <w:rsid w:val="008306BD"/>
    <w:rsid w:val="00830DD2"/>
    <w:rsid w:val="00831071"/>
    <w:rsid w:val="008313C1"/>
    <w:rsid w:val="00831612"/>
    <w:rsid w:val="00831A80"/>
    <w:rsid w:val="00832FB0"/>
    <w:rsid w:val="008335D7"/>
    <w:rsid w:val="00833743"/>
    <w:rsid w:val="008340A4"/>
    <w:rsid w:val="008343D9"/>
    <w:rsid w:val="00834965"/>
    <w:rsid w:val="00834FDA"/>
    <w:rsid w:val="008351E1"/>
    <w:rsid w:val="0083570A"/>
    <w:rsid w:val="00835E03"/>
    <w:rsid w:val="00836918"/>
    <w:rsid w:val="00836E72"/>
    <w:rsid w:val="00836F2D"/>
    <w:rsid w:val="00836F65"/>
    <w:rsid w:val="00837248"/>
    <w:rsid w:val="008374B4"/>
    <w:rsid w:val="008378F9"/>
    <w:rsid w:val="008408BC"/>
    <w:rsid w:val="0084124B"/>
    <w:rsid w:val="0084162E"/>
    <w:rsid w:val="00841809"/>
    <w:rsid w:val="00842810"/>
    <w:rsid w:val="0084294B"/>
    <w:rsid w:val="0084297D"/>
    <w:rsid w:val="00843D95"/>
    <w:rsid w:val="008445FB"/>
    <w:rsid w:val="008449EA"/>
    <w:rsid w:val="00845063"/>
    <w:rsid w:val="0084550C"/>
    <w:rsid w:val="008455C4"/>
    <w:rsid w:val="0084670F"/>
    <w:rsid w:val="008470AC"/>
    <w:rsid w:val="0084734D"/>
    <w:rsid w:val="00847873"/>
    <w:rsid w:val="00847A85"/>
    <w:rsid w:val="00847BBF"/>
    <w:rsid w:val="00847E1A"/>
    <w:rsid w:val="00847E8F"/>
    <w:rsid w:val="00850F4B"/>
    <w:rsid w:val="00850F60"/>
    <w:rsid w:val="00852111"/>
    <w:rsid w:val="0085290A"/>
    <w:rsid w:val="0085297A"/>
    <w:rsid w:val="008539E9"/>
    <w:rsid w:val="00853B7B"/>
    <w:rsid w:val="00855EF5"/>
    <w:rsid w:val="00855F45"/>
    <w:rsid w:val="00855FA8"/>
    <w:rsid w:val="0085651F"/>
    <w:rsid w:val="00856ADF"/>
    <w:rsid w:val="00856E39"/>
    <w:rsid w:val="0085752D"/>
    <w:rsid w:val="00857591"/>
    <w:rsid w:val="0086003F"/>
    <w:rsid w:val="0086070E"/>
    <w:rsid w:val="00860F08"/>
    <w:rsid w:val="008610A2"/>
    <w:rsid w:val="00861D7D"/>
    <w:rsid w:val="00862342"/>
    <w:rsid w:val="008626FF"/>
    <w:rsid w:val="00862848"/>
    <w:rsid w:val="00862BC1"/>
    <w:rsid w:val="008631BA"/>
    <w:rsid w:val="0086377B"/>
    <w:rsid w:val="008638F8"/>
    <w:rsid w:val="00863E18"/>
    <w:rsid w:val="00864A36"/>
    <w:rsid w:val="00865466"/>
    <w:rsid w:val="008658BC"/>
    <w:rsid w:val="00865CEC"/>
    <w:rsid w:val="00866707"/>
    <w:rsid w:val="008668EB"/>
    <w:rsid w:val="00867919"/>
    <w:rsid w:val="00867DEB"/>
    <w:rsid w:val="0087054B"/>
    <w:rsid w:val="00870782"/>
    <w:rsid w:val="00871127"/>
    <w:rsid w:val="0087135F"/>
    <w:rsid w:val="00871C29"/>
    <w:rsid w:val="00872BDA"/>
    <w:rsid w:val="00872D1A"/>
    <w:rsid w:val="00872D94"/>
    <w:rsid w:val="00872DDC"/>
    <w:rsid w:val="00872F04"/>
    <w:rsid w:val="00873238"/>
    <w:rsid w:val="008732D1"/>
    <w:rsid w:val="0087472F"/>
    <w:rsid w:val="00874DD8"/>
    <w:rsid w:val="008765D6"/>
    <w:rsid w:val="008773AA"/>
    <w:rsid w:val="00880150"/>
    <w:rsid w:val="00880364"/>
    <w:rsid w:val="00880526"/>
    <w:rsid w:val="00880905"/>
    <w:rsid w:val="00880B6D"/>
    <w:rsid w:val="00880E65"/>
    <w:rsid w:val="00881102"/>
    <w:rsid w:val="00881911"/>
    <w:rsid w:val="00881DCD"/>
    <w:rsid w:val="00881FDC"/>
    <w:rsid w:val="00882674"/>
    <w:rsid w:val="008828A7"/>
    <w:rsid w:val="00882F6D"/>
    <w:rsid w:val="008844DC"/>
    <w:rsid w:val="0088457B"/>
    <w:rsid w:val="00884BB5"/>
    <w:rsid w:val="00884D5E"/>
    <w:rsid w:val="00885362"/>
    <w:rsid w:val="008854DF"/>
    <w:rsid w:val="008857CB"/>
    <w:rsid w:val="00885CAA"/>
    <w:rsid w:val="0088691A"/>
    <w:rsid w:val="00886A43"/>
    <w:rsid w:val="0088737F"/>
    <w:rsid w:val="00890012"/>
    <w:rsid w:val="008904FC"/>
    <w:rsid w:val="00890C46"/>
    <w:rsid w:val="00890C74"/>
    <w:rsid w:val="00891592"/>
    <w:rsid w:val="0089185A"/>
    <w:rsid w:val="00891CAE"/>
    <w:rsid w:val="00891E9E"/>
    <w:rsid w:val="0089279F"/>
    <w:rsid w:val="00893A5D"/>
    <w:rsid w:val="00893D77"/>
    <w:rsid w:val="00893F84"/>
    <w:rsid w:val="008949D7"/>
    <w:rsid w:val="008950F4"/>
    <w:rsid w:val="0089544F"/>
    <w:rsid w:val="008959DD"/>
    <w:rsid w:val="00895F81"/>
    <w:rsid w:val="00896A0A"/>
    <w:rsid w:val="008A058A"/>
    <w:rsid w:val="008A0664"/>
    <w:rsid w:val="008A0A1E"/>
    <w:rsid w:val="008A1606"/>
    <w:rsid w:val="008A169B"/>
    <w:rsid w:val="008A1A12"/>
    <w:rsid w:val="008A251F"/>
    <w:rsid w:val="008A2BFB"/>
    <w:rsid w:val="008A2F68"/>
    <w:rsid w:val="008A5490"/>
    <w:rsid w:val="008A5691"/>
    <w:rsid w:val="008A6182"/>
    <w:rsid w:val="008A655D"/>
    <w:rsid w:val="008A69E0"/>
    <w:rsid w:val="008A6FA5"/>
    <w:rsid w:val="008A702B"/>
    <w:rsid w:val="008B0D19"/>
    <w:rsid w:val="008B0DD5"/>
    <w:rsid w:val="008B165D"/>
    <w:rsid w:val="008B1815"/>
    <w:rsid w:val="008B1EAB"/>
    <w:rsid w:val="008B1EC4"/>
    <w:rsid w:val="008B3245"/>
    <w:rsid w:val="008B3B7B"/>
    <w:rsid w:val="008B44D0"/>
    <w:rsid w:val="008B4DEC"/>
    <w:rsid w:val="008B4FA6"/>
    <w:rsid w:val="008B5035"/>
    <w:rsid w:val="008B5282"/>
    <w:rsid w:val="008B593B"/>
    <w:rsid w:val="008B62BC"/>
    <w:rsid w:val="008B66DA"/>
    <w:rsid w:val="008B67A8"/>
    <w:rsid w:val="008B6870"/>
    <w:rsid w:val="008B696B"/>
    <w:rsid w:val="008B69F1"/>
    <w:rsid w:val="008B71CF"/>
    <w:rsid w:val="008B7C17"/>
    <w:rsid w:val="008C06D1"/>
    <w:rsid w:val="008C0AA4"/>
    <w:rsid w:val="008C0FB8"/>
    <w:rsid w:val="008C1804"/>
    <w:rsid w:val="008C2668"/>
    <w:rsid w:val="008C268D"/>
    <w:rsid w:val="008C2A1B"/>
    <w:rsid w:val="008C2B24"/>
    <w:rsid w:val="008C2D01"/>
    <w:rsid w:val="008C2EE2"/>
    <w:rsid w:val="008C362E"/>
    <w:rsid w:val="008C3DCD"/>
    <w:rsid w:val="008C40E6"/>
    <w:rsid w:val="008C41F5"/>
    <w:rsid w:val="008C4A28"/>
    <w:rsid w:val="008C54C9"/>
    <w:rsid w:val="008C6B81"/>
    <w:rsid w:val="008C7911"/>
    <w:rsid w:val="008C7BC3"/>
    <w:rsid w:val="008D01F3"/>
    <w:rsid w:val="008D0344"/>
    <w:rsid w:val="008D0F7A"/>
    <w:rsid w:val="008D12D1"/>
    <w:rsid w:val="008D22C5"/>
    <w:rsid w:val="008D2836"/>
    <w:rsid w:val="008D2B1E"/>
    <w:rsid w:val="008D3A52"/>
    <w:rsid w:val="008D42D1"/>
    <w:rsid w:val="008D4C46"/>
    <w:rsid w:val="008D4D9D"/>
    <w:rsid w:val="008D5769"/>
    <w:rsid w:val="008D5D25"/>
    <w:rsid w:val="008D602C"/>
    <w:rsid w:val="008D662B"/>
    <w:rsid w:val="008D6684"/>
    <w:rsid w:val="008D6760"/>
    <w:rsid w:val="008D68E4"/>
    <w:rsid w:val="008D7701"/>
    <w:rsid w:val="008D7EC4"/>
    <w:rsid w:val="008E04FE"/>
    <w:rsid w:val="008E0506"/>
    <w:rsid w:val="008E0C15"/>
    <w:rsid w:val="008E0CFF"/>
    <w:rsid w:val="008E132E"/>
    <w:rsid w:val="008E1C0F"/>
    <w:rsid w:val="008E1E95"/>
    <w:rsid w:val="008E20B1"/>
    <w:rsid w:val="008E2D62"/>
    <w:rsid w:val="008E36A9"/>
    <w:rsid w:val="008E39B7"/>
    <w:rsid w:val="008E3F7F"/>
    <w:rsid w:val="008E4388"/>
    <w:rsid w:val="008E45A1"/>
    <w:rsid w:val="008E4EDF"/>
    <w:rsid w:val="008E59D1"/>
    <w:rsid w:val="008E5D6B"/>
    <w:rsid w:val="008E6AAE"/>
    <w:rsid w:val="008E6DDE"/>
    <w:rsid w:val="008E6DFD"/>
    <w:rsid w:val="008E7285"/>
    <w:rsid w:val="008E76F0"/>
    <w:rsid w:val="008F02C6"/>
    <w:rsid w:val="008F0493"/>
    <w:rsid w:val="008F089D"/>
    <w:rsid w:val="008F0A8E"/>
    <w:rsid w:val="008F0CDC"/>
    <w:rsid w:val="008F15FE"/>
    <w:rsid w:val="008F1642"/>
    <w:rsid w:val="008F1E59"/>
    <w:rsid w:val="008F237C"/>
    <w:rsid w:val="008F278E"/>
    <w:rsid w:val="008F2A53"/>
    <w:rsid w:val="008F2D29"/>
    <w:rsid w:val="008F2E00"/>
    <w:rsid w:val="008F2E3E"/>
    <w:rsid w:val="008F3450"/>
    <w:rsid w:val="008F3AB6"/>
    <w:rsid w:val="008F42A4"/>
    <w:rsid w:val="008F4384"/>
    <w:rsid w:val="008F5187"/>
    <w:rsid w:val="008F5279"/>
    <w:rsid w:val="008F57FF"/>
    <w:rsid w:val="008F5986"/>
    <w:rsid w:val="008F5DBA"/>
    <w:rsid w:val="008F60D8"/>
    <w:rsid w:val="008F6925"/>
    <w:rsid w:val="008F69EA"/>
    <w:rsid w:val="008F757B"/>
    <w:rsid w:val="009008B8"/>
    <w:rsid w:val="009009CC"/>
    <w:rsid w:val="009013DE"/>
    <w:rsid w:val="00901F7C"/>
    <w:rsid w:val="00902727"/>
    <w:rsid w:val="009028EE"/>
    <w:rsid w:val="00902B56"/>
    <w:rsid w:val="00902E90"/>
    <w:rsid w:val="0090312B"/>
    <w:rsid w:val="00903D5F"/>
    <w:rsid w:val="00904DE3"/>
    <w:rsid w:val="0090616C"/>
    <w:rsid w:val="0090692A"/>
    <w:rsid w:val="00906965"/>
    <w:rsid w:val="00907E3E"/>
    <w:rsid w:val="00907EA7"/>
    <w:rsid w:val="009109CD"/>
    <w:rsid w:val="00911579"/>
    <w:rsid w:val="00912672"/>
    <w:rsid w:val="00912AFF"/>
    <w:rsid w:val="00912ED3"/>
    <w:rsid w:val="0091321D"/>
    <w:rsid w:val="00913685"/>
    <w:rsid w:val="00913802"/>
    <w:rsid w:val="00914B2D"/>
    <w:rsid w:val="0091563C"/>
    <w:rsid w:val="0091565C"/>
    <w:rsid w:val="00915C77"/>
    <w:rsid w:val="00915F11"/>
    <w:rsid w:val="009163E8"/>
    <w:rsid w:val="00916640"/>
    <w:rsid w:val="00917237"/>
    <w:rsid w:val="0091736D"/>
    <w:rsid w:val="009174B0"/>
    <w:rsid w:val="00917911"/>
    <w:rsid w:val="00917D45"/>
    <w:rsid w:val="0092060A"/>
    <w:rsid w:val="00920A6A"/>
    <w:rsid w:val="0092141C"/>
    <w:rsid w:val="0092159A"/>
    <w:rsid w:val="00921A12"/>
    <w:rsid w:val="009220E3"/>
    <w:rsid w:val="0092217A"/>
    <w:rsid w:val="00922642"/>
    <w:rsid w:val="00922855"/>
    <w:rsid w:val="00922DF0"/>
    <w:rsid w:val="00923FD6"/>
    <w:rsid w:val="00924615"/>
    <w:rsid w:val="0092464C"/>
    <w:rsid w:val="00924963"/>
    <w:rsid w:val="00924E79"/>
    <w:rsid w:val="009250DB"/>
    <w:rsid w:val="0092545F"/>
    <w:rsid w:val="009260E7"/>
    <w:rsid w:val="009274E7"/>
    <w:rsid w:val="009276BD"/>
    <w:rsid w:val="00927825"/>
    <w:rsid w:val="00927E0E"/>
    <w:rsid w:val="0093037A"/>
    <w:rsid w:val="00930516"/>
    <w:rsid w:val="00930535"/>
    <w:rsid w:val="009307FA"/>
    <w:rsid w:val="0093129E"/>
    <w:rsid w:val="009312E0"/>
    <w:rsid w:val="00932191"/>
    <w:rsid w:val="009321B8"/>
    <w:rsid w:val="00932474"/>
    <w:rsid w:val="0093262C"/>
    <w:rsid w:val="0093281F"/>
    <w:rsid w:val="00932C01"/>
    <w:rsid w:val="00933501"/>
    <w:rsid w:val="0093361D"/>
    <w:rsid w:val="0093398E"/>
    <w:rsid w:val="00934A7E"/>
    <w:rsid w:val="00935511"/>
    <w:rsid w:val="0093558B"/>
    <w:rsid w:val="009359F7"/>
    <w:rsid w:val="009361BC"/>
    <w:rsid w:val="00936B50"/>
    <w:rsid w:val="00937220"/>
    <w:rsid w:val="0094079E"/>
    <w:rsid w:val="009408A3"/>
    <w:rsid w:val="009410F8"/>
    <w:rsid w:val="0094154D"/>
    <w:rsid w:val="00941AC4"/>
    <w:rsid w:val="00942004"/>
    <w:rsid w:val="00942FCF"/>
    <w:rsid w:val="009438EB"/>
    <w:rsid w:val="00943C52"/>
    <w:rsid w:val="00944167"/>
    <w:rsid w:val="009448E9"/>
    <w:rsid w:val="00945860"/>
    <w:rsid w:val="00946213"/>
    <w:rsid w:val="009468D9"/>
    <w:rsid w:val="00946AE0"/>
    <w:rsid w:val="00947102"/>
    <w:rsid w:val="00947455"/>
    <w:rsid w:val="0094755E"/>
    <w:rsid w:val="00947AFA"/>
    <w:rsid w:val="00950321"/>
    <w:rsid w:val="009504A8"/>
    <w:rsid w:val="00950B74"/>
    <w:rsid w:val="00950BD1"/>
    <w:rsid w:val="00950F30"/>
    <w:rsid w:val="00950FC5"/>
    <w:rsid w:val="0095155F"/>
    <w:rsid w:val="009515A3"/>
    <w:rsid w:val="00952767"/>
    <w:rsid w:val="00954080"/>
    <w:rsid w:val="00954287"/>
    <w:rsid w:val="00954429"/>
    <w:rsid w:val="00954CA0"/>
    <w:rsid w:val="00955A2A"/>
    <w:rsid w:val="009560B4"/>
    <w:rsid w:val="009563CE"/>
    <w:rsid w:val="009565FF"/>
    <w:rsid w:val="009569A5"/>
    <w:rsid w:val="00956F9F"/>
    <w:rsid w:val="0096048D"/>
    <w:rsid w:val="00960621"/>
    <w:rsid w:val="009608E2"/>
    <w:rsid w:val="00960918"/>
    <w:rsid w:val="00960AD0"/>
    <w:rsid w:val="0096178A"/>
    <w:rsid w:val="00961FCC"/>
    <w:rsid w:val="009624E4"/>
    <w:rsid w:val="00962E6C"/>
    <w:rsid w:val="009630B9"/>
    <w:rsid w:val="00964343"/>
    <w:rsid w:val="009649DC"/>
    <w:rsid w:val="00965049"/>
    <w:rsid w:val="00965383"/>
    <w:rsid w:val="00965EBA"/>
    <w:rsid w:val="009663A4"/>
    <w:rsid w:val="00966725"/>
    <w:rsid w:val="009667E1"/>
    <w:rsid w:val="00966F08"/>
    <w:rsid w:val="009674F0"/>
    <w:rsid w:val="00971504"/>
    <w:rsid w:val="00971C08"/>
    <w:rsid w:val="0097221C"/>
    <w:rsid w:val="00972275"/>
    <w:rsid w:val="009726B8"/>
    <w:rsid w:val="00973649"/>
    <w:rsid w:val="00974849"/>
    <w:rsid w:val="00974AF3"/>
    <w:rsid w:val="00974EB9"/>
    <w:rsid w:val="009753F0"/>
    <w:rsid w:val="009754F2"/>
    <w:rsid w:val="00975CC9"/>
    <w:rsid w:val="00975D91"/>
    <w:rsid w:val="00976123"/>
    <w:rsid w:val="00976328"/>
    <w:rsid w:val="009763B3"/>
    <w:rsid w:val="0097680D"/>
    <w:rsid w:val="00980922"/>
    <w:rsid w:val="00981032"/>
    <w:rsid w:val="00981190"/>
    <w:rsid w:val="0098166C"/>
    <w:rsid w:val="00981906"/>
    <w:rsid w:val="00981C3B"/>
    <w:rsid w:val="00981D02"/>
    <w:rsid w:val="00981E40"/>
    <w:rsid w:val="00982438"/>
    <w:rsid w:val="00982F7F"/>
    <w:rsid w:val="00982F89"/>
    <w:rsid w:val="009831A6"/>
    <w:rsid w:val="009836EA"/>
    <w:rsid w:val="0098404C"/>
    <w:rsid w:val="0098435F"/>
    <w:rsid w:val="00985283"/>
    <w:rsid w:val="009858EF"/>
    <w:rsid w:val="00986227"/>
    <w:rsid w:val="009862F2"/>
    <w:rsid w:val="00986806"/>
    <w:rsid w:val="00986AC5"/>
    <w:rsid w:val="00986D19"/>
    <w:rsid w:val="0098794B"/>
    <w:rsid w:val="00987E7C"/>
    <w:rsid w:val="00990373"/>
    <w:rsid w:val="009903AA"/>
    <w:rsid w:val="009907AE"/>
    <w:rsid w:val="009909B2"/>
    <w:rsid w:val="00991462"/>
    <w:rsid w:val="009916C2"/>
    <w:rsid w:val="00991A64"/>
    <w:rsid w:val="00992069"/>
    <w:rsid w:val="009923E3"/>
    <w:rsid w:val="00992D3B"/>
    <w:rsid w:val="00992E45"/>
    <w:rsid w:val="00992F7E"/>
    <w:rsid w:val="00993B04"/>
    <w:rsid w:val="00993DC8"/>
    <w:rsid w:val="009942E4"/>
    <w:rsid w:val="0099484D"/>
    <w:rsid w:val="0099544C"/>
    <w:rsid w:val="00995992"/>
    <w:rsid w:val="00995A60"/>
    <w:rsid w:val="00996ECC"/>
    <w:rsid w:val="009977F8"/>
    <w:rsid w:val="0099795A"/>
    <w:rsid w:val="00997C16"/>
    <w:rsid w:val="009A03E5"/>
    <w:rsid w:val="009A0CB9"/>
    <w:rsid w:val="009A0D88"/>
    <w:rsid w:val="009A0E7F"/>
    <w:rsid w:val="009A0F3B"/>
    <w:rsid w:val="009A17B3"/>
    <w:rsid w:val="009A1A78"/>
    <w:rsid w:val="009A1BB4"/>
    <w:rsid w:val="009A1CEF"/>
    <w:rsid w:val="009A1D20"/>
    <w:rsid w:val="009A1F25"/>
    <w:rsid w:val="009A20AF"/>
    <w:rsid w:val="009A2426"/>
    <w:rsid w:val="009A2628"/>
    <w:rsid w:val="009A2780"/>
    <w:rsid w:val="009A29B9"/>
    <w:rsid w:val="009A3200"/>
    <w:rsid w:val="009A3284"/>
    <w:rsid w:val="009A32DF"/>
    <w:rsid w:val="009A3EE1"/>
    <w:rsid w:val="009A4153"/>
    <w:rsid w:val="009A53EF"/>
    <w:rsid w:val="009A62CF"/>
    <w:rsid w:val="009A63B3"/>
    <w:rsid w:val="009A72AC"/>
    <w:rsid w:val="009A756D"/>
    <w:rsid w:val="009A7593"/>
    <w:rsid w:val="009A7D3C"/>
    <w:rsid w:val="009A7F85"/>
    <w:rsid w:val="009B04C5"/>
    <w:rsid w:val="009B0670"/>
    <w:rsid w:val="009B0897"/>
    <w:rsid w:val="009B18FB"/>
    <w:rsid w:val="009B1FD6"/>
    <w:rsid w:val="009B26A3"/>
    <w:rsid w:val="009B2FF8"/>
    <w:rsid w:val="009B58A4"/>
    <w:rsid w:val="009B59D9"/>
    <w:rsid w:val="009B6137"/>
    <w:rsid w:val="009B65B0"/>
    <w:rsid w:val="009B665C"/>
    <w:rsid w:val="009B7025"/>
    <w:rsid w:val="009B72D8"/>
    <w:rsid w:val="009B7BD9"/>
    <w:rsid w:val="009C014F"/>
    <w:rsid w:val="009C0167"/>
    <w:rsid w:val="009C07E5"/>
    <w:rsid w:val="009C0CDF"/>
    <w:rsid w:val="009C0CEE"/>
    <w:rsid w:val="009C1065"/>
    <w:rsid w:val="009C1231"/>
    <w:rsid w:val="009C1684"/>
    <w:rsid w:val="009C1AB5"/>
    <w:rsid w:val="009C1B19"/>
    <w:rsid w:val="009C1C74"/>
    <w:rsid w:val="009C1F42"/>
    <w:rsid w:val="009C2DF3"/>
    <w:rsid w:val="009C3451"/>
    <w:rsid w:val="009C3A08"/>
    <w:rsid w:val="009C57B5"/>
    <w:rsid w:val="009C66A1"/>
    <w:rsid w:val="009C6C7B"/>
    <w:rsid w:val="009C715D"/>
    <w:rsid w:val="009C720E"/>
    <w:rsid w:val="009C77BD"/>
    <w:rsid w:val="009C7A65"/>
    <w:rsid w:val="009C7B31"/>
    <w:rsid w:val="009C7C50"/>
    <w:rsid w:val="009C7C99"/>
    <w:rsid w:val="009C7DD5"/>
    <w:rsid w:val="009D0528"/>
    <w:rsid w:val="009D068E"/>
    <w:rsid w:val="009D1A88"/>
    <w:rsid w:val="009D2C26"/>
    <w:rsid w:val="009D3014"/>
    <w:rsid w:val="009D331C"/>
    <w:rsid w:val="009D3431"/>
    <w:rsid w:val="009D3969"/>
    <w:rsid w:val="009D3D99"/>
    <w:rsid w:val="009D41A1"/>
    <w:rsid w:val="009D54D8"/>
    <w:rsid w:val="009D5863"/>
    <w:rsid w:val="009D6DE0"/>
    <w:rsid w:val="009D7254"/>
    <w:rsid w:val="009D76D5"/>
    <w:rsid w:val="009D7CD4"/>
    <w:rsid w:val="009D7D36"/>
    <w:rsid w:val="009D7F04"/>
    <w:rsid w:val="009E0046"/>
    <w:rsid w:val="009E01AA"/>
    <w:rsid w:val="009E066D"/>
    <w:rsid w:val="009E0D13"/>
    <w:rsid w:val="009E17E2"/>
    <w:rsid w:val="009E1C33"/>
    <w:rsid w:val="009E227D"/>
    <w:rsid w:val="009E3037"/>
    <w:rsid w:val="009E3263"/>
    <w:rsid w:val="009E4053"/>
    <w:rsid w:val="009E46D2"/>
    <w:rsid w:val="009E4F4F"/>
    <w:rsid w:val="009E4FCA"/>
    <w:rsid w:val="009E5019"/>
    <w:rsid w:val="009E51EF"/>
    <w:rsid w:val="009E5724"/>
    <w:rsid w:val="009E5762"/>
    <w:rsid w:val="009E6661"/>
    <w:rsid w:val="009E6E13"/>
    <w:rsid w:val="009E6FF0"/>
    <w:rsid w:val="009F0167"/>
    <w:rsid w:val="009F088C"/>
    <w:rsid w:val="009F0E00"/>
    <w:rsid w:val="009F0EA5"/>
    <w:rsid w:val="009F12B7"/>
    <w:rsid w:val="009F18DD"/>
    <w:rsid w:val="009F1978"/>
    <w:rsid w:val="009F1DF3"/>
    <w:rsid w:val="009F217A"/>
    <w:rsid w:val="009F226B"/>
    <w:rsid w:val="009F254D"/>
    <w:rsid w:val="009F2E2A"/>
    <w:rsid w:val="009F2F10"/>
    <w:rsid w:val="009F3622"/>
    <w:rsid w:val="009F366C"/>
    <w:rsid w:val="009F3B8A"/>
    <w:rsid w:val="009F3ED5"/>
    <w:rsid w:val="009F4377"/>
    <w:rsid w:val="009F530B"/>
    <w:rsid w:val="009F5382"/>
    <w:rsid w:val="009F5479"/>
    <w:rsid w:val="009F5725"/>
    <w:rsid w:val="009F6263"/>
    <w:rsid w:val="009F6B5A"/>
    <w:rsid w:val="009F753F"/>
    <w:rsid w:val="009F79A6"/>
    <w:rsid w:val="009F7CDC"/>
    <w:rsid w:val="00A00947"/>
    <w:rsid w:val="00A01B29"/>
    <w:rsid w:val="00A01C65"/>
    <w:rsid w:val="00A02687"/>
    <w:rsid w:val="00A026BF"/>
    <w:rsid w:val="00A02CE2"/>
    <w:rsid w:val="00A0357D"/>
    <w:rsid w:val="00A03CCE"/>
    <w:rsid w:val="00A0430C"/>
    <w:rsid w:val="00A04371"/>
    <w:rsid w:val="00A04EC1"/>
    <w:rsid w:val="00A04F1B"/>
    <w:rsid w:val="00A04F23"/>
    <w:rsid w:val="00A04F49"/>
    <w:rsid w:val="00A0501B"/>
    <w:rsid w:val="00A051AA"/>
    <w:rsid w:val="00A054D8"/>
    <w:rsid w:val="00A059A4"/>
    <w:rsid w:val="00A05ED3"/>
    <w:rsid w:val="00A06044"/>
    <w:rsid w:val="00A062A4"/>
    <w:rsid w:val="00A06A16"/>
    <w:rsid w:val="00A07F94"/>
    <w:rsid w:val="00A10175"/>
    <w:rsid w:val="00A10A48"/>
    <w:rsid w:val="00A10F3A"/>
    <w:rsid w:val="00A10FDF"/>
    <w:rsid w:val="00A111A7"/>
    <w:rsid w:val="00A11AA5"/>
    <w:rsid w:val="00A11E53"/>
    <w:rsid w:val="00A12131"/>
    <w:rsid w:val="00A1294A"/>
    <w:rsid w:val="00A1347C"/>
    <w:rsid w:val="00A13E4A"/>
    <w:rsid w:val="00A13FBE"/>
    <w:rsid w:val="00A146B3"/>
    <w:rsid w:val="00A14947"/>
    <w:rsid w:val="00A15744"/>
    <w:rsid w:val="00A15BBD"/>
    <w:rsid w:val="00A165A9"/>
    <w:rsid w:val="00A16873"/>
    <w:rsid w:val="00A169E8"/>
    <w:rsid w:val="00A16CC7"/>
    <w:rsid w:val="00A170B9"/>
    <w:rsid w:val="00A20B14"/>
    <w:rsid w:val="00A20D92"/>
    <w:rsid w:val="00A210B4"/>
    <w:rsid w:val="00A2119A"/>
    <w:rsid w:val="00A218C1"/>
    <w:rsid w:val="00A2285A"/>
    <w:rsid w:val="00A22EF3"/>
    <w:rsid w:val="00A22FBA"/>
    <w:rsid w:val="00A236FF"/>
    <w:rsid w:val="00A23A3F"/>
    <w:rsid w:val="00A23DE2"/>
    <w:rsid w:val="00A23FE2"/>
    <w:rsid w:val="00A2407A"/>
    <w:rsid w:val="00A24BB1"/>
    <w:rsid w:val="00A24C61"/>
    <w:rsid w:val="00A24CB3"/>
    <w:rsid w:val="00A24EB7"/>
    <w:rsid w:val="00A2524F"/>
    <w:rsid w:val="00A25834"/>
    <w:rsid w:val="00A25F25"/>
    <w:rsid w:val="00A2681A"/>
    <w:rsid w:val="00A2707C"/>
    <w:rsid w:val="00A27956"/>
    <w:rsid w:val="00A27ACD"/>
    <w:rsid w:val="00A27ED7"/>
    <w:rsid w:val="00A27F74"/>
    <w:rsid w:val="00A30D86"/>
    <w:rsid w:val="00A30EB9"/>
    <w:rsid w:val="00A31D83"/>
    <w:rsid w:val="00A32761"/>
    <w:rsid w:val="00A32A83"/>
    <w:rsid w:val="00A32E3B"/>
    <w:rsid w:val="00A3311F"/>
    <w:rsid w:val="00A34196"/>
    <w:rsid w:val="00A35108"/>
    <w:rsid w:val="00A352A6"/>
    <w:rsid w:val="00A35391"/>
    <w:rsid w:val="00A35C71"/>
    <w:rsid w:val="00A35E95"/>
    <w:rsid w:val="00A36698"/>
    <w:rsid w:val="00A368DB"/>
    <w:rsid w:val="00A3694F"/>
    <w:rsid w:val="00A37300"/>
    <w:rsid w:val="00A3774B"/>
    <w:rsid w:val="00A37973"/>
    <w:rsid w:val="00A37A20"/>
    <w:rsid w:val="00A37B5B"/>
    <w:rsid w:val="00A40A6A"/>
    <w:rsid w:val="00A40E28"/>
    <w:rsid w:val="00A41653"/>
    <w:rsid w:val="00A417EF"/>
    <w:rsid w:val="00A41F11"/>
    <w:rsid w:val="00A42059"/>
    <w:rsid w:val="00A4208C"/>
    <w:rsid w:val="00A4214D"/>
    <w:rsid w:val="00A423AA"/>
    <w:rsid w:val="00A42EAA"/>
    <w:rsid w:val="00A43332"/>
    <w:rsid w:val="00A43AF5"/>
    <w:rsid w:val="00A44072"/>
    <w:rsid w:val="00A444D7"/>
    <w:rsid w:val="00A45417"/>
    <w:rsid w:val="00A45C6B"/>
    <w:rsid w:val="00A45C8E"/>
    <w:rsid w:val="00A461AB"/>
    <w:rsid w:val="00A462F8"/>
    <w:rsid w:val="00A463D5"/>
    <w:rsid w:val="00A47018"/>
    <w:rsid w:val="00A470DC"/>
    <w:rsid w:val="00A4739C"/>
    <w:rsid w:val="00A50190"/>
    <w:rsid w:val="00A505D4"/>
    <w:rsid w:val="00A523AA"/>
    <w:rsid w:val="00A53557"/>
    <w:rsid w:val="00A5383D"/>
    <w:rsid w:val="00A53C78"/>
    <w:rsid w:val="00A53D5B"/>
    <w:rsid w:val="00A53EC6"/>
    <w:rsid w:val="00A540C0"/>
    <w:rsid w:val="00A55128"/>
    <w:rsid w:val="00A552D8"/>
    <w:rsid w:val="00A55AD1"/>
    <w:rsid w:val="00A55C0F"/>
    <w:rsid w:val="00A56138"/>
    <w:rsid w:val="00A562BA"/>
    <w:rsid w:val="00A5657E"/>
    <w:rsid w:val="00A56EFC"/>
    <w:rsid w:val="00A57C98"/>
    <w:rsid w:val="00A60208"/>
    <w:rsid w:val="00A6027E"/>
    <w:rsid w:val="00A60290"/>
    <w:rsid w:val="00A60C1B"/>
    <w:rsid w:val="00A60E4E"/>
    <w:rsid w:val="00A62689"/>
    <w:rsid w:val="00A628B7"/>
    <w:rsid w:val="00A63243"/>
    <w:rsid w:val="00A63835"/>
    <w:rsid w:val="00A6485F"/>
    <w:rsid w:val="00A649DE"/>
    <w:rsid w:val="00A655EF"/>
    <w:rsid w:val="00A65BC2"/>
    <w:rsid w:val="00A65CC6"/>
    <w:rsid w:val="00A66B8F"/>
    <w:rsid w:val="00A66C1F"/>
    <w:rsid w:val="00A70170"/>
    <w:rsid w:val="00A7034B"/>
    <w:rsid w:val="00A70BB9"/>
    <w:rsid w:val="00A70C9C"/>
    <w:rsid w:val="00A7195D"/>
    <w:rsid w:val="00A71FA2"/>
    <w:rsid w:val="00A72195"/>
    <w:rsid w:val="00A72643"/>
    <w:rsid w:val="00A73363"/>
    <w:rsid w:val="00A733B6"/>
    <w:rsid w:val="00A7388C"/>
    <w:rsid w:val="00A73AAA"/>
    <w:rsid w:val="00A73F57"/>
    <w:rsid w:val="00A74C10"/>
    <w:rsid w:val="00A74DC1"/>
    <w:rsid w:val="00A7543E"/>
    <w:rsid w:val="00A76DA4"/>
    <w:rsid w:val="00A76FF1"/>
    <w:rsid w:val="00A770A8"/>
    <w:rsid w:val="00A779A0"/>
    <w:rsid w:val="00A779F8"/>
    <w:rsid w:val="00A80AB8"/>
    <w:rsid w:val="00A8161D"/>
    <w:rsid w:val="00A823FE"/>
    <w:rsid w:val="00A829D0"/>
    <w:rsid w:val="00A82A38"/>
    <w:rsid w:val="00A82CE3"/>
    <w:rsid w:val="00A82E65"/>
    <w:rsid w:val="00A8339A"/>
    <w:rsid w:val="00A833EE"/>
    <w:rsid w:val="00A842D0"/>
    <w:rsid w:val="00A843DB"/>
    <w:rsid w:val="00A8471E"/>
    <w:rsid w:val="00A85A5D"/>
    <w:rsid w:val="00A85CE0"/>
    <w:rsid w:val="00A862D7"/>
    <w:rsid w:val="00A86C2E"/>
    <w:rsid w:val="00A8713F"/>
    <w:rsid w:val="00A87871"/>
    <w:rsid w:val="00A8791A"/>
    <w:rsid w:val="00A87B04"/>
    <w:rsid w:val="00A87EA2"/>
    <w:rsid w:val="00A87F5C"/>
    <w:rsid w:val="00A9002D"/>
    <w:rsid w:val="00A90930"/>
    <w:rsid w:val="00A90A1D"/>
    <w:rsid w:val="00A90B84"/>
    <w:rsid w:val="00A90BA1"/>
    <w:rsid w:val="00A91693"/>
    <w:rsid w:val="00A929E1"/>
    <w:rsid w:val="00A92B98"/>
    <w:rsid w:val="00A93B9C"/>
    <w:rsid w:val="00A93DD9"/>
    <w:rsid w:val="00A93F91"/>
    <w:rsid w:val="00A94125"/>
    <w:rsid w:val="00A9429E"/>
    <w:rsid w:val="00A9490F"/>
    <w:rsid w:val="00A94982"/>
    <w:rsid w:val="00A949EE"/>
    <w:rsid w:val="00A94ED9"/>
    <w:rsid w:val="00A95633"/>
    <w:rsid w:val="00A96422"/>
    <w:rsid w:val="00A968CE"/>
    <w:rsid w:val="00A96980"/>
    <w:rsid w:val="00A97857"/>
    <w:rsid w:val="00A97A9A"/>
    <w:rsid w:val="00A97B72"/>
    <w:rsid w:val="00A97C6F"/>
    <w:rsid w:val="00AA0671"/>
    <w:rsid w:val="00AA0C6A"/>
    <w:rsid w:val="00AA0FC7"/>
    <w:rsid w:val="00AA2531"/>
    <w:rsid w:val="00AA2A2F"/>
    <w:rsid w:val="00AA2CFF"/>
    <w:rsid w:val="00AA330E"/>
    <w:rsid w:val="00AA39AA"/>
    <w:rsid w:val="00AA3D83"/>
    <w:rsid w:val="00AA3F67"/>
    <w:rsid w:val="00AA4182"/>
    <w:rsid w:val="00AA4994"/>
    <w:rsid w:val="00AA5554"/>
    <w:rsid w:val="00AA5623"/>
    <w:rsid w:val="00AA5DB2"/>
    <w:rsid w:val="00AA5F51"/>
    <w:rsid w:val="00AA664D"/>
    <w:rsid w:val="00AA67D0"/>
    <w:rsid w:val="00AA741C"/>
    <w:rsid w:val="00AA7461"/>
    <w:rsid w:val="00AA74A4"/>
    <w:rsid w:val="00AA7E59"/>
    <w:rsid w:val="00AB043A"/>
    <w:rsid w:val="00AB0588"/>
    <w:rsid w:val="00AB05EA"/>
    <w:rsid w:val="00AB1AF4"/>
    <w:rsid w:val="00AB1BA7"/>
    <w:rsid w:val="00AB1DCE"/>
    <w:rsid w:val="00AB1E09"/>
    <w:rsid w:val="00AB2057"/>
    <w:rsid w:val="00AB283F"/>
    <w:rsid w:val="00AB3672"/>
    <w:rsid w:val="00AB3E2C"/>
    <w:rsid w:val="00AB4514"/>
    <w:rsid w:val="00AB4853"/>
    <w:rsid w:val="00AB4BC6"/>
    <w:rsid w:val="00AB5330"/>
    <w:rsid w:val="00AB56E8"/>
    <w:rsid w:val="00AB5CEF"/>
    <w:rsid w:val="00AB64BB"/>
    <w:rsid w:val="00AB725B"/>
    <w:rsid w:val="00AB72DE"/>
    <w:rsid w:val="00AB7747"/>
    <w:rsid w:val="00AB79E2"/>
    <w:rsid w:val="00AC059B"/>
    <w:rsid w:val="00AC090E"/>
    <w:rsid w:val="00AC09D3"/>
    <w:rsid w:val="00AC1376"/>
    <w:rsid w:val="00AC14CE"/>
    <w:rsid w:val="00AC19BB"/>
    <w:rsid w:val="00AC1F26"/>
    <w:rsid w:val="00AC27C0"/>
    <w:rsid w:val="00AC2A56"/>
    <w:rsid w:val="00AC2CE8"/>
    <w:rsid w:val="00AC3065"/>
    <w:rsid w:val="00AC317D"/>
    <w:rsid w:val="00AC42F0"/>
    <w:rsid w:val="00AC435B"/>
    <w:rsid w:val="00AC4478"/>
    <w:rsid w:val="00AC486F"/>
    <w:rsid w:val="00AC496B"/>
    <w:rsid w:val="00AC4B77"/>
    <w:rsid w:val="00AC5C21"/>
    <w:rsid w:val="00AC6B58"/>
    <w:rsid w:val="00AC79B7"/>
    <w:rsid w:val="00AC7E7E"/>
    <w:rsid w:val="00AC7ECC"/>
    <w:rsid w:val="00AD022D"/>
    <w:rsid w:val="00AD055E"/>
    <w:rsid w:val="00AD0901"/>
    <w:rsid w:val="00AD0CB4"/>
    <w:rsid w:val="00AD1982"/>
    <w:rsid w:val="00AD1C76"/>
    <w:rsid w:val="00AD1FF1"/>
    <w:rsid w:val="00AD21F0"/>
    <w:rsid w:val="00AD299D"/>
    <w:rsid w:val="00AD2BCA"/>
    <w:rsid w:val="00AD457B"/>
    <w:rsid w:val="00AD47A7"/>
    <w:rsid w:val="00AD53F3"/>
    <w:rsid w:val="00AD5642"/>
    <w:rsid w:val="00AD619A"/>
    <w:rsid w:val="00AD61B0"/>
    <w:rsid w:val="00AE03F8"/>
    <w:rsid w:val="00AE09FA"/>
    <w:rsid w:val="00AE0E2F"/>
    <w:rsid w:val="00AE1C46"/>
    <w:rsid w:val="00AE218C"/>
    <w:rsid w:val="00AE2934"/>
    <w:rsid w:val="00AE2A89"/>
    <w:rsid w:val="00AE2BC6"/>
    <w:rsid w:val="00AE2CE5"/>
    <w:rsid w:val="00AE376B"/>
    <w:rsid w:val="00AE411F"/>
    <w:rsid w:val="00AE4619"/>
    <w:rsid w:val="00AE557D"/>
    <w:rsid w:val="00AE5620"/>
    <w:rsid w:val="00AE65AC"/>
    <w:rsid w:val="00AF0072"/>
    <w:rsid w:val="00AF04E3"/>
    <w:rsid w:val="00AF0C45"/>
    <w:rsid w:val="00AF0CBF"/>
    <w:rsid w:val="00AF1169"/>
    <w:rsid w:val="00AF12DA"/>
    <w:rsid w:val="00AF2429"/>
    <w:rsid w:val="00AF257F"/>
    <w:rsid w:val="00AF26D1"/>
    <w:rsid w:val="00AF27FE"/>
    <w:rsid w:val="00AF33CF"/>
    <w:rsid w:val="00AF3443"/>
    <w:rsid w:val="00AF3AEB"/>
    <w:rsid w:val="00AF3FB0"/>
    <w:rsid w:val="00AF4380"/>
    <w:rsid w:val="00AF4484"/>
    <w:rsid w:val="00AF47FA"/>
    <w:rsid w:val="00AF49BC"/>
    <w:rsid w:val="00AF4B22"/>
    <w:rsid w:val="00AF4D50"/>
    <w:rsid w:val="00AF4E4D"/>
    <w:rsid w:val="00AF555D"/>
    <w:rsid w:val="00AF6179"/>
    <w:rsid w:val="00AF6FF9"/>
    <w:rsid w:val="00AF7B27"/>
    <w:rsid w:val="00AF7F31"/>
    <w:rsid w:val="00B00087"/>
    <w:rsid w:val="00B002DC"/>
    <w:rsid w:val="00B00410"/>
    <w:rsid w:val="00B00D9F"/>
    <w:rsid w:val="00B01542"/>
    <w:rsid w:val="00B02281"/>
    <w:rsid w:val="00B029DD"/>
    <w:rsid w:val="00B02A16"/>
    <w:rsid w:val="00B02A31"/>
    <w:rsid w:val="00B02DB4"/>
    <w:rsid w:val="00B03B71"/>
    <w:rsid w:val="00B049B4"/>
    <w:rsid w:val="00B05341"/>
    <w:rsid w:val="00B06212"/>
    <w:rsid w:val="00B068C9"/>
    <w:rsid w:val="00B06AF1"/>
    <w:rsid w:val="00B06BFF"/>
    <w:rsid w:val="00B06E0D"/>
    <w:rsid w:val="00B0748E"/>
    <w:rsid w:val="00B07AD4"/>
    <w:rsid w:val="00B07C75"/>
    <w:rsid w:val="00B10263"/>
    <w:rsid w:val="00B10799"/>
    <w:rsid w:val="00B10C16"/>
    <w:rsid w:val="00B11619"/>
    <w:rsid w:val="00B11AF3"/>
    <w:rsid w:val="00B1223E"/>
    <w:rsid w:val="00B127F5"/>
    <w:rsid w:val="00B1295A"/>
    <w:rsid w:val="00B147FF"/>
    <w:rsid w:val="00B16532"/>
    <w:rsid w:val="00B1763F"/>
    <w:rsid w:val="00B20A45"/>
    <w:rsid w:val="00B20EE7"/>
    <w:rsid w:val="00B21070"/>
    <w:rsid w:val="00B22267"/>
    <w:rsid w:val="00B22ADB"/>
    <w:rsid w:val="00B22B85"/>
    <w:rsid w:val="00B22C5C"/>
    <w:rsid w:val="00B22F72"/>
    <w:rsid w:val="00B2332D"/>
    <w:rsid w:val="00B240C8"/>
    <w:rsid w:val="00B24269"/>
    <w:rsid w:val="00B247FA"/>
    <w:rsid w:val="00B24A4A"/>
    <w:rsid w:val="00B24F30"/>
    <w:rsid w:val="00B25109"/>
    <w:rsid w:val="00B25F25"/>
    <w:rsid w:val="00B26475"/>
    <w:rsid w:val="00B275D1"/>
    <w:rsid w:val="00B30107"/>
    <w:rsid w:val="00B3035E"/>
    <w:rsid w:val="00B31ABF"/>
    <w:rsid w:val="00B31C6B"/>
    <w:rsid w:val="00B32C8E"/>
    <w:rsid w:val="00B33248"/>
    <w:rsid w:val="00B333D8"/>
    <w:rsid w:val="00B3374B"/>
    <w:rsid w:val="00B33BE3"/>
    <w:rsid w:val="00B3469E"/>
    <w:rsid w:val="00B347C5"/>
    <w:rsid w:val="00B35307"/>
    <w:rsid w:val="00B35489"/>
    <w:rsid w:val="00B35B6B"/>
    <w:rsid w:val="00B3648E"/>
    <w:rsid w:val="00B37458"/>
    <w:rsid w:val="00B4058C"/>
    <w:rsid w:val="00B40623"/>
    <w:rsid w:val="00B40C34"/>
    <w:rsid w:val="00B4110E"/>
    <w:rsid w:val="00B41251"/>
    <w:rsid w:val="00B4240D"/>
    <w:rsid w:val="00B42AD4"/>
    <w:rsid w:val="00B432F9"/>
    <w:rsid w:val="00B434FE"/>
    <w:rsid w:val="00B43961"/>
    <w:rsid w:val="00B439BE"/>
    <w:rsid w:val="00B43F62"/>
    <w:rsid w:val="00B4429E"/>
    <w:rsid w:val="00B44375"/>
    <w:rsid w:val="00B445EF"/>
    <w:rsid w:val="00B4470B"/>
    <w:rsid w:val="00B44A45"/>
    <w:rsid w:val="00B4565D"/>
    <w:rsid w:val="00B45B3F"/>
    <w:rsid w:val="00B46624"/>
    <w:rsid w:val="00B46A8D"/>
    <w:rsid w:val="00B47384"/>
    <w:rsid w:val="00B477BC"/>
    <w:rsid w:val="00B51355"/>
    <w:rsid w:val="00B5174D"/>
    <w:rsid w:val="00B51846"/>
    <w:rsid w:val="00B51963"/>
    <w:rsid w:val="00B519E9"/>
    <w:rsid w:val="00B51EAE"/>
    <w:rsid w:val="00B521B0"/>
    <w:rsid w:val="00B521C4"/>
    <w:rsid w:val="00B524E9"/>
    <w:rsid w:val="00B5313D"/>
    <w:rsid w:val="00B53AC3"/>
    <w:rsid w:val="00B53B04"/>
    <w:rsid w:val="00B53B5D"/>
    <w:rsid w:val="00B53D58"/>
    <w:rsid w:val="00B545BB"/>
    <w:rsid w:val="00B54847"/>
    <w:rsid w:val="00B54AF4"/>
    <w:rsid w:val="00B54DD1"/>
    <w:rsid w:val="00B555F4"/>
    <w:rsid w:val="00B557A8"/>
    <w:rsid w:val="00B55AB7"/>
    <w:rsid w:val="00B5644F"/>
    <w:rsid w:val="00B5678E"/>
    <w:rsid w:val="00B56E45"/>
    <w:rsid w:val="00B573F1"/>
    <w:rsid w:val="00B57A4F"/>
    <w:rsid w:val="00B6055E"/>
    <w:rsid w:val="00B605B6"/>
    <w:rsid w:val="00B60865"/>
    <w:rsid w:val="00B6096C"/>
    <w:rsid w:val="00B60A69"/>
    <w:rsid w:val="00B60D88"/>
    <w:rsid w:val="00B610D2"/>
    <w:rsid w:val="00B6139D"/>
    <w:rsid w:val="00B614D8"/>
    <w:rsid w:val="00B62154"/>
    <w:rsid w:val="00B62795"/>
    <w:rsid w:val="00B6317D"/>
    <w:rsid w:val="00B64438"/>
    <w:rsid w:val="00B64FAF"/>
    <w:rsid w:val="00B6532D"/>
    <w:rsid w:val="00B65636"/>
    <w:rsid w:val="00B65A0F"/>
    <w:rsid w:val="00B65FC8"/>
    <w:rsid w:val="00B66C12"/>
    <w:rsid w:val="00B67C66"/>
    <w:rsid w:val="00B700C7"/>
    <w:rsid w:val="00B7091A"/>
    <w:rsid w:val="00B7103B"/>
    <w:rsid w:val="00B713BE"/>
    <w:rsid w:val="00B71D21"/>
    <w:rsid w:val="00B7238C"/>
    <w:rsid w:val="00B723CF"/>
    <w:rsid w:val="00B725B0"/>
    <w:rsid w:val="00B725FD"/>
    <w:rsid w:val="00B7278A"/>
    <w:rsid w:val="00B72BDE"/>
    <w:rsid w:val="00B73017"/>
    <w:rsid w:val="00B7336A"/>
    <w:rsid w:val="00B739B7"/>
    <w:rsid w:val="00B7514C"/>
    <w:rsid w:val="00B75351"/>
    <w:rsid w:val="00B755D6"/>
    <w:rsid w:val="00B761B2"/>
    <w:rsid w:val="00B7673C"/>
    <w:rsid w:val="00B76AF2"/>
    <w:rsid w:val="00B770F8"/>
    <w:rsid w:val="00B7723F"/>
    <w:rsid w:val="00B77488"/>
    <w:rsid w:val="00B776B3"/>
    <w:rsid w:val="00B77934"/>
    <w:rsid w:val="00B77D6F"/>
    <w:rsid w:val="00B77EC5"/>
    <w:rsid w:val="00B77FAF"/>
    <w:rsid w:val="00B8015E"/>
    <w:rsid w:val="00B80534"/>
    <w:rsid w:val="00B808A5"/>
    <w:rsid w:val="00B80D5F"/>
    <w:rsid w:val="00B81C9D"/>
    <w:rsid w:val="00B81E2D"/>
    <w:rsid w:val="00B81FFE"/>
    <w:rsid w:val="00B82D91"/>
    <w:rsid w:val="00B8310A"/>
    <w:rsid w:val="00B83E1D"/>
    <w:rsid w:val="00B83FFF"/>
    <w:rsid w:val="00B8433C"/>
    <w:rsid w:val="00B85032"/>
    <w:rsid w:val="00B8520A"/>
    <w:rsid w:val="00B85D58"/>
    <w:rsid w:val="00B860AA"/>
    <w:rsid w:val="00B87491"/>
    <w:rsid w:val="00B87C76"/>
    <w:rsid w:val="00B903D4"/>
    <w:rsid w:val="00B91510"/>
    <w:rsid w:val="00B9226A"/>
    <w:rsid w:val="00B92864"/>
    <w:rsid w:val="00B93588"/>
    <w:rsid w:val="00B938B8"/>
    <w:rsid w:val="00B938D1"/>
    <w:rsid w:val="00B93A96"/>
    <w:rsid w:val="00B93C23"/>
    <w:rsid w:val="00B93E19"/>
    <w:rsid w:val="00B94122"/>
    <w:rsid w:val="00B9490E"/>
    <w:rsid w:val="00BA00A3"/>
    <w:rsid w:val="00BA0537"/>
    <w:rsid w:val="00BA0A58"/>
    <w:rsid w:val="00BA0C83"/>
    <w:rsid w:val="00BA159D"/>
    <w:rsid w:val="00BA22A3"/>
    <w:rsid w:val="00BA26C6"/>
    <w:rsid w:val="00BA281D"/>
    <w:rsid w:val="00BA29E9"/>
    <w:rsid w:val="00BA2B77"/>
    <w:rsid w:val="00BA3638"/>
    <w:rsid w:val="00BA3AE7"/>
    <w:rsid w:val="00BA3BB5"/>
    <w:rsid w:val="00BA3C8D"/>
    <w:rsid w:val="00BA42BC"/>
    <w:rsid w:val="00BA46A0"/>
    <w:rsid w:val="00BA5A25"/>
    <w:rsid w:val="00BA5FFF"/>
    <w:rsid w:val="00BA6107"/>
    <w:rsid w:val="00BA66AE"/>
    <w:rsid w:val="00BA6A30"/>
    <w:rsid w:val="00BA7142"/>
    <w:rsid w:val="00BA79A2"/>
    <w:rsid w:val="00BA7DC1"/>
    <w:rsid w:val="00BA7E7A"/>
    <w:rsid w:val="00BA7FAB"/>
    <w:rsid w:val="00BB137D"/>
    <w:rsid w:val="00BB1D93"/>
    <w:rsid w:val="00BB217A"/>
    <w:rsid w:val="00BB237C"/>
    <w:rsid w:val="00BB26A9"/>
    <w:rsid w:val="00BB29B2"/>
    <w:rsid w:val="00BB2E90"/>
    <w:rsid w:val="00BB382C"/>
    <w:rsid w:val="00BB3912"/>
    <w:rsid w:val="00BB3DA7"/>
    <w:rsid w:val="00BB41A3"/>
    <w:rsid w:val="00BB4967"/>
    <w:rsid w:val="00BB5015"/>
    <w:rsid w:val="00BB57C6"/>
    <w:rsid w:val="00BB5A3A"/>
    <w:rsid w:val="00BB656E"/>
    <w:rsid w:val="00BB6AA6"/>
    <w:rsid w:val="00BB6ABA"/>
    <w:rsid w:val="00BB6B82"/>
    <w:rsid w:val="00BB6CF6"/>
    <w:rsid w:val="00BB6D9B"/>
    <w:rsid w:val="00BB71A5"/>
    <w:rsid w:val="00BC04AF"/>
    <w:rsid w:val="00BC0A65"/>
    <w:rsid w:val="00BC0C34"/>
    <w:rsid w:val="00BC1307"/>
    <w:rsid w:val="00BC1E09"/>
    <w:rsid w:val="00BC273B"/>
    <w:rsid w:val="00BC27A9"/>
    <w:rsid w:val="00BC3105"/>
    <w:rsid w:val="00BC32DC"/>
    <w:rsid w:val="00BC33AE"/>
    <w:rsid w:val="00BC35B6"/>
    <w:rsid w:val="00BC3963"/>
    <w:rsid w:val="00BC3ADB"/>
    <w:rsid w:val="00BC3B46"/>
    <w:rsid w:val="00BC3F75"/>
    <w:rsid w:val="00BC485F"/>
    <w:rsid w:val="00BC4F38"/>
    <w:rsid w:val="00BC4F5D"/>
    <w:rsid w:val="00BC603E"/>
    <w:rsid w:val="00BC6795"/>
    <w:rsid w:val="00BC6C23"/>
    <w:rsid w:val="00BC6DBB"/>
    <w:rsid w:val="00BC6E75"/>
    <w:rsid w:val="00BC75F6"/>
    <w:rsid w:val="00BC79CC"/>
    <w:rsid w:val="00BC7F5F"/>
    <w:rsid w:val="00BD04E2"/>
    <w:rsid w:val="00BD11E9"/>
    <w:rsid w:val="00BD178A"/>
    <w:rsid w:val="00BD1B51"/>
    <w:rsid w:val="00BD31D6"/>
    <w:rsid w:val="00BD36A2"/>
    <w:rsid w:val="00BD417E"/>
    <w:rsid w:val="00BD4596"/>
    <w:rsid w:val="00BD5903"/>
    <w:rsid w:val="00BD5E0B"/>
    <w:rsid w:val="00BD5EF2"/>
    <w:rsid w:val="00BD6D54"/>
    <w:rsid w:val="00BD6E29"/>
    <w:rsid w:val="00BD7A30"/>
    <w:rsid w:val="00BE03D6"/>
    <w:rsid w:val="00BE054A"/>
    <w:rsid w:val="00BE1086"/>
    <w:rsid w:val="00BE1330"/>
    <w:rsid w:val="00BE1405"/>
    <w:rsid w:val="00BE14EB"/>
    <w:rsid w:val="00BE172F"/>
    <w:rsid w:val="00BE1A49"/>
    <w:rsid w:val="00BE1CB6"/>
    <w:rsid w:val="00BE2D73"/>
    <w:rsid w:val="00BE2E59"/>
    <w:rsid w:val="00BE2F62"/>
    <w:rsid w:val="00BE3027"/>
    <w:rsid w:val="00BE312D"/>
    <w:rsid w:val="00BE38D2"/>
    <w:rsid w:val="00BE46CB"/>
    <w:rsid w:val="00BE5D57"/>
    <w:rsid w:val="00BE5DDF"/>
    <w:rsid w:val="00BE6053"/>
    <w:rsid w:val="00BE60DD"/>
    <w:rsid w:val="00BE6198"/>
    <w:rsid w:val="00BE65C6"/>
    <w:rsid w:val="00BE674B"/>
    <w:rsid w:val="00BE719C"/>
    <w:rsid w:val="00BE7A0B"/>
    <w:rsid w:val="00BE7C0C"/>
    <w:rsid w:val="00BE7C99"/>
    <w:rsid w:val="00BF0F40"/>
    <w:rsid w:val="00BF1C20"/>
    <w:rsid w:val="00BF1FB5"/>
    <w:rsid w:val="00BF2A0F"/>
    <w:rsid w:val="00BF3055"/>
    <w:rsid w:val="00BF316E"/>
    <w:rsid w:val="00BF3A09"/>
    <w:rsid w:val="00BF3DE4"/>
    <w:rsid w:val="00BF3E99"/>
    <w:rsid w:val="00BF3F88"/>
    <w:rsid w:val="00BF46F5"/>
    <w:rsid w:val="00BF53AC"/>
    <w:rsid w:val="00BF547B"/>
    <w:rsid w:val="00BF5F41"/>
    <w:rsid w:val="00BF61C6"/>
    <w:rsid w:val="00BF6DE0"/>
    <w:rsid w:val="00BF7199"/>
    <w:rsid w:val="00BF74C6"/>
    <w:rsid w:val="00BF77DA"/>
    <w:rsid w:val="00BF7E3B"/>
    <w:rsid w:val="00C002E5"/>
    <w:rsid w:val="00C00397"/>
    <w:rsid w:val="00C00CAA"/>
    <w:rsid w:val="00C00CEF"/>
    <w:rsid w:val="00C00E07"/>
    <w:rsid w:val="00C017FA"/>
    <w:rsid w:val="00C01809"/>
    <w:rsid w:val="00C01F07"/>
    <w:rsid w:val="00C0337E"/>
    <w:rsid w:val="00C03B0E"/>
    <w:rsid w:val="00C0499B"/>
    <w:rsid w:val="00C06A81"/>
    <w:rsid w:val="00C06E07"/>
    <w:rsid w:val="00C07516"/>
    <w:rsid w:val="00C07703"/>
    <w:rsid w:val="00C07B1C"/>
    <w:rsid w:val="00C07E4B"/>
    <w:rsid w:val="00C104EB"/>
    <w:rsid w:val="00C10578"/>
    <w:rsid w:val="00C1074B"/>
    <w:rsid w:val="00C10EE3"/>
    <w:rsid w:val="00C11727"/>
    <w:rsid w:val="00C11957"/>
    <w:rsid w:val="00C11A2D"/>
    <w:rsid w:val="00C11B3D"/>
    <w:rsid w:val="00C11CDB"/>
    <w:rsid w:val="00C11D4D"/>
    <w:rsid w:val="00C129B5"/>
    <w:rsid w:val="00C135BC"/>
    <w:rsid w:val="00C1366A"/>
    <w:rsid w:val="00C13875"/>
    <w:rsid w:val="00C141CB"/>
    <w:rsid w:val="00C146CA"/>
    <w:rsid w:val="00C14B2D"/>
    <w:rsid w:val="00C14B5E"/>
    <w:rsid w:val="00C14B78"/>
    <w:rsid w:val="00C14C6F"/>
    <w:rsid w:val="00C155B9"/>
    <w:rsid w:val="00C15970"/>
    <w:rsid w:val="00C15C95"/>
    <w:rsid w:val="00C16311"/>
    <w:rsid w:val="00C16B53"/>
    <w:rsid w:val="00C16DF1"/>
    <w:rsid w:val="00C16FD1"/>
    <w:rsid w:val="00C17496"/>
    <w:rsid w:val="00C179EF"/>
    <w:rsid w:val="00C20672"/>
    <w:rsid w:val="00C20C49"/>
    <w:rsid w:val="00C20E15"/>
    <w:rsid w:val="00C21137"/>
    <w:rsid w:val="00C21417"/>
    <w:rsid w:val="00C2197B"/>
    <w:rsid w:val="00C21EA3"/>
    <w:rsid w:val="00C221B0"/>
    <w:rsid w:val="00C2231D"/>
    <w:rsid w:val="00C22876"/>
    <w:rsid w:val="00C22DAD"/>
    <w:rsid w:val="00C238B2"/>
    <w:rsid w:val="00C23B2B"/>
    <w:rsid w:val="00C24733"/>
    <w:rsid w:val="00C2481B"/>
    <w:rsid w:val="00C24B5A"/>
    <w:rsid w:val="00C25242"/>
    <w:rsid w:val="00C257F5"/>
    <w:rsid w:val="00C2596A"/>
    <w:rsid w:val="00C2622B"/>
    <w:rsid w:val="00C268BC"/>
    <w:rsid w:val="00C27537"/>
    <w:rsid w:val="00C27DF3"/>
    <w:rsid w:val="00C303B5"/>
    <w:rsid w:val="00C309DE"/>
    <w:rsid w:val="00C30E2E"/>
    <w:rsid w:val="00C312B3"/>
    <w:rsid w:val="00C3272D"/>
    <w:rsid w:val="00C32860"/>
    <w:rsid w:val="00C328FE"/>
    <w:rsid w:val="00C33507"/>
    <w:rsid w:val="00C33534"/>
    <w:rsid w:val="00C33553"/>
    <w:rsid w:val="00C34517"/>
    <w:rsid w:val="00C34D29"/>
    <w:rsid w:val="00C35070"/>
    <w:rsid w:val="00C351BB"/>
    <w:rsid w:val="00C35B0D"/>
    <w:rsid w:val="00C35BC4"/>
    <w:rsid w:val="00C35D0F"/>
    <w:rsid w:val="00C362B4"/>
    <w:rsid w:val="00C362B9"/>
    <w:rsid w:val="00C36998"/>
    <w:rsid w:val="00C37060"/>
    <w:rsid w:val="00C37090"/>
    <w:rsid w:val="00C371FF"/>
    <w:rsid w:val="00C372A5"/>
    <w:rsid w:val="00C3735A"/>
    <w:rsid w:val="00C3774A"/>
    <w:rsid w:val="00C401E2"/>
    <w:rsid w:val="00C4074E"/>
    <w:rsid w:val="00C40C10"/>
    <w:rsid w:val="00C40FE9"/>
    <w:rsid w:val="00C419C6"/>
    <w:rsid w:val="00C41A43"/>
    <w:rsid w:val="00C41A9C"/>
    <w:rsid w:val="00C41AE2"/>
    <w:rsid w:val="00C42CD8"/>
    <w:rsid w:val="00C42FCC"/>
    <w:rsid w:val="00C43145"/>
    <w:rsid w:val="00C4314B"/>
    <w:rsid w:val="00C432FC"/>
    <w:rsid w:val="00C43E57"/>
    <w:rsid w:val="00C4409D"/>
    <w:rsid w:val="00C4481A"/>
    <w:rsid w:val="00C44E72"/>
    <w:rsid w:val="00C45256"/>
    <w:rsid w:val="00C45A06"/>
    <w:rsid w:val="00C45D53"/>
    <w:rsid w:val="00C45ECF"/>
    <w:rsid w:val="00C4686B"/>
    <w:rsid w:val="00C46AEB"/>
    <w:rsid w:val="00C46DBE"/>
    <w:rsid w:val="00C46FCA"/>
    <w:rsid w:val="00C47BD6"/>
    <w:rsid w:val="00C47E5B"/>
    <w:rsid w:val="00C50C29"/>
    <w:rsid w:val="00C50E53"/>
    <w:rsid w:val="00C519EF"/>
    <w:rsid w:val="00C51E1D"/>
    <w:rsid w:val="00C52089"/>
    <w:rsid w:val="00C5237F"/>
    <w:rsid w:val="00C53298"/>
    <w:rsid w:val="00C533DE"/>
    <w:rsid w:val="00C53F31"/>
    <w:rsid w:val="00C54122"/>
    <w:rsid w:val="00C5416F"/>
    <w:rsid w:val="00C544CE"/>
    <w:rsid w:val="00C54971"/>
    <w:rsid w:val="00C54F8D"/>
    <w:rsid w:val="00C55F0C"/>
    <w:rsid w:val="00C566F6"/>
    <w:rsid w:val="00C56AE9"/>
    <w:rsid w:val="00C57706"/>
    <w:rsid w:val="00C577A6"/>
    <w:rsid w:val="00C57BDD"/>
    <w:rsid w:val="00C57CD5"/>
    <w:rsid w:val="00C57F45"/>
    <w:rsid w:val="00C60D7E"/>
    <w:rsid w:val="00C60E03"/>
    <w:rsid w:val="00C60F28"/>
    <w:rsid w:val="00C60F3A"/>
    <w:rsid w:val="00C60F5C"/>
    <w:rsid w:val="00C618A4"/>
    <w:rsid w:val="00C61D6D"/>
    <w:rsid w:val="00C61E4B"/>
    <w:rsid w:val="00C620C3"/>
    <w:rsid w:val="00C626BE"/>
    <w:rsid w:val="00C629CC"/>
    <w:rsid w:val="00C630A8"/>
    <w:rsid w:val="00C63119"/>
    <w:rsid w:val="00C632F2"/>
    <w:rsid w:val="00C633BA"/>
    <w:rsid w:val="00C639A0"/>
    <w:rsid w:val="00C64AB4"/>
    <w:rsid w:val="00C64BFF"/>
    <w:rsid w:val="00C64D08"/>
    <w:rsid w:val="00C64E17"/>
    <w:rsid w:val="00C6501E"/>
    <w:rsid w:val="00C65488"/>
    <w:rsid w:val="00C654B7"/>
    <w:rsid w:val="00C65DF8"/>
    <w:rsid w:val="00C65EBE"/>
    <w:rsid w:val="00C661EC"/>
    <w:rsid w:val="00C6662C"/>
    <w:rsid w:val="00C66B6B"/>
    <w:rsid w:val="00C67207"/>
    <w:rsid w:val="00C67BE7"/>
    <w:rsid w:val="00C67FD5"/>
    <w:rsid w:val="00C70331"/>
    <w:rsid w:val="00C704E9"/>
    <w:rsid w:val="00C718F4"/>
    <w:rsid w:val="00C71FB4"/>
    <w:rsid w:val="00C7223D"/>
    <w:rsid w:val="00C72570"/>
    <w:rsid w:val="00C729F7"/>
    <w:rsid w:val="00C72D2C"/>
    <w:rsid w:val="00C739D4"/>
    <w:rsid w:val="00C740B6"/>
    <w:rsid w:val="00C74AEB"/>
    <w:rsid w:val="00C750EF"/>
    <w:rsid w:val="00C75106"/>
    <w:rsid w:val="00C7575A"/>
    <w:rsid w:val="00C758C6"/>
    <w:rsid w:val="00C7622B"/>
    <w:rsid w:val="00C76304"/>
    <w:rsid w:val="00C763C9"/>
    <w:rsid w:val="00C769B8"/>
    <w:rsid w:val="00C76F0F"/>
    <w:rsid w:val="00C770D4"/>
    <w:rsid w:val="00C77126"/>
    <w:rsid w:val="00C77470"/>
    <w:rsid w:val="00C77548"/>
    <w:rsid w:val="00C77A53"/>
    <w:rsid w:val="00C80057"/>
    <w:rsid w:val="00C802FC"/>
    <w:rsid w:val="00C80CDB"/>
    <w:rsid w:val="00C811A3"/>
    <w:rsid w:val="00C81283"/>
    <w:rsid w:val="00C81371"/>
    <w:rsid w:val="00C81735"/>
    <w:rsid w:val="00C819ED"/>
    <w:rsid w:val="00C82232"/>
    <w:rsid w:val="00C82913"/>
    <w:rsid w:val="00C82D7D"/>
    <w:rsid w:val="00C83097"/>
    <w:rsid w:val="00C83381"/>
    <w:rsid w:val="00C838A1"/>
    <w:rsid w:val="00C8424C"/>
    <w:rsid w:val="00C84A6B"/>
    <w:rsid w:val="00C85049"/>
    <w:rsid w:val="00C8579B"/>
    <w:rsid w:val="00C85DA8"/>
    <w:rsid w:val="00C866A4"/>
    <w:rsid w:val="00C86C65"/>
    <w:rsid w:val="00C86EDB"/>
    <w:rsid w:val="00C87117"/>
    <w:rsid w:val="00C87459"/>
    <w:rsid w:val="00C87615"/>
    <w:rsid w:val="00C91496"/>
    <w:rsid w:val="00C91AA7"/>
    <w:rsid w:val="00C91BB8"/>
    <w:rsid w:val="00C933A8"/>
    <w:rsid w:val="00C934F6"/>
    <w:rsid w:val="00C9511B"/>
    <w:rsid w:val="00C96214"/>
    <w:rsid w:val="00C972B1"/>
    <w:rsid w:val="00C97FDC"/>
    <w:rsid w:val="00CA06FB"/>
    <w:rsid w:val="00CA14D2"/>
    <w:rsid w:val="00CA245A"/>
    <w:rsid w:val="00CA2CCE"/>
    <w:rsid w:val="00CA3D95"/>
    <w:rsid w:val="00CA43FD"/>
    <w:rsid w:val="00CA4684"/>
    <w:rsid w:val="00CA46FA"/>
    <w:rsid w:val="00CA48E3"/>
    <w:rsid w:val="00CA5467"/>
    <w:rsid w:val="00CA593B"/>
    <w:rsid w:val="00CA62E7"/>
    <w:rsid w:val="00CA644A"/>
    <w:rsid w:val="00CA6ACB"/>
    <w:rsid w:val="00CA707E"/>
    <w:rsid w:val="00CA735C"/>
    <w:rsid w:val="00CA7A15"/>
    <w:rsid w:val="00CA7AAF"/>
    <w:rsid w:val="00CA7EF8"/>
    <w:rsid w:val="00CB0051"/>
    <w:rsid w:val="00CB14C0"/>
    <w:rsid w:val="00CB1973"/>
    <w:rsid w:val="00CB1F38"/>
    <w:rsid w:val="00CB2066"/>
    <w:rsid w:val="00CB25A9"/>
    <w:rsid w:val="00CB2824"/>
    <w:rsid w:val="00CB3050"/>
    <w:rsid w:val="00CB383D"/>
    <w:rsid w:val="00CB415B"/>
    <w:rsid w:val="00CB4232"/>
    <w:rsid w:val="00CB59EB"/>
    <w:rsid w:val="00CB5C02"/>
    <w:rsid w:val="00CB6192"/>
    <w:rsid w:val="00CB67EE"/>
    <w:rsid w:val="00CB707B"/>
    <w:rsid w:val="00CB70A8"/>
    <w:rsid w:val="00CB73FB"/>
    <w:rsid w:val="00CB77C3"/>
    <w:rsid w:val="00CB79E5"/>
    <w:rsid w:val="00CB79E7"/>
    <w:rsid w:val="00CB7FD0"/>
    <w:rsid w:val="00CC06AA"/>
    <w:rsid w:val="00CC0800"/>
    <w:rsid w:val="00CC0D58"/>
    <w:rsid w:val="00CC18B9"/>
    <w:rsid w:val="00CC1F92"/>
    <w:rsid w:val="00CC2077"/>
    <w:rsid w:val="00CC3441"/>
    <w:rsid w:val="00CC36AF"/>
    <w:rsid w:val="00CC38AB"/>
    <w:rsid w:val="00CC3FAF"/>
    <w:rsid w:val="00CC4014"/>
    <w:rsid w:val="00CC41F6"/>
    <w:rsid w:val="00CC489B"/>
    <w:rsid w:val="00CC4AE3"/>
    <w:rsid w:val="00CC53D8"/>
    <w:rsid w:val="00CC5A89"/>
    <w:rsid w:val="00CC5C85"/>
    <w:rsid w:val="00CC6D2D"/>
    <w:rsid w:val="00CC738D"/>
    <w:rsid w:val="00CC7474"/>
    <w:rsid w:val="00CD0211"/>
    <w:rsid w:val="00CD060E"/>
    <w:rsid w:val="00CD0649"/>
    <w:rsid w:val="00CD09BD"/>
    <w:rsid w:val="00CD0B2C"/>
    <w:rsid w:val="00CD1043"/>
    <w:rsid w:val="00CD15E0"/>
    <w:rsid w:val="00CD18EB"/>
    <w:rsid w:val="00CD268B"/>
    <w:rsid w:val="00CD2763"/>
    <w:rsid w:val="00CD2BCD"/>
    <w:rsid w:val="00CD2E53"/>
    <w:rsid w:val="00CD3932"/>
    <w:rsid w:val="00CD3937"/>
    <w:rsid w:val="00CD3A4C"/>
    <w:rsid w:val="00CD3D0C"/>
    <w:rsid w:val="00CD4906"/>
    <w:rsid w:val="00CD57F0"/>
    <w:rsid w:val="00CD626A"/>
    <w:rsid w:val="00CD6A73"/>
    <w:rsid w:val="00CD6DF5"/>
    <w:rsid w:val="00CE03DB"/>
    <w:rsid w:val="00CE04BE"/>
    <w:rsid w:val="00CE05B7"/>
    <w:rsid w:val="00CE0C22"/>
    <w:rsid w:val="00CE10E9"/>
    <w:rsid w:val="00CE12A0"/>
    <w:rsid w:val="00CE1C5C"/>
    <w:rsid w:val="00CE1E6F"/>
    <w:rsid w:val="00CE251B"/>
    <w:rsid w:val="00CE2910"/>
    <w:rsid w:val="00CE35B7"/>
    <w:rsid w:val="00CE37BD"/>
    <w:rsid w:val="00CE3EF4"/>
    <w:rsid w:val="00CE4D17"/>
    <w:rsid w:val="00CE4E39"/>
    <w:rsid w:val="00CE5393"/>
    <w:rsid w:val="00CE5E6D"/>
    <w:rsid w:val="00CE6329"/>
    <w:rsid w:val="00CE69BF"/>
    <w:rsid w:val="00CE6B57"/>
    <w:rsid w:val="00CE7009"/>
    <w:rsid w:val="00CE7CDD"/>
    <w:rsid w:val="00CF0116"/>
    <w:rsid w:val="00CF049D"/>
    <w:rsid w:val="00CF0829"/>
    <w:rsid w:val="00CF0EF2"/>
    <w:rsid w:val="00CF1343"/>
    <w:rsid w:val="00CF1D28"/>
    <w:rsid w:val="00CF20E9"/>
    <w:rsid w:val="00CF228E"/>
    <w:rsid w:val="00CF2566"/>
    <w:rsid w:val="00CF2587"/>
    <w:rsid w:val="00CF2E37"/>
    <w:rsid w:val="00CF36B5"/>
    <w:rsid w:val="00CF36BE"/>
    <w:rsid w:val="00CF41E2"/>
    <w:rsid w:val="00CF42C7"/>
    <w:rsid w:val="00CF58BB"/>
    <w:rsid w:val="00CF6000"/>
    <w:rsid w:val="00CF6BE2"/>
    <w:rsid w:val="00CF6D32"/>
    <w:rsid w:val="00CF6D90"/>
    <w:rsid w:val="00CF7CB9"/>
    <w:rsid w:val="00CF7DF5"/>
    <w:rsid w:val="00D003F3"/>
    <w:rsid w:val="00D0050D"/>
    <w:rsid w:val="00D007AD"/>
    <w:rsid w:val="00D00858"/>
    <w:rsid w:val="00D01FC9"/>
    <w:rsid w:val="00D021A1"/>
    <w:rsid w:val="00D021FB"/>
    <w:rsid w:val="00D02DED"/>
    <w:rsid w:val="00D0330F"/>
    <w:rsid w:val="00D0364F"/>
    <w:rsid w:val="00D03CD2"/>
    <w:rsid w:val="00D03EF2"/>
    <w:rsid w:val="00D0446B"/>
    <w:rsid w:val="00D046BB"/>
    <w:rsid w:val="00D04CB4"/>
    <w:rsid w:val="00D04E86"/>
    <w:rsid w:val="00D05442"/>
    <w:rsid w:val="00D06725"/>
    <w:rsid w:val="00D06834"/>
    <w:rsid w:val="00D06D13"/>
    <w:rsid w:val="00D06E30"/>
    <w:rsid w:val="00D074B4"/>
    <w:rsid w:val="00D079F4"/>
    <w:rsid w:val="00D10473"/>
    <w:rsid w:val="00D11543"/>
    <w:rsid w:val="00D1192A"/>
    <w:rsid w:val="00D11974"/>
    <w:rsid w:val="00D12331"/>
    <w:rsid w:val="00D1267E"/>
    <w:rsid w:val="00D13306"/>
    <w:rsid w:val="00D13874"/>
    <w:rsid w:val="00D13A28"/>
    <w:rsid w:val="00D13A8F"/>
    <w:rsid w:val="00D13CF3"/>
    <w:rsid w:val="00D1414B"/>
    <w:rsid w:val="00D14278"/>
    <w:rsid w:val="00D14A45"/>
    <w:rsid w:val="00D14E92"/>
    <w:rsid w:val="00D1514B"/>
    <w:rsid w:val="00D1586E"/>
    <w:rsid w:val="00D16692"/>
    <w:rsid w:val="00D16C76"/>
    <w:rsid w:val="00D17947"/>
    <w:rsid w:val="00D17955"/>
    <w:rsid w:val="00D212E7"/>
    <w:rsid w:val="00D21611"/>
    <w:rsid w:val="00D21CF0"/>
    <w:rsid w:val="00D223CA"/>
    <w:rsid w:val="00D228ED"/>
    <w:rsid w:val="00D22969"/>
    <w:rsid w:val="00D22AA6"/>
    <w:rsid w:val="00D22AFB"/>
    <w:rsid w:val="00D2340B"/>
    <w:rsid w:val="00D2381B"/>
    <w:rsid w:val="00D23B57"/>
    <w:rsid w:val="00D25824"/>
    <w:rsid w:val="00D2684C"/>
    <w:rsid w:val="00D2686F"/>
    <w:rsid w:val="00D2725E"/>
    <w:rsid w:val="00D27CC8"/>
    <w:rsid w:val="00D27CE5"/>
    <w:rsid w:val="00D30009"/>
    <w:rsid w:val="00D3041A"/>
    <w:rsid w:val="00D308ED"/>
    <w:rsid w:val="00D309C3"/>
    <w:rsid w:val="00D30E15"/>
    <w:rsid w:val="00D31572"/>
    <w:rsid w:val="00D31C86"/>
    <w:rsid w:val="00D31E16"/>
    <w:rsid w:val="00D31E1D"/>
    <w:rsid w:val="00D3207B"/>
    <w:rsid w:val="00D32A37"/>
    <w:rsid w:val="00D32AFB"/>
    <w:rsid w:val="00D32F03"/>
    <w:rsid w:val="00D33041"/>
    <w:rsid w:val="00D332B1"/>
    <w:rsid w:val="00D334A9"/>
    <w:rsid w:val="00D34951"/>
    <w:rsid w:val="00D36725"/>
    <w:rsid w:val="00D36D86"/>
    <w:rsid w:val="00D36DE8"/>
    <w:rsid w:val="00D374CF"/>
    <w:rsid w:val="00D40492"/>
    <w:rsid w:val="00D404CE"/>
    <w:rsid w:val="00D40660"/>
    <w:rsid w:val="00D40BDA"/>
    <w:rsid w:val="00D40BF3"/>
    <w:rsid w:val="00D41B3F"/>
    <w:rsid w:val="00D4254B"/>
    <w:rsid w:val="00D426EF"/>
    <w:rsid w:val="00D428AA"/>
    <w:rsid w:val="00D42E2F"/>
    <w:rsid w:val="00D43177"/>
    <w:rsid w:val="00D43487"/>
    <w:rsid w:val="00D43B40"/>
    <w:rsid w:val="00D43DC5"/>
    <w:rsid w:val="00D44730"/>
    <w:rsid w:val="00D44A01"/>
    <w:rsid w:val="00D44A2B"/>
    <w:rsid w:val="00D44DD5"/>
    <w:rsid w:val="00D45C6E"/>
    <w:rsid w:val="00D46EDB"/>
    <w:rsid w:val="00D47383"/>
    <w:rsid w:val="00D478F6"/>
    <w:rsid w:val="00D47917"/>
    <w:rsid w:val="00D504BD"/>
    <w:rsid w:val="00D507EC"/>
    <w:rsid w:val="00D50A34"/>
    <w:rsid w:val="00D50E0A"/>
    <w:rsid w:val="00D5186D"/>
    <w:rsid w:val="00D52822"/>
    <w:rsid w:val="00D52D7B"/>
    <w:rsid w:val="00D5328C"/>
    <w:rsid w:val="00D53EFA"/>
    <w:rsid w:val="00D54042"/>
    <w:rsid w:val="00D55355"/>
    <w:rsid w:val="00D557E2"/>
    <w:rsid w:val="00D55D50"/>
    <w:rsid w:val="00D56033"/>
    <w:rsid w:val="00D5639E"/>
    <w:rsid w:val="00D56CF2"/>
    <w:rsid w:val="00D571B8"/>
    <w:rsid w:val="00D5737D"/>
    <w:rsid w:val="00D57E83"/>
    <w:rsid w:val="00D60075"/>
    <w:rsid w:val="00D600C3"/>
    <w:rsid w:val="00D6011F"/>
    <w:rsid w:val="00D603D3"/>
    <w:rsid w:val="00D6084F"/>
    <w:rsid w:val="00D60886"/>
    <w:rsid w:val="00D60F16"/>
    <w:rsid w:val="00D612DB"/>
    <w:rsid w:val="00D625A0"/>
    <w:rsid w:val="00D627A7"/>
    <w:rsid w:val="00D6316A"/>
    <w:rsid w:val="00D63937"/>
    <w:rsid w:val="00D63ACD"/>
    <w:rsid w:val="00D63C49"/>
    <w:rsid w:val="00D643D1"/>
    <w:rsid w:val="00D64489"/>
    <w:rsid w:val="00D64CEA"/>
    <w:rsid w:val="00D64D25"/>
    <w:rsid w:val="00D64D9D"/>
    <w:rsid w:val="00D64FB0"/>
    <w:rsid w:val="00D6579F"/>
    <w:rsid w:val="00D65F52"/>
    <w:rsid w:val="00D677B4"/>
    <w:rsid w:val="00D67C4B"/>
    <w:rsid w:val="00D67D6F"/>
    <w:rsid w:val="00D7041C"/>
    <w:rsid w:val="00D70A0F"/>
    <w:rsid w:val="00D70A9C"/>
    <w:rsid w:val="00D71001"/>
    <w:rsid w:val="00D7109F"/>
    <w:rsid w:val="00D7236F"/>
    <w:rsid w:val="00D7265B"/>
    <w:rsid w:val="00D7276A"/>
    <w:rsid w:val="00D72F13"/>
    <w:rsid w:val="00D73636"/>
    <w:rsid w:val="00D74075"/>
    <w:rsid w:val="00D7478A"/>
    <w:rsid w:val="00D74808"/>
    <w:rsid w:val="00D748E6"/>
    <w:rsid w:val="00D74FB7"/>
    <w:rsid w:val="00D752AA"/>
    <w:rsid w:val="00D756A6"/>
    <w:rsid w:val="00D759D3"/>
    <w:rsid w:val="00D7713A"/>
    <w:rsid w:val="00D778EF"/>
    <w:rsid w:val="00D77981"/>
    <w:rsid w:val="00D80213"/>
    <w:rsid w:val="00D80A12"/>
    <w:rsid w:val="00D80C75"/>
    <w:rsid w:val="00D82281"/>
    <w:rsid w:val="00D82959"/>
    <w:rsid w:val="00D82B7D"/>
    <w:rsid w:val="00D83CC2"/>
    <w:rsid w:val="00D83FE7"/>
    <w:rsid w:val="00D84487"/>
    <w:rsid w:val="00D84652"/>
    <w:rsid w:val="00D8499A"/>
    <w:rsid w:val="00D84A77"/>
    <w:rsid w:val="00D85386"/>
    <w:rsid w:val="00D85578"/>
    <w:rsid w:val="00D8602E"/>
    <w:rsid w:val="00D86653"/>
    <w:rsid w:val="00D86C67"/>
    <w:rsid w:val="00D86F2F"/>
    <w:rsid w:val="00D870C8"/>
    <w:rsid w:val="00D87536"/>
    <w:rsid w:val="00D876D5"/>
    <w:rsid w:val="00D903D9"/>
    <w:rsid w:val="00D90B5B"/>
    <w:rsid w:val="00D90D81"/>
    <w:rsid w:val="00D91331"/>
    <w:rsid w:val="00D91A26"/>
    <w:rsid w:val="00D92BB4"/>
    <w:rsid w:val="00D92BB7"/>
    <w:rsid w:val="00D92DB9"/>
    <w:rsid w:val="00D94018"/>
    <w:rsid w:val="00D94A7C"/>
    <w:rsid w:val="00D94C79"/>
    <w:rsid w:val="00D94CF7"/>
    <w:rsid w:val="00D94FB4"/>
    <w:rsid w:val="00D95896"/>
    <w:rsid w:val="00D96CDB"/>
    <w:rsid w:val="00D96DE2"/>
    <w:rsid w:val="00D97596"/>
    <w:rsid w:val="00D975FA"/>
    <w:rsid w:val="00DA03FF"/>
    <w:rsid w:val="00DA145F"/>
    <w:rsid w:val="00DA1FD7"/>
    <w:rsid w:val="00DA2F98"/>
    <w:rsid w:val="00DA3F04"/>
    <w:rsid w:val="00DA43D6"/>
    <w:rsid w:val="00DA4BDB"/>
    <w:rsid w:val="00DA52F9"/>
    <w:rsid w:val="00DA5D0B"/>
    <w:rsid w:val="00DA600A"/>
    <w:rsid w:val="00DA636A"/>
    <w:rsid w:val="00DA684C"/>
    <w:rsid w:val="00DA6CB0"/>
    <w:rsid w:val="00DA6D65"/>
    <w:rsid w:val="00DA7484"/>
    <w:rsid w:val="00DA776C"/>
    <w:rsid w:val="00DB0821"/>
    <w:rsid w:val="00DB096E"/>
    <w:rsid w:val="00DB13DA"/>
    <w:rsid w:val="00DB26ED"/>
    <w:rsid w:val="00DB2983"/>
    <w:rsid w:val="00DB3444"/>
    <w:rsid w:val="00DB366F"/>
    <w:rsid w:val="00DB3751"/>
    <w:rsid w:val="00DB3C6A"/>
    <w:rsid w:val="00DB3E03"/>
    <w:rsid w:val="00DB5150"/>
    <w:rsid w:val="00DB583A"/>
    <w:rsid w:val="00DB5EB5"/>
    <w:rsid w:val="00DB680B"/>
    <w:rsid w:val="00DB694D"/>
    <w:rsid w:val="00DB6FF2"/>
    <w:rsid w:val="00DB7197"/>
    <w:rsid w:val="00DB79D3"/>
    <w:rsid w:val="00DB7E2C"/>
    <w:rsid w:val="00DB7E48"/>
    <w:rsid w:val="00DC040F"/>
    <w:rsid w:val="00DC0E39"/>
    <w:rsid w:val="00DC1257"/>
    <w:rsid w:val="00DC1A5E"/>
    <w:rsid w:val="00DC1C18"/>
    <w:rsid w:val="00DC296E"/>
    <w:rsid w:val="00DC330D"/>
    <w:rsid w:val="00DC3ABA"/>
    <w:rsid w:val="00DC3C10"/>
    <w:rsid w:val="00DC3DC0"/>
    <w:rsid w:val="00DC4139"/>
    <w:rsid w:val="00DC4380"/>
    <w:rsid w:val="00DC4872"/>
    <w:rsid w:val="00DC509E"/>
    <w:rsid w:val="00DC5289"/>
    <w:rsid w:val="00DC5B2B"/>
    <w:rsid w:val="00DC6111"/>
    <w:rsid w:val="00DC6187"/>
    <w:rsid w:val="00DC61F3"/>
    <w:rsid w:val="00DC6564"/>
    <w:rsid w:val="00DC744D"/>
    <w:rsid w:val="00DC745A"/>
    <w:rsid w:val="00DC7D99"/>
    <w:rsid w:val="00DD0790"/>
    <w:rsid w:val="00DD0802"/>
    <w:rsid w:val="00DD1062"/>
    <w:rsid w:val="00DD131C"/>
    <w:rsid w:val="00DD18B4"/>
    <w:rsid w:val="00DD19D8"/>
    <w:rsid w:val="00DD23B7"/>
    <w:rsid w:val="00DD2959"/>
    <w:rsid w:val="00DD2D30"/>
    <w:rsid w:val="00DD318D"/>
    <w:rsid w:val="00DD334B"/>
    <w:rsid w:val="00DD33FF"/>
    <w:rsid w:val="00DD373B"/>
    <w:rsid w:val="00DD3DD6"/>
    <w:rsid w:val="00DD431D"/>
    <w:rsid w:val="00DD4720"/>
    <w:rsid w:val="00DD55C9"/>
    <w:rsid w:val="00DD55FC"/>
    <w:rsid w:val="00DD5C57"/>
    <w:rsid w:val="00DD6195"/>
    <w:rsid w:val="00DD67D0"/>
    <w:rsid w:val="00DD685B"/>
    <w:rsid w:val="00DD6D88"/>
    <w:rsid w:val="00DD7AAD"/>
    <w:rsid w:val="00DD7D61"/>
    <w:rsid w:val="00DE103B"/>
    <w:rsid w:val="00DE1EB3"/>
    <w:rsid w:val="00DE2309"/>
    <w:rsid w:val="00DE267D"/>
    <w:rsid w:val="00DE2A16"/>
    <w:rsid w:val="00DE600D"/>
    <w:rsid w:val="00DE6C68"/>
    <w:rsid w:val="00DE74A4"/>
    <w:rsid w:val="00DF026C"/>
    <w:rsid w:val="00DF0F4F"/>
    <w:rsid w:val="00DF14B2"/>
    <w:rsid w:val="00DF1A96"/>
    <w:rsid w:val="00DF2DF7"/>
    <w:rsid w:val="00DF2E12"/>
    <w:rsid w:val="00DF34A8"/>
    <w:rsid w:val="00DF3AE1"/>
    <w:rsid w:val="00DF3C54"/>
    <w:rsid w:val="00DF3D66"/>
    <w:rsid w:val="00DF3DD0"/>
    <w:rsid w:val="00DF474C"/>
    <w:rsid w:val="00DF514A"/>
    <w:rsid w:val="00DF51E5"/>
    <w:rsid w:val="00DF53F9"/>
    <w:rsid w:val="00DF5B0D"/>
    <w:rsid w:val="00DF5E7B"/>
    <w:rsid w:val="00DF63D1"/>
    <w:rsid w:val="00DF6690"/>
    <w:rsid w:val="00DF6804"/>
    <w:rsid w:val="00DF7578"/>
    <w:rsid w:val="00DF76D0"/>
    <w:rsid w:val="00E00455"/>
    <w:rsid w:val="00E008BB"/>
    <w:rsid w:val="00E02DED"/>
    <w:rsid w:val="00E0358D"/>
    <w:rsid w:val="00E03790"/>
    <w:rsid w:val="00E041DC"/>
    <w:rsid w:val="00E04323"/>
    <w:rsid w:val="00E04BCA"/>
    <w:rsid w:val="00E04BD5"/>
    <w:rsid w:val="00E0506A"/>
    <w:rsid w:val="00E05583"/>
    <w:rsid w:val="00E06230"/>
    <w:rsid w:val="00E06618"/>
    <w:rsid w:val="00E06C7E"/>
    <w:rsid w:val="00E070A2"/>
    <w:rsid w:val="00E10002"/>
    <w:rsid w:val="00E101C9"/>
    <w:rsid w:val="00E1080C"/>
    <w:rsid w:val="00E11057"/>
    <w:rsid w:val="00E113E9"/>
    <w:rsid w:val="00E1199A"/>
    <w:rsid w:val="00E1221B"/>
    <w:rsid w:val="00E1247B"/>
    <w:rsid w:val="00E12695"/>
    <w:rsid w:val="00E13D97"/>
    <w:rsid w:val="00E1479B"/>
    <w:rsid w:val="00E148AF"/>
    <w:rsid w:val="00E14FE0"/>
    <w:rsid w:val="00E15BAB"/>
    <w:rsid w:val="00E16121"/>
    <w:rsid w:val="00E1630A"/>
    <w:rsid w:val="00E1661F"/>
    <w:rsid w:val="00E16B7C"/>
    <w:rsid w:val="00E173CC"/>
    <w:rsid w:val="00E200D0"/>
    <w:rsid w:val="00E20370"/>
    <w:rsid w:val="00E2078A"/>
    <w:rsid w:val="00E20E44"/>
    <w:rsid w:val="00E2131A"/>
    <w:rsid w:val="00E2176D"/>
    <w:rsid w:val="00E21E54"/>
    <w:rsid w:val="00E21F09"/>
    <w:rsid w:val="00E22610"/>
    <w:rsid w:val="00E22BDC"/>
    <w:rsid w:val="00E22D84"/>
    <w:rsid w:val="00E23E02"/>
    <w:rsid w:val="00E2499F"/>
    <w:rsid w:val="00E25E6E"/>
    <w:rsid w:val="00E2656A"/>
    <w:rsid w:val="00E26582"/>
    <w:rsid w:val="00E26E96"/>
    <w:rsid w:val="00E300AE"/>
    <w:rsid w:val="00E30561"/>
    <w:rsid w:val="00E306BF"/>
    <w:rsid w:val="00E30AE0"/>
    <w:rsid w:val="00E317EA"/>
    <w:rsid w:val="00E31967"/>
    <w:rsid w:val="00E32F50"/>
    <w:rsid w:val="00E3355E"/>
    <w:rsid w:val="00E336E0"/>
    <w:rsid w:val="00E34A5C"/>
    <w:rsid w:val="00E35177"/>
    <w:rsid w:val="00E354B4"/>
    <w:rsid w:val="00E362CE"/>
    <w:rsid w:val="00E36739"/>
    <w:rsid w:val="00E369A3"/>
    <w:rsid w:val="00E36A39"/>
    <w:rsid w:val="00E36ED2"/>
    <w:rsid w:val="00E377EB"/>
    <w:rsid w:val="00E4098F"/>
    <w:rsid w:val="00E410BF"/>
    <w:rsid w:val="00E41251"/>
    <w:rsid w:val="00E412D0"/>
    <w:rsid w:val="00E417A1"/>
    <w:rsid w:val="00E41D3A"/>
    <w:rsid w:val="00E42AA7"/>
    <w:rsid w:val="00E42AF6"/>
    <w:rsid w:val="00E42CE6"/>
    <w:rsid w:val="00E43AC6"/>
    <w:rsid w:val="00E43D3C"/>
    <w:rsid w:val="00E4406D"/>
    <w:rsid w:val="00E44D37"/>
    <w:rsid w:val="00E44F1D"/>
    <w:rsid w:val="00E453F8"/>
    <w:rsid w:val="00E45404"/>
    <w:rsid w:val="00E4562A"/>
    <w:rsid w:val="00E4581C"/>
    <w:rsid w:val="00E4591A"/>
    <w:rsid w:val="00E46454"/>
    <w:rsid w:val="00E46AF7"/>
    <w:rsid w:val="00E478B5"/>
    <w:rsid w:val="00E479F8"/>
    <w:rsid w:val="00E5007A"/>
    <w:rsid w:val="00E5031E"/>
    <w:rsid w:val="00E5085E"/>
    <w:rsid w:val="00E50A43"/>
    <w:rsid w:val="00E51306"/>
    <w:rsid w:val="00E51ECB"/>
    <w:rsid w:val="00E51FFD"/>
    <w:rsid w:val="00E5219D"/>
    <w:rsid w:val="00E52F20"/>
    <w:rsid w:val="00E530D9"/>
    <w:rsid w:val="00E5361D"/>
    <w:rsid w:val="00E547E8"/>
    <w:rsid w:val="00E555AC"/>
    <w:rsid w:val="00E56322"/>
    <w:rsid w:val="00E5654F"/>
    <w:rsid w:val="00E56846"/>
    <w:rsid w:val="00E56BEC"/>
    <w:rsid w:val="00E570C8"/>
    <w:rsid w:val="00E57912"/>
    <w:rsid w:val="00E57BA6"/>
    <w:rsid w:val="00E57E18"/>
    <w:rsid w:val="00E601FB"/>
    <w:rsid w:val="00E60265"/>
    <w:rsid w:val="00E60312"/>
    <w:rsid w:val="00E6050C"/>
    <w:rsid w:val="00E60982"/>
    <w:rsid w:val="00E60EC1"/>
    <w:rsid w:val="00E60F88"/>
    <w:rsid w:val="00E61FFD"/>
    <w:rsid w:val="00E62378"/>
    <w:rsid w:val="00E626FF"/>
    <w:rsid w:val="00E62C62"/>
    <w:rsid w:val="00E635C4"/>
    <w:rsid w:val="00E64DBE"/>
    <w:rsid w:val="00E654C1"/>
    <w:rsid w:val="00E65D52"/>
    <w:rsid w:val="00E65D97"/>
    <w:rsid w:val="00E6611D"/>
    <w:rsid w:val="00E66184"/>
    <w:rsid w:val="00E66309"/>
    <w:rsid w:val="00E6655B"/>
    <w:rsid w:val="00E66FCF"/>
    <w:rsid w:val="00E719A5"/>
    <w:rsid w:val="00E719EB"/>
    <w:rsid w:val="00E71ED9"/>
    <w:rsid w:val="00E72A5A"/>
    <w:rsid w:val="00E72E73"/>
    <w:rsid w:val="00E73354"/>
    <w:rsid w:val="00E734FC"/>
    <w:rsid w:val="00E73506"/>
    <w:rsid w:val="00E73870"/>
    <w:rsid w:val="00E7398E"/>
    <w:rsid w:val="00E73BE6"/>
    <w:rsid w:val="00E74055"/>
    <w:rsid w:val="00E743FD"/>
    <w:rsid w:val="00E743FE"/>
    <w:rsid w:val="00E74D10"/>
    <w:rsid w:val="00E75158"/>
    <w:rsid w:val="00E75ACE"/>
    <w:rsid w:val="00E7630E"/>
    <w:rsid w:val="00E771FC"/>
    <w:rsid w:val="00E77448"/>
    <w:rsid w:val="00E77DD9"/>
    <w:rsid w:val="00E77DE5"/>
    <w:rsid w:val="00E8027A"/>
    <w:rsid w:val="00E812CC"/>
    <w:rsid w:val="00E819A7"/>
    <w:rsid w:val="00E81C30"/>
    <w:rsid w:val="00E81D40"/>
    <w:rsid w:val="00E821F0"/>
    <w:rsid w:val="00E828D6"/>
    <w:rsid w:val="00E83635"/>
    <w:rsid w:val="00E8372F"/>
    <w:rsid w:val="00E83C53"/>
    <w:rsid w:val="00E83CD2"/>
    <w:rsid w:val="00E8406A"/>
    <w:rsid w:val="00E842B9"/>
    <w:rsid w:val="00E844B4"/>
    <w:rsid w:val="00E8481A"/>
    <w:rsid w:val="00E855E0"/>
    <w:rsid w:val="00E85759"/>
    <w:rsid w:val="00E85853"/>
    <w:rsid w:val="00E863D9"/>
    <w:rsid w:val="00E86A84"/>
    <w:rsid w:val="00E86E50"/>
    <w:rsid w:val="00E90076"/>
    <w:rsid w:val="00E90475"/>
    <w:rsid w:val="00E907B9"/>
    <w:rsid w:val="00E90998"/>
    <w:rsid w:val="00E91159"/>
    <w:rsid w:val="00E92065"/>
    <w:rsid w:val="00E92120"/>
    <w:rsid w:val="00E9242D"/>
    <w:rsid w:val="00E928FE"/>
    <w:rsid w:val="00E92CE1"/>
    <w:rsid w:val="00E92D8B"/>
    <w:rsid w:val="00E92FCB"/>
    <w:rsid w:val="00E93DBD"/>
    <w:rsid w:val="00E94470"/>
    <w:rsid w:val="00E94A54"/>
    <w:rsid w:val="00E94C2C"/>
    <w:rsid w:val="00E9527F"/>
    <w:rsid w:val="00E96581"/>
    <w:rsid w:val="00E96C42"/>
    <w:rsid w:val="00E96D97"/>
    <w:rsid w:val="00E96E7C"/>
    <w:rsid w:val="00E970D9"/>
    <w:rsid w:val="00E97CF7"/>
    <w:rsid w:val="00E97F65"/>
    <w:rsid w:val="00EA0392"/>
    <w:rsid w:val="00EA0960"/>
    <w:rsid w:val="00EA0D14"/>
    <w:rsid w:val="00EA0D36"/>
    <w:rsid w:val="00EA10F4"/>
    <w:rsid w:val="00EA166D"/>
    <w:rsid w:val="00EA181E"/>
    <w:rsid w:val="00EA1ACF"/>
    <w:rsid w:val="00EA2893"/>
    <w:rsid w:val="00EA28E5"/>
    <w:rsid w:val="00EA2C55"/>
    <w:rsid w:val="00EA4577"/>
    <w:rsid w:val="00EA5347"/>
    <w:rsid w:val="00EA535B"/>
    <w:rsid w:val="00EA5D0E"/>
    <w:rsid w:val="00EA5FA5"/>
    <w:rsid w:val="00EA60CA"/>
    <w:rsid w:val="00EA7E4A"/>
    <w:rsid w:val="00EB0CDE"/>
    <w:rsid w:val="00EB1441"/>
    <w:rsid w:val="00EB20C9"/>
    <w:rsid w:val="00EB2979"/>
    <w:rsid w:val="00EB2D04"/>
    <w:rsid w:val="00EB2F2C"/>
    <w:rsid w:val="00EB3904"/>
    <w:rsid w:val="00EB3D42"/>
    <w:rsid w:val="00EB40FE"/>
    <w:rsid w:val="00EB4117"/>
    <w:rsid w:val="00EB5255"/>
    <w:rsid w:val="00EB5655"/>
    <w:rsid w:val="00EB5C47"/>
    <w:rsid w:val="00EB6A00"/>
    <w:rsid w:val="00EB6AC3"/>
    <w:rsid w:val="00EB6D2E"/>
    <w:rsid w:val="00EB745B"/>
    <w:rsid w:val="00EB79D8"/>
    <w:rsid w:val="00EB7D0F"/>
    <w:rsid w:val="00EB7EDC"/>
    <w:rsid w:val="00EC0274"/>
    <w:rsid w:val="00EC0605"/>
    <w:rsid w:val="00EC0AF5"/>
    <w:rsid w:val="00EC10FA"/>
    <w:rsid w:val="00EC1304"/>
    <w:rsid w:val="00EC15A2"/>
    <w:rsid w:val="00EC162B"/>
    <w:rsid w:val="00EC29F1"/>
    <w:rsid w:val="00EC329C"/>
    <w:rsid w:val="00EC4589"/>
    <w:rsid w:val="00EC490F"/>
    <w:rsid w:val="00EC57FF"/>
    <w:rsid w:val="00EC5F8C"/>
    <w:rsid w:val="00EC6455"/>
    <w:rsid w:val="00EC66D3"/>
    <w:rsid w:val="00EC6E51"/>
    <w:rsid w:val="00EC726C"/>
    <w:rsid w:val="00EC750F"/>
    <w:rsid w:val="00EC79E6"/>
    <w:rsid w:val="00ED0256"/>
    <w:rsid w:val="00ED0639"/>
    <w:rsid w:val="00ED1996"/>
    <w:rsid w:val="00ED1A9F"/>
    <w:rsid w:val="00ED1C1F"/>
    <w:rsid w:val="00ED1E92"/>
    <w:rsid w:val="00ED2221"/>
    <w:rsid w:val="00ED2425"/>
    <w:rsid w:val="00ED2AA5"/>
    <w:rsid w:val="00ED2B86"/>
    <w:rsid w:val="00ED3729"/>
    <w:rsid w:val="00ED39AA"/>
    <w:rsid w:val="00ED3D9E"/>
    <w:rsid w:val="00ED4326"/>
    <w:rsid w:val="00ED4CCA"/>
    <w:rsid w:val="00ED6407"/>
    <w:rsid w:val="00ED6F0C"/>
    <w:rsid w:val="00ED74C5"/>
    <w:rsid w:val="00ED7979"/>
    <w:rsid w:val="00ED79FF"/>
    <w:rsid w:val="00EE00D4"/>
    <w:rsid w:val="00EE029D"/>
    <w:rsid w:val="00EE05AE"/>
    <w:rsid w:val="00EE1215"/>
    <w:rsid w:val="00EE1240"/>
    <w:rsid w:val="00EE1595"/>
    <w:rsid w:val="00EE16AF"/>
    <w:rsid w:val="00EE16FD"/>
    <w:rsid w:val="00EE1DF6"/>
    <w:rsid w:val="00EE2358"/>
    <w:rsid w:val="00EE2963"/>
    <w:rsid w:val="00EE2BFE"/>
    <w:rsid w:val="00EE302D"/>
    <w:rsid w:val="00EE3516"/>
    <w:rsid w:val="00EE369D"/>
    <w:rsid w:val="00EE396D"/>
    <w:rsid w:val="00EE39D9"/>
    <w:rsid w:val="00EE3A4D"/>
    <w:rsid w:val="00EE3F4A"/>
    <w:rsid w:val="00EE45C7"/>
    <w:rsid w:val="00EE496D"/>
    <w:rsid w:val="00EE4A86"/>
    <w:rsid w:val="00EE4D46"/>
    <w:rsid w:val="00EE50CB"/>
    <w:rsid w:val="00EE5A85"/>
    <w:rsid w:val="00EE5F4B"/>
    <w:rsid w:val="00EE6215"/>
    <w:rsid w:val="00EE63E6"/>
    <w:rsid w:val="00EE6C47"/>
    <w:rsid w:val="00EE707D"/>
    <w:rsid w:val="00EE7987"/>
    <w:rsid w:val="00EE7A44"/>
    <w:rsid w:val="00EE7D45"/>
    <w:rsid w:val="00EE7E5C"/>
    <w:rsid w:val="00EE7F3B"/>
    <w:rsid w:val="00EF005F"/>
    <w:rsid w:val="00EF027C"/>
    <w:rsid w:val="00EF02F3"/>
    <w:rsid w:val="00EF178C"/>
    <w:rsid w:val="00EF1A1A"/>
    <w:rsid w:val="00EF2A96"/>
    <w:rsid w:val="00EF2ABE"/>
    <w:rsid w:val="00EF2C06"/>
    <w:rsid w:val="00EF3572"/>
    <w:rsid w:val="00EF3BA5"/>
    <w:rsid w:val="00EF4755"/>
    <w:rsid w:val="00EF4CC0"/>
    <w:rsid w:val="00EF4DE8"/>
    <w:rsid w:val="00EF50A7"/>
    <w:rsid w:val="00EF5708"/>
    <w:rsid w:val="00EF59AF"/>
    <w:rsid w:val="00EF63FA"/>
    <w:rsid w:val="00EF69FD"/>
    <w:rsid w:val="00EF7135"/>
    <w:rsid w:val="00EF765E"/>
    <w:rsid w:val="00F007B4"/>
    <w:rsid w:val="00F0159B"/>
    <w:rsid w:val="00F01CBB"/>
    <w:rsid w:val="00F021E9"/>
    <w:rsid w:val="00F02484"/>
    <w:rsid w:val="00F027DB"/>
    <w:rsid w:val="00F02816"/>
    <w:rsid w:val="00F031CE"/>
    <w:rsid w:val="00F03403"/>
    <w:rsid w:val="00F03981"/>
    <w:rsid w:val="00F039A7"/>
    <w:rsid w:val="00F03AEF"/>
    <w:rsid w:val="00F03DCC"/>
    <w:rsid w:val="00F041BB"/>
    <w:rsid w:val="00F042A1"/>
    <w:rsid w:val="00F04943"/>
    <w:rsid w:val="00F05187"/>
    <w:rsid w:val="00F053E4"/>
    <w:rsid w:val="00F05915"/>
    <w:rsid w:val="00F05CDA"/>
    <w:rsid w:val="00F05D28"/>
    <w:rsid w:val="00F05DAE"/>
    <w:rsid w:val="00F05FC0"/>
    <w:rsid w:val="00F0613F"/>
    <w:rsid w:val="00F06759"/>
    <w:rsid w:val="00F06B91"/>
    <w:rsid w:val="00F07801"/>
    <w:rsid w:val="00F100F4"/>
    <w:rsid w:val="00F101C9"/>
    <w:rsid w:val="00F10E71"/>
    <w:rsid w:val="00F113BB"/>
    <w:rsid w:val="00F11702"/>
    <w:rsid w:val="00F11B5D"/>
    <w:rsid w:val="00F11C87"/>
    <w:rsid w:val="00F11F1D"/>
    <w:rsid w:val="00F126C0"/>
    <w:rsid w:val="00F128C5"/>
    <w:rsid w:val="00F12EA7"/>
    <w:rsid w:val="00F138C3"/>
    <w:rsid w:val="00F13921"/>
    <w:rsid w:val="00F14490"/>
    <w:rsid w:val="00F14500"/>
    <w:rsid w:val="00F14A7A"/>
    <w:rsid w:val="00F151D3"/>
    <w:rsid w:val="00F152EF"/>
    <w:rsid w:val="00F157CA"/>
    <w:rsid w:val="00F15C05"/>
    <w:rsid w:val="00F1617F"/>
    <w:rsid w:val="00F16D69"/>
    <w:rsid w:val="00F17018"/>
    <w:rsid w:val="00F17272"/>
    <w:rsid w:val="00F176C7"/>
    <w:rsid w:val="00F17743"/>
    <w:rsid w:val="00F17FD6"/>
    <w:rsid w:val="00F20052"/>
    <w:rsid w:val="00F20143"/>
    <w:rsid w:val="00F202FD"/>
    <w:rsid w:val="00F21101"/>
    <w:rsid w:val="00F22985"/>
    <w:rsid w:val="00F233E6"/>
    <w:rsid w:val="00F24466"/>
    <w:rsid w:val="00F27ED6"/>
    <w:rsid w:val="00F30160"/>
    <w:rsid w:val="00F31084"/>
    <w:rsid w:val="00F31644"/>
    <w:rsid w:val="00F321AD"/>
    <w:rsid w:val="00F3383E"/>
    <w:rsid w:val="00F33845"/>
    <w:rsid w:val="00F33F2E"/>
    <w:rsid w:val="00F3408B"/>
    <w:rsid w:val="00F34933"/>
    <w:rsid w:val="00F359BC"/>
    <w:rsid w:val="00F35F3A"/>
    <w:rsid w:val="00F3619F"/>
    <w:rsid w:val="00F373D2"/>
    <w:rsid w:val="00F37B4E"/>
    <w:rsid w:val="00F40081"/>
    <w:rsid w:val="00F4014D"/>
    <w:rsid w:val="00F401EE"/>
    <w:rsid w:val="00F40278"/>
    <w:rsid w:val="00F40A59"/>
    <w:rsid w:val="00F4228F"/>
    <w:rsid w:val="00F42470"/>
    <w:rsid w:val="00F42BAA"/>
    <w:rsid w:val="00F42CE3"/>
    <w:rsid w:val="00F43006"/>
    <w:rsid w:val="00F435A7"/>
    <w:rsid w:val="00F43FAE"/>
    <w:rsid w:val="00F4411C"/>
    <w:rsid w:val="00F44A50"/>
    <w:rsid w:val="00F45855"/>
    <w:rsid w:val="00F459BA"/>
    <w:rsid w:val="00F45EFB"/>
    <w:rsid w:val="00F465A7"/>
    <w:rsid w:val="00F46830"/>
    <w:rsid w:val="00F46916"/>
    <w:rsid w:val="00F4728C"/>
    <w:rsid w:val="00F4773C"/>
    <w:rsid w:val="00F47ACA"/>
    <w:rsid w:val="00F50B7C"/>
    <w:rsid w:val="00F50BF7"/>
    <w:rsid w:val="00F50F4A"/>
    <w:rsid w:val="00F52479"/>
    <w:rsid w:val="00F527AA"/>
    <w:rsid w:val="00F529EA"/>
    <w:rsid w:val="00F53067"/>
    <w:rsid w:val="00F53AA2"/>
    <w:rsid w:val="00F53B2C"/>
    <w:rsid w:val="00F53B9C"/>
    <w:rsid w:val="00F544B4"/>
    <w:rsid w:val="00F544E4"/>
    <w:rsid w:val="00F5489C"/>
    <w:rsid w:val="00F549DF"/>
    <w:rsid w:val="00F550E6"/>
    <w:rsid w:val="00F55CF9"/>
    <w:rsid w:val="00F5645D"/>
    <w:rsid w:val="00F56A49"/>
    <w:rsid w:val="00F56C1F"/>
    <w:rsid w:val="00F570B6"/>
    <w:rsid w:val="00F57A03"/>
    <w:rsid w:val="00F601E8"/>
    <w:rsid w:val="00F6024B"/>
    <w:rsid w:val="00F6091D"/>
    <w:rsid w:val="00F60A07"/>
    <w:rsid w:val="00F60A8A"/>
    <w:rsid w:val="00F62178"/>
    <w:rsid w:val="00F62F90"/>
    <w:rsid w:val="00F6317E"/>
    <w:rsid w:val="00F63490"/>
    <w:rsid w:val="00F636E3"/>
    <w:rsid w:val="00F6430D"/>
    <w:rsid w:val="00F64A88"/>
    <w:rsid w:val="00F64C3A"/>
    <w:rsid w:val="00F64C3C"/>
    <w:rsid w:val="00F655AB"/>
    <w:rsid w:val="00F6586D"/>
    <w:rsid w:val="00F6683C"/>
    <w:rsid w:val="00F67D3D"/>
    <w:rsid w:val="00F67F54"/>
    <w:rsid w:val="00F700D6"/>
    <w:rsid w:val="00F71531"/>
    <w:rsid w:val="00F72228"/>
    <w:rsid w:val="00F7283A"/>
    <w:rsid w:val="00F7296F"/>
    <w:rsid w:val="00F72A71"/>
    <w:rsid w:val="00F730D1"/>
    <w:rsid w:val="00F73358"/>
    <w:rsid w:val="00F7382F"/>
    <w:rsid w:val="00F73BF8"/>
    <w:rsid w:val="00F74345"/>
    <w:rsid w:val="00F746DD"/>
    <w:rsid w:val="00F74779"/>
    <w:rsid w:val="00F74983"/>
    <w:rsid w:val="00F74F73"/>
    <w:rsid w:val="00F759BF"/>
    <w:rsid w:val="00F76314"/>
    <w:rsid w:val="00F80035"/>
    <w:rsid w:val="00F80A0A"/>
    <w:rsid w:val="00F8143B"/>
    <w:rsid w:val="00F818BB"/>
    <w:rsid w:val="00F81EAD"/>
    <w:rsid w:val="00F82072"/>
    <w:rsid w:val="00F820AC"/>
    <w:rsid w:val="00F822D1"/>
    <w:rsid w:val="00F82B19"/>
    <w:rsid w:val="00F82B40"/>
    <w:rsid w:val="00F8350C"/>
    <w:rsid w:val="00F83A6A"/>
    <w:rsid w:val="00F8413C"/>
    <w:rsid w:val="00F841E4"/>
    <w:rsid w:val="00F84C39"/>
    <w:rsid w:val="00F85E54"/>
    <w:rsid w:val="00F85EE8"/>
    <w:rsid w:val="00F86297"/>
    <w:rsid w:val="00F9144D"/>
    <w:rsid w:val="00F91E76"/>
    <w:rsid w:val="00F9212D"/>
    <w:rsid w:val="00F9217A"/>
    <w:rsid w:val="00F92257"/>
    <w:rsid w:val="00F93B29"/>
    <w:rsid w:val="00F93E82"/>
    <w:rsid w:val="00F945AB"/>
    <w:rsid w:val="00F94685"/>
    <w:rsid w:val="00F94728"/>
    <w:rsid w:val="00F94D6E"/>
    <w:rsid w:val="00F9563F"/>
    <w:rsid w:val="00F957C6"/>
    <w:rsid w:val="00F95AB6"/>
    <w:rsid w:val="00F9640F"/>
    <w:rsid w:val="00F965DA"/>
    <w:rsid w:val="00F96703"/>
    <w:rsid w:val="00F96B57"/>
    <w:rsid w:val="00F97425"/>
    <w:rsid w:val="00F97637"/>
    <w:rsid w:val="00F97900"/>
    <w:rsid w:val="00FA0456"/>
    <w:rsid w:val="00FA04EA"/>
    <w:rsid w:val="00FA082E"/>
    <w:rsid w:val="00FA0F93"/>
    <w:rsid w:val="00FA12C7"/>
    <w:rsid w:val="00FA25D0"/>
    <w:rsid w:val="00FA27A2"/>
    <w:rsid w:val="00FA33CD"/>
    <w:rsid w:val="00FA39E7"/>
    <w:rsid w:val="00FA3BF9"/>
    <w:rsid w:val="00FA3C93"/>
    <w:rsid w:val="00FA406A"/>
    <w:rsid w:val="00FA4B35"/>
    <w:rsid w:val="00FA50C6"/>
    <w:rsid w:val="00FA5BCE"/>
    <w:rsid w:val="00FA602B"/>
    <w:rsid w:val="00FA760A"/>
    <w:rsid w:val="00FA7AD5"/>
    <w:rsid w:val="00FB0F9C"/>
    <w:rsid w:val="00FB1521"/>
    <w:rsid w:val="00FB1DAC"/>
    <w:rsid w:val="00FB297B"/>
    <w:rsid w:val="00FB375F"/>
    <w:rsid w:val="00FB3AAB"/>
    <w:rsid w:val="00FB4A52"/>
    <w:rsid w:val="00FB4ABD"/>
    <w:rsid w:val="00FB4CA5"/>
    <w:rsid w:val="00FB503A"/>
    <w:rsid w:val="00FB516C"/>
    <w:rsid w:val="00FB5C36"/>
    <w:rsid w:val="00FB71B4"/>
    <w:rsid w:val="00FB78D3"/>
    <w:rsid w:val="00FB7AC2"/>
    <w:rsid w:val="00FB7DB1"/>
    <w:rsid w:val="00FC05E9"/>
    <w:rsid w:val="00FC14D3"/>
    <w:rsid w:val="00FC163B"/>
    <w:rsid w:val="00FC1F5D"/>
    <w:rsid w:val="00FC3E87"/>
    <w:rsid w:val="00FC3EB6"/>
    <w:rsid w:val="00FC41FD"/>
    <w:rsid w:val="00FC431F"/>
    <w:rsid w:val="00FC46A0"/>
    <w:rsid w:val="00FC5B4C"/>
    <w:rsid w:val="00FC5E24"/>
    <w:rsid w:val="00FC62AA"/>
    <w:rsid w:val="00FC62B1"/>
    <w:rsid w:val="00FC64B6"/>
    <w:rsid w:val="00FC6620"/>
    <w:rsid w:val="00FD0236"/>
    <w:rsid w:val="00FD06DC"/>
    <w:rsid w:val="00FD087F"/>
    <w:rsid w:val="00FD0AC4"/>
    <w:rsid w:val="00FD18F4"/>
    <w:rsid w:val="00FD197C"/>
    <w:rsid w:val="00FD1B5D"/>
    <w:rsid w:val="00FD2189"/>
    <w:rsid w:val="00FD2212"/>
    <w:rsid w:val="00FD259B"/>
    <w:rsid w:val="00FD27F8"/>
    <w:rsid w:val="00FD2CE2"/>
    <w:rsid w:val="00FD42A4"/>
    <w:rsid w:val="00FD49BE"/>
    <w:rsid w:val="00FD4A94"/>
    <w:rsid w:val="00FD4EE0"/>
    <w:rsid w:val="00FD5166"/>
    <w:rsid w:val="00FD54DB"/>
    <w:rsid w:val="00FD5999"/>
    <w:rsid w:val="00FD5EFE"/>
    <w:rsid w:val="00FD619F"/>
    <w:rsid w:val="00FD699D"/>
    <w:rsid w:val="00FD702B"/>
    <w:rsid w:val="00FD7683"/>
    <w:rsid w:val="00FD7975"/>
    <w:rsid w:val="00FE089B"/>
    <w:rsid w:val="00FE16FC"/>
    <w:rsid w:val="00FE1B34"/>
    <w:rsid w:val="00FE1D09"/>
    <w:rsid w:val="00FE23D7"/>
    <w:rsid w:val="00FE35A5"/>
    <w:rsid w:val="00FE483B"/>
    <w:rsid w:val="00FE4866"/>
    <w:rsid w:val="00FE6A39"/>
    <w:rsid w:val="00FE6E7A"/>
    <w:rsid w:val="00FE6EA3"/>
    <w:rsid w:val="00FE7550"/>
    <w:rsid w:val="00FE7BCF"/>
    <w:rsid w:val="00FF152C"/>
    <w:rsid w:val="00FF1DEC"/>
    <w:rsid w:val="00FF1EAD"/>
    <w:rsid w:val="00FF20C6"/>
    <w:rsid w:val="00FF259E"/>
    <w:rsid w:val="00FF267D"/>
    <w:rsid w:val="00FF43B6"/>
    <w:rsid w:val="00FF4906"/>
    <w:rsid w:val="00FF496C"/>
    <w:rsid w:val="00FF4AA2"/>
    <w:rsid w:val="00FF52AE"/>
    <w:rsid w:val="00FF54AF"/>
    <w:rsid w:val="00FF66E2"/>
    <w:rsid w:val="00FF6885"/>
    <w:rsid w:val="00FF6920"/>
    <w:rsid w:val="00FF6EF2"/>
    <w:rsid w:val="00FF745D"/>
    <w:rsid w:val="00FF7A15"/>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E8C4FBC"/>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972194"/>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6A56E50"/>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9"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ocked="1"/>
    <w:lsdException w:uiPriority="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ocked="1"/>
    <w:lsdException w:qFormat="1" w:unhideWhenUsed="0" w:uiPriority="0" w:semiHidden="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qFormat="1" w:unhideWhenUsed="0" w:uiPriority="99" w:semiHidden="0" w:name="Body Text First Indent" w:locked="1"/>
    <w:lsdException w:qFormat="1" w:unhideWhenUsed="0" w:uiPriority="0" w:semiHidden="0" w:name="Body Text First Indent 2" w:locked="1"/>
    <w:lsdException w:uiPriority="0" w:name="Note Heading" w:locked="1"/>
    <w:lsdException w:uiPriority="0" w:name="Body Text 2" w:locked="1"/>
    <w:lsdException w:uiPriority="0" w:name="Body Text 3" w:locked="1"/>
    <w:lsdException w:qFormat="1" w:uiPriority="99" w:name="Body Text Indent 2" w:locked="1"/>
    <w:lsdException w:uiPriority="0" w:name="Body Text Indent 3" w:locked="1"/>
    <w:lsdException w:uiPriority="0" w:name="Block Text" w:locked="1"/>
    <w:lsdException w:qFormat="1" w:uiPriority="99" w:semiHidden="0" w:name="Hyperlink" w:locked="1"/>
    <w:lsdException w:qFormat="1" w:uiPriority="99" w:name="FollowedHyperlink" w:locked="1"/>
    <w:lsdException w:qFormat="1" w:unhideWhenUsed="0" w:uiPriority="0" w:semiHidden="0" w:name="Strong" w:locked="1"/>
    <w:lsdException w:qFormat="1" w:unhideWhenUsed="0" w:uiPriority="0" w:semiHidden="0" w:name="Emphasis" w:locked="1"/>
    <w:lsdException w:qFormat="1" w:unhideWhenUsed="0" w:uiPriority="99" w:semiHidden="0" w:name="Document Map" w:locked="1"/>
    <w:lsdException w:qFormat="1" w:unhideWhenUsed="0" w:uiPriority="2"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0" w:semiHidden="0" w:name="Table Grid"/>
    <w:lsdException w:uiPriority="0" w:name="Table Theme" w:locked="1"/>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qFormat/>
    <w:locked/>
    <w:uiPriority w:val="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87"/>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85"/>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link w:val="95"/>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96"/>
    <w:semiHidden/>
    <w:unhideWhenUsed/>
    <w:qFormat/>
    <w:locked/>
    <w:uiPriority w:val="9"/>
    <w:pPr>
      <w:keepNext/>
      <w:keepLines/>
      <w:spacing w:before="280" w:after="290" w:line="376" w:lineRule="auto"/>
      <w:outlineLvl w:val="4"/>
    </w:pPr>
    <w:rPr>
      <w:rFonts w:cstheme="minorBidi"/>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locked/>
    <w:uiPriority w:val="39"/>
    <w:pPr>
      <w:spacing w:line="360" w:lineRule="auto"/>
      <w:ind w:left="1440"/>
      <w:jc w:val="left"/>
    </w:pPr>
    <w:rPr>
      <w:rFonts w:asciiTheme="minorHAnsi" w:hAnsiTheme="minorHAnsi" w:cstheme="minorHAnsi"/>
      <w:sz w:val="18"/>
      <w:szCs w:val="18"/>
    </w:rPr>
  </w:style>
  <w:style w:type="paragraph" w:styleId="8">
    <w:name w:val="Normal Indent"/>
    <w:basedOn w:val="1"/>
    <w:link w:val="70"/>
    <w:qFormat/>
    <w:locked/>
    <w:uiPriority w:val="0"/>
    <w:pPr>
      <w:ind w:firstLine="420"/>
    </w:pPr>
    <w:rPr>
      <w:kern w:val="0"/>
      <w:sz w:val="20"/>
    </w:rPr>
  </w:style>
  <w:style w:type="paragraph" w:styleId="9">
    <w:name w:val="caption"/>
    <w:basedOn w:val="1"/>
    <w:next w:val="1"/>
    <w:qFormat/>
    <w:locked/>
    <w:uiPriority w:val="0"/>
    <w:rPr>
      <w:rFonts w:ascii="Calibri Light" w:hAnsi="Calibri Light" w:eastAsia="黑体"/>
      <w:sz w:val="20"/>
      <w:szCs w:val="20"/>
    </w:rPr>
  </w:style>
  <w:style w:type="paragraph" w:styleId="10">
    <w:name w:val="Document Map"/>
    <w:basedOn w:val="1"/>
    <w:link w:val="71"/>
    <w:qFormat/>
    <w:locked/>
    <w:uiPriority w:val="99"/>
    <w:rPr>
      <w:rFonts w:ascii="宋体"/>
      <w:sz w:val="18"/>
      <w:szCs w:val="18"/>
    </w:rPr>
  </w:style>
  <w:style w:type="paragraph" w:styleId="11">
    <w:name w:val="annotation text"/>
    <w:basedOn w:val="1"/>
    <w:link w:val="45"/>
    <w:qFormat/>
    <w:uiPriority w:val="0"/>
    <w:pPr>
      <w:jc w:val="left"/>
    </w:pPr>
    <w:rPr>
      <w:kern w:val="0"/>
      <w:sz w:val="24"/>
      <w:szCs w:val="20"/>
    </w:rPr>
  </w:style>
  <w:style w:type="paragraph" w:styleId="12">
    <w:name w:val="Body Text"/>
    <w:basedOn w:val="1"/>
    <w:link w:val="44"/>
    <w:qFormat/>
    <w:uiPriority w:val="99"/>
    <w:pPr>
      <w:widowControl/>
      <w:snapToGrid w:val="0"/>
      <w:spacing w:before="60" w:after="160" w:line="259" w:lineRule="auto"/>
      <w:ind w:right="113"/>
    </w:pPr>
    <w:rPr>
      <w:kern w:val="0"/>
      <w:sz w:val="18"/>
      <w:szCs w:val="20"/>
    </w:rPr>
  </w:style>
  <w:style w:type="paragraph" w:styleId="13">
    <w:name w:val="Body Text Indent"/>
    <w:basedOn w:val="1"/>
    <w:link w:val="53"/>
    <w:qFormat/>
    <w:uiPriority w:val="0"/>
    <w:pPr>
      <w:spacing w:after="120"/>
      <w:ind w:left="420" w:leftChars="200"/>
    </w:pPr>
    <w:rPr>
      <w:kern w:val="0"/>
      <w:sz w:val="24"/>
      <w:szCs w:val="20"/>
    </w:rPr>
  </w:style>
  <w:style w:type="paragraph" w:styleId="14">
    <w:name w:val="toc 5"/>
    <w:basedOn w:val="1"/>
    <w:next w:val="1"/>
    <w:unhideWhenUsed/>
    <w:qFormat/>
    <w:locked/>
    <w:uiPriority w:val="39"/>
    <w:pPr>
      <w:spacing w:line="360" w:lineRule="auto"/>
      <w:ind w:left="960"/>
      <w:jc w:val="left"/>
    </w:pPr>
    <w:rPr>
      <w:rFonts w:asciiTheme="minorHAnsi" w:hAnsiTheme="minorHAnsi" w:cstheme="minorHAnsi"/>
      <w:sz w:val="18"/>
      <w:szCs w:val="18"/>
    </w:rPr>
  </w:style>
  <w:style w:type="paragraph" w:styleId="15">
    <w:name w:val="toc 3"/>
    <w:basedOn w:val="1"/>
    <w:next w:val="1"/>
    <w:unhideWhenUsed/>
    <w:qFormat/>
    <w:locked/>
    <w:uiPriority w:val="39"/>
    <w:pPr>
      <w:spacing w:line="360" w:lineRule="auto"/>
      <w:ind w:left="480"/>
      <w:jc w:val="left"/>
    </w:pPr>
    <w:rPr>
      <w:rFonts w:asciiTheme="minorHAnsi" w:hAnsiTheme="minorHAnsi" w:cstheme="minorHAnsi"/>
      <w:i/>
      <w:iCs/>
      <w:sz w:val="20"/>
      <w:szCs w:val="20"/>
    </w:rPr>
  </w:style>
  <w:style w:type="paragraph" w:styleId="16">
    <w:name w:val="Plain Text"/>
    <w:basedOn w:val="1"/>
    <w:link w:val="75"/>
    <w:qFormat/>
    <w:locked/>
    <w:uiPriority w:val="2"/>
    <w:pPr>
      <w:widowControl/>
      <w:snapToGrid w:val="0"/>
      <w:spacing w:before="100" w:beforeAutospacing="1" w:after="100" w:afterAutospacing="1" w:line="360" w:lineRule="auto"/>
      <w:ind w:firstLine="200" w:firstLineChars="200"/>
      <w:jc w:val="left"/>
    </w:pPr>
    <w:rPr>
      <w:rFonts w:ascii="宋体" w:hAnsi="宋体"/>
      <w:kern w:val="0"/>
      <w:sz w:val="24"/>
    </w:rPr>
  </w:style>
  <w:style w:type="paragraph" w:styleId="17">
    <w:name w:val="toc 8"/>
    <w:basedOn w:val="1"/>
    <w:next w:val="1"/>
    <w:unhideWhenUsed/>
    <w:qFormat/>
    <w:locked/>
    <w:uiPriority w:val="39"/>
    <w:pPr>
      <w:spacing w:line="360" w:lineRule="auto"/>
      <w:ind w:left="1680"/>
      <w:jc w:val="left"/>
    </w:pPr>
    <w:rPr>
      <w:rFonts w:asciiTheme="minorHAnsi" w:hAnsiTheme="minorHAnsi" w:cstheme="minorHAnsi"/>
      <w:sz w:val="18"/>
      <w:szCs w:val="18"/>
    </w:rPr>
  </w:style>
  <w:style w:type="paragraph" w:styleId="18">
    <w:name w:val="Date"/>
    <w:basedOn w:val="1"/>
    <w:next w:val="1"/>
    <w:link w:val="40"/>
    <w:qFormat/>
    <w:uiPriority w:val="0"/>
    <w:pPr>
      <w:ind w:left="100" w:leftChars="2500"/>
    </w:pPr>
    <w:rPr>
      <w:kern w:val="0"/>
      <w:sz w:val="24"/>
      <w:szCs w:val="20"/>
    </w:rPr>
  </w:style>
  <w:style w:type="paragraph" w:styleId="19">
    <w:name w:val="Body Text Indent 2"/>
    <w:basedOn w:val="1"/>
    <w:link w:val="97"/>
    <w:semiHidden/>
    <w:unhideWhenUsed/>
    <w:qFormat/>
    <w:locked/>
    <w:uiPriority w:val="99"/>
    <w:pPr>
      <w:spacing w:after="120" w:line="480" w:lineRule="auto"/>
      <w:ind w:left="420" w:leftChars="200"/>
    </w:pPr>
    <w:rPr>
      <w:rFonts w:cstheme="minorBidi"/>
      <w:sz w:val="24"/>
      <w:szCs w:val="22"/>
    </w:rPr>
  </w:style>
  <w:style w:type="paragraph" w:styleId="20">
    <w:name w:val="Balloon Text"/>
    <w:basedOn w:val="1"/>
    <w:link w:val="49"/>
    <w:semiHidden/>
    <w:qFormat/>
    <w:uiPriority w:val="99"/>
    <w:rPr>
      <w:kern w:val="0"/>
      <w:sz w:val="18"/>
      <w:szCs w:val="20"/>
    </w:rPr>
  </w:style>
  <w:style w:type="paragraph" w:styleId="21">
    <w:name w:val="footer"/>
    <w:basedOn w:val="1"/>
    <w:link w:val="39"/>
    <w:qFormat/>
    <w:uiPriority w:val="99"/>
    <w:pPr>
      <w:tabs>
        <w:tab w:val="center" w:pos="4153"/>
        <w:tab w:val="right" w:pos="8306"/>
      </w:tabs>
      <w:snapToGrid w:val="0"/>
      <w:jc w:val="left"/>
    </w:pPr>
    <w:rPr>
      <w:kern w:val="0"/>
      <w:sz w:val="18"/>
      <w:szCs w:val="20"/>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autoRedefine/>
    <w:qFormat/>
    <w:locked/>
    <w:uiPriority w:val="39"/>
    <w:pPr>
      <w:spacing w:before="120" w:after="120"/>
      <w:jc w:val="left"/>
    </w:pPr>
    <w:rPr>
      <w:rFonts w:asciiTheme="minorHAnsi" w:hAnsiTheme="minorHAnsi" w:cstheme="minorHAnsi"/>
      <w:b/>
      <w:bCs/>
      <w:caps/>
      <w:sz w:val="20"/>
      <w:szCs w:val="20"/>
    </w:rPr>
  </w:style>
  <w:style w:type="paragraph" w:styleId="24">
    <w:name w:val="toc 4"/>
    <w:basedOn w:val="1"/>
    <w:next w:val="1"/>
    <w:unhideWhenUsed/>
    <w:qFormat/>
    <w:locked/>
    <w:uiPriority w:val="39"/>
    <w:pPr>
      <w:spacing w:line="360" w:lineRule="auto"/>
      <w:ind w:left="720"/>
      <w:jc w:val="left"/>
    </w:pPr>
    <w:rPr>
      <w:rFonts w:asciiTheme="minorHAnsi" w:hAnsiTheme="minorHAnsi" w:cstheme="minorHAnsi"/>
      <w:sz w:val="18"/>
      <w:szCs w:val="18"/>
    </w:rPr>
  </w:style>
  <w:style w:type="paragraph" w:styleId="25">
    <w:name w:val="toc 6"/>
    <w:basedOn w:val="1"/>
    <w:next w:val="1"/>
    <w:unhideWhenUsed/>
    <w:qFormat/>
    <w:locked/>
    <w:uiPriority w:val="39"/>
    <w:pPr>
      <w:spacing w:line="360" w:lineRule="auto"/>
      <w:ind w:left="1200"/>
      <w:jc w:val="left"/>
    </w:pPr>
    <w:rPr>
      <w:rFonts w:asciiTheme="minorHAnsi" w:hAnsiTheme="minorHAnsi" w:cstheme="minorHAnsi"/>
      <w:sz w:val="18"/>
      <w:szCs w:val="18"/>
    </w:rPr>
  </w:style>
  <w:style w:type="paragraph" w:styleId="26">
    <w:name w:val="toc 2"/>
    <w:basedOn w:val="1"/>
    <w:next w:val="1"/>
    <w:unhideWhenUsed/>
    <w:qFormat/>
    <w:locked/>
    <w:uiPriority w:val="39"/>
    <w:pPr>
      <w:spacing w:line="360" w:lineRule="auto"/>
      <w:ind w:left="240"/>
      <w:jc w:val="left"/>
    </w:pPr>
    <w:rPr>
      <w:rFonts w:asciiTheme="minorHAnsi" w:hAnsiTheme="minorHAnsi" w:cstheme="minorHAnsi"/>
      <w:smallCaps/>
      <w:sz w:val="20"/>
      <w:szCs w:val="20"/>
    </w:rPr>
  </w:style>
  <w:style w:type="paragraph" w:styleId="27">
    <w:name w:val="toc 9"/>
    <w:basedOn w:val="1"/>
    <w:next w:val="1"/>
    <w:unhideWhenUsed/>
    <w:qFormat/>
    <w:locked/>
    <w:uiPriority w:val="39"/>
    <w:pPr>
      <w:spacing w:line="360" w:lineRule="auto"/>
      <w:ind w:left="1920"/>
      <w:jc w:val="left"/>
    </w:pPr>
    <w:rPr>
      <w:rFonts w:asciiTheme="minorHAnsi" w:hAnsiTheme="minorHAnsi" w:cstheme="minorHAnsi"/>
      <w:sz w:val="18"/>
      <w:szCs w:val="18"/>
    </w:rPr>
  </w:style>
  <w:style w:type="paragraph" w:styleId="28">
    <w:name w:val="Normal (Web)"/>
    <w:basedOn w:val="1"/>
    <w:link w:val="42"/>
    <w:qFormat/>
    <w:uiPriority w:val="0"/>
    <w:pPr>
      <w:widowControl/>
      <w:spacing w:before="100" w:beforeAutospacing="1" w:after="100" w:afterAutospacing="1"/>
      <w:jc w:val="left"/>
    </w:pPr>
    <w:rPr>
      <w:rFonts w:ascii="宋体" w:hAnsi="宋体"/>
      <w:kern w:val="0"/>
      <w:sz w:val="24"/>
      <w:szCs w:val="20"/>
    </w:rPr>
  </w:style>
  <w:style w:type="paragraph" w:styleId="29">
    <w:name w:val="annotation subject"/>
    <w:basedOn w:val="11"/>
    <w:next w:val="11"/>
    <w:link w:val="50"/>
    <w:semiHidden/>
    <w:qFormat/>
    <w:uiPriority w:val="0"/>
    <w:rPr>
      <w:b/>
      <w:kern w:val="2"/>
    </w:rPr>
  </w:style>
  <w:style w:type="paragraph" w:styleId="30">
    <w:name w:val="Body Text First Indent"/>
    <w:basedOn w:val="12"/>
    <w:link w:val="56"/>
    <w:qFormat/>
    <w:locked/>
    <w:uiPriority w:val="99"/>
    <w:pPr>
      <w:widowControl w:val="0"/>
      <w:snapToGrid/>
      <w:spacing w:before="0" w:after="120" w:line="240" w:lineRule="auto"/>
      <w:ind w:right="0" w:firstLine="420" w:firstLineChars="100"/>
    </w:pPr>
    <w:rPr>
      <w:kern w:val="2"/>
      <w:sz w:val="21"/>
      <w:szCs w:val="24"/>
    </w:rPr>
  </w:style>
  <w:style w:type="paragraph" w:styleId="31">
    <w:name w:val="Body Text First Indent 2"/>
    <w:basedOn w:val="13"/>
    <w:link w:val="57"/>
    <w:qFormat/>
    <w:locked/>
    <w:uiPriority w:val="0"/>
    <w:pPr>
      <w:ind w:firstLine="420" w:firstLineChars="200"/>
    </w:pPr>
    <w:rPr>
      <w:kern w:val="2"/>
      <w:sz w:val="21"/>
      <w:szCs w:val="24"/>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locked/>
    <w:uiPriority w:val="0"/>
  </w:style>
  <w:style w:type="character" w:styleId="36">
    <w:name w:val="FollowedHyperlink"/>
    <w:basedOn w:val="34"/>
    <w:semiHidden/>
    <w:unhideWhenUsed/>
    <w:qFormat/>
    <w:locked/>
    <w:uiPriority w:val="99"/>
    <w:rPr>
      <w:color w:val="800080" w:themeColor="followedHyperlink"/>
      <w:u w:val="single"/>
      <w14:textFill>
        <w14:solidFill>
          <w14:schemeClr w14:val="folHlink"/>
        </w14:solidFill>
      </w14:textFill>
    </w:rPr>
  </w:style>
  <w:style w:type="character" w:styleId="37">
    <w:name w:val="Hyperlink"/>
    <w:basedOn w:val="34"/>
    <w:unhideWhenUsed/>
    <w:qFormat/>
    <w:locked/>
    <w:uiPriority w:val="99"/>
    <w:rPr>
      <w:color w:val="0000FF" w:themeColor="hyperlink"/>
      <w:u w:val="single"/>
      <w14:textFill>
        <w14:solidFill>
          <w14:schemeClr w14:val="hlink"/>
        </w14:solidFill>
      </w14:textFill>
    </w:rPr>
  </w:style>
  <w:style w:type="character" w:styleId="38">
    <w:name w:val="annotation reference"/>
    <w:semiHidden/>
    <w:qFormat/>
    <w:uiPriority w:val="0"/>
    <w:rPr>
      <w:sz w:val="21"/>
    </w:rPr>
  </w:style>
  <w:style w:type="character" w:customStyle="1" w:styleId="39">
    <w:name w:val="页脚 字符1"/>
    <w:link w:val="21"/>
    <w:qFormat/>
    <w:locked/>
    <w:uiPriority w:val="99"/>
    <w:rPr>
      <w:sz w:val="18"/>
    </w:rPr>
  </w:style>
  <w:style w:type="character" w:customStyle="1" w:styleId="40">
    <w:name w:val="日期 字符1"/>
    <w:link w:val="18"/>
    <w:qFormat/>
    <w:locked/>
    <w:uiPriority w:val="0"/>
    <w:rPr>
      <w:rFonts w:ascii="Times New Roman" w:hAnsi="Times New Roman" w:eastAsia="宋体"/>
      <w:sz w:val="24"/>
    </w:rPr>
  </w:style>
  <w:style w:type="character" w:customStyle="1" w:styleId="41">
    <w:name w:val="页脚 字符"/>
    <w:basedOn w:val="34"/>
    <w:qFormat/>
    <w:uiPriority w:val="99"/>
  </w:style>
  <w:style w:type="character" w:customStyle="1" w:styleId="42">
    <w:name w:val="普通(网站) 字符"/>
    <w:link w:val="28"/>
    <w:qFormat/>
    <w:locked/>
    <w:uiPriority w:val="0"/>
    <w:rPr>
      <w:rFonts w:ascii="宋体" w:hAnsi="宋体" w:eastAsia="宋体"/>
      <w:sz w:val="24"/>
    </w:rPr>
  </w:style>
  <w:style w:type="character" w:customStyle="1" w:styleId="43">
    <w:name w:val="正文文本 字符1"/>
    <w:semiHidden/>
    <w:qFormat/>
    <w:uiPriority w:val="0"/>
    <w:rPr>
      <w:rFonts w:ascii="Times New Roman" w:hAnsi="Times New Roman" w:eastAsia="宋体"/>
      <w:sz w:val="24"/>
    </w:rPr>
  </w:style>
  <w:style w:type="character" w:customStyle="1" w:styleId="44">
    <w:name w:val="正文文本 字符"/>
    <w:link w:val="12"/>
    <w:qFormat/>
    <w:locked/>
    <w:uiPriority w:val="99"/>
    <w:rPr>
      <w:sz w:val="18"/>
    </w:rPr>
  </w:style>
  <w:style w:type="character" w:customStyle="1" w:styleId="45">
    <w:name w:val="批注文字 字符"/>
    <w:link w:val="11"/>
    <w:qFormat/>
    <w:locked/>
    <w:uiPriority w:val="0"/>
    <w:rPr>
      <w:rFonts w:ascii="Times New Roman" w:hAnsi="Times New Roman" w:eastAsia="宋体"/>
      <w:sz w:val="24"/>
    </w:rPr>
  </w:style>
  <w:style w:type="character" w:customStyle="1" w:styleId="46">
    <w:name w:val="表格 Char"/>
    <w:link w:val="47"/>
    <w:qFormat/>
    <w:locked/>
    <w:uiPriority w:val="0"/>
    <w:rPr>
      <w:rFonts w:ascii="宋体"/>
      <w:sz w:val="21"/>
    </w:rPr>
  </w:style>
  <w:style w:type="paragraph" w:customStyle="1" w:styleId="47">
    <w:name w:val="表格"/>
    <w:basedOn w:val="1"/>
    <w:next w:val="1"/>
    <w:link w:val="46"/>
    <w:qFormat/>
    <w:uiPriority w:val="0"/>
    <w:pPr>
      <w:adjustRightInd w:val="0"/>
      <w:snapToGrid w:val="0"/>
      <w:spacing w:beforeLines="10" w:afterLines="10" w:line="259" w:lineRule="auto"/>
      <w:jc w:val="center"/>
    </w:pPr>
    <w:rPr>
      <w:rFonts w:ascii="宋体"/>
      <w:kern w:val="0"/>
      <w:szCs w:val="20"/>
    </w:rPr>
  </w:style>
  <w:style w:type="character" w:customStyle="1" w:styleId="48">
    <w:name w:val="日期 字符"/>
    <w:semiHidden/>
    <w:qFormat/>
    <w:uiPriority w:val="0"/>
    <w:rPr>
      <w:rFonts w:ascii="Times New Roman" w:hAnsi="Times New Roman" w:eastAsia="宋体"/>
      <w:sz w:val="24"/>
    </w:rPr>
  </w:style>
  <w:style w:type="character" w:customStyle="1" w:styleId="49">
    <w:name w:val="批注框文本 字符"/>
    <w:link w:val="20"/>
    <w:semiHidden/>
    <w:qFormat/>
    <w:locked/>
    <w:uiPriority w:val="99"/>
    <w:rPr>
      <w:rFonts w:ascii="Times New Roman" w:hAnsi="Times New Roman" w:eastAsia="宋体"/>
      <w:sz w:val="18"/>
    </w:rPr>
  </w:style>
  <w:style w:type="character" w:customStyle="1" w:styleId="50">
    <w:name w:val="批注主题 字符"/>
    <w:link w:val="29"/>
    <w:semiHidden/>
    <w:qFormat/>
    <w:locked/>
    <w:uiPriority w:val="0"/>
    <w:rPr>
      <w:rFonts w:ascii="Times New Roman" w:hAnsi="Times New Roman" w:eastAsia="宋体"/>
      <w:b/>
      <w:kern w:val="2"/>
      <w:sz w:val="24"/>
    </w:rPr>
  </w:style>
  <w:style w:type="character" w:customStyle="1" w:styleId="51">
    <w:name w:val="页眉 字符"/>
    <w:link w:val="22"/>
    <w:qFormat/>
    <w:locked/>
    <w:uiPriority w:val="99"/>
    <w:rPr>
      <w:sz w:val="18"/>
    </w:rPr>
  </w:style>
  <w:style w:type="character" w:customStyle="1" w:styleId="52">
    <w:name w:val="批注文字 字符1"/>
    <w:semiHidden/>
    <w:qFormat/>
    <w:uiPriority w:val="0"/>
    <w:rPr>
      <w:rFonts w:ascii="Times New Roman" w:hAnsi="Times New Roman" w:eastAsia="宋体"/>
      <w:sz w:val="24"/>
    </w:rPr>
  </w:style>
  <w:style w:type="character" w:customStyle="1" w:styleId="53">
    <w:name w:val="正文文本缩进 字符"/>
    <w:link w:val="13"/>
    <w:qFormat/>
    <w:locked/>
    <w:uiPriority w:val="0"/>
    <w:rPr>
      <w:rFonts w:ascii="Times New Roman" w:hAnsi="Times New Roman" w:eastAsia="宋体"/>
      <w:sz w:val="24"/>
    </w:rPr>
  </w:style>
  <w:style w:type="paragraph" w:customStyle="1" w:styleId="5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6">
    <w:name w:val="正文文本首行缩进 字符"/>
    <w:basedOn w:val="44"/>
    <w:link w:val="30"/>
    <w:qFormat/>
    <w:uiPriority w:val="99"/>
    <w:rPr>
      <w:kern w:val="2"/>
      <w:sz w:val="21"/>
      <w:szCs w:val="24"/>
    </w:rPr>
  </w:style>
  <w:style w:type="character" w:customStyle="1" w:styleId="57">
    <w:name w:val="正文文本首行缩进 2 字符"/>
    <w:basedOn w:val="53"/>
    <w:link w:val="31"/>
    <w:qFormat/>
    <w:uiPriority w:val="0"/>
    <w:rPr>
      <w:rFonts w:ascii="Times New Roman" w:hAnsi="Times New Roman" w:eastAsia="宋体"/>
      <w:kern w:val="2"/>
      <w:sz w:val="21"/>
      <w:szCs w:val="24"/>
    </w:rPr>
  </w:style>
  <w:style w:type="paragraph" w:customStyle="1" w:styleId="58">
    <w:name w:val="Table Paragraph"/>
    <w:basedOn w:val="1"/>
    <w:qFormat/>
    <w:uiPriority w:val="1"/>
    <w:rPr>
      <w:rFonts w:ascii="宋体" w:hAnsi="宋体" w:cs="宋体"/>
      <w:lang w:val="zh-CN" w:bidi="zh-CN"/>
    </w:rPr>
  </w:style>
  <w:style w:type="paragraph" w:customStyle="1" w:styleId="59">
    <w:name w:val="正文加粗"/>
    <w:basedOn w:val="1"/>
    <w:qFormat/>
    <w:uiPriority w:val="0"/>
    <w:pPr>
      <w:spacing w:line="360" w:lineRule="auto"/>
      <w:ind w:firstLine="200" w:firstLineChars="200"/>
    </w:pPr>
    <w:rPr>
      <w:b/>
    </w:rPr>
  </w:style>
  <w:style w:type="paragraph" w:customStyle="1" w:styleId="60">
    <w:name w:val="正文文本缩进 21"/>
    <w:basedOn w:val="1"/>
    <w:qFormat/>
    <w:uiPriority w:val="0"/>
    <w:pPr>
      <w:adjustRightInd w:val="0"/>
      <w:spacing w:line="460" w:lineRule="exact"/>
      <w:ind w:firstLine="480"/>
      <w:textAlignment w:val="baseline"/>
    </w:pPr>
    <w:rPr>
      <w:sz w:val="24"/>
      <w:szCs w:val="20"/>
    </w:rPr>
  </w:style>
  <w:style w:type="paragraph" w:customStyle="1" w:styleId="61">
    <w:name w:val="表格内容"/>
    <w:basedOn w:val="1"/>
    <w:qFormat/>
    <w:uiPriority w:val="0"/>
    <w:pPr>
      <w:keepLines/>
      <w:suppressAutoHyphens/>
      <w:adjustRightInd w:val="0"/>
      <w:snapToGrid w:val="0"/>
      <w:spacing w:line="240" w:lineRule="atLeast"/>
      <w:jc w:val="center"/>
    </w:pPr>
    <w:rPr>
      <w:rFonts w:ascii="Calibri" w:hAnsi="Calibri"/>
      <w:kern w:val="0"/>
      <w:szCs w:val="18"/>
    </w:rPr>
  </w:style>
  <w:style w:type="paragraph" w:customStyle="1" w:styleId="62">
    <w:name w:val="表标题"/>
    <w:basedOn w:val="1"/>
    <w:next w:val="1"/>
    <w:qFormat/>
    <w:uiPriority w:val="0"/>
    <w:pPr>
      <w:adjustRightInd w:val="0"/>
      <w:snapToGrid w:val="0"/>
      <w:spacing w:line="360" w:lineRule="auto"/>
      <w:jc w:val="center"/>
      <w:textAlignment w:val="baseline"/>
    </w:pPr>
    <w:rPr>
      <w:b/>
      <w:bCs/>
      <w:kern w:val="0"/>
    </w:rPr>
  </w:style>
  <w:style w:type="character" w:customStyle="1" w:styleId="63">
    <w:name w:val="表格 Char1"/>
    <w:qFormat/>
    <w:uiPriority w:val="0"/>
    <w:rPr>
      <w:kern w:val="2"/>
      <w:sz w:val="21"/>
      <w:szCs w:val="24"/>
    </w:rPr>
  </w:style>
  <w:style w:type="paragraph" w:customStyle="1" w:styleId="64">
    <w:name w:val="表图"/>
    <w:basedOn w:val="1"/>
    <w:qFormat/>
    <w:uiPriority w:val="0"/>
    <w:pPr>
      <w:spacing w:line="320" w:lineRule="exact"/>
      <w:jc w:val="center"/>
    </w:pPr>
    <w:rPr>
      <w:rFonts w:ascii="Calibri" w:hAnsi="Calibri" w:cs="黑体"/>
      <w:szCs w:val="20"/>
    </w:rPr>
  </w:style>
  <w:style w:type="paragraph" w:customStyle="1" w:styleId="65">
    <w:name w:val="表格文字"/>
    <w:basedOn w:val="1"/>
    <w:link w:val="93"/>
    <w:qFormat/>
    <w:uiPriority w:val="1"/>
    <w:pPr>
      <w:jc w:val="center"/>
    </w:pPr>
    <w:rPr>
      <w:kern w:val="0"/>
    </w:rPr>
  </w:style>
  <w:style w:type="paragraph" w:styleId="66">
    <w:name w:val="List Paragraph"/>
    <w:basedOn w:val="1"/>
    <w:qFormat/>
    <w:uiPriority w:val="1"/>
    <w:pPr>
      <w:ind w:firstLine="420" w:firstLineChars="200"/>
    </w:pPr>
  </w:style>
  <w:style w:type="paragraph" w:customStyle="1" w:styleId="67">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styleId="68">
    <w:name w:val="Placeholder Text"/>
    <w:basedOn w:val="34"/>
    <w:semiHidden/>
    <w:qFormat/>
    <w:uiPriority w:val="99"/>
    <w:rPr>
      <w:color w:val="808080"/>
    </w:rPr>
  </w:style>
  <w:style w:type="paragraph" w:customStyle="1" w:styleId="69">
    <w:name w:val="样式 五号 行距: 单倍行距"/>
    <w:basedOn w:val="1"/>
    <w:qFormat/>
    <w:uiPriority w:val="0"/>
    <w:pPr>
      <w:widowControl/>
      <w:tabs>
        <w:tab w:val="left" w:pos="2040"/>
      </w:tabs>
    </w:pPr>
    <w:rPr>
      <w:rFonts w:ascii="Calibri" w:hAnsi="Calibri" w:cs="宋体"/>
      <w:kern w:val="0"/>
      <w:szCs w:val="20"/>
    </w:rPr>
  </w:style>
  <w:style w:type="character" w:customStyle="1" w:styleId="70">
    <w:name w:val="正文缩进 字符"/>
    <w:basedOn w:val="34"/>
    <w:link w:val="8"/>
    <w:qFormat/>
    <w:uiPriority w:val="0"/>
    <w:rPr>
      <w:szCs w:val="24"/>
    </w:rPr>
  </w:style>
  <w:style w:type="character" w:customStyle="1" w:styleId="71">
    <w:name w:val="文档结构图 字符"/>
    <w:basedOn w:val="34"/>
    <w:link w:val="10"/>
    <w:qFormat/>
    <w:uiPriority w:val="99"/>
    <w:rPr>
      <w:rFonts w:ascii="宋体"/>
      <w:kern w:val="2"/>
      <w:sz w:val="18"/>
      <w:szCs w:val="18"/>
    </w:rPr>
  </w:style>
  <w:style w:type="character" w:customStyle="1" w:styleId="72">
    <w:name w:val="正文(首行缩进) Char Char"/>
    <w:basedOn w:val="34"/>
    <w:link w:val="73"/>
    <w:qFormat/>
    <w:uiPriority w:val="0"/>
    <w:rPr>
      <w:rFonts w:ascii="宋体" w:hAnsi="宋体"/>
      <w:kern w:val="24"/>
      <w:sz w:val="24"/>
    </w:rPr>
  </w:style>
  <w:style w:type="paragraph" w:customStyle="1" w:styleId="73">
    <w:name w:val="正文(首行缩进)"/>
    <w:basedOn w:val="1"/>
    <w:link w:val="72"/>
    <w:qFormat/>
    <w:uiPriority w:val="0"/>
    <w:pPr>
      <w:spacing w:line="360" w:lineRule="auto"/>
      <w:ind w:firstLine="480" w:firstLineChars="200"/>
    </w:pPr>
    <w:rPr>
      <w:rFonts w:ascii="宋体" w:hAnsi="宋体"/>
      <w:kern w:val="24"/>
      <w:sz w:val="24"/>
      <w:szCs w:val="20"/>
    </w:rPr>
  </w:style>
  <w:style w:type="paragraph" w:customStyle="1" w:styleId="74">
    <w:name w:val="正文1"/>
    <w:basedOn w:val="1"/>
    <w:qFormat/>
    <w:uiPriority w:val="0"/>
    <w:rPr>
      <w:rFonts w:ascii="Calibri" w:hAnsi="Calibri"/>
    </w:rPr>
  </w:style>
  <w:style w:type="character" w:customStyle="1" w:styleId="75">
    <w:name w:val="纯文本 字符"/>
    <w:basedOn w:val="34"/>
    <w:link w:val="16"/>
    <w:qFormat/>
    <w:uiPriority w:val="2"/>
    <w:rPr>
      <w:rFonts w:ascii="宋体" w:hAnsi="宋体"/>
      <w:sz w:val="24"/>
      <w:szCs w:val="24"/>
    </w:rPr>
  </w:style>
  <w:style w:type="paragraph" w:customStyle="1" w:styleId="76">
    <w:name w:val="Normal Indent1"/>
    <w:basedOn w:val="1"/>
    <w:qFormat/>
    <w:uiPriority w:val="0"/>
    <w:pPr>
      <w:ind w:firstLine="420" w:firstLineChars="200"/>
    </w:pPr>
  </w:style>
  <w:style w:type="character" w:customStyle="1" w:styleId="77">
    <w:name w:val="表格1 Char"/>
    <w:link w:val="78"/>
    <w:qFormat/>
    <w:uiPriority w:val="0"/>
    <w:rPr>
      <w:rFonts w:ascii="Calibri" w:hAnsi="Calibri"/>
      <w:kern w:val="2"/>
      <w:sz w:val="24"/>
      <w:szCs w:val="24"/>
    </w:rPr>
  </w:style>
  <w:style w:type="paragraph" w:customStyle="1" w:styleId="78">
    <w:name w:val="表格1"/>
    <w:basedOn w:val="1"/>
    <w:link w:val="77"/>
    <w:qFormat/>
    <w:uiPriority w:val="0"/>
    <w:pPr>
      <w:spacing w:line="240" w:lineRule="atLeast"/>
      <w:jc w:val="center"/>
    </w:pPr>
    <w:rPr>
      <w:rFonts w:ascii="Calibri" w:hAnsi="Calibri"/>
      <w:sz w:val="24"/>
    </w:rPr>
  </w:style>
  <w:style w:type="paragraph" w:customStyle="1" w:styleId="79">
    <w:name w:val="文本正文"/>
    <w:basedOn w:val="1"/>
    <w:qFormat/>
    <w:uiPriority w:val="0"/>
    <w:pPr>
      <w:snapToGrid w:val="0"/>
      <w:spacing w:line="360" w:lineRule="auto"/>
      <w:ind w:firstLine="510"/>
      <w:jc w:val="left"/>
    </w:pPr>
    <w:rPr>
      <w:spacing w:val="4"/>
      <w:kern w:val="24"/>
      <w:lang w:val="zh-CN"/>
    </w:rPr>
  </w:style>
  <w:style w:type="paragraph" w:customStyle="1" w:styleId="80">
    <w:name w:val="p0"/>
    <w:basedOn w:val="1"/>
    <w:qFormat/>
    <w:uiPriority w:val="0"/>
    <w:pPr>
      <w:widowControl/>
    </w:pPr>
    <w:rPr>
      <w:kern w:val="0"/>
      <w:szCs w:val="21"/>
    </w:rPr>
  </w:style>
  <w:style w:type="paragraph" w:customStyle="1" w:styleId="81">
    <w:name w:val="样式 标题 1 + 四号 段前: 0 磅 段后: 0 磅 行距: 1.5 倍行距"/>
    <w:basedOn w:val="1"/>
    <w:next w:val="1"/>
    <w:qFormat/>
    <w:uiPriority w:val="0"/>
    <w:pPr>
      <w:spacing w:line="360" w:lineRule="auto"/>
      <w:ind w:firstLine="588" w:firstLineChars="196"/>
      <w:jc w:val="center"/>
    </w:pPr>
    <w:rPr>
      <w:rFonts w:eastAsia="楷体_GB2312"/>
      <w:color w:val="FF0000"/>
      <w:sz w:val="28"/>
      <w:szCs w:val="30"/>
    </w:rPr>
  </w:style>
  <w:style w:type="paragraph" w:customStyle="1" w:styleId="82">
    <w:name w:val="无间隔1"/>
    <w:basedOn w:val="1"/>
    <w:qFormat/>
    <w:uiPriority w:val="0"/>
    <w:pPr>
      <w:jc w:val="center"/>
    </w:pPr>
    <w:rPr>
      <w:rFonts w:cs="黑体"/>
      <w:kern w:val="0"/>
      <w:sz w:val="22"/>
      <w:szCs w:val="22"/>
    </w:rPr>
  </w:style>
  <w:style w:type="paragraph" w:customStyle="1" w:styleId="83">
    <w:name w:val="1正文"/>
    <w:basedOn w:val="1"/>
    <w:qFormat/>
    <w:uiPriority w:val="0"/>
    <w:pPr>
      <w:spacing w:line="360" w:lineRule="auto"/>
      <w:ind w:firstLine="200" w:firstLineChars="200"/>
    </w:pPr>
    <w:rPr>
      <w:sz w:val="24"/>
    </w:rPr>
  </w:style>
  <w:style w:type="character" w:customStyle="1" w:styleId="84">
    <w:name w:val="标题 1 字符"/>
    <w:basedOn w:val="34"/>
    <w:link w:val="2"/>
    <w:qFormat/>
    <w:uiPriority w:val="9"/>
    <w:rPr>
      <w:rFonts w:eastAsia="黑体"/>
      <w:b/>
      <w:bCs/>
      <w:color w:val="000000"/>
      <w:kern w:val="44"/>
      <w:sz w:val="30"/>
      <w:szCs w:val="30"/>
    </w:rPr>
  </w:style>
  <w:style w:type="character" w:customStyle="1" w:styleId="85">
    <w:name w:val="标题 3 字符"/>
    <w:basedOn w:val="34"/>
    <w:link w:val="4"/>
    <w:qFormat/>
    <w:uiPriority w:val="9"/>
    <w:rPr>
      <w:b/>
      <w:bCs/>
      <w:kern w:val="2"/>
      <w:sz w:val="32"/>
      <w:szCs w:val="32"/>
    </w:rPr>
  </w:style>
  <w:style w:type="paragraph" w:customStyle="1" w:styleId="86">
    <w:name w:val="文本内容"/>
    <w:basedOn w:val="1"/>
    <w:link w:val="139"/>
    <w:qFormat/>
    <w:uiPriority w:val="0"/>
    <w:pPr>
      <w:widowControl/>
      <w:adjustRightInd w:val="0"/>
      <w:snapToGrid w:val="0"/>
      <w:spacing w:line="360" w:lineRule="auto"/>
      <w:ind w:firstLine="546" w:firstLineChars="200"/>
      <w:jc w:val="left"/>
    </w:pPr>
    <w:rPr>
      <w:sz w:val="28"/>
      <w:szCs w:val="28"/>
    </w:rPr>
  </w:style>
  <w:style w:type="character" w:customStyle="1" w:styleId="87">
    <w:name w:val="标题 2 字符"/>
    <w:basedOn w:val="34"/>
    <w:link w:val="3"/>
    <w:qFormat/>
    <w:uiPriority w:val="9"/>
    <w:rPr>
      <w:rFonts w:asciiTheme="majorHAnsi" w:hAnsiTheme="majorHAnsi" w:eastAsiaTheme="majorEastAsia" w:cstheme="majorBidi"/>
      <w:b/>
      <w:bCs/>
      <w:kern w:val="2"/>
      <w:sz w:val="32"/>
      <w:szCs w:val="32"/>
    </w:rPr>
  </w:style>
  <w:style w:type="character" w:customStyle="1" w:styleId="88">
    <w:name w:val="NormalCharacter"/>
    <w:semiHidden/>
    <w:qFormat/>
    <w:uiPriority w:val="0"/>
    <w:rPr>
      <w:rFonts w:ascii="Times New Roman" w:hAnsi="Times New Roman" w:eastAsia="宋体"/>
      <w:kern w:val="2"/>
      <w:sz w:val="24"/>
      <w:szCs w:val="24"/>
      <w:lang w:val="en-US" w:eastAsia="zh-CN" w:bidi="ar-SA"/>
    </w:rPr>
  </w:style>
  <w:style w:type="paragraph" w:customStyle="1" w:styleId="89">
    <w:name w:val="UserStyle_1"/>
    <w:basedOn w:val="1"/>
    <w:qFormat/>
    <w:uiPriority w:val="0"/>
    <w:pPr>
      <w:spacing w:line="360" w:lineRule="auto"/>
      <w:ind w:firstLine="720" w:firstLineChars="200"/>
      <w:jc w:val="center"/>
      <w:textAlignment w:val="baseline"/>
    </w:pPr>
    <w:rPr>
      <w:rFonts w:ascii="宋体" w:hAnsi="宋体"/>
      <w:lang w:val="zh-CN" w:bidi="zh-CN"/>
    </w:rPr>
  </w:style>
  <w:style w:type="character" w:customStyle="1" w:styleId="90">
    <w:name w:val="font51"/>
    <w:qFormat/>
    <w:uiPriority w:val="0"/>
    <w:rPr>
      <w:rFonts w:hint="eastAsia" w:ascii="宋体" w:hAnsi="宋体" w:eastAsia="宋体" w:cs="宋体"/>
      <w:color w:val="000000"/>
      <w:sz w:val="21"/>
      <w:szCs w:val="21"/>
      <w:u w:val="none"/>
    </w:rPr>
  </w:style>
  <w:style w:type="paragraph" w:customStyle="1" w:styleId="91">
    <w:name w:val="表格式"/>
    <w:basedOn w:val="1"/>
    <w:qFormat/>
    <w:uiPriority w:val="0"/>
    <w:pPr>
      <w:jc w:val="center"/>
    </w:pPr>
    <w:rPr>
      <w:rFonts w:ascii="宋体" w:hAnsi="宋体"/>
      <w:color w:val="000000"/>
      <w:kern w:val="0"/>
      <w:sz w:val="20"/>
      <w:szCs w:val="21"/>
    </w:rPr>
  </w:style>
  <w:style w:type="paragraph" w:customStyle="1" w:styleId="92">
    <w:name w:val="中文报告书样式"/>
    <w:basedOn w:val="1"/>
    <w:qFormat/>
    <w:uiPriority w:val="0"/>
    <w:pPr>
      <w:adjustRightInd w:val="0"/>
      <w:spacing w:line="480" w:lineRule="atLeast"/>
      <w:ind w:firstLine="482" w:firstLineChars="200"/>
      <w:textAlignment w:val="baseline"/>
    </w:pPr>
    <w:rPr>
      <w:kern w:val="24"/>
      <w:sz w:val="24"/>
    </w:rPr>
  </w:style>
  <w:style w:type="character" w:customStyle="1" w:styleId="93">
    <w:name w:val="表格文字 Char"/>
    <w:link w:val="65"/>
    <w:qFormat/>
    <w:locked/>
    <w:uiPriority w:val="1"/>
    <w:rPr>
      <w:sz w:val="21"/>
      <w:szCs w:val="24"/>
    </w:rPr>
  </w:style>
  <w:style w:type="character" w:customStyle="1" w:styleId="94">
    <w:name w:val="表格 Char Char"/>
    <w:qFormat/>
    <w:uiPriority w:val="0"/>
    <w:rPr>
      <w:rFonts w:ascii="Times New Roman" w:hAnsi="Times New Roman" w:eastAsia="Times New Roman" w:cs="Times New Roman"/>
      <w:kern w:val="2"/>
      <w:sz w:val="21"/>
      <w:szCs w:val="24"/>
    </w:rPr>
  </w:style>
  <w:style w:type="character" w:customStyle="1" w:styleId="95">
    <w:name w:val="标题 4 字符"/>
    <w:basedOn w:val="34"/>
    <w:link w:val="5"/>
    <w:qFormat/>
    <w:uiPriority w:val="9"/>
    <w:rPr>
      <w:rFonts w:asciiTheme="majorHAnsi" w:hAnsiTheme="majorHAnsi" w:eastAsiaTheme="majorEastAsia" w:cstheme="majorBidi"/>
      <w:b/>
      <w:bCs/>
      <w:kern w:val="2"/>
      <w:sz w:val="28"/>
      <w:szCs w:val="28"/>
    </w:rPr>
  </w:style>
  <w:style w:type="character" w:customStyle="1" w:styleId="96">
    <w:name w:val="标题 5 字符"/>
    <w:basedOn w:val="34"/>
    <w:link w:val="6"/>
    <w:semiHidden/>
    <w:qFormat/>
    <w:uiPriority w:val="9"/>
    <w:rPr>
      <w:rFonts w:cstheme="minorBidi"/>
      <w:b/>
      <w:bCs/>
      <w:kern w:val="2"/>
      <w:sz w:val="28"/>
      <w:szCs w:val="28"/>
    </w:rPr>
  </w:style>
  <w:style w:type="character" w:customStyle="1" w:styleId="97">
    <w:name w:val="正文文本缩进 2 字符"/>
    <w:basedOn w:val="34"/>
    <w:link w:val="19"/>
    <w:semiHidden/>
    <w:qFormat/>
    <w:uiPriority w:val="99"/>
    <w:rPr>
      <w:rFonts w:cstheme="minorBidi"/>
      <w:kern w:val="2"/>
      <w:sz w:val="24"/>
      <w:szCs w:val="22"/>
    </w:rPr>
  </w:style>
  <w:style w:type="paragraph" w:styleId="98">
    <w:name w:val="No Spacing"/>
    <w:link w:val="99"/>
    <w:qFormat/>
    <w:uiPriority w:val="1"/>
    <w:rPr>
      <w:rFonts w:asciiTheme="minorHAnsi" w:hAnsiTheme="minorHAnsi" w:eastAsiaTheme="minorEastAsia" w:cstheme="minorBidi"/>
      <w:sz w:val="22"/>
      <w:szCs w:val="22"/>
      <w:lang w:val="en-US" w:eastAsia="zh-CN" w:bidi="ar-SA"/>
    </w:rPr>
  </w:style>
  <w:style w:type="character" w:customStyle="1" w:styleId="99">
    <w:name w:val="无间隔 字符"/>
    <w:basedOn w:val="34"/>
    <w:link w:val="98"/>
    <w:qFormat/>
    <w:uiPriority w:val="1"/>
    <w:rPr>
      <w:rFonts w:asciiTheme="minorHAnsi" w:hAnsiTheme="minorHAnsi" w:eastAsiaTheme="minorEastAsia" w:cstheme="minorBidi"/>
      <w:sz w:val="22"/>
      <w:szCs w:val="22"/>
    </w:rPr>
  </w:style>
  <w:style w:type="paragraph" w:customStyle="1" w:styleId="100">
    <w:name w:val="表头"/>
    <w:basedOn w:val="1"/>
    <w:link w:val="101"/>
    <w:qFormat/>
    <w:uiPriority w:val="0"/>
    <w:pPr>
      <w:adjustRightInd w:val="0"/>
      <w:snapToGrid w:val="0"/>
      <w:spacing w:beforeLines="50" w:line="360" w:lineRule="auto"/>
      <w:ind w:firstLine="200" w:firstLineChars="200"/>
    </w:pPr>
    <w:rPr>
      <w:rFonts w:eastAsia="楷体_GB2312"/>
      <w:sz w:val="28"/>
    </w:rPr>
  </w:style>
  <w:style w:type="character" w:customStyle="1" w:styleId="101">
    <w:name w:val="表头 Char"/>
    <w:link w:val="100"/>
    <w:qFormat/>
    <w:uiPriority w:val="0"/>
    <w:rPr>
      <w:rFonts w:eastAsia="楷体_GB2312"/>
      <w:kern w:val="2"/>
      <w:sz w:val="28"/>
      <w:szCs w:val="24"/>
    </w:rPr>
  </w:style>
  <w:style w:type="character" w:customStyle="1" w:styleId="102">
    <w:name w:val="纯文本 Char"/>
    <w:basedOn w:val="34"/>
    <w:qFormat/>
    <w:uiPriority w:val="0"/>
    <w:rPr>
      <w:rFonts w:ascii="宋体" w:hAnsi="Courier New" w:eastAsia="宋体" w:cs="Courier New"/>
      <w:szCs w:val="21"/>
    </w:rPr>
  </w:style>
  <w:style w:type="paragraph" w:customStyle="1" w:styleId="103">
    <w:name w:val="表格标题"/>
    <w:basedOn w:val="1"/>
    <w:next w:val="1"/>
    <w:link w:val="104"/>
    <w:qFormat/>
    <w:uiPriority w:val="0"/>
    <w:pPr>
      <w:jc w:val="center"/>
    </w:pPr>
    <w:rPr>
      <w:rFonts w:cs="黑体"/>
      <w:b/>
    </w:rPr>
  </w:style>
  <w:style w:type="character" w:customStyle="1" w:styleId="104">
    <w:name w:val="表格标题 Char"/>
    <w:link w:val="103"/>
    <w:qFormat/>
    <w:uiPriority w:val="0"/>
    <w:rPr>
      <w:rFonts w:cs="黑体"/>
      <w:b/>
      <w:kern w:val="2"/>
      <w:sz w:val="21"/>
      <w:szCs w:val="24"/>
    </w:rPr>
  </w:style>
  <w:style w:type="character" w:customStyle="1" w:styleId="105">
    <w:name w:val="表内容 Char Char"/>
    <w:link w:val="106"/>
    <w:qFormat/>
    <w:uiPriority w:val="0"/>
    <w:rPr>
      <w:szCs w:val="21"/>
    </w:rPr>
  </w:style>
  <w:style w:type="paragraph" w:customStyle="1" w:styleId="106">
    <w:name w:val="表内容"/>
    <w:basedOn w:val="1"/>
    <w:link w:val="105"/>
    <w:qFormat/>
    <w:uiPriority w:val="0"/>
    <w:pPr>
      <w:widowControl/>
      <w:tabs>
        <w:tab w:val="left" w:pos="-2400"/>
        <w:tab w:val="left" w:pos="1320"/>
        <w:tab w:val="left" w:pos="3878"/>
        <w:tab w:val="left" w:pos="6080"/>
        <w:tab w:val="left" w:pos="6580"/>
        <w:tab w:val="left" w:pos="8137"/>
      </w:tabs>
      <w:adjustRightInd w:val="0"/>
      <w:jc w:val="center"/>
      <w:textAlignment w:val="center"/>
    </w:pPr>
    <w:rPr>
      <w:kern w:val="0"/>
      <w:sz w:val="20"/>
      <w:szCs w:val="21"/>
    </w:rPr>
  </w:style>
  <w:style w:type="character" w:customStyle="1" w:styleId="107">
    <w:name w:val="表格正文 Char1"/>
    <w:link w:val="108"/>
    <w:qFormat/>
    <w:uiPriority w:val="0"/>
    <w:rPr>
      <w:rFonts w:ascii="宋体"/>
      <w:snapToGrid w:val="0"/>
      <w:spacing w:val="4"/>
      <w:w w:val="90"/>
      <w:sz w:val="24"/>
    </w:rPr>
  </w:style>
  <w:style w:type="paragraph" w:customStyle="1" w:styleId="108">
    <w:name w:val="表格正文"/>
    <w:basedOn w:val="1"/>
    <w:next w:val="1"/>
    <w:link w:val="107"/>
    <w:qFormat/>
    <w:uiPriority w:val="0"/>
    <w:pPr>
      <w:widowControl/>
      <w:adjustRightInd w:val="0"/>
      <w:snapToGrid w:val="0"/>
      <w:jc w:val="center"/>
      <w:textAlignment w:val="baseline"/>
    </w:pPr>
    <w:rPr>
      <w:rFonts w:ascii="宋体"/>
      <w:snapToGrid w:val="0"/>
      <w:spacing w:val="4"/>
      <w:w w:val="90"/>
      <w:kern w:val="0"/>
      <w:sz w:val="24"/>
      <w:szCs w:val="20"/>
    </w:rPr>
  </w:style>
  <w:style w:type="character" w:customStyle="1" w:styleId="109">
    <w:name w:val="正文文本缩进 Char1"/>
    <w:basedOn w:val="34"/>
    <w:semiHidden/>
    <w:qFormat/>
    <w:uiPriority w:val="99"/>
    <w:rPr>
      <w:rFonts w:ascii="Times New Roman" w:hAnsi="Times New Roman" w:eastAsia="宋体"/>
      <w:sz w:val="24"/>
    </w:rPr>
  </w:style>
  <w:style w:type="paragraph" w:customStyle="1" w:styleId="110">
    <w:name w:val="Char Char Char Char Char Char Char Char Char Char Char Char2"/>
    <w:basedOn w:val="1"/>
    <w:qFormat/>
    <w:uiPriority w:val="0"/>
    <w:pPr>
      <w:widowControl/>
    </w:pPr>
    <w:rPr>
      <w:rFonts w:ascii="宋体" w:hAnsi="宋体"/>
      <w:sz w:val="24"/>
      <w:szCs w:val="20"/>
    </w:rPr>
  </w:style>
  <w:style w:type="paragraph" w:customStyle="1" w:styleId="111">
    <w:name w:val="Char Char Char Char Char Char2"/>
    <w:basedOn w:val="1"/>
    <w:qFormat/>
    <w:uiPriority w:val="0"/>
    <w:pPr>
      <w:widowControl/>
    </w:pPr>
    <w:rPr>
      <w:sz w:val="24"/>
    </w:rPr>
  </w:style>
  <w:style w:type="table" w:customStyle="1" w:styleId="112">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113">
    <w:name w:val="Body text|1"/>
    <w:basedOn w:val="1"/>
    <w:qFormat/>
    <w:uiPriority w:val="0"/>
    <w:pPr>
      <w:autoSpaceDE w:val="0"/>
      <w:autoSpaceDN w:val="0"/>
      <w:spacing w:after="330" w:line="480" w:lineRule="auto"/>
      <w:ind w:firstLine="400"/>
      <w:jc w:val="left"/>
    </w:pPr>
    <w:rPr>
      <w:rFonts w:ascii="宋体" w:hAnsi="宋体" w:cs="宋体"/>
      <w:kern w:val="0"/>
      <w:sz w:val="20"/>
      <w:szCs w:val="20"/>
      <w:lang w:val="zh-TW" w:eastAsia="zh-TW" w:bidi="zh-TW"/>
    </w:rPr>
  </w:style>
  <w:style w:type="paragraph" w:customStyle="1" w:styleId="114">
    <w:name w:val="WPSOffice手动目录 1"/>
    <w:qFormat/>
    <w:uiPriority w:val="0"/>
    <w:rPr>
      <w:rFonts w:asciiTheme="minorHAnsi" w:hAnsiTheme="minorHAnsi" w:eastAsiaTheme="minorHAnsi" w:cstheme="minorBidi"/>
      <w:lang w:val="en-US" w:eastAsia="zh-CN" w:bidi="ar-SA"/>
    </w:rPr>
  </w:style>
  <w:style w:type="paragraph" w:customStyle="1" w:styleId="115">
    <w:name w:val="报告书正文"/>
    <w:basedOn w:val="30"/>
    <w:link w:val="116"/>
    <w:qFormat/>
    <w:uiPriority w:val="0"/>
    <w:pPr>
      <w:autoSpaceDE w:val="0"/>
      <w:autoSpaceDN w:val="0"/>
      <w:spacing w:after="0" w:line="360" w:lineRule="auto"/>
      <w:ind w:left="200" w:leftChars="200" w:firstLine="200" w:firstLineChars="200"/>
      <w:jc w:val="left"/>
    </w:pPr>
    <w:rPr>
      <w:rFonts w:ascii="宋体" w:hAnsi="宋体"/>
      <w:kern w:val="0"/>
      <w:sz w:val="24"/>
      <w:lang w:val="zh-CN" w:bidi="zh-CN"/>
    </w:rPr>
  </w:style>
  <w:style w:type="character" w:customStyle="1" w:styleId="116">
    <w:name w:val="报告书正文 Char"/>
    <w:link w:val="115"/>
    <w:qFormat/>
    <w:uiPriority w:val="0"/>
    <w:rPr>
      <w:rFonts w:ascii="宋体" w:hAnsi="宋体"/>
      <w:sz w:val="24"/>
      <w:szCs w:val="24"/>
      <w:lang w:val="zh-CN" w:bidi="zh-CN"/>
    </w:rPr>
  </w:style>
  <w:style w:type="paragraph" w:customStyle="1" w:styleId="117">
    <w:name w:val="表头格式"/>
    <w:link w:val="118"/>
    <w:qFormat/>
    <w:uiPriority w:val="0"/>
    <w:pPr>
      <w:widowControl w:val="0"/>
      <w:autoSpaceDE w:val="0"/>
      <w:autoSpaceDN w:val="0"/>
      <w:adjustRightInd w:val="0"/>
      <w:jc w:val="center"/>
    </w:pPr>
    <w:rPr>
      <w:rFonts w:ascii="黑体" w:hAnsi="黑体" w:eastAsia="宋体" w:cs="Times New Roman"/>
      <w:b/>
      <w:color w:val="000000"/>
      <w:sz w:val="21"/>
      <w:szCs w:val="21"/>
      <w:u w:val="single"/>
      <w:lang w:val="en-US" w:eastAsia="zh-CN" w:bidi="ar-SA"/>
    </w:rPr>
  </w:style>
  <w:style w:type="character" w:customStyle="1" w:styleId="118">
    <w:name w:val="表头格式 Char"/>
    <w:link w:val="117"/>
    <w:qFormat/>
    <w:uiPriority w:val="0"/>
    <w:rPr>
      <w:rFonts w:ascii="黑体" w:hAnsi="黑体"/>
      <w:b/>
      <w:color w:val="000000"/>
      <w:sz w:val="21"/>
      <w:szCs w:val="21"/>
      <w:u w:val="single"/>
    </w:rPr>
  </w:style>
  <w:style w:type="paragraph" w:customStyle="1" w:styleId="119">
    <w:name w:val="表 图 内容"/>
    <w:basedOn w:val="1"/>
    <w:qFormat/>
    <w:uiPriority w:val="0"/>
    <w:pPr>
      <w:jc w:val="center"/>
    </w:pPr>
    <w:rPr>
      <w:rFonts w:ascii="Calibri" w:hAnsi="Calibri"/>
      <w:color w:val="000000"/>
    </w:rPr>
  </w:style>
  <w:style w:type="paragraph" w:customStyle="1" w:styleId="120">
    <w:name w:val="表格内格式-lxc"/>
    <w:basedOn w:val="1"/>
    <w:qFormat/>
    <w:uiPriority w:val="0"/>
    <w:pPr>
      <w:autoSpaceDE w:val="0"/>
      <w:autoSpaceDN w:val="0"/>
      <w:adjustRightInd w:val="0"/>
      <w:snapToGrid w:val="0"/>
      <w:spacing w:line="360" w:lineRule="auto"/>
      <w:jc w:val="center"/>
    </w:pPr>
    <w:rPr>
      <w:rFonts w:ascii="宋体" w:hAnsi="宋体" w:cs="宋体"/>
      <w:kern w:val="0"/>
      <w:sz w:val="18"/>
      <w:szCs w:val="21"/>
      <w:lang w:val="zh-CN" w:bidi="zh-CN"/>
    </w:rPr>
  </w:style>
  <w:style w:type="paragraph" w:customStyle="1" w:styleId="121">
    <w:name w:val="标准正文"/>
    <w:basedOn w:val="1"/>
    <w:qFormat/>
    <w:uiPriority w:val="0"/>
    <w:pPr>
      <w:autoSpaceDE w:val="0"/>
      <w:autoSpaceDN w:val="0"/>
      <w:spacing w:line="360" w:lineRule="auto"/>
      <w:ind w:firstLine="200" w:firstLineChars="200"/>
      <w:jc w:val="left"/>
    </w:pPr>
    <w:rPr>
      <w:rFonts w:ascii="宋体" w:hAnsi="宋体" w:cs="宋体"/>
      <w:kern w:val="0"/>
      <w:sz w:val="24"/>
      <w:szCs w:val="20"/>
      <w:lang w:val="zh-CN" w:bidi="zh-CN"/>
    </w:rPr>
  </w:style>
  <w:style w:type="table" w:customStyle="1" w:styleId="122">
    <w:name w:val="网格型16"/>
    <w:basedOn w:val="32"/>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样式 样式 (中文) 仿宋 四号 行距: 1.5 倍行距 + (中文) 仿宋 (符号) Times New Roman"/>
    <w:basedOn w:val="1"/>
    <w:qFormat/>
    <w:uiPriority w:val="0"/>
    <w:pPr>
      <w:widowControl/>
      <w:autoSpaceDE w:val="0"/>
      <w:autoSpaceDN w:val="0"/>
      <w:spacing w:line="360" w:lineRule="auto"/>
      <w:ind w:firstLine="560" w:firstLineChars="200"/>
      <w:jc w:val="left"/>
    </w:pPr>
    <w:rPr>
      <w:rFonts w:ascii="宋体" w:cs="宋体"/>
      <w:kern w:val="0"/>
      <w:sz w:val="32"/>
      <w:szCs w:val="20"/>
      <w:lang w:val="zh-CN" w:bidi="zh-CN"/>
    </w:rPr>
  </w:style>
  <w:style w:type="table" w:customStyle="1" w:styleId="124">
    <w:name w:val="网格型10"/>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图表标题"/>
    <w:basedOn w:val="1"/>
    <w:link w:val="126"/>
    <w:qFormat/>
    <w:uiPriority w:val="0"/>
    <w:pPr>
      <w:autoSpaceDE w:val="0"/>
      <w:autoSpaceDN w:val="0"/>
      <w:adjustRightInd w:val="0"/>
      <w:snapToGrid w:val="0"/>
      <w:jc w:val="center"/>
    </w:pPr>
    <w:rPr>
      <w:rFonts w:cs="宋体"/>
      <w:b/>
      <w:kern w:val="0"/>
      <w:sz w:val="24"/>
      <w:szCs w:val="21"/>
    </w:rPr>
  </w:style>
  <w:style w:type="character" w:customStyle="1" w:styleId="126">
    <w:name w:val="图表标题 Char"/>
    <w:link w:val="125"/>
    <w:qFormat/>
    <w:uiPriority w:val="0"/>
    <w:rPr>
      <w:rFonts w:cs="宋体"/>
      <w:b/>
      <w:sz w:val="24"/>
      <w:szCs w:val="21"/>
    </w:rPr>
  </w:style>
  <w:style w:type="paragraph" w:customStyle="1" w:styleId="127">
    <w:name w:val="表内1"/>
    <w:basedOn w:val="1"/>
    <w:qFormat/>
    <w:uiPriority w:val="0"/>
    <w:pPr>
      <w:autoSpaceDE w:val="0"/>
      <w:autoSpaceDN w:val="0"/>
      <w:adjustRightInd w:val="0"/>
      <w:snapToGrid w:val="0"/>
    </w:pPr>
    <w:rPr>
      <w:rFonts w:cs="宋体"/>
      <w:spacing w:val="20"/>
      <w:kern w:val="0"/>
      <w:szCs w:val="21"/>
    </w:rPr>
  </w:style>
  <w:style w:type="paragraph" w:customStyle="1" w:styleId="128">
    <w:name w:val="正文（报告表）_"/>
    <w:basedOn w:val="1"/>
    <w:qFormat/>
    <w:uiPriority w:val="0"/>
    <w:pPr>
      <w:spacing w:line="400" w:lineRule="atLeast"/>
      <w:ind w:firstLine="200" w:firstLineChars="200"/>
    </w:pPr>
    <w:rPr>
      <w:sz w:val="24"/>
    </w:rPr>
  </w:style>
  <w:style w:type="paragraph" w:customStyle="1" w:styleId="129">
    <w:name w:val="表头."/>
    <w:basedOn w:val="1"/>
    <w:qFormat/>
    <w:uiPriority w:val="0"/>
    <w:pPr>
      <w:spacing w:before="60" w:after="60" w:line="380" w:lineRule="exact"/>
      <w:ind w:firstLine="720" w:firstLineChars="200"/>
      <w:jc w:val="center"/>
    </w:pPr>
    <w:rPr>
      <w:rFonts w:cs="宋体"/>
      <w:b/>
      <w:bCs/>
      <w:sz w:val="24"/>
      <w:szCs w:val="20"/>
    </w:rPr>
  </w:style>
  <w:style w:type="character" w:customStyle="1" w:styleId="130">
    <w:name w:val="样式 正文1 + 首行缩进:  2 字符 Char3"/>
    <w:link w:val="131"/>
    <w:qFormat/>
    <w:uiPriority w:val="0"/>
    <w:rPr>
      <w:rFonts w:ascii="宋体" w:cs="宋体"/>
      <w:sz w:val="24"/>
      <w:szCs w:val="24"/>
    </w:rPr>
  </w:style>
  <w:style w:type="paragraph" w:customStyle="1" w:styleId="131">
    <w:name w:val="样式 正文1 + 首行缩进:  2 字符"/>
    <w:basedOn w:val="1"/>
    <w:link w:val="130"/>
    <w:qFormat/>
    <w:uiPriority w:val="0"/>
    <w:pPr>
      <w:spacing w:line="360" w:lineRule="auto"/>
      <w:ind w:firstLine="200" w:firstLineChars="200"/>
    </w:pPr>
    <w:rPr>
      <w:rFonts w:ascii="宋体" w:cs="宋体"/>
      <w:kern w:val="0"/>
      <w:sz w:val="24"/>
    </w:rPr>
  </w:style>
  <w:style w:type="paragraph" w:customStyle="1" w:styleId="132">
    <w:name w:val="样式 样式 样式 小四 首行缩进:  2.25 字符 + 首行缩进:  2.25 字符 + 首行缩进:  2 字符"/>
    <w:basedOn w:val="1"/>
    <w:qFormat/>
    <w:uiPriority w:val="0"/>
    <w:pPr>
      <w:spacing w:line="440" w:lineRule="exact"/>
      <w:ind w:firstLine="200" w:firstLineChars="200"/>
    </w:pPr>
    <w:rPr>
      <w:sz w:val="24"/>
      <w:szCs w:val="20"/>
    </w:rPr>
  </w:style>
  <w:style w:type="paragraph" w:customStyle="1" w:styleId="133">
    <w:name w:val="正文▲"/>
    <w:basedOn w:val="1"/>
    <w:qFormat/>
    <w:uiPriority w:val="0"/>
    <w:pPr>
      <w:widowControl/>
      <w:spacing w:line="360" w:lineRule="auto"/>
      <w:ind w:firstLine="200" w:firstLineChars="200"/>
      <w:jc w:val="left"/>
    </w:pPr>
    <w:rPr>
      <w:color w:val="000000"/>
      <w:sz w:val="24"/>
    </w:rPr>
  </w:style>
  <w:style w:type="paragraph" w:customStyle="1" w:styleId="134">
    <w:name w:val="表标"/>
    <w:next w:val="1"/>
    <w:qFormat/>
    <w:uiPriority w:val="0"/>
    <w:pPr>
      <w:widowControl w:val="0"/>
      <w:tabs>
        <w:tab w:val="left" w:pos="280"/>
      </w:tabs>
      <w:adjustRightInd w:val="0"/>
      <w:snapToGrid w:val="0"/>
      <w:spacing w:beforeLines="50" w:afterLines="50"/>
      <w:jc w:val="center"/>
    </w:pPr>
    <w:rPr>
      <w:rFonts w:ascii="Calibri" w:hAnsi="Calibri" w:eastAsia="宋体" w:cs="Times New Roman"/>
      <w:b/>
      <w:sz w:val="24"/>
      <w:lang w:val="en-US" w:eastAsia="zh-CN" w:bidi="ar-SA"/>
    </w:rPr>
  </w:style>
  <w:style w:type="paragraph" w:customStyle="1" w:styleId="135">
    <w:name w:val="样式 (符号) 宋体 小四 左 行距: 1.5 倍行距 首行缩进:  2 字符"/>
    <w:basedOn w:val="1"/>
    <w:qFormat/>
    <w:uiPriority w:val="0"/>
    <w:pPr>
      <w:spacing w:line="360" w:lineRule="auto"/>
      <w:ind w:firstLine="480" w:firstLineChars="200"/>
      <w:jc w:val="left"/>
    </w:pPr>
    <w:rPr>
      <w:rFonts w:hAnsi="宋体" w:cs="宋体"/>
      <w:sz w:val="24"/>
      <w:szCs w:val="20"/>
    </w:rPr>
  </w:style>
  <w:style w:type="character" w:customStyle="1" w:styleId="136">
    <w:name w:val="未处理的提及1"/>
    <w:basedOn w:val="34"/>
    <w:semiHidden/>
    <w:unhideWhenUsed/>
    <w:qFormat/>
    <w:uiPriority w:val="99"/>
    <w:rPr>
      <w:color w:val="605E5C"/>
      <w:shd w:val="clear" w:color="auto" w:fill="E1DFDD"/>
    </w:rPr>
  </w:style>
  <w:style w:type="character" w:customStyle="1" w:styleId="137">
    <w:name w:val="正文文本缩进 字符1"/>
    <w:basedOn w:val="34"/>
    <w:semiHidden/>
    <w:qFormat/>
    <w:uiPriority w:val="99"/>
    <w:rPr>
      <w:rFonts w:ascii="Times New Roman" w:hAnsi="Times New Roman" w:eastAsia="宋体"/>
      <w:sz w:val="24"/>
    </w:rPr>
  </w:style>
  <w:style w:type="paragraph" w:customStyle="1" w:styleId="138">
    <w:name w:val="Heading #1|1"/>
    <w:basedOn w:val="1"/>
    <w:qFormat/>
    <w:uiPriority w:val="0"/>
    <w:pPr>
      <w:autoSpaceDE w:val="0"/>
      <w:autoSpaceDN w:val="0"/>
      <w:spacing w:after="300"/>
      <w:jc w:val="left"/>
      <w:outlineLvl w:val="0"/>
    </w:pPr>
    <w:rPr>
      <w:rFonts w:ascii="宋体" w:hAnsi="宋体" w:cs="宋体"/>
      <w:kern w:val="0"/>
      <w:sz w:val="28"/>
      <w:szCs w:val="28"/>
      <w:lang w:val="zh-TW" w:eastAsia="zh-TW" w:bidi="zh-TW"/>
    </w:rPr>
  </w:style>
  <w:style w:type="character" w:customStyle="1" w:styleId="139">
    <w:name w:val="文本内容 Char"/>
    <w:link w:val="86"/>
    <w:qFormat/>
    <w:uiPriority w:val="0"/>
    <w:rPr>
      <w:kern w:val="2"/>
      <w:sz w:val="28"/>
      <w:szCs w:val="28"/>
    </w:rPr>
  </w:style>
  <w:style w:type="paragraph" w:customStyle="1" w:styleId="140">
    <w:name w:val="正文表格"/>
    <w:basedOn w:val="1"/>
    <w:qFormat/>
    <w:uiPriority w:val="0"/>
    <w:pPr>
      <w:keepNext/>
      <w:keepLines/>
      <w:widowControl/>
      <w:tabs>
        <w:tab w:val="center" w:pos="6804"/>
      </w:tabs>
      <w:overflowPunct w:val="0"/>
      <w:adjustRightInd w:val="0"/>
      <w:spacing w:before="80" w:beforeLines="30" w:afterLines="30" w:line="360" w:lineRule="auto"/>
      <w:ind w:firstLine="200" w:firstLineChars="200"/>
      <w:jc w:val="center"/>
      <w:textAlignment w:val="bottom"/>
    </w:pPr>
    <w:rPr>
      <w:kern w:val="0"/>
      <w:sz w:val="24"/>
      <w:szCs w:val="21"/>
      <w:lang w:eastAsia="en-US" w:bidi="en-US"/>
    </w:rPr>
  </w:style>
  <w:style w:type="paragraph" w:styleId="141">
    <w:name w:val="Quote"/>
    <w:basedOn w:val="1"/>
    <w:next w:val="1"/>
    <w:link w:val="142"/>
    <w:qFormat/>
    <w:uiPriority w:val="29"/>
    <w:pPr>
      <w:adjustRightInd w:val="0"/>
      <w:snapToGrid w:val="0"/>
      <w:spacing w:line="360" w:lineRule="auto"/>
      <w:contextualSpacing/>
      <w:jc w:val="center"/>
      <w:textAlignment w:val="baseline"/>
    </w:pPr>
    <w:rPr>
      <w:b/>
      <w:iCs/>
      <w:color w:val="000000"/>
      <w:kern w:val="0"/>
      <w:szCs w:val="22"/>
      <w:lang w:eastAsia="en-US"/>
    </w:rPr>
  </w:style>
  <w:style w:type="character" w:customStyle="1" w:styleId="142">
    <w:name w:val="引用 字符"/>
    <w:basedOn w:val="34"/>
    <w:link w:val="141"/>
    <w:qFormat/>
    <w:uiPriority w:val="29"/>
    <w:rPr>
      <w:b/>
      <w:iCs/>
      <w:color w:val="000000"/>
      <w:sz w:val="21"/>
      <w:szCs w:val="22"/>
      <w:lang w:eastAsia="en-US"/>
    </w:rPr>
  </w:style>
  <w:style w:type="paragraph" w:styleId="143">
    <w:name w:val="Intense Quote"/>
    <w:basedOn w:val="1"/>
    <w:next w:val="1"/>
    <w:link w:val="145"/>
    <w:qFormat/>
    <w:uiPriority w:val="0"/>
    <w:pPr>
      <w:adjustRightInd w:val="0"/>
      <w:snapToGrid w:val="0"/>
      <w:spacing w:line="360" w:lineRule="auto"/>
      <w:contextualSpacing/>
      <w:jc w:val="center"/>
      <w:textAlignment w:val="baseline"/>
    </w:pPr>
    <w:rPr>
      <w:bCs/>
      <w:iCs/>
      <w:kern w:val="0"/>
      <w:szCs w:val="22"/>
      <w:lang w:eastAsia="en-US"/>
    </w:rPr>
  </w:style>
  <w:style w:type="character" w:customStyle="1" w:styleId="144">
    <w:name w:val="明显引用 字符"/>
    <w:basedOn w:val="34"/>
    <w:qFormat/>
    <w:uiPriority w:val="30"/>
    <w:rPr>
      <w:i/>
      <w:iCs/>
      <w:color w:val="4F81BD" w:themeColor="accent1"/>
      <w:kern w:val="2"/>
      <w:sz w:val="21"/>
      <w:szCs w:val="24"/>
      <w14:textFill>
        <w14:solidFill>
          <w14:schemeClr w14:val="accent1"/>
        </w14:solidFill>
      </w14:textFill>
    </w:rPr>
  </w:style>
  <w:style w:type="character" w:customStyle="1" w:styleId="145">
    <w:name w:val="明显引用 字符1"/>
    <w:link w:val="143"/>
    <w:qFormat/>
    <w:locked/>
    <w:uiPriority w:val="0"/>
    <w:rPr>
      <w:bCs/>
      <w:iCs/>
      <w:sz w:val="21"/>
      <w:szCs w:val="22"/>
      <w:lang w:eastAsia="en-US"/>
    </w:rPr>
  </w:style>
  <w:style w:type="paragraph" w:customStyle="1" w:styleId="146">
    <w:name w:val="样式1"/>
    <w:basedOn w:val="2"/>
    <w:qFormat/>
    <w:uiPriority w:val="0"/>
    <w:pPr>
      <w:keepNext w:val="0"/>
      <w:overflowPunct/>
      <w:snapToGrid/>
      <w:spacing w:before="0" w:after="0" w:line="360" w:lineRule="auto"/>
      <w:ind w:left="0" w:firstLine="200" w:firstLineChars="200"/>
      <w:jc w:val="left"/>
    </w:pPr>
    <w:rPr>
      <w:b w:val="0"/>
      <w:bCs w:val="0"/>
      <w:kern w:val="2"/>
      <w:sz w:val="28"/>
      <w:szCs w:val="20"/>
    </w:rPr>
  </w:style>
  <w:style w:type="character" w:customStyle="1" w:styleId="147">
    <w:name w:val="fontstyle01"/>
    <w:qFormat/>
    <w:uiPriority w:val="0"/>
    <w:rPr>
      <w:rFonts w:hint="eastAsia" w:ascii="宋体" w:hAnsi="宋体" w:eastAsia="宋体"/>
      <w:color w:val="000000"/>
      <w:sz w:val="24"/>
      <w:szCs w:val="24"/>
    </w:rPr>
  </w:style>
  <w:style w:type="character" w:customStyle="1" w:styleId="148">
    <w:name w:val="fontstyle21"/>
    <w:qFormat/>
    <w:uiPriority w:val="0"/>
    <w:rPr>
      <w:rFonts w:hint="eastAsia" w:ascii="TimesNewRomanPSMT" w:eastAsia="TimesNewRomanPSMT"/>
      <w:color w:val="000000"/>
      <w:sz w:val="24"/>
      <w:szCs w:val="24"/>
    </w:rPr>
  </w:style>
  <w:style w:type="paragraph" w:customStyle="1" w:styleId="149">
    <w:name w:val="小标题"/>
    <w:basedOn w:val="1"/>
    <w:link w:val="150"/>
    <w:qFormat/>
    <w:uiPriority w:val="0"/>
    <w:pPr>
      <w:widowControl/>
      <w:adjustRightInd w:val="0"/>
      <w:snapToGrid w:val="0"/>
      <w:spacing w:line="360" w:lineRule="auto"/>
      <w:ind w:firstLine="482" w:firstLineChars="200"/>
      <w:jc w:val="left"/>
    </w:pPr>
    <w:rPr>
      <w:rFonts w:cs="宋体"/>
      <w:b/>
      <w:bCs/>
      <w:kern w:val="0"/>
      <w:sz w:val="24"/>
      <w:szCs w:val="20"/>
    </w:rPr>
  </w:style>
  <w:style w:type="character" w:customStyle="1" w:styleId="150">
    <w:name w:val="小标题 Char"/>
    <w:link w:val="149"/>
    <w:qFormat/>
    <w:uiPriority w:val="0"/>
    <w:rPr>
      <w:rFonts w:cs="宋体"/>
      <w:b/>
      <w:bCs/>
      <w:sz w:val="24"/>
    </w:rPr>
  </w:style>
  <w:style w:type="paragraph" w:customStyle="1" w:styleId="151">
    <w:name w:val="正文表头"/>
    <w:basedOn w:val="1"/>
    <w:qFormat/>
    <w:uiPriority w:val="0"/>
    <w:pPr>
      <w:widowControl/>
      <w:autoSpaceDE w:val="0"/>
      <w:autoSpaceDN w:val="0"/>
      <w:adjustRightInd w:val="0"/>
      <w:snapToGrid w:val="0"/>
      <w:spacing w:line="360" w:lineRule="auto"/>
      <w:ind w:firstLine="560" w:firstLineChars="200"/>
      <w:jc w:val="center"/>
    </w:pPr>
    <w:rPr>
      <w:b/>
      <w:color w:val="000000"/>
      <w:kern w:val="0"/>
      <w:sz w:val="24"/>
      <w:szCs w:val="20"/>
    </w:rPr>
  </w:style>
  <w:style w:type="character" w:customStyle="1" w:styleId="152">
    <w:name w:val="font81"/>
    <w:qFormat/>
    <w:uiPriority w:val="0"/>
    <w:rPr>
      <w:rFonts w:hint="eastAsia" w:ascii="宋体" w:hAnsi="宋体" w:eastAsia="宋体" w:cs="宋体"/>
      <w:color w:val="000000"/>
      <w:sz w:val="22"/>
      <w:szCs w:val="22"/>
      <w:u w:val="none"/>
    </w:rPr>
  </w:style>
  <w:style w:type="paragraph" w:customStyle="1" w:styleId="153">
    <w:name w:val="表格文字-hao-居中"/>
    <w:qFormat/>
    <w:uiPriority w:val="0"/>
    <w:pPr>
      <w:adjustRightInd w:val="0"/>
      <w:snapToGrid w:val="0"/>
      <w:jc w:val="center"/>
      <w:textAlignment w:val="center"/>
    </w:pPr>
    <w:rPr>
      <w:rFonts w:ascii="Times New Roman" w:hAnsi="Times New Roman" w:eastAsia="宋体" w:cs="Times New Roman"/>
      <w:sz w:val="21"/>
      <w:szCs w:val="24"/>
      <w:lang w:val="en-US" w:eastAsia="zh-CN" w:bidi="ar-SA"/>
    </w:rPr>
  </w:style>
  <w:style w:type="paragraph" w:customStyle="1" w:styleId="154">
    <w:name w:val="Default1"/>
    <w:basedOn w:val="1"/>
    <w:next w:val="1"/>
    <w:qFormat/>
    <w:uiPriority w:val="0"/>
    <w:pPr>
      <w:autoSpaceDE w:val="0"/>
      <w:autoSpaceDN w:val="0"/>
      <w:adjustRightInd w:val="0"/>
      <w:spacing w:before="120" w:after="240"/>
    </w:pPr>
    <w:rPr>
      <w:rFonts w:ascii="宋体" w:hAnsi="Calibri" w:eastAsia="Calibri" w:cs="宋体"/>
      <w:color w:val="000000"/>
      <w:kern w:val="0"/>
      <w:sz w:val="24"/>
    </w:rPr>
  </w:style>
  <w:style w:type="paragraph" w:customStyle="1" w:styleId="155">
    <w:name w:val="A-表格文字"/>
    <w:basedOn w:val="1"/>
    <w:next w:val="1"/>
    <w:qFormat/>
    <w:uiPriority w:val="0"/>
    <w:pPr>
      <w:autoSpaceDE w:val="0"/>
      <w:autoSpaceDN w:val="0"/>
      <w:adjustRightInd w:val="0"/>
      <w:jc w:val="center"/>
      <w:textAlignment w:val="center"/>
    </w:pPr>
    <w:rPr>
      <w:kern w:val="0"/>
      <w:szCs w:val="21"/>
    </w:rPr>
  </w:style>
  <w:style w:type="paragraph" w:customStyle="1" w:styleId="156">
    <w:name w:val="样式 首行缩进:  1.04 厘米"/>
    <w:qFormat/>
    <w:uiPriority w:val="0"/>
    <w:pPr>
      <w:widowControl w:val="0"/>
      <w:spacing w:line="360" w:lineRule="auto"/>
    </w:pPr>
    <w:rPr>
      <w:rFonts w:ascii="Times New Roman" w:hAnsi="Times New Roman" w:eastAsia="Arial Unicode MS" w:cs="Arial Unicode MS"/>
      <w:color w:val="000000"/>
      <w:sz w:val="24"/>
      <w:szCs w:val="24"/>
      <w:lang w:val="en-US" w:eastAsia="zh-CN" w:bidi="ar-SA"/>
    </w:rPr>
  </w:style>
  <w:style w:type="paragraph" w:customStyle="1" w:styleId="157">
    <w:name w:val="本文格式"/>
    <w:qFormat/>
    <w:uiPriority w:val="0"/>
    <w:pPr>
      <w:widowControl w:val="0"/>
      <w:spacing w:line="360" w:lineRule="exact"/>
      <w:ind w:firstLine="476"/>
      <w:jc w:val="both"/>
    </w:pPr>
    <w:rPr>
      <w:rFonts w:ascii="Arial Unicode MS" w:hAnsi="Arial Unicode MS" w:eastAsia="Arial Unicode MS" w:cs="Arial Unicode MS"/>
      <w:color w:val="000000"/>
      <w:sz w:val="24"/>
      <w:szCs w:val="24"/>
      <w:lang w:val="en-US" w:eastAsia="zh-CN" w:bidi="ar-SA"/>
    </w:rPr>
  </w:style>
  <w:style w:type="paragraph" w:customStyle="1" w:styleId="158">
    <w:name w:val="1-图名"/>
    <w:basedOn w:val="9"/>
    <w:qFormat/>
    <w:uiPriority w:val="0"/>
    <w:pPr>
      <w:spacing w:afterLines="50"/>
    </w:pPr>
  </w:style>
  <w:style w:type="paragraph" w:customStyle="1" w:styleId="159">
    <w:name w:val="1-正文"/>
    <w:basedOn w:val="1"/>
    <w:qFormat/>
    <w:uiPriority w:val="0"/>
    <w:pPr>
      <w:spacing w:line="360" w:lineRule="auto"/>
      <w:ind w:firstLine="200" w:firstLineChars="200"/>
    </w:pPr>
    <w:rPr>
      <w:rFonts w:cs="宋体"/>
      <w:sz w:val="24"/>
      <w:szCs w:val="20"/>
    </w:rPr>
  </w:style>
  <w:style w:type="character" w:customStyle="1" w:styleId="160">
    <w:name w:val="Unresolved Mention"/>
    <w:basedOn w:val="34"/>
    <w:semiHidden/>
    <w:unhideWhenUsed/>
    <w:qFormat/>
    <w:uiPriority w:val="99"/>
    <w:rPr>
      <w:color w:val="605E5C"/>
      <w:shd w:val="clear" w:color="auto" w:fill="E1DFDD"/>
    </w:rPr>
  </w:style>
  <w:style w:type="paragraph" w:customStyle="1" w:styleId="161">
    <w:name w:val="报告正文"/>
    <w:basedOn w:val="1"/>
    <w:qFormat/>
    <w:uiPriority w:val="0"/>
    <w:pPr>
      <w:adjustRightInd w:val="0"/>
      <w:snapToGrid w:val="0"/>
      <w:spacing w:beforeLines="50" w:afterLines="50"/>
    </w:pPr>
    <w:rPr>
      <w:spacing w:val="4"/>
      <w:sz w:val="24"/>
      <w:szCs w:val="22"/>
    </w:rPr>
  </w:style>
  <w:style w:type="paragraph" w:customStyle="1" w:styleId="162">
    <w:name w:val="GT正文"/>
    <w:basedOn w:val="1"/>
    <w:qFormat/>
    <w:uiPriority w:val="0"/>
    <w:pPr>
      <w:topLinePunct/>
      <w:adjustRightInd w:val="0"/>
      <w:snapToGrid w:val="0"/>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D36C-46E4-47B5-BC9A-920E4A3B9059}">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78</Pages>
  <Words>46893</Words>
  <Characters>54120</Characters>
  <Lines>4065</Lines>
  <Paragraphs>4053</Paragraphs>
  <TotalTime>51</TotalTime>
  <ScaleCrop>false</ScaleCrop>
  <LinksUpToDate>false</LinksUpToDate>
  <CharactersWithSpaces>54778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2025-05-16T07:00:00Z</dcterms:created>
  <dc:creator>WX</dc:creator>
  <cp:lastModifiedBy>杨瑜</cp:lastModifiedBy>
  <cp:lastPrinted>2023-03-22T08:08:00Z</cp:lastPrinted>
  <dcterms:modified xsi:type="dcterms:W3CDTF">2025-06-04T00:39:17Z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6DE325F15A0246AF9C791223B5279846_12</vt:lpwstr>
  </property>
</Properties>
</file>