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Autospacing="0" w:afterAutospacing="0" w:line="590" w:lineRule="exact"/>
        <w:rPr>
          <w:rFonts w:ascii="Arial" w:eastAsia="Arial" w:cs="Arial" w:hAnsi="Arial" w:hint="eastAsia"/>
          <w:b/>
          <w:bCs/>
          <w:sz w:val="36"/>
          <w:szCs w:val="24"/>
          <w:shd w:val="clear" w:color="auto" w:fill="auto"/>
        </w:rPr>
      </w:pPr>
      <w:r>
        <w:rPr>
          <w:rFonts w:ascii="Arial" w:eastAsia="Arial" w:cs="Arial" w:hAnsi="Arial" w:hint="eastAsia"/>
          <w:b/>
          <w:bCs/>
          <w:sz w:val="36"/>
          <w:szCs w:val="24"/>
          <w:shd w:val="clear" w:color="auto" w:fill="auto"/>
        </w:rPr>
        <w:t>监督索引号53042300436100101000</w:t>
      </w:r>
    </w:p>
    <w:p>
      <w:pPr>
        <w:spacing w:beforeAutospacing="0" w:afterAutospacing="0" w:line="590" w:lineRule="exact"/>
        <w:jc w:val="center"/>
        <w:rPr>
          <w:rFonts w:ascii="方正小标宋简体" w:eastAsia="方正小标宋简体" w:cs="方正小标宋简体" w:hint="eastAsia"/>
          <w:sz w:val="36"/>
          <w:szCs w:val="36"/>
          <w:shd w:val="clear" w:color="auto" w:fill="auto"/>
        </w:rPr>
      </w:pPr>
      <w:r>
        <w:rPr>
          <w:rFonts w:ascii="方正小标宋简体" w:eastAsia="方正小标宋简体" w:cs="方正小标宋简体" w:hint="eastAsia"/>
          <w:sz w:val="36"/>
          <w:szCs w:val="36"/>
          <w:shd w:val="clear" w:color="auto" w:fill="auto"/>
        </w:rPr>
        <w:t>通海县疾病预防控制中心2024年度部门决算</w:t>
      </w:r>
    </w:p>
    <w:p>
      <w:pPr>
        <w:spacing w:beforeAutospacing="0" w:afterAutospacing="0" w:line="590" w:lineRule="exact"/>
        <w:jc w:val="center"/>
        <w:rPr>
          <w:rFonts w:ascii="方正小标宋简体" w:eastAsia="方正小标宋简体" w:cs="方正小标宋简体" w:hint="eastAsia"/>
          <w:sz w:val="36"/>
          <w:szCs w:val="36"/>
          <w:shd w:val="clear" w:color="auto" w:fill="auto"/>
        </w:rPr>
      </w:pPr>
    </w:p>
    <w:p>
      <w:pPr>
        <w:spacing w:beforeAutospacing="0" w:afterAutospacing="0" w:line="590" w:lineRule="exact"/>
        <w:jc w:val="center"/>
        <w:rPr>
          <w:rFonts w:ascii="方正小标宋简体" w:eastAsia="方正小标宋简体" w:cs="方正小标宋简体" w:hint="eastAsia"/>
          <w:sz w:val="36"/>
          <w:szCs w:val="36"/>
          <w:shd w:val="clear" w:color="auto" w:fill="auto"/>
        </w:rPr>
      </w:pPr>
      <w:r>
        <w:rPr>
          <w:rFonts w:ascii="方正小标宋简体" w:eastAsia="方正小标宋简体" w:cs="方正小标宋简体" w:hint="eastAsia"/>
          <w:sz w:val="36"/>
          <w:szCs w:val="36"/>
          <w:shd w:val="clear" w:color="auto" w:fill="auto"/>
        </w:rPr>
        <w:t>目录</w:t>
      </w:r>
    </w:p>
    <w:p>
      <w:pPr>
        <w:spacing w:beforeAutospacing="0" w:afterAutospacing="0" w:line="590" w:lineRule="exact"/>
        <w:jc w:val="center"/>
        <w:rPr>
          <w:rFonts w:ascii="方正小标宋简体" w:eastAsia="方正小标宋简体" w:cs="方正小标宋简体" w:hint="eastAsia"/>
          <w:sz w:val="36"/>
          <w:szCs w:val="36"/>
          <w:shd w:val="clear" w:color="auto" w:fill="auto"/>
        </w:rPr>
      </w:pPr>
    </w:p>
    <w:p>
      <w:pPr>
        <w:spacing w:beforeAutospacing="0" w:afterAutospacing="0" w:line="590" w:lineRule="exact"/>
        <w:rPr>
          <w:rFonts w:ascii="黑体" w:eastAsia="黑体" w:cs="黑体" w:hAnsi="黑体" w:hint="eastAsia"/>
          <w:sz w:val="30"/>
          <w:szCs w:val="30"/>
          <w:shd w:val="clear" w:color="auto" w:fill="auto"/>
        </w:rPr>
      </w:pPr>
      <w:r>
        <w:rPr>
          <w:rFonts w:ascii="黑体" w:eastAsia="黑体" w:cs="黑体" w:hAnsi="黑体" w:hint="eastAsia"/>
          <w:sz w:val="30"/>
          <w:szCs w:val="30"/>
          <w:shd w:val="clear" w:color="auto" w:fill="auto"/>
        </w:rPr>
        <w:t>第一部分  单位概况</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一、主要职责</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二、基本情况</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三、重点工作概述</w:t>
      </w:r>
    </w:p>
    <w:p>
      <w:pPr>
        <w:spacing w:beforeAutospacing="0" w:afterAutospacing="0" w:line="590" w:lineRule="exact"/>
        <w:rPr>
          <w:rFonts w:ascii="黑体" w:eastAsia="黑体" w:cs="黑体" w:hAnsi="黑体" w:hint="eastAsia"/>
          <w:sz w:val="30"/>
          <w:szCs w:val="30"/>
          <w:shd w:val="clear" w:color="auto" w:fill="auto"/>
        </w:rPr>
      </w:pPr>
      <w:r>
        <w:rPr>
          <w:rFonts w:ascii="黑体" w:eastAsia="黑体" w:cs="黑体" w:hAnsi="黑体" w:hint="eastAsia"/>
          <w:sz w:val="30"/>
          <w:szCs w:val="30"/>
          <w:shd w:val="clear" w:color="auto" w:fill="auto"/>
        </w:rPr>
        <w:t>第二部分  2024年度部门决算表</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一、收入支出决算表</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二、收入决算表</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三、支出决算表</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四、财政拨款收入支出决算表</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五、一般公共预算财政拨款收入支出决算表</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六、一般公共预算财政拨款基本支出决算表</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七、一般公共预算财政拨款项目支出决算表</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八、政府性基金预算财政拨款收入支出决算表</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九、国有资本经营预算财政拨款收入支出决算表</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十、财政拨款“三公”经费、行政参公单位机关运行经费情况表</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十一、一般公共预算财政拨款“三公”经费情况表</w:t>
      </w:r>
    </w:p>
    <w:p>
      <w:pPr>
        <w:spacing w:beforeAutospacing="0" w:afterAutospacing="0" w:line="590" w:lineRule="exact"/>
        <w:rPr>
          <w:rFonts w:ascii="黑体" w:eastAsia="黑体" w:cs="黑体" w:hAnsi="黑体" w:hint="eastAsia"/>
          <w:sz w:val="30"/>
          <w:szCs w:val="30"/>
          <w:shd w:val="clear" w:color="auto" w:fill="auto"/>
        </w:rPr>
      </w:pPr>
      <w:r>
        <w:rPr>
          <w:rFonts w:ascii="黑体" w:eastAsia="黑体" w:cs="黑体" w:hAnsi="黑体" w:hint="eastAsia"/>
          <w:sz w:val="30"/>
          <w:szCs w:val="30"/>
          <w:shd w:val="clear" w:color="auto" w:fill="auto"/>
        </w:rPr>
        <w:t>第三</w:t>
      </w:r>
      <w:r>
        <w:rPr>
          <w:rFonts w:ascii="黑体" w:eastAsia="黑体" w:cs="黑体" w:hAnsi="黑体"/>
          <w:sz w:val="30"/>
          <w:szCs w:val="30"/>
          <w:shd w:val="clear" w:color="auto" w:fill="auto"/>
        </w:rPr>
        <w:t>部分  2</w:t>
      </w:r>
      <w:r>
        <w:rPr>
          <w:rFonts w:ascii="黑体" w:eastAsia="黑体" w:cs="黑体" w:hAnsi="黑体" w:hint="eastAsia"/>
          <w:sz w:val="30"/>
          <w:szCs w:val="30"/>
          <w:shd w:val="clear" w:color="auto" w:fill="auto"/>
        </w:rPr>
        <w:t>024年度部门决算情况说明</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一、收入决算情况说明</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二、支出决算情况说明</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三、一般公共预算财政拨款支出决算情况说明</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四、财政拨款“三公”经费支出决算情况说明</w:t>
      </w:r>
    </w:p>
    <w:p>
      <w:pPr>
        <w:spacing w:beforeAutospacing="0" w:afterAutospacing="0" w:line="590" w:lineRule="exact"/>
        <w:rPr>
          <w:rFonts w:ascii="黑体" w:eastAsia="黑体" w:cs="黑体" w:hAnsi="黑体" w:hint="eastAsia"/>
          <w:sz w:val="30"/>
          <w:szCs w:val="30"/>
          <w:shd w:val="clear" w:color="auto" w:fill="auto"/>
        </w:rPr>
      </w:pPr>
      <w:r>
        <w:rPr>
          <w:rFonts w:ascii="黑体" w:eastAsia="黑体" w:cs="黑体" w:hAnsi="黑体" w:hint="eastAsia"/>
          <w:sz w:val="30"/>
          <w:szCs w:val="30"/>
          <w:shd w:val="clear" w:color="auto" w:fill="auto"/>
        </w:rPr>
        <w:t>第四部分</w:t>
      </w:r>
      <w:r>
        <w:rPr>
          <w:rFonts w:ascii="黑体" w:eastAsia="黑体" w:cs="黑体" w:hAnsi="黑体"/>
          <w:sz w:val="30"/>
          <w:szCs w:val="30"/>
          <w:shd w:val="clear" w:color="auto" w:fill="auto"/>
        </w:rPr>
        <w:t xml:space="preserve">  </w:t>
      </w:r>
      <w:r>
        <w:rPr>
          <w:rFonts w:ascii="黑体" w:eastAsia="黑体" w:cs="黑体" w:hAnsi="黑体" w:hint="eastAsia"/>
          <w:sz w:val="30"/>
          <w:szCs w:val="30"/>
          <w:shd w:val="clear" w:color="auto" w:fill="auto"/>
        </w:rPr>
        <w:t>其他重要事项及相关口径情况说明</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一、机关运行经费支出情况</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二、国有资产占用情况</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三、政府采购支出情况</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四、单位绩效自评情况</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五、其他重要事项情况说明</w:t>
      </w:r>
    </w:p>
    <w:p>
      <w:pPr>
        <w:spacing w:beforeAutospacing="0" w:afterAutospacing="0" w:line="590" w:lineRule="exact"/>
        <w:rPr>
          <w:rFonts w:ascii="楷体" w:eastAsia="楷体" w:cs="楷体" w:hAnsi="楷体" w:hint="eastAsia"/>
          <w:sz w:val="30"/>
          <w:szCs w:val="30"/>
        </w:rPr>
      </w:pPr>
      <w:r>
        <w:rPr>
          <w:rFonts w:ascii="楷体" w:eastAsia="楷体" w:cs="楷体" w:hAnsi="楷体" w:hint="eastAsia"/>
          <w:sz w:val="30"/>
          <w:szCs w:val="30"/>
        </w:rPr>
        <w:t>六、相关口径说明</w:t>
      </w:r>
    </w:p>
    <w:p>
      <w:pPr>
        <w:spacing w:beforeAutospacing="0" w:afterAutospacing="0" w:line="590" w:lineRule="exact"/>
        <w:rPr>
          <w:rFonts w:ascii="黑体" w:eastAsia="黑体" w:cs="黑体" w:hAnsi="黑体" w:hint="eastAsia"/>
          <w:sz w:val="30"/>
          <w:szCs w:val="30"/>
          <w:shd w:val="clear" w:color="auto" w:fill="auto"/>
        </w:rPr>
      </w:pPr>
      <w:r>
        <w:rPr>
          <w:rFonts w:ascii="黑体" w:eastAsia="黑体" w:cs="黑体" w:hAnsi="黑体" w:hint="eastAsia"/>
          <w:sz w:val="30"/>
          <w:szCs w:val="30"/>
          <w:shd w:val="clear" w:color="auto" w:fill="auto"/>
        </w:rPr>
        <w:t>第五部分  名词解释</w:t>
      </w:r>
    </w:p>
    <w:p>
      <w:pPr>
        <w:spacing w:beforeAutospacing="0" w:afterAutospacing="0" w:line="590" w:lineRule="exact"/>
        <w:rPr>
          <w:rFonts w:ascii="仿宋_GB2312" w:eastAsia="仿宋_GB2312" w:cs="仿宋_GB2312" w:hint="eastAsia"/>
          <w:sz w:val="24"/>
          <w:szCs w:val="24"/>
        </w:rPr>
      </w:pPr>
    </w:p>
    <w:p>
      <w:pPr>
        <w:spacing w:beforeAutospacing="0" w:afterAutospacing="0" w:line="590" w:lineRule="exact"/>
        <w:rPr>
          <w:rFonts w:ascii="仿宋_GB2312" w:eastAsia="仿宋_GB2312" w:cs="仿宋_GB2312" w:hint="eastAsia"/>
          <w:sz w:val="24"/>
          <w:szCs w:val="24"/>
        </w:rPr>
      </w:pPr>
    </w:p>
    <w:p>
      <w:pPr>
        <w:spacing w:beforeAutospacing="0" w:afterAutospacing="0" w:line="590" w:lineRule="exact"/>
        <w:rPr>
          <w:rFonts w:ascii="仿宋_GB2312" w:eastAsia="仿宋_GB2312" w:cs="仿宋_GB2312" w:hint="eastAsia"/>
          <w:sz w:val="24"/>
          <w:szCs w:val="24"/>
        </w:rPr>
      </w:pPr>
    </w:p>
    <w:p>
      <w:pPr>
        <w:spacing w:beforeAutospacing="0" w:afterAutospacing="0" w:line="590" w:lineRule="exact"/>
        <w:rPr>
          <w:rFonts w:ascii="仿宋_GB2312" w:eastAsia="仿宋_GB2312" w:cs="仿宋_GB2312" w:hint="eastAsia"/>
          <w:sz w:val="24"/>
          <w:szCs w:val="24"/>
        </w:rPr>
      </w:pPr>
    </w:p>
    <w:p>
      <w:pPr>
        <w:spacing w:beforeAutospacing="0" w:afterAutospacing="0" w:line="590" w:lineRule="exact"/>
        <w:rPr>
          <w:rFonts w:ascii="仿宋_GB2312" w:eastAsia="仿宋_GB2312" w:cs="仿宋_GB2312" w:hint="eastAsia"/>
          <w:sz w:val="24"/>
          <w:szCs w:val="24"/>
        </w:rPr>
      </w:pPr>
    </w:p>
    <w:p>
      <w:pPr>
        <w:spacing w:beforeAutospacing="0" w:afterAutospacing="0" w:line="590" w:lineRule="exact"/>
        <w:rPr>
          <w:rFonts w:ascii="仿宋_GB2312" w:eastAsia="仿宋_GB2312" w:cs="仿宋_GB2312" w:hint="eastAsia"/>
          <w:sz w:val="24"/>
          <w:szCs w:val="24"/>
        </w:rPr>
      </w:pPr>
    </w:p>
    <w:p>
      <w:pPr>
        <w:spacing w:beforeAutospacing="0" w:afterAutospacing="0" w:line="590" w:lineRule="exact"/>
        <w:rPr>
          <w:rFonts w:ascii="仿宋_GB2312" w:eastAsia="仿宋_GB2312" w:cs="仿宋_GB2312" w:hint="eastAsia"/>
          <w:sz w:val="24"/>
          <w:szCs w:val="24"/>
        </w:rPr>
      </w:pPr>
    </w:p>
    <w:p>
      <w:pPr>
        <w:spacing w:beforeAutospacing="0" w:afterAutospacing="0" w:line="590" w:lineRule="exact"/>
        <w:rPr>
          <w:rFonts w:ascii="仿宋_GB2312" w:eastAsia="仿宋_GB2312" w:cs="仿宋_GB2312" w:hint="eastAsia"/>
          <w:sz w:val="24"/>
          <w:szCs w:val="24"/>
        </w:rPr>
      </w:pPr>
    </w:p>
    <w:p>
      <w:pPr>
        <w:spacing w:beforeAutospacing="0" w:afterAutospacing="0" w:line="590" w:lineRule="exact"/>
        <w:ind w:left="0"/>
        <w:jc w:val="center"/>
        <w:rPr>
          <w:rFonts w:ascii="黑体" w:eastAsia="黑体" w:cs="黑体" w:hAnsi="黑体" w:hint="eastAsia"/>
          <w:sz w:val="32"/>
          <w:szCs w:val="32"/>
          <w:shd w:val="clear" w:color="auto" w:fill="auto"/>
        </w:rPr>
      </w:pPr>
      <w:r>
        <w:rPr>
          <w:rFonts w:ascii="黑体" w:eastAsia="黑体" w:cs="黑体" w:hAnsi="黑体" w:hint="eastAsia"/>
          <w:sz w:val="32"/>
          <w:szCs w:val="32"/>
          <w:shd w:val="clear" w:color="auto" w:fill="auto"/>
        </w:rPr>
        <w:t>第一部分  单位概况</w:t>
      </w:r>
    </w:p>
    <w:p>
      <w:pPr>
        <w:spacing w:beforeAutospacing="0" w:afterAutospacing="0" w:line="590" w:lineRule="exact"/>
        <w:ind w:firstLineChars="200" w:firstLine="600"/>
        <w:rPr>
          <w:rFonts w:ascii="黑体" w:eastAsia="黑体" w:cs="黑体" w:hAnsi="黑体" w:hint="eastAsia"/>
          <w:sz w:val="30"/>
          <w:szCs w:val="30"/>
          <w:shd w:val="clear" w:color="auto" w:fill="auto"/>
        </w:rPr>
      </w:pPr>
      <w:r>
        <w:rPr>
          <w:rFonts w:ascii="黑体" w:eastAsia="黑体" w:cs="黑体" w:hAnsi="黑体" w:hint="eastAsia"/>
          <w:sz w:val="30"/>
          <w:szCs w:val="30"/>
          <w:shd w:val="clear" w:color="auto" w:fill="auto"/>
        </w:rPr>
        <w:t>一、主要职责</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通海县疾病预防控制中心是政府举办的社会公益性事业单位。工作职责主要是：1.负责全县辖区疾病预防与控制。2.负责全县辖区突发公共卫生事件应急处置。3.负责全县辖区疫情及健康相关因素信息管理。4.负责全县健康危害因素监测与干预。5.负责实验室检测检验与评价。6.负责健康教育与健康促进。7.技术管理与应用研究指导。</w:t>
      </w:r>
    </w:p>
    <w:p>
      <w:pPr>
        <w:spacing w:beforeAutospacing="0" w:afterAutospacing="0" w:line="590" w:lineRule="exact"/>
        <w:ind w:firstLineChars="200" w:firstLine="600"/>
        <w:rPr>
          <w:rFonts w:ascii="黑体" w:eastAsia="黑体" w:cs="黑体" w:hAnsi="黑体" w:hint="eastAsia"/>
          <w:sz w:val="30"/>
          <w:szCs w:val="30"/>
          <w:shd w:val="clear" w:color="auto" w:fill="auto"/>
        </w:rPr>
      </w:pPr>
      <w:r>
        <w:rPr>
          <w:rFonts w:ascii="黑体" w:eastAsia="黑体" w:cs="黑体" w:hAnsi="黑体" w:hint="eastAsia"/>
          <w:sz w:val="30"/>
          <w:szCs w:val="30"/>
          <w:shd w:val="clear" w:color="auto" w:fill="auto"/>
        </w:rPr>
        <w:t>二、基本情况</w:t>
      </w:r>
    </w:p>
    <w:p>
      <w:pPr>
        <w:spacing w:beforeAutospacing="0" w:afterAutospacing="0" w:line="590" w:lineRule="exact"/>
        <w:ind w:firstLineChars="200" w:firstLine="600"/>
        <w:rPr>
          <w:rFonts w:ascii="楷体" w:eastAsia="楷体" w:cs="楷体" w:hAnsi="楷体" w:hint="eastAsia"/>
          <w:sz w:val="30"/>
          <w:szCs w:val="30"/>
          <w:shd w:val="clear" w:color="auto" w:fill="auto"/>
        </w:rPr>
      </w:pPr>
      <w:r>
        <w:rPr>
          <w:rFonts w:ascii="楷体" w:eastAsia="楷体" w:cs="楷体" w:hAnsi="楷体" w:hint="eastAsia"/>
          <w:sz w:val="30"/>
          <w:szCs w:val="30"/>
          <w:shd w:val="clear" w:color="auto" w:fill="auto"/>
        </w:rPr>
        <w:t>（一）机构设置情况</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我单位共设置8个内设机构，包括：艾滋病性病及麻风病防治科，传染病与地方病控制科，卫生监测检验科，健康教育，公共卫生科，慢性病防治科，免疫规划科，办公室。</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我单位为基层预算单位，无下属单位。</w:t>
      </w:r>
    </w:p>
    <w:p>
      <w:pPr>
        <w:spacing w:beforeAutospacing="0" w:afterAutospacing="0" w:line="590" w:lineRule="exact"/>
        <w:ind w:firstLineChars="200" w:firstLine="600"/>
        <w:rPr>
          <w:rFonts w:ascii="楷体" w:eastAsia="楷体" w:cs="楷体" w:hAnsi="楷体" w:hint="eastAsia"/>
          <w:sz w:val="30"/>
          <w:szCs w:val="30"/>
          <w:shd w:val="clear" w:color="auto" w:fill="auto"/>
        </w:rPr>
      </w:pPr>
      <w:r>
        <w:rPr>
          <w:rFonts w:ascii="楷体" w:eastAsia="楷体" w:cs="楷体" w:hAnsi="楷体" w:hint="eastAsia"/>
          <w:sz w:val="30"/>
          <w:szCs w:val="30"/>
          <w:shd w:val="clear" w:color="auto" w:fill="auto"/>
        </w:rPr>
        <w:t>（二）</w:t>
      </w:r>
      <w:r>
        <w:rPr>
          <w:rFonts w:ascii="楷体" w:eastAsia="楷体" w:cs="楷体" w:hAnsi="楷体" w:hint="eastAsia"/>
          <w:sz w:val="30"/>
          <w:szCs w:val="30"/>
          <w:shd w:val="clear" w:color="auto" w:fill="auto"/>
        </w:rPr>
        <w:t>决算</w:t>
      </w:r>
      <w:r>
        <w:rPr>
          <w:rFonts w:ascii="楷体" w:eastAsia="楷体" w:cs="楷体" w:hAnsi="楷体" w:hint="eastAsia"/>
          <w:sz w:val="30"/>
          <w:szCs w:val="30"/>
          <w:shd w:val="clear" w:color="auto" w:fill="auto"/>
        </w:rPr>
        <w:t>单位构成</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我单位作为</w:t>
      </w:r>
      <w:r>
        <w:rPr>
          <w:rFonts w:ascii="仿宋_GB2312" w:eastAsia="仿宋_GB2312" w:cs="仿宋_GB2312" w:hint="eastAsia"/>
          <w:sz w:val="30"/>
          <w:szCs w:val="30"/>
          <w:shd w:val="clear" w:color="auto" w:fill="auto"/>
        </w:rPr>
        <w:t>通海县卫生健康局</w:t>
      </w:r>
      <w:r>
        <w:rPr>
          <w:rFonts w:ascii="仿宋_GB2312" w:eastAsia="仿宋_GB2312" w:cs="仿宋_GB2312" w:hint="eastAsia"/>
          <w:sz w:val="30"/>
          <w:szCs w:val="30"/>
        </w:rPr>
        <w:t>的二级预算单位纳入2024年度部门决算编报范围。</w:t>
      </w:r>
    </w:p>
    <w:p>
      <w:pPr>
        <w:spacing w:beforeAutospacing="0" w:afterAutospacing="0" w:line="590" w:lineRule="exact"/>
        <w:ind w:firstLineChars="200" w:firstLine="600"/>
        <w:rPr>
          <w:rFonts w:ascii="楷体" w:eastAsia="楷体" w:cs="楷体" w:hAnsi="楷体" w:hint="eastAsia"/>
          <w:sz w:val="30"/>
          <w:szCs w:val="30"/>
          <w:shd w:val="clear" w:color="auto" w:fill="auto"/>
        </w:rPr>
      </w:pPr>
      <w:r>
        <w:rPr>
          <w:rFonts w:ascii="楷体" w:eastAsia="楷体" w:cs="楷体" w:hAnsi="楷体" w:hint="eastAsia"/>
          <w:sz w:val="30"/>
          <w:szCs w:val="30"/>
          <w:shd w:val="clear" w:color="auto" w:fill="auto"/>
        </w:rPr>
        <w:t xml:space="preserve">（三）单位人员和车辆的编制及实有情况 </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我单位2024年末编制内实有人员44人。包括财政拨款开支经费的：公务员0人，参照公务员法管理人员0人，事业管理人员和专业技术人员44人，机关和事业工人0人；经费自理人员0人。</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我单位2024年末其他人员4人。包括财政拨款开支经费的人员4人；经费自理人员0人。</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年末尚未移交养老保险基金发放养老金的离退休人员共计0人（离休0人，退休0人）。年末由养老保险基金发放养老金的离退休人员27人（离休0人，退休27人）。年末遗属1人。</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车辆编制4辆，在编实有车辆4辆，超编0辆。</w:t>
      </w:r>
    </w:p>
    <w:p>
      <w:pPr>
        <w:spacing w:beforeAutospacing="0" w:afterAutospacing="0" w:line="590" w:lineRule="exact"/>
        <w:ind w:firstLineChars="200" w:firstLine="600"/>
        <w:rPr>
          <w:rFonts w:ascii="黑体" w:eastAsia="黑体" w:cs="黑体" w:hAnsi="黑体" w:hint="eastAsia"/>
          <w:sz w:val="30"/>
          <w:szCs w:val="30"/>
          <w:shd w:val="clear" w:color="auto" w:fill="auto"/>
        </w:rPr>
      </w:pPr>
      <w:r>
        <w:rPr>
          <w:rFonts w:ascii="黑体" w:eastAsia="黑体" w:cs="黑体" w:hAnsi="黑体" w:hint="eastAsia"/>
          <w:sz w:val="30"/>
          <w:szCs w:val="30"/>
          <w:shd w:val="clear" w:color="auto" w:fill="auto"/>
        </w:rPr>
        <w:t>三、重点工作概述</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通海县疾病预防控制中心2024年度的主要工作任务是在上级主管部门、业务部门的领导下，积极推进疾病预防控制工作。</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全面加强疾病防控。按周、月、季度定期进行疫情分析，并对辖区内选定的三个重点传染病开展专题分析，根据疾病流行规律及波动情况，发布疾病监测预警信息并进行风险评估，及时对手足口等重点传染病开展调查、随访及处置，地方病、结核病等防治工作稳步推进。</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2.有序推进慢性病预防控制工作。启用管理系统对老年人、高血压、糖尿病及居民健康档案管理，开展儿童口腔疾病综合干预项目、死因监测、心脑血管事件、肿瘤监测及慢性呼吸系统疾病监测工作。</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3.免疫规划常抓不懈。安全有效进行疫苗储运及接种工作，开展针对IPV疫苗查漏补种工作，完成补种391剂次。组织实施通海县双价人</w:t>
      </w:r>
      <w:r>
        <w:rPr>
          <w:rFonts w:ascii="仿宋_GB2312" w:eastAsia="仿宋_GB2312" w:cs="仿宋_GB2312" w:hint="eastAsia"/>
          <w:sz w:val="30"/>
          <w:szCs w:val="30"/>
          <w:shd w:val="clear" w:color="auto" w:fill="auto"/>
        </w:rPr>
        <w:t>乳头</w:t>
      </w:r>
      <w:r>
        <w:rPr>
          <w:rFonts w:ascii="仿宋_GB2312" w:eastAsia="仿宋_GB2312" w:cs="仿宋_GB2312" w:hint="eastAsia"/>
          <w:sz w:val="30"/>
          <w:szCs w:val="30"/>
        </w:rPr>
        <w:t>瘤病毒（HPV2）疫苗“健康惠民工程”，对玉溪市户籍适种女性开展HPV2疫苗惠民接种工作。开展疫苗针对疾病主动监测报告，继续维持无脊灰状态，无麻疹确诊病例报告，开展疑似预防接种异常反应监测报告，做好儿童预防接种信息报告管理工作。</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4.积极开展五大卫生工作。按照五大卫生的目标任务，积极开展饮用水、学校卫生、食品卫生、职业卫生、放射卫生监测工作。加强食源性疾病及有害因素监测，及时发布预警信息，对食源性疾病暴发事件进行处置。</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5.强力推进艾滋病及麻风病防治工作。加强艾滋病病人管理及艾滋病检测工作，继续巩固消麻成果，完成消除麻风危害规划（2011-2020年）中期评估工作，加强对麻风院留院病人的管理，指导麻风畸残康复；积极寻找可疑线索开展麻风病调查。</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6.全面开展健康教育。积极开展健康教育五进活动（机关、学校、厂矿、社区、流动人口聚集地），通海县电视台在黄金时段播放相关公益广告，扎实开展基本公共卫生服务项目宣传工作。全县建设无烟卫生医疗单位20家，无烟党政机关43家，无烟学校76家，无烟党政机关、无烟医疗卫生计生机构和无烟学校覆盖率均达100%。完成全县健康素养监测、成人烟草流行扩样调查监测及一般人群合理膳食相关知识知晓率调查。</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7.扎实开展检验检测工作。2024年按质按量完成各项检验检测工作，完成多项能力考核及能力验证工作。配合完成玉溪市2024年卫生健康国家随机监督抽查检测工作。对全县辖区艾滋病检测点、检测实验室进行人员培训、督导、考核、验收备案11家艾滋病检测点。</w:t>
      </w:r>
    </w:p>
    <w:p>
      <w:pPr>
        <w:spacing w:line="590" w:lineRule="exact"/>
        <w:ind w:firstLineChars="200" w:firstLine="600"/>
        <w:rPr>
          <w:rFonts w:ascii="仿宋_GB2312" w:eastAsia="仿宋_GB2312" w:cs="仿宋_GB2312" w:hint="eastAsia"/>
          <w:sz w:val="30"/>
          <w:szCs w:val="30"/>
        </w:rPr>
      </w:pPr>
    </w:p>
    <w:p>
      <w:pPr>
        <w:spacing w:beforeAutospacing="0" w:afterAutospacing="0" w:line="590" w:lineRule="exact"/>
        <w:ind w:left="0"/>
        <w:jc w:val="center"/>
        <w:rPr>
          <w:rFonts w:ascii="黑体" w:eastAsia="黑体" w:cs="黑体" w:hAnsi="黑体" w:hint="eastAsia"/>
          <w:sz w:val="32"/>
          <w:szCs w:val="32"/>
          <w:shd w:val="clear" w:color="auto" w:fill="auto"/>
        </w:rPr>
      </w:pPr>
      <w:r>
        <w:rPr>
          <w:rFonts w:ascii="黑体" w:eastAsia="黑体" w:cs="黑体" w:hAnsi="黑体" w:hint="eastAsia"/>
          <w:sz w:val="32"/>
          <w:szCs w:val="32"/>
          <w:shd w:val="clear" w:color="auto" w:fill="auto"/>
        </w:rPr>
        <w:t>第二部分  2024年度部门决算表</w:t>
      </w:r>
    </w:p>
    <w:p>
      <w:pPr>
        <w:spacing w:beforeAutospacing="0" w:afterAutospacing="0" w:line="590" w:lineRule="exact"/>
        <w:ind w:left="0"/>
        <w:jc w:val="center"/>
        <w:rPr>
          <w:rFonts w:ascii="仿宋_GB2312" w:eastAsia="仿宋_GB2312" w:cs="仿宋_GB2312" w:hAnsi="黑体" w:hint="eastAsia"/>
          <w:sz w:val="30"/>
          <w:szCs w:val="30"/>
          <w:shd w:val="clear" w:color="auto" w:fill="auto"/>
        </w:rPr>
      </w:pPr>
      <w:r>
        <w:rPr>
          <w:rFonts w:ascii="仿宋_GB2312" w:eastAsia="仿宋_GB2312" w:cs="仿宋_GB2312" w:hAnsi="黑体" w:hint="eastAsia"/>
          <w:sz w:val="30"/>
          <w:szCs w:val="30"/>
          <w:shd w:val="clear" w:color="auto" w:fill="auto"/>
        </w:rPr>
        <w:t>（详见附件）</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通海县疾病预防控制中心2024年没有政府性基金预算财政拨款收入，也没有使用政府性基金预算财政拨款安排的支出，《政府性基金预算财政拨款收入支出决算表》为空表。</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通海县疾病预防控制中心2024年没有国有资本经营预算财政拨款收入，也没有使用国有资本经营预算财政拨款安排的支出，《国有资本经营预算财政拨款收入支出决算表》为空表。</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通海县疾病预防控制中心2024年没有一般公共预算财政拨款安排的“三公”经费、行政参公单位机关运行经费的收入，也没有使用一般公共预算财政拨款安排的“三公”经费、行政参公单位机关运行经费支出，《“三公”经费、行政参公单位机关运行经费情况表</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《一般公共预算财政拨款“三公”经费情况表》为空表。</w:t>
      </w:r>
    </w:p>
    <w:p>
      <w:pPr>
        <w:spacing w:line="590" w:lineRule="exact"/>
        <w:ind w:firstLineChars="200" w:firstLine="600"/>
        <w:rPr>
          <w:rFonts w:ascii="仿宋_GB2312" w:eastAsia="仿宋_GB2312" w:cs="仿宋_GB2312" w:hint="eastAsia"/>
          <w:sz w:val="30"/>
          <w:szCs w:val="30"/>
        </w:rPr>
      </w:pPr>
    </w:p>
    <w:p>
      <w:pPr>
        <w:spacing w:beforeAutospacing="0" w:afterAutospacing="0" w:line="590" w:lineRule="exact"/>
        <w:ind w:left="0"/>
        <w:jc w:val="center"/>
        <w:rPr>
          <w:rFonts w:ascii="黑体" w:eastAsia="黑体" w:cs="黑体" w:hAnsi="黑体" w:hint="eastAsia"/>
          <w:sz w:val="32"/>
          <w:szCs w:val="32"/>
          <w:shd w:val="clear" w:color="auto" w:fill="auto"/>
        </w:rPr>
      </w:pPr>
      <w:r>
        <w:rPr>
          <w:rFonts w:ascii="黑体" w:eastAsia="黑体" w:cs="黑体" w:hAnsi="黑体" w:hint="eastAsia"/>
          <w:sz w:val="32"/>
          <w:szCs w:val="32"/>
          <w:shd w:val="clear" w:color="auto" w:fill="auto"/>
        </w:rPr>
        <w:t>第三部分2024年度部门决算情况说明</w:t>
      </w:r>
    </w:p>
    <w:p>
      <w:pPr>
        <w:spacing w:beforeAutospacing="0" w:afterAutospacing="0" w:line="590" w:lineRule="exact"/>
        <w:ind w:firstLineChars="200" w:firstLine="600"/>
        <w:rPr>
          <w:rFonts w:ascii="黑体" w:eastAsia="黑体" w:cs="黑体" w:hAnsi="黑体" w:hint="eastAsia"/>
          <w:sz w:val="30"/>
          <w:szCs w:val="30"/>
          <w:shd w:val="clear" w:color="auto" w:fill="auto"/>
        </w:rPr>
      </w:pPr>
      <w:r>
        <w:rPr>
          <w:rFonts w:ascii="黑体" w:eastAsia="黑体" w:cs="黑体" w:hAnsi="黑体" w:hint="eastAsia"/>
          <w:sz w:val="30"/>
          <w:szCs w:val="30"/>
          <w:shd w:val="clear" w:color="auto" w:fill="auto"/>
        </w:rPr>
        <w:t>一、收入决算情况说明</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通海县疾病预防控制中心2024年度收入合计14230219.26元。其中：财政拨款收入7986928.26元，占总收入的56.13%；无上级补助收入；事业收入6081861.00元（含教育收费0.00元），占总收入的42.74%；无经营收入，无附属单位上缴收入；其他收入161430.00元，占总收入的1.13%。</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与上年相比，收入合计减少4170316.22元，下降22.66%。其中：财政拨款收入减少1002161.77元，下降11.15%；无上级补助收入；事业收入减少2910419.45元，下降32.37%；无经营收入，无附属单位上缴收入；其他收入减少257735.00元，下降61.49%。主要原因是本年的二类疫苗款收入减少。</w:t>
      </w:r>
    </w:p>
    <w:p>
      <w:pPr>
        <w:spacing w:beforeAutospacing="0" w:afterAutospacing="0" w:line="590" w:lineRule="exact"/>
        <w:ind w:firstLineChars="200" w:firstLine="600"/>
        <w:rPr>
          <w:rFonts w:ascii="黑体" w:eastAsia="黑体" w:cs="黑体" w:hAnsi="黑体" w:hint="eastAsia"/>
          <w:sz w:val="30"/>
          <w:szCs w:val="30"/>
          <w:shd w:val="clear" w:color="auto" w:fill="auto"/>
        </w:rPr>
      </w:pPr>
      <w:r>
        <w:rPr>
          <w:rFonts w:ascii="黑体" w:eastAsia="黑体" w:cs="黑体" w:hAnsi="黑体" w:hint="eastAsia"/>
          <w:sz w:val="30"/>
          <w:szCs w:val="30"/>
          <w:shd w:val="clear" w:color="auto" w:fill="auto"/>
        </w:rPr>
        <w:t>二、支出决算情况说明</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通海县疾病预防控制中心2024年度支出合计12804276.01元。其中：基本支出7473640.13元，占总支出的58.37％；项目支出5330635.88元，占总支出的41.63％；无上缴上级支出，无经营支出，无对附属单位补助支出。</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与上年相比，支出合计减少1794907.80元，下降12.29%。其中：基本支出减少5176542.10元，下降40.92%；项目支出增加3381634.30元，增长173.51%；无上缴上级支出，无经营支出，无对附属单位补助支出。主要原因是本年内公积金未能按时足额发放，基本支出减少，本年支付了疫苗厂家上年度的二类疫苗款，项目支出增加。</w:t>
      </w:r>
    </w:p>
    <w:p>
      <w:pPr>
        <w:spacing w:line="590" w:lineRule="exact"/>
        <w:ind w:firstLineChars="200" w:firstLine="600"/>
        <w:rPr>
          <w:rFonts w:ascii="楷体" w:eastAsia="楷体" w:cs="楷体" w:hAnsi="楷体" w:hint="eastAsia"/>
          <w:sz w:val="30"/>
          <w:szCs w:val="30"/>
        </w:rPr>
      </w:pPr>
      <w:r>
        <w:rPr>
          <w:rFonts w:ascii="楷体" w:eastAsia="楷体" w:cs="楷体" w:hAnsi="楷体" w:hint="eastAsia"/>
          <w:sz w:val="30"/>
          <w:szCs w:val="30"/>
        </w:rPr>
        <w:t>（一）基本支出情况</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2024年度用于保障通海县疾病预防控制中心机构正常运转的日常支出7473640.13元。其中：基本工资、津贴补贴等人员经费支出7330100.45元，占基本支出的98.08％；办公费、印刷费、水电费、办公设备购置等公用经费143539.68元，占基本支出的1.92％。</w:t>
      </w:r>
    </w:p>
    <w:p>
      <w:pPr>
        <w:spacing w:line="590" w:lineRule="exact"/>
        <w:ind w:firstLineChars="200" w:firstLine="600"/>
        <w:rPr>
          <w:rFonts w:ascii="楷体" w:eastAsia="楷体" w:cs="楷体" w:hAnsi="楷体" w:hint="eastAsia"/>
          <w:sz w:val="30"/>
          <w:szCs w:val="30"/>
        </w:rPr>
      </w:pPr>
      <w:r>
        <w:rPr>
          <w:rFonts w:ascii="楷体" w:eastAsia="楷体" w:cs="楷体" w:hAnsi="楷体" w:hint="eastAsia"/>
          <w:sz w:val="30"/>
          <w:szCs w:val="30"/>
        </w:rPr>
        <w:t>（二）项目支出情况</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2024年度用于保障通海县疾病预防控制中心为完成特定的行政工作任务或事业发展目标，用于专项业务工作的经费支出5330635.88元。其中：基本建设类项目支出0.00元。</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1.遗属生活困难补助项目经费11418.00元。主要用于支付通海县疾病预防控制中心退休职工遗属生活困难补助。</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2.疾病预防控制项目经费。疾病预防控制项目支出4817347.75元，主要用于单位开展疾病预防控制及检验检测所需要的商品和服务费用。</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3.基本公共卫生服务项目经费288530.30元，主要用于单位开展老年人健康管理、居民健康档案管理、预防接种、慢性病管理、健康教育宣传等十余项基本公共卫生工作所需的商品和服务费用。</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4.重大公共卫生服务项目经费123779.03元，主要用于单位开展艾滋病防治、结核病防治、重点床染病及危害因素监测等重大传染病项目所需要的商品和服务费用。</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5.突发公共卫生应急处理项目经费2000.00元，主要用于支付新冠病毒感染疫情防控医务人员临时性生活补助。</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6.麻风病人生活费项目经费21960.00元，主要用于按季度发放老黑山麻风病院健在的麻风病人生活费。</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7.一次性丧葬费和抚恤金项目经费65600.80元，主要用于支付退休职工死亡一次性丧葬费和抚恤金。</w:t>
      </w:r>
    </w:p>
    <w:p>
      <w:pPr>
        <w:spacing w:beforeAutospacing="0" w:afterAutospacing="0" w:line="590" w:lineRule="exact"/>
        <w:ind w:firstLineChars="200" w:firstLine="600"/>
        <w:rPr>
          <w:rFonts w:ascii="黑体" w:eastAsia="黑体" w:cs="黑体" w:hAnsi="黑体" w:hint="eastAsia"/>
          <w:sz w:val="30"/>
          <w:szCs w:val="30"/>
          <w:shd w:val="clear" w:color="auto" w:fill="auto"/>
        </w:rPr>
      </w:pPr>
      <w:r>
        <w:rPr>
          <w:rFonts w:ascii="黑体" w:eastAsia="黑体" w:cs="黑体" w:hAnsi="黑体" w:hint="eastAsia"/>
          <w:sz w:val="30"/>
          <w:szCs w:val="30"/>
          <w:shd w:val="clear" w:color="auto" w:fill="auto"/>
        </w:rPr>
        <w:t>三、一般公共预算财政拨款支出决算情况说明</w:t>
      </w:r>
    </w:p>
    <w:p>
      <w:pPr>
        <w:spacing w:line="590" w:lineRule="exact"/>
        <w:ind w:firstLineChars="200" w:firstLine="600"/>
        <w:rPr>
          <w:rFonts w:ascii="楷体" w:eastAsia="楷体" w:cs="楷体" w:hAnsi="楷体" w:hint="eastAsia"/>
          <w:sz w:val="30"/>
          <w:szCs w:val="30"/>
        </w:rPr>
      </w:pPr>
      <w:r>
        <w:rPr>
          <w:rFonts w:ascii="楷体" w:eastAsia="楷体" w:cs="楷体" w:hAnsi="楷体" w:hint="eastAsia"/>
          <w:sz w:val="30"/>
          <w:szCs w:val="30"/>
        </w:rPr>
        <w:t>（一）一般公共预算财政拨款支出决算总体情况</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通海县疾病预防控制中心2024年度一般公共预算财政拨款支出7986928.26元</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占本年支出合计的62.38%。与上年相比减少1002161.77元，下降11.15%</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完成年初预算的84.44%。</w:t>
      </w:r>
    </w:p>
    <w:p>
      <w:pPr>
        <w:spacing w:line="590" w:lineRule="exact"/>
        <w:ind w:firstLineChars="200" w:firstLine="600"/>
        <w:rPr>
          <w:rFonts w:ascii="仿宋_GB2312" w:eastAsia="仿宋_GB2312" w:cs="仿宋_GB2312" w:hint="eastAsia"/>
          <w:sz w:val="30"/>
          <w:szCs w:val="30"/>
        </w:rPr>
      </w:pPr>
      <w:r>
        <w:rPr>
          <w:rFonts w:ascii="楷体" w:eastAsia="楷体" w:cs="楷体" w:hAnsi="楷体" w:hint="eastAsia"/>
          <w:sz w:val="30"/>
          <w:szCs w:val="30"/>
        </w:rPr>
        <w:t>（二）一般公共预算财政拨款支出决算分功能分类科目情况</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1.一般公共服务（类）无支出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2.外交（类）无支出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3.国防（类）无支出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4.公共安全（类）无支出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5.教育（类）无支出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6.科学技术（类）无支出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7.文化旅游体育与传媒（类）无支出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8.社会保障和就业（类）支出1074283.89元，占一般公共预算财政拨款总支出的13.45%</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完成年初预算的 90.11%。主要用于职工基本养老保险及职业年金的缴纳；造成预决算差异的主要原因是2024年年初预算时单位在职在编职工为45人，</w:t>
      </w:r>
      <w:r>
        <w:rPr>
          <w:rFonts w:ascii="仿宋_GB2312" w:eastAsia="仿宋_GB2312" w:cs="仿宋_GB2312" w:hint="eastAsia"/>
          <w:sz w:val="30"/>
          <w:szCs w:val="30"/>
          <w:shd w:val="clear" w:color="auto" w:fill="auto"/>
        </w:rPr>
        <w:t>2024年8月1</w:t>
      </w:r>
      <w:r>
        <w:rPr>
          <w:rFonts w:ascii="仿宋_GB2312" w:eastAsia="仿宋_GB2312" w:cs="仿宋_GB2312" w:hint="eastAsia"/>
          <w:sz w:val="30"/>
          <w:szCs w:val="30"/>
        </w:rPr>
        <w:t>人退休，基本养老保险及职业年金缴纳的金额减少。</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9.卫生健康（类）支出6485385.37元，占一般公共预算财政拨款总支出的81.20%</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完成年初预算的85.89%。主要用于基本公共卫生服务及重大传染病防治的项目支出；造成预决算差异的主要原因是本年基本公共卫生服务及重大传染病防治项目绩效目标已完成，但因财政资金困难，部分已达到支付条件的款项未能在当年内按时支付。</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10.节能环保（类）无支出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11.城乡社区（类）无支出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12.农林水（类）无支出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13.交通运输（类）无支出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14.资源勘探工业信息等（类）支无支出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15.商业服务业等（类）无支出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16.金融（类）支出无支出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17.援助其他地区（类）无支出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18.自然资源海洋气象等（类）无支出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19.住房保障（类）支出427259.00元，占一般公共预算财政拨款总支出的5.35%</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完成年初预算的59.71%。主要用于在职在编职工的住房公积金和住房补贴的支出；造成预决算差异的主要原因是2024年住房公积金未能按时足额发放。</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20.粮油物资储备（类）无支出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21.国有资本经营预算（类）无支出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22.灾害防治及应急管理（类）无支出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23.其他（类）无支出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24.债务还本（类）无支出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25.债务付息（类）无支出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26.抗疫特别国债安排（类）无支出</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年初无此项预算。</w:t>
      </w:r>
    </w:p>
    <w:p>
      <w:pPr>
        <w:spacing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四、财政拨款“三公”经费支出决算情况说明</w:t>
      </w:r>
    </w:p>
    <w:p>
      <w:pPr>
        <w:spacing w:line="590" w:lineRule="exact"/>
        <w:ind w:firstLineChars="200" w:firstLine="600"/>
        <w:rPr>
          <w:rFonts w:ascii="楷体" w:eastAsia="楷体" w:cs="楷体" w:hAnsi="楷体" w:hint="eastAsia"/>
          <w:sz w:val="30"/>
          <w:szCs w:val="30"/>
        </w:rPr>
      </w:pPr>
      <w:r>
        <w:rPr>
          <w:rFonts w:ascii="楷体" w:eastAsia="楷体" w:cs="楷体" w:hAnsi="楷体" w:hint="eastAsia"/>
          <w:sz w:val="30"/>
          <w:szCs w:val="30"/>
        </w:rPr>
        <w:t>（一）总体情况</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2024年度财政拨款“三公”经费支出决算中，财政拨款“三公”经费支出年初预算为0.00元，决算为0.00元；支出决算较上年增加0.00元，上年无此项支出。</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因公出国（境）费支出年初预算为0.00元，决算为0.00元，占财政拨款“三公”经费总支出决算的0.00%；公务用车购置费支出年初预算为0.00元，决算为0.00元，占财政拨款“三公”经费总支出决算的0.00%；公务用车运行维护费支出年初预算为0.00元，决算为0.00元，占财政拨款“三公”经费总支出决算的0.00%；公务接待费支出年初预算为0.00元，决算为0.00元，占财政拨款“三公”经费总支出决算的0.00%。</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因公出国（境）费支出决算较上年增加0.00元，上年无此项支出；公务用车购置费支出决算较上年增加0.00元，上年无此项支出；公务用车运行维护费支出决算较上年增加0.00元，上年无此项支出；公务接待费支出决算较上年增加0.00元，上年无此项支出；具体是国内接待费支出决算0.00元（其中：外事接待费支出决算0.00元），较上年增加0.00元，上年无此项支出；国（境）外接待费支出决算0.00元较上年增加0.00元，上年无此项支出。</w:t>
      </w:r>
    </w:p>
    <w:p>
      <w:pPr>
        <w:spacing w:line="590" w:lineRule="exact"/>
        <w:ind w:firstLineChars="200" w:firstLine="600"/>
        <w:rPr>
          <w:rFonts w:ascii="楷体" w:eastAsia="楷体" w:cs="楷体" w:hAnsi="楷体" w:hint="eastAsia"/>
          <w:sz w:val="30"/>
          <w:szCs w:val="30"/>
        </w:rPr>
      </w:pPr>
      <w:r>
        <w:rPr>
          <w:rFonts w:ascii="楷体" w:eastAsia="楷体" w:cs="楷体" w:hAnsi="楷体" w:hint="eastAsia"/>
          <w:sz w:val="30"/>
          <w:szCs w:val="30"/>
        </w:rPr>
        <w:t>（二）一般公共预算财政拨款“三公”经费支出决算情况说明</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2024年度一般公共预算财政拨款“三公”经费支出年初预算为0.00元，支出决算为0.00元，支出决算较上年增加0.00元，上年无此项支出。</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一般公共预算财政拨款“三公”经费支出中：因公出国（境）费支出年初预算为0.00元，决算为0.00元；公务用车购置费支出年初预算为0.00元，决算为0.00元；公务用车运行维护费支出年初预算为0.00元，决算为0.00元；公务接待费支出年初预算为0.00元，决算为0.00元。2024年度一般公共预算财政拨款“三公”经费支出决算数等于年初预算数的主要原因是本单位无一般公共预算财政拨款“三公”经费。</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一般公共预算财政拨款“三公”经费支出中：因公出国（境）费支出决算增加0.00元，上年无此项支出；公务用车购置费支出决算增加0.00元，上年无此项支出；公务用车运行维护费支出决算增加0.00元，上年无此项支出；公务接待费支出决算增加0.00元，上年无此项支出，具体是国内接待费支出决算0.00元（其中：外事接待费支出决算0.00元），较上年增加0.00元，上年无此项支出；国（境）外接待费支出决算0.00元较上年增加0.00元，上年无此项支出。2024年度一般公共预算财政拨款“三公”经费支出决算无变化。</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一般公共预算财政拨款“三公”经费支出实物量的具体情况：</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1.安排因公出国（境）团组0.0个，累计0.0人次。</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2.购置车辆0.0辆。</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3.安排国内公务接待0.0批次（其中：外事接待0.0批次），接待人次0.0人（其中：外事接待人次0.0人）。安排国（境）外公务接待0.0批次，接待人次0.0人。</w:t>
      </w:r>
    </w:p>
    <w:p>
      <w:pPr>
        <w:spacing w:line="590" w:lineRule="exact"/>
        <w:ind w:firstLineChars="200" w:firstLine="600"/>
        <w:rPr>
          <w:rFonts w:ascii="楷体" w:eastAsia="楷体" w:cs="楷体" w:hAnsi="楷体" w:hint="eastAsia"/>
          <w:sz w:val="30"/>
          <w:szCs w:val="30"/>
        </w:rPr>
      </w:pPr>
      <w:r>
        <w:rPr>
          <w:rFonts w:ascii="楷体" w:eastAsia="楷体" w:cs="楷体" w:hAnsi="楷体" w:hint="eastAsia"/>
          <w:sz w:val="30"/>
          <w:szCs w:val="30"/>
        </w:rPr>
        <w:t>（三）需要说明的事项</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不存在需要说明的事项。</w:t>
      </w:r>
    </w:p>
    <w:p>
      <w:pPr>
        <w:spacing w:line="590" w:lineRule="exact"/>
        <w:ind w:firstLineChars="200" w:firstLine="600"/>
        <w:rPr>
          <w:rFonts w:ascii="仿宋_GB2312" w:eastAsia="仿宋_GB2312" w:cs="仿宋_GB2312" w:hint="eastAsia"/>
          <w:sz w:val="30"/>
          <w:szCs w:val="30"/>
        </w:rPr>
      </w:pPr>
    </w:p>
    <w:p>
      <w:pPr>
        <w:spacing w:beforeAutospacing="0" w:afterAutospacing="0" w:line="590" w:lineRule="exact"/>
        <w:ind w:left="0"/>
        <w:jc w:val="center"/>
        <w:rPr>
          <w:rFonts w:ascii="黑体" w:eastAsia="黑体" w:cs="黑体" w:hAnsi="黑体" w:hint="eastAsia"/>
          <w:sz w:val="32"/>
          <w:szCs w:val="32"/>
          <w:shd w:val="clear" w:color="auto" w:fill="auto"/>
        </w:rPr>
      </w:pPr>
      <w:r>
        <w:rPr>
          <w:rFonts w:ascii="黑体" w:eastAsia="黑体" w:cs="黑体" w:hAnsi="黑体" w:hint="eastAsia"/>
          <w:sz w:val="32"/>
          <w:szCs w:val="32"/>
          <w:shd w:val="clear" w:color="auto" w:fill="auto"/>
        </w:rPr>
        <w:t>第四部分  其他重要事项及相关口径情况说明</w:t>
      </w:r>
    </w:p>
    <w:p>
      <w:pPr>
        <w:spacing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一、机关运行经费支出情况</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通海县疾病预防控制中心2024年机关运行经费支出0.00元，比上年增加0.00元，增长0.00%</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主要原因是通海县疾病预防控制中心是全额拨款事业单位，无机关运行经费。</w:t>
      </w:r>
    </w:p>
    <w:p>
      <w:pPr>
        <w:spacing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二、国有资产占用情况</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截至2024年末，通海县疾病预防控制中心资产总额15953586.76元，其中，流动资产6683598.38元，固定资产9269986.38元（净值），对外投资及有价证券0.00元，在建工程0.00元，无形资产2.00元（净值），其他资产0.00元（净值）（具体内容详见附表）。与上年相比，本年资产总额增加2164624.52元，其中固定资产增加4728433.89元。处置房屋建筑物0.00平方米，账面原值0.00元；处置车辆0.00辆，账面原值0.00元；报废报损资产0.00项，账面原值0.00元，实现资产处置收入0.00元</w:t>
      </w:r>
      <w:bookmarkStart w:id="0" w:name="_GoBack"/>
      <w:bookmarkEnd w:id="0"/>
      <w:r>
        <w:rPr>
          <w:rFonts w:ascii="仿宋_GB2312" w:eastAsia="仿宋_GB2312" w:cs="仿宋_GB2312" w:hint="eastAsia"/>
          <w:sz w:val="30"/>
          <w:szCs w:val="30"/>
        </w:rPr>
        <w:t>；出租房屋0.00平方米，账面原值0.00元，实现资产使用收入0.00元。</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（国有资产占有使用情况表详见附表）</w:t>
      </w:r>
    </w:p>
    <w:p>
      <w:pPr>
        <w:spacing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三、政府采购支出情况</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2024年度，单位政府采购支出总额166002.86元，其中：政府采购货物支出137757.00元；政府采购工程支出0.00元；政府采购服务支出28245.86元。授予中小企业合同金额0.00元，其中：授予小微企业合同金额0.00元。</w:t>
      </w:r>
    </w:p>
    <w:p>
      <w:pPr>
        <w:spacing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四、单位绩效自评情况</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单位绩效自评情况详见附表。</w:t>
      </w:r>
    </w:p>
    <w:p>
      <w:pPr>
        <w:spacing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五、其他重要事项情况说明</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无。</w:t>
      </w:r>
    </w:p>
    <w:p>
      <w:pPr>
        <w:spacing w:line="590" w:lineRule="exact"/>
        <w:ind w:firstLineChars="200" w:firstLine="600"/>
        <w:rPr>
          <w:rFonts w:ascii="黑体" w:eastAsia="黑体" w:cs="黑体" w:hAnsi="黑体" w:hint="eastAsia"/>
          <w:sz w:val="30"/>
          <w:szCs w:val="30"/>
        </w:rPr>
      </w:pPr>
      <w:r>
        <w:rPr>
          <w:rFonts w:ascii="黑体" w:eastAsia="黑体" w:cs="黑体" w:hAnsi="黑体" w:hint="eastAsia"/>
          <w:sz w:val="30"/>
          <w:szCs w:val="30"/>
        </w:rPr>
        <w:t>六、相关口径说明</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（一）基本支出中人员经费包括工资福利支出和对个人和家庭的补助，公用经费包括商品和服务支出、资本性支出等人员经费以外的支出。</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（二）机关运行经费指行政单位和参照公务员法管理的事业单位使用一般公共预算财政拨款安排的基本支出中的公用经费支出。</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w:t>
      </w:r>
      <w:r>
        <w:rPr>
          <w:rFonts w:ascii="仿宋_GB2312" w:eastAsia="仿宋_GB2312" w:cs="仿宋_GB2312" w:hint="eastAsia"/>
          <w:sz w:val="30"/>
          <w:szCs w:val="30"/>
          <w:shd w:val="clear" w:color="auto" w:fill="auto"/>
        </w:rPr>
        <w:t>）；</w:t>
      </w:r>
      <w:r>
        <w:rPr>
          <w:rFonts w:ascii="仿宋_GB2312" w:eastAsia="仿宋_GB2312" w:cs="仿宋_GB2312" w:hint="eastAsia"/>
          <w:sz w:val="30"/>
          <w:szCs w:val="30"/>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pPr>
        <w:spacing w:line="590" w:lineRule="exact"/>
        <w:ind w:firstLineChars="200" w:firstLine="600"/>
        <w:rPr>
          <w:rFonts w:ascii="仿宋_GB2312" w:eastAsia="仿宋_GB2312" w:cs="仿宋_GB2312" w:hint="eastAsia"/>
          <w:sz w:val="30"/>
          <w:szCs w:val="30"/>
        </w:rPr>
      </w:pPr>
    </w:p>
    <w:p>
      <w:pPr>
        <w:spacing w:beforeAutospacing="0" w:afterAutospacing="0" w:line="590" w:lineRule="exact"/>
        <w:ind w:left="0"/>
        <w:jc w:val="center"/>
        <w:rPr>
          <w:rFonts w:ascii="黑体" w:eastAsia="黑体" w:cs="黑体" w:hAnsi="黑体" w:hint="eastAsia"/>
          <w:sz w:val="32"/>
          <w:szCs w:val="32"/>
          <w:shd w:val="clear" w:color="auto" w:fill="auto"/>
        </w:rPr>
      </w:pPr>
      <w:r>
        <w:rPr>
          <w:rFonts w:ascii="黑体" w:eastAsia="黑体" w:cs="黑体" w:hAnsi="黑体" w:hint="eastAsia"/>
          <w:sz w:val="32"/>
          <w:szCs w:val="32"/>
          <w:shd w:val="clear" w:color="auto" w:fill="auto"/>
        </w:rPr>
        <w:t>第五部分  名词解释</w:t>
      </w:r>
    </w:p>
    <w:p>
      <w:pPr>
        <w:spacing w:line="590" w:lineRule="exact"/>
        <w:ind w:firstLineChars="200" w:firstLine="600"/>
        <w:rPr>
          <w:rFonts w:ascii="仿宋_GB2312" w:eastAsia="仿宋_GB2312" w:cs="仿宋_GB2312" w:hint="eastAsia"/>
          <w:sz w:val="30"/>
          <w:szCs w:val="30"/>
        </w:rPr>
      </w:pPr>
      <w:r>
        <w:rPr>
          <w:rFonts w:ascii="仿宋_GB2312" w:eastAsia="仿宋_GB2312" w:cs="仿宋_GB2312" w:hint="eastAsia"/>
          <w:sz w:val="30"/>
          <w:szCs w:val="30"/>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spacing w:line="590" w:lineRule="exact"/>
        <w:ind w:firstLineChars="200" w:firstLine="600"/>
        <w:rPr>
          <w:rFonts w:ascii="仿宋_GB2312" w:eastAsia="仿宋_GB2312" w:cs="仿宋_GB2312" w:hint="eastAsia"/>
          <w:sz w:val="30"/>
          <w:szCs w:val="30"/>
        </w:rPr>
      </w:pPr>
    </w:p>
    <w:p>
      <w:pPr>
        <w:rPr>
          <w:rFonts w:ascii="Arial" w:eastAsia="Arial" w:cs="Arial" w:hAnsi="Arial" w:hint="eastAsia"/>
          <w:b/>
          <w:bCs/>
          <w:sz w:val="36"/>
          <w:szCs w:val="24"/>
          <w:shd w:val="clear" w:color="auto" w:fill="auto"/>
        </w:rPr>
      </w:pPr>
      <w:r>
        <w:rPr>
          <w:rFonts w:ascii="Arial" w:eastAsia="Arial" w:cs="Arial" w:hAnsi="Arial" w:hint="eastAsia"/>
          <w:b/>
          <w:bCs/>
          <w:sz w:val="36"/>
          <w:szCs w:val="24"/>
          <w:shd w:val="clear" w:color="auto" w:fill="auto"/>
        </w:rPr>
        <w:t>监督索引号53042300436100101111</w:t>
      </w:r>
    </w:p>
    <w:sectPr>
      <w:footerReference w:type="default" r:id="rId2"/>
      <w:pgSz w:w="11907" w:h="16839"/>
      <w:pgMar w:top="1440" w:right="1800" w:bottom="1440" w:left="1800"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auto"/>
    <w:pitch w:val="variable"/>
    <w:sig w:usb0="00007A87" w:usb1="80000000" w:usb2="00000008" w:usb3="00000000" w:csb0="400001FF" w:csb1="FFFF0000"/>
  </w:font>
  <w:font w:name="方正小标宋简体">
    <w:panose1 w:val="02000000000000000000"/>
    <w:charset w:val="86"/>
    <w:family w:val="script"/>
    <w:pitch w:val="variable"/>
    <w:sig w:usb0="A00002BF" w:usb1="184F6CFA" w:usb2="00000012" w:usb3="00000000" w:csb0="00040001"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宋体">
    <w:altName w:val="黑体"/>
    <w:panose1 w:val="02010600030101010101"/>
    <w:charset w:val="86"/>
    <w:family w:val="auto"/>
    <w:pitch w:val="variable"/>
    <w:sig w:usb0="00000003" w:usb1="080E0000" w:usb2="00000000" w:usb3="00000000" w:csb0="00040001" w:csb1="00000000"/>
  </w:font>
  <w:font w:name="Lucida Sans">
    <w:panose1 w:val="020B0602030504020204"/>
    <w:charset w:val="00"/>
    <w:family w:val="auto"/>
    <w:pitch w:val="variable"/>
    <w:sig w:usb0="00000003" w:usb1="00000000" w:usb2="00000000" w:usb3="00000000" w:csb0="2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rPr>
        <w:sz w:val="28"/>
        <w:szCs w:val="28"/>
      </w:rPr>
    </w:pPr>
    <w:r>
      <w:rPr>
        <w:rStyle w:val="42"/>
        <w:sz w:val="28"/>
        <w:szCs w:val="28"/>
      </w:rPr>
      <w:fldChar w:fldCharType="begin"/>
    </w:r>
    <w:r>
      <w:rPr>
        <w:rStyle w:val="42"/>
        <w:sz w:val="28"/>
        <w:szCs w:val="28"/>
      </w:rPr>
      <w:instrText>Page</w:instrText>
    </w:r>
    <w:r>
      <w:rPr>
        <w:rStyle w:val="42"/>
        <w:sz w:val="28"/>
        <w:szCs w:val="28"/>
      </w:rPr>
      <w:fldChar w:fldCharType="separate"/>
    </w:r>
    <w:r>
      <w:rPr>
        <w:rStyle w:val="42"/>
        <w:sz w:val="28"/>
        <w:szCs w:val="28"/>
      </w:rPr>
      <w:t>1</w:t>
    </w:r>
    <w:r>
      <w:rPr>
        <w:rStyle w:val="42"/>
        <w:sz w:val="28"/>
        <w:szCs w:val="28"/>
      </w:rPr>
      <w:fldChar w:fldCharType="end"/>
    </w:r>
  </w:p>
  <w:p>
    <w:pPr>
      <w:pStyle w:val="33"/>
      <w:tabs>
        <w:tab w:val="center" w:pos="4153"/>
        <w:tab w:val="right" w:pos="8307"/>
      </w:tabs>
      <w:ind w:firstLine="360"/>
      <w:rPr>
        <w:sz w:val="28"/>
        <w:szCs w:val="28"/>
      </w:rPr>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spacing w:line="240" w:lineRule="auto"/>
      <w:jc w:val="both"/>
    </w:pPr>
    <w:rPr>
      <w:rFonts w:ascii="Times New Roman" w:eastAsia="宋体" w:hAnsi="Times New Roman"/>
      <w:kern w:val="2"/>
      <w:sz w:val="21"/>
      <w:szCs w:val="21"/>
      <w:lang w:val="en-US" w:eastAsia="zh-CN"/>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hAnsi="Times New Roman"/>
      <w:b/>
      <w:bCs/>
      <w:kern w:val="44"/>
      <w:sz w:val="44"/>
      <w:szCs w:val="44"/>
      <w:lang w:val="en-US" w:eastAsia="zh-CN"/>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hAnsi="Times New Roman"/>
      <w:b/>
      <w:bCs/>
      <w:kern w:val="2"/>
      <w:sz w:val="32"/>
      <w:szCs w:val="32"/>
      <w:lang w:val="en-US" w:eastAsia="zh-CN"/>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hAnsi="Times New Roman"/>
      <w:b/>
      <w:bCs/>
      <w:kern w:val="2"/>
      <w:sz w:val="32"/>
      <w:szCs w:val="32"/>
      <w:lang w:val="en-US" w:eastAsia="zh-CN"/>
    </w:rPr>
  </w:style>
  <w:style w:type="character" w:default="1" w:styleId="10">
    <w:name w:val="Default Paragraph Font"/>
    <w:qFormat/>
  </w:style>
  <w:style w:type="paragraph" w:styleId="32">
    <w:name w:val="header"/>
    <w:qFormat/>
    <w:basedOn w:val="0"/>
    <w:pPr>
      <w:pBdr>
        <w:bottom w:val="single" w:sz="6" w:space="1" w:color="auto"/>
      </w:pBdr>
      <w:tabs>
        <w:tab w:val="center" w:pos="4153"/>
        <w:tab w:val="right" w:pos="8307"/>
      </w:tabs>
      <w:snapToGrid w:val="0"/>
      <w:jc w:val="center"/>
    </w:pPr>
    <w:rPr>
      <w:sz w:val="18"/>
      <w:szCs w:val="18"/>
    </w:rPr>
  </w:style>
  <w:style w:type="paragraph" w:styleId="33">
    <w:name w:val="footer"/>
    <w:qFormat/>
    <w:basedOn w:val="0"/>
    <w:pPr>
      <w:tabs>
        <w:tab w:val="center" w:pos="4153"/>
        <w:tab w:val="right" w:pos="8307"/>
      </w:tabs>
      <w:snapToGrid w:val="0"/>
      <w:jc w:val="left"/>
    </w:pPr>
    <w:rPr>
      <w:sz w:val="18"/>
      <w:szCs w:val="18"/>
    </w:rPr>
  </w:style>
  <w:style w:type="paragraph" w:styleId="36">
    <w:name w:val="table of figures"/>
    <w:qFormat/>
    <w:basedOn w:val="0"/>
    <w:next w:val="0"/>
    <w:pPr>
      <w:ind w:leftChars="200" w:left="400" w:hangingChars="200" w:hanging="200"/>
    </w:pPr>
  </w:style>
  <w:style w:type="character" w:styleId="42">
    <w:name w:val="page number"/>
    <w:qForma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45 1 1 1 1 1"/>
    <sectPr/>
  </customProps>
</customData>
</file>

<file path=customXml/itemProps1.xml><?xml version="1.0" encoding="utf-8"?>
<ds:datastoreItem xmlns:ds="http://schemas.openxmlformats.org/officeDocument/2006/customXml" ds:itemID="{B49420EC-7CD7-4317-8650-DD90A5B8CA3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TotalTime>
  <Application>Yozo_Office9.0.6292.161ZH.YN02</Application>
  <Pages>15</Pages>
  <Words>0</Words>
  <Characters>5596</Characters>
  <Lines>0</Lines>
  <Paragraphs>158</Paragraphs>
  <CharactersWithSpaces>7462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kylin</dc:creator>
  <cp:lastModifiedBy>kylin</cp:lastModifiedBy>
  <cp:revision>4</cp:revision>
  <dcterms:created xsi:type="dcterms:W3CDTF">2025-09-29T00:48:45Z</dcterms:created>
  <dcterms:modified xsi:type="dcterms:W3CDTF">2025-09-29T01:03:02Z</dcterms:modified>
</cp:coreProperties>
</file>