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Arial" w:eastAsia="Arial" w:cs="Arial" w:hAnsi="Arial"/>
          <w:b/>
          <w:bCs/>
          <w:sz w:val="36"/>
          <w:szCs w:val="24"/>
          <w:shd w:val="clear" w:color="auto" w:fill="auto"/>
        </w:rPr>
      </w:pPr>
      <w:r>
        <w:rPr>
          <w:rFonts w:ascii="Arial" w:eastAsia="Arial" w:cs="Arial" w:hAnsi="Arial"/>
          <w:b/>
          <w:bCs/>
          <w:sz w:val="36"/>
          <w:szCs w:val="24"/>
          <w:shd w:val="clear" w:color="auto" w:fill="auto"/>
        </w:rPr>
        <w:t>监督索引号53042300436101000</w:t>
      </w:r>
    </w:p>
    <w:p>
      <w:pPr>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通海县卫生健康局2024年度部门决算</w:t>
      </w:r>
    </w:p>
    <w:p>
      <w:pPr>
        <w:jc w:val="center"/>
        <w:rPr>
          <w:rFonts w:ascii="方正小标宋简体" w:eastAsia="方正小标宋简体" w:cs="方正小标宋简体"/>
          <w:sz w:val="36"/>
          <w:szCs w:val="36"/>
        </w:rPr>
      </w:pPr>
    </w:p>
    <w:p>
      <w:pPr>
        <w:jc w:val="center"/>
        <w:rPr>
          <w:rFonts w:ascii="Arial" w:eastAsia="Arial" w:cs="Arial" w:hAnsi="Arial" w:hint="eastAsia"/>
          <w:b/>
          <w:bCs/>
          <w:sz w:val="36"/>
          <w:szCs w:val="24"/>
          <w:shd w:val="clear" w:color="auto" w:fill="auto"/>
        </w:rPr>
      </w:pPr>
      <w:r>
        <w:rPr>
          <w:rFonts w:ascii="方正小标宋简体" w:eastAsia="方正小标宋简体" w:cs="方正小标宋简体" w:hint="eastAsia"/>
          <w:sz w:val="36"/>
          <w:szCs w:val="36"/>
        </w:rPr>
        <w:t>目录</w:t>
      </w:r>
    </w:p>
    <w:p>
      <w:pPr>
        <w:spacing w:line="590" w:lineRule="exact"/>
        <w:rPr>
          <w:rFonts w:ascii="仿宋_GB2312" w:eastAsia="仿宋_GB2312" w:cs="仿宋_GB2312" w:hint="eastAsia"/>
          <w:sz w:val="30"/>
          <w:szCs w:val="30"/>
        </w:rPr>
      </w:pPr>
    </w:p>
    <w:p>
      <w:pPr>
        <w:spacing w:line="590" w:lineRule="exact"/>
        <w:rPr>
          <w:rFonts w:ascii="黑体" w:eastAsia="黑体" w:cs="黑体" w:hAnsi="黑体" w:hint="eastAsia"/>
          <w:sz w:val="30"/>
          <w:szCs w:val="30"/>
        </w:rPr>
      </w:pPr>
      <w:r>
        <w:rPr>
          <w:rFonts w:ascii="黑体" w:eastAsia="黑体" w:cs="黑体" w:hAnsi="黑体" w:hint="eastAsia"/>
          <w:sz w:val="30"/>
          <w:szCs w:val="30"/>
        </w:rPr>
        <w:t>第一部分  部门概况</w:t>
      </w:r>
    </w:p>
    <w:p>
      <w:pPr>
        <w:spacing w:line="590" w:lineRule="exact"/>
        <w:rPr>
          <w:rFonts w:ascii="楷体" w:eastAsia="楷体" w:cs="楷体" w:hAnsi="楷体" w:hint="eastAsia"/>
          <w:sz w:val="30"/>
          <w:szCs w:val="30"/>
        </w:rPr>
      </w:pPr>
      <w:r>
        <w:rPr>
          <w:rFonts w:ascii="楷体" w:eastAsia="楷体" w:cs="楷体" w:hAnsi="楷体" w:hint="eastAsia"/>
          <w:sz w:val="30"/>
          <w:szCs w:val="30"/>
        </w:rPr>
        <w:t>一、主要职责</w:t>
      </w:r>
    </w:p>
    <w:p>
      <w:pPr>
        <w:spacing w:line="590" w:lineRule="exact"/>
        <w:rPr>
          <w:rFonts w:ascii="楷体" w:eastAsia="楷体" w:cs="楷体" w:hAnsi="楷体" w:hint="eastAsia"/>
          <w:sz w:val="30"/>
          <w:szCs w:val="30"/>
        </w:rPr>
      </w:pPr>
      <w:r>
        <w:rPr>
          <w:rFonts w:ascii="楷体" w:eastAsia="楷体" w:cs="楷体" w:hAnsi="楷体" w:hint="eastAsia"/>
          <w:sz w:val="30"/>
          <w:szCs w:val="30"/>
        </w:rPr>
        <w:t>二、基本情况</w:t>
      </w:r>
    </w:p>
    <w:p>
      <w:pPr>
        <w:spacing w:line="590" w:lineRule="exact"/>
        <w:rPr>
          <w:rFonts w:ascii="楷体" w:eastAsia="楷体" w:cs="楷体" w:hAnsi="楷体" w:hint="eastAsia"/>
          <w:sz w:val="30"/>
          <w:szCs w:val="30"/>
        </w:rPr>
      </w:pPr>
      <w:r>
        <w:rPr>
          <w:rFonts w:ascii="楷体" w:eastAsia="楷体" w:cs="楷体" w:hAnsi="楷体" w:hint="eastAsia"/>
          <w:sz w:val="30"/>
          <w:szCs w:val="30"/>
        </w:rPr>
        <w:t>三、重点工作概述</w:t>
      </w:r>
    </w:p>
    <w:p>
      <w:pPr>
        <w:spacing w:line="590" w:lineRule="exact"/>
        <w:rPr>
          <w:rFonts w:ascii="黑体" w:eastAsia="黑体" w:cs="黑体" w:hAnsi="黑体" w:hint="eastAsia"/>
          <w:sz w:val="30"/>
          <w:szCs w:val="30"/>
        </w:rPr>
      </w:pPr>
      <w:r>
        <w:rPr>
          <w:rFonts w:ascii="黑体" w:eastAsia="黑体" w:cs="黑体" w:hAnsi="黑体" w:hint="eastAsia"/>
          <w:sz w:val="30"/>
          <w:szCs w:val="30"/>
        </w:rPr>
        <w:t>第二部分  2024年度部门决算表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一、收入支出决算表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二、收入决算表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三、支出决算表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四、财政拨款收入支出决算表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五、一般公共预算财政拨款收入支出决算表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六、一般公共预算财政拨款基本支出决算表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七、一般公共预算财政拨款项目支出决算表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八、政府性基金预算财政拨款收入支出决算表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九、国有资本经营预算财政拨款收入支出决算表</w:t>
      </w:r>
    </w:p>
    <w:p>
      <w:pPr>
        <w:spacing w:line="590" w:lineRule="exact"/>
        <w:rPr>
          <w:rFonts w:ascii="楷体" w:eastAsia="楷体" w:cs="楷体" w:hAnsi="楷体" w:hint="eastAsia"/>
          <w:sz w:val="30"/>
          <w:szCs w:val="30"/>
        </w:rPr>
      </w:pPr>
      <w:r>
        <w:rPr>
          <w:rFonts w:ascii="楷体" w:eastAsia="楷体" w:cs="楷体" w:hAnsi="楷体" w:hint="eastAsia"/>
          <w:sz w:val="30"/>
          <w:szCs w:val="30"/>
        </w:rPr>
        <w:t>十、财政拨款“三公”经费、行政参公单位机关运行经费情况表</w:t>
      </w:r>
    </w:p>
    <w:p>
      <w:pPr>
        <w:spacing w:line="590" w:lineRule="exact"/>
        <w:rPr>
          <w:rFonts w:ascii="楷体" w:eastAsia="楷体" w:cs="楷体" w:hAnsi="楷体" w:hint="eastAsia"/>
          <w:sz w:val="30"/>
          <w:szCs w:val="30"/>
        </w:rPr>
      </w:pPr>
      <w:r>
        <w:rPr>
          <w:rFonts w:ascii="楷体" w:eastAsia="楷体" w:cs="楷体" w:hAnsi="楷体" w:hint="eastAsia"/>
          <w:sz w:val="30"/>
          <w:szCs w:val="30"/>
        </w:rPr>
        <w:t>十一、一般公共预算财政拨款“三公”经费情况表</w:t>
      </w:r>
    </w:p>
    <w:p>
      <w:pPr>
        <w:spacing w:line="590" w:lineRule="exact"/>
        <w:rPr>
          <w:rFonts w:ascii="黑体" w:eastAsia="黑体" w:cs="黑体" w:hAnsi="黑体" w:hint="eastAsia"/>
          <w:sz w:val="30"/>
          <w:szCs w:val="30"/>
        </w:rPr>
      </w:pPr>
      <w:r>
        <w:rPr>
          <w:rFonts w:ascii="黑体" w:eastAsia="黑体" w:cs="黑体" w:hAnsi="黑体" w:hint="eastAsia"/>
          <w:sz w:val="30"/>
          <w:szCs w:val="30"/>
        </w:rPr>
        <w:t>第三部分  2024年度部门决算情况说明</w:t>
      </w:r>
    </w:p>
    <w:p>
      <w:pPr>
        <w:spacing w:line="590" w:lineRule="exact"/>
        <w:rPr>
          <w:rFonts w:ascii="楷体" w:eastAsia="楷体" w:cs="楷体" w:hAnsi="楷体" w:hint="eastAsia"/>
          <w:sz w:val="30"/>
          <w:szCs w:val="30"/>
        </w:rPr>
      </w:pPr>
      <w:r>
        <w:rPr>
          <w:rFonts w:ascii="楷体" w:eastAsia="楷体" w:cs="楷体" w:hAnsi="楷体" w:hint="eastAsia"/>
          <w:sz w:val="30"/>
          <w:szCs w:val="30"/>
        </w:rPr>
        <w:t>一、收入决算情况说明</w:t>
      </w:r>
      <w:bookmarkStart w:id="0" w:name="_GoBack"/>
      <w:bookmarkEnd w:id="0"/>
    </w:p>
    <w:p>
      <w:pPr>
        <w:spacing w:line="590" w:lineRule="exact"/>
        <w:rPr>
          <w:rFonts w:ascii="楷体" w:eastAsia="楷体" w:cs="楷体" w:hAnsi="楷体" w:hint="eastAsia"/>
          <w:sz w:val="30"/>
          <w:szCs w:val="30"/>
        </w:rPr>
      </w:pPr>
      <w:r>
        <w:rPr>
          <w:rFonts w:ascii="楷体" w:eastAsia="楷体" w:cs="楷体" w:hAnsi="楷体" w:hint="eastAsia"/>
          <w:sz w:val="30"/>
          <w:szCs w:val="30"/>
        </w:rPr>
        <w:t>二、支出决算情况说明</w:t>
      </w:r>
    </w:p>
    <w:p>
      <w:pPr>
        <w:spacing w:line="590" w:lineRule="exact"/>
        <w:rPr>
          <w:rFonts w:ascii="楷体" w:eastAsia="楷体" w:cs="楷体" w:hAnsi="楷体" w:hint="eastAsia"/>
          <w:sz w:val="30"/>
          <w:szCs w:val="30"/>
        </w:rPr>
      </w:pPr>
      <w:r>
        <w:rPr>
          <w:rFonts w:ascii="楷体" w:eastAsia="楷体" w:cs="楷体" w:hAnsi="楷体" w:hint="eastAsia"/>
          <w:sz w:val="30"/>
          <w:szCs w:val="30"/>
        </w:rPr>
        <w:t>三、一般公共预算财政拨款支出决算情况说明</w:t>
      </w:r>
    </w:p>
    <w:p>
      <w:pPr>
        <w:spacing w:line="590" w:lineRule="exact"/>
        <w:rPr>
          <w:rFonts w:ascii="楷体" w:eastAsia="楷体" w:cs="楷体" w:hAnsi="楷体" w:hint="eastAsia"/>
          <w:sz w:val="30"/>
          <w:szCs w:val="30"/>
        </w:rPr>
      </w:pPr>
      <w:r>
        <w:rPr>
          <w:rFonts w:ascii="楷体" w:eastAsia="楷体" w:cs="楷体" w:hAnsi="楷体" w:hint="eastAsia"/>
          <w:sz w:val="30"/>
          <w:szCs w:val="30"/>
        </w:rPr>
        <w:t>四、财政拨款“三公”经费支出决算情况说明</w:t>
      </w:r>
    </w:p>
    <w:p>
      <w:pPr>
        <w:spacing w:line="590" w:lineRule="exact"/>
        <w:rPr>
          <w:rFonts w:ascii="黑体" w:eastAsia="黑体" w:cs="黑体" w:hAnsi="黑体" w:hint="eastAsia"/>
          <w:sz w:val="30"/>
          <w:szCs w:val="30"/>
        </w:rPr>
      </w:pPr>
      <w:r>
        <w:rPr>
          <w:rFonts w:ascii="黑体" w:eastAsia="黑体" w:cs="黑体" w:hAnsi="黑体" w:hint="eastAsia"/>
          <w:sz w:val="30"/>
          <w:szCs w:val="30"/>
        </w:rPr>
        <w:t>第四部分  其他重要事项及相关口径情况说明</w:t>
      </w:r>
    </w:p>
    <w:p>
      <w:pPr>
        <w:spacing w:line="590" w:lineRule="exact"/>
        <w:rPr>
          <w:rFonts w:ascii="楷体" w:eastAsia="楷体" w:cs="楷体" w:hAnsi="楷体" w:hint="eastAsia"/>
          <w:sz w:val="30"/>
          <w:szCs w:val="30"/>
        </w:rPr>
      </w:pPr>
      <w:r>
        <w:rPr>
          <w:rFonts w:ascii="楷体" w:eastAsia="楷体" w:cs="楷体" w:hAnsi="楷体" w:hint="eastAsia"/>
          <w:sz w:val="30"/>
          <w:szCs w:val="30"/>
        </w:rPr>
        <w:t>一、机关运行经费支出情况</w:t>
      </w:r>
    </w:p>
    <w:p>
      <w:pPr>
        <w:spacing w:line="590" w:lineRule="exact"/>
        <w:rPr>
          <w:rFonts w:ascii="楷体" w:eastAsia="楷体" w:cs="楷体" w:hAnsi="楷体" w:hint="eastAsia"/>
          <w:sz w:val="30"/>
          <w:szCs w:val="30"/>
        </w:rPr>
      </w:pPr>
      <w:r>
        <w:rPr>
          <w:rFonts w:ascii="楷体" w:eastAsia="楷体" w:cs="楷体" w:hAnsi="楷体" w:hint="eastAsia"/>
          <w:sz w:val="30"/>
          <w:szCs w:val="30"/>
        </w:rPr>
        <w:t>二、国有资产占用情况</w:t>
      </w:r>
    </w:p>
    <w:p>
      <w:pPr>
        <w:spacing w:line="590" w:lineRule="exact"/>
        <w:rPr>
          <w:rFonts w:ascii="楷体" w:eastAsia="楷体" w:cs="楷体" w:hAnsi="楷体" w:hint="eastAsia"/>
          <w:sz w:val="30"/>
          <w:szCs w:val="30"/>
        </w:rPr>
      </w:pPr>
      <w:r>
        <w:rPr>
          <w:rFonts w:ascii="楷体" w:eastAsia="楷体" w:cs="楷体" w:hAnsi="楷体" w:hint="eastAsia"/>
          <w:sz w:val="30"/>
          <w:szCs w:val="30"/>
        </w:rPr>
        <w:t>三、政府采购支出情况</w:t>
      </w:r>
    </w:p>
    <w:p>
      <w:pPr>
        <w:spacing w:line="590" w:lineRule="exact"/>
        <w:rPr>
          <w:rFonts w:ascii="楷体" w:eastAsia="楷体" w:cs="楷体" w:hAnsi="楷体" w:hint="eastAsia"/>
          <w:sz w:val="30"/>
          <w:szCs w:val="30"/>
        </w:rPr>
      </w:pPr>
      <w:r>
        <w:rPr>
          <w:rFonts w:ascii="楷体" w:eastAsia="楷体" w:cs="楷体" w:hAnsi="楷体" w:hint="eastAsia"/>
          <w:sz w:val="30"/>
          <w:szCs w:val="30"/>
        </w:rPr>
        <w:t>四、部门绩效自评情况</w:t>
      </w:r>
    </w:p>
    <w:p>
      <w:pPr>
        <w:spacing w:line="590" w:lineRule="exact"/>
        <w:rPr>
          <w:rFonts w:ascii="楷体" w:eastAsia="楷体" w:cs="楷体" w:hAnsi="楷体" w:hint="eastAsia"/>
          <w:sz w:val="30"/>
          <w:szCs w:val="30"/>
        </w:rPr>
      </w:pPr>
      <w:r>
        <w:rPr>
          <w:rFonts w:ascii="楷体" w:eastAsia="楷体" w:cs="楷体" w:hAnsi="楷体" w:hint="eastAsia"/>
          <w:sz w:val="30"/>
          <w:szCs w:val="30"/>
        </w:rPr>
        <w:t>五、其他重要事项情况说明</w:t>
      </w:r>
    </w:p>
    <w:p>
      <w:pPr>
        <w:spacing w:line="590" w:lineRule="exact"/>
        <w:rPr>
          <w:rFonts w:ascii="楷体" w:eastAsia="楷体" w:cs="楷体" w:hAnsi="楷体" w:hint="eastAsia"/>
          <w:sz w:val="30"/>
          <w:szCs w:val="30"/>
        </w:rPr>
      </w:pPr>
      <w:r>
        <w:rPr>
          <w:rFonts w:ascii="楷体" w:eastAsia="楷体" w:cs="楷体" w:hAnsi="楷体" w:hint="eastAsia"/>
          <w:sz w:val="30"/>
          <w:szCs w:val="30"/>
        </w:rPr>
        <w:t>六、相关口径说明</w:t>
      </w:r>
    </w:p>
    <w:p>
      <w:pPr>
        <w:spacing w:line="590" w:lineRule="exact"/>
        <w:rPr>
          <w:rFonts w:ascii="黑体" w:eastAsia="黑体" w:cs="黑体" w:hAnsi="黑体" w:hint="eastAsia"/>
          <w:sz w:val="30"/>
          <w:szCs w:val="30"/>
        </w:rPr>
      </w:pPr>
      <w:r>
        <w:rPr>
          <w:rFonts w:ascii="黑体" w:eastAsia="黑体" w:cs="黑体" w:hAnsi="黑体" w:hint="eastAsia"/>
          <w:sz w:val="30"/>
          <w:szCs w:val="30"/>
        </w:rPr>
        <w:t>第五部分  名词解释</w:t>
      </w: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firstLineChars="200" w:firstLine="600"/>
        <w:rPr>
          <w:rFonts w:ascii="仿宋_GB2312" w:eastAsia="仿宋_GB2312" w:cs="仿宋_GB2312"/>
          <w:sz w:val="30"/>
          <w:szCs w:val="30"/>
        </w:rPr>
      </w:pPr>
    </w:p>
    <w:p>
      <w:pPr>
        <w:spacing w:beforeAutospacing="0" w:afterAutospacing="0" w:line="590" w:lineRule="exact"/>
        <w:ind w:firstLineChars="200" w:firstLine="600"/>
        <w:rPr>
          <w:rFonts w:ascii="仿宋_GB2312" w:eastAsia="仿宋_GB2312" w:cs="仿宋_GB2312"/>
          <w:sz w:val="30"/>
          <w:szCs w:val="30"/>
        </w:rPr>
      </w:pPr>
    </w:p>
    <w:p>
      <w:pPr>
        <w:spacing w:beforeAutospacing="0" w:afterAutospacing="0" w:line="590" w:lineRule="exact"/>
        <w:ind w:firstLineChars="200" w:firstLine="600"/>
        <w:rPr>
          <w:rFonts w:ascii="仿宋_GB2312" w:eastAsia="仿宋_GB2312" w:cs="仿宋_GB2312"/>
          <w:sz w:val="30"/>
          <w:szCs w:val="30"/>
        </w:rPr>
      </w:pPr>
    </w:p>
    <w:p>
      <w:pPr>
        <w:spacing w:beforeAutospacing="0" w:afterAutospacing="0" w:line="590" w:lineRule="exact"/>
        <w:ind w:firstLineChars="200" w:firstLine="600"/>
        <w:rPr>
          <w:rFonts w:ascii="仿宋_GB2312" w:eastAsia="仿宋_GB2312" w:cs="仿宋_GB2312"/>
          <w:sz w:val="30"/>
          <w:szCs w:val="30"/>
        </w:rPr>
      </w:pPr>
    </w:p>
    <w:p>
      <w:pPr>
        <w:spacing w:beforeAutospacing="0" w:afterAutospacing="0" w:line="590" w:lineRule="exact"/>
        <w:ind w:firstLineChars="200" w:firstLine="600"/>
        <w:rPr>
          <w:rFonts w:ascii="仿宋_GB2312" w:eastAsia="仿宋_GB2312" w:cs="仿宋_GB2312"/>
          <w:sz w:val="30"/>
          <w:szCs w:val="30"/>
        </w:rPr>
      </w:pP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rPr>
      </w:pPr>
      <w:r>
        <w:rPr>
          <w:rFonts w:ascii="黑体" w:eastAsia="黑体" w:cs="黑体" w:hAnsi="黑体" w:hint="eastAsia"/>
          <w:sz w:val="32"/>
          <w:szCs w:val="32"/>
        </w:rPr>
        <w:t>第一部分  部门概况</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一、主要职责</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贯彻执行国家、省、市、县有关卫生健康事业发展的法律法规和方针政策，拟订卫生健康事业发展政策、规划计划，制定相关制度并组织实施。统筹规划卫生健康资源配置，落实卫生健康规划的编制和实施。加强卫生健康人才队伍建设，引进培养急需紧缺专业人才。制定并组织实施推进卫生健康基本公共服务均等化、普惠化、便捷化和公共资源向基层延伸等配套政策措施。</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协调推进深化医药卫生体制改革，研究提出贯彻落实深化医药卫生体制改革重大方针、政策、措施的建议。组织深化公立医院综合改革，推进管办分离，健全现代医院管理制度，组织实施推动卫生健康公共服务提供主体多元化、提供方式多样化的政策措施。</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制定并组织落实疾病预防控制规划、免疫规划、严重危害人民健康公共卫生问题的干预措施。根据国家检疫传染病和监测传染病目录，负责卫生应急工作，组织指导突发公共卫生事件的监测评估、预防控制和各类突发公共事件的医疗卫生救援。</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组织拟订并协调落实应对人口老龄化政策措施，负责推进老年健康服务体系建设和医养结合工作。</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贯彻执行国家药物政策和国家基本药物制度，执行国家药品法典、国家基本药物目录和省药品增补目录，开展药品使用监测、临床综合评价和短缺药品预警工作；组织开展食品安全企业标准备案及食品安全标准跟踪评价工作，开展餐饮具集中消毒服务单位卫生监督管理工作，开展食品安全标准的宣传及食品安全标准的释疑。开展食品安全风险监测，开展食源性疾病的流行病学的调查，开展全民营养计划。</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负责职责范围内的职业卫生、放射卫生、环境卫生、学校卫生、公共场所卫生、饮用水卫生等公共卫生的监督管理，负责传染病防治监督，健全卫生健康综合监督体系。协调相关部门做好《烟草控制框架公约》履约工作。</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贯彻执行医疗机构、医疗服务行业管理办法，建立医疗服务评价和监督管理体系。会同有关部门贯彻执行卫生健康专业技术人员资格标准。组织实施医疗服务规范、标准和卫生健康专业技术人员执业规则、服务规范。</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负责计划生育管理和服务工作，开展人口基础信息库建设和人口监测预警，研究提出人口与家庭发展相关政策建议，贯彻执行计划生育政策。</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组织指导基层开展卫生健康工作，指导基层医疗卫生、妇幼健康服务体系和全科医生队伍建设，完善基层医疗卫生健康管理制度和机制，推进卫生健康科技创新发展。</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贯彻落实国家中医药法律法规、规章政策，拟订中医药改革发展规划和目标，负责综合管理中医（含中西医结合、民族医）医疗、教育、科研、文化建设、对外交流合作工作；参与拟订中医药产业传承与发展政策，指导中医医疗机构设置和综合改革。</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建立健全艾滋病防治工作机制，加强宣传教育，采取行为防控干预措施和关怀救助等措施，综合防治艾滋病。</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推进健康产业的发展，统筹实施医养结合、医体融合等健康政策，打造健康生活目的地。</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承担全县相关领导干部的医疗保健工作，负责通海县重要会议与重大活动的医疗卫生保障工作。</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指导通海县计划生育协会的业务工作。</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完成县委、县政府交办的其他任务。</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职能转变。通海县卫生健康局应当牢固树立大卫生、大健康理念，推动实施健康通海战略，以改革创新为动力，以促健康、转模式、强基层、重保障为着力点，把以治病为中心转变为以群众健康为中心，为群众提供全方位全周期健康服务。一是更加注重预防为主和健康促进，加强预防控制重大疾病工作，积极应对人口老龄化，健全健康服务体系。二是更加注重重心下移和资源下沉，推进卫生健康公共资源向基层延伸、向农村覆盖、向边远地区和生活困难群众倾斜。三是更加注重提高服务质量和水平，大力推进卫生健康基本公共服务均等化、普惠化、便捷化。四是协调推进深化医药卫生体制改革，加大公立医院改革力度，推进管办分离，推动卫生健康公共服务提供主体多元化、提供方式多样化</w:t>
      </w:r>
      <w:r>
        <w:rPr>
          <w:rFonts w:ascii="仿宋_GB2312" w:eastAsia="仿宋_GB2312" w:cs="仿宋_GB2312"/>
          <w:sz w:val="30"/>
          <w:szCs w:val="30"/>
        </w:rPr>
        <w:t>。</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二、基本情况</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（一）机构设置情况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我部门共设置8个内设机构，包括：办公室、规划财务信息股、人事宣传科教股、政策法规与行政审批股、疾控防艾股（卫生应急办公室）、医政医管药政中医股、妇幼与家庭发展股、党工委办公室。</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所属单位4个，分别是：</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1.通海县卫生健康局(本级）</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2.通海县卫生健康局卫生监督局</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3.通海县疾病预防控制中心</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4.通海县紧密型医共体总医院</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（二）决算单位构成情况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纳入我部门2024年度部门决算编报的单位共4个。分别是：</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1.通海县卫生健康局(本级）</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2.通海县卫生健康局卫生监督局</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3.通海县疾病预防控制中心</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4.通海县紧密型医共体总医院</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纳入我部门2024年度部门决算编报的单位与我部门所属单位范围保持一致。</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（三）部门人员和车辆的编制及实有情况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我部门2024年末编制内实有人员723人。包括财政拨款开支经费的：公务员13人，参照公务员法管理人员10人，事业管理人员和专业技术人员309人，机关和事业工人1人；经费自理人员390人。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我部门2024年末其他人员602人。包括财政拨款开支经费的人员82人；经费自理人员520人。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年末尚未移交养老保险基金发放养老金的离退休人员共计0人（离休0人，退休0人）。年末由养老保险基金发放养老金的离退休人员457人（离休0人，退休457人）。年末学生0人。年末遗属15人。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车辆编制1辆，在编实有车辆1辆，超编0辆。</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三、重点工作概述</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深入推进医药卫生体制改革，不断完善医共体总医院建设。通海县认真贯彻落实医共体建设和“百日攻坚”行动各项任务，2024年3月，市级对通海县医共体建设进行验收，通海县医共体建设已达到“紧密型”。2024年9月，医共体总医院综合院区临床服务“五大中心”一次性通过验收；2024年10月医共体总医院中医院区通过2024年第二轮县级公立中医医院综合服务能力提升达标验收；2024年10月，医共体总医院综合院区、中医院区老年病科接受省级验收，并于2025年2月验收通过。</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继续加强卫生基础设施项目建设，不断改善群众</w:t>
      </w:r>
      <w:r>
        <w:rPr>
          <w:rFonts w:ascii="黑体" w:eastAsia="黑体" w:cs="黑体" w:hAnsi="黑体" w:hint="eastAsia"/>
          <w:sz w:val="30"/>
          <w:szCs w:val="30"/>
          <w:shd w:val="clear" w:color="auto" w:fill="auto"/>
        </w:rPr>
        <w:t>就医</w:t>
      </w:r>
      <w:r>
        <w:rPr>
          <w:rFonts w:ascii="仿宋_GB2312" w:eastAsia="仿宋_GB2312" w:cs="仿宋_GB2312" w:hint="eastAsia"/>
          <w:sz w:val="30"/>
          <w:szCs w:val="30"/>
        </w:rPr>
        <w:t>环境。</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持续加强妇幼服务工作，积极推进妇幼健康。健全托育服务发展支持政策体系，对各托育机构的卫生评价、备案等工作进行及时、有效指导，督促各机构规范运行。</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推进基层卫生健康工作，强化基本公共卫生项目服务质量，持续抓好疾病预防控制工作。持续做好“优质服务基层行”及创等达标活动，高大、里山卫生院达国家基本标准，河西卫生院达国家推荐标准，截至2024年，全部中心卫生院达到“优质服务基层行”国家推荐标准，全部乡镇卫生院达到“优质服务基层行”国家基本标准。</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深入推进爱国卫生“7个专项行动”和健康县城建设。坚持高位推动的工作机制，全面统筹推进。坚持共建共享，将健康县城建设和国家卫生县复审一盘棋部署，一体化推进，各级各部门“一把手”亲自抓，分管领导具体抓，2024年召开领导小组指挥部会议3次，专题会、现场会4场次，紧盯难点专项整治，开展集中整治3次。</w:t>
      </w: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rPr>
      </w:pPr>
      <w:r>
        <w:rPr>
          <w:rFonts w:ascii="黑体" w:eastAsia="黑体" w:cs="黑体" w:hAnsi="黑体" w:hint="eastAsia"/>
          <w:sz w:val="32"/>
          <w:szCs w:val="32"/>
        </w:rPr>
        <w:t>第二部分  2024年度部门决算表</w:t>
      </w:r>
    </w:p>
    <w:p>
      <w:pPr>
        <w:spacing w:beforeAutospacing="0" w:afterAutospacing="0" w:line="590" w:lineRule="exact"/>
        <w:ind w:left="0"/>
        <w:jc w:val="center"/>
        <w:rPr>
          <w:rFonts w:ascii="仿宋_GB2312" w:eastAsia="仿宋_GB2312" w:cs="仿宋_GB2312" w:hint="eastAsia"/>
          <w:sz w:val="30"/>
          <w:szCs w:val="30"/>
        </w:rPr>
      </w:pPr>
      <w:r>
        <w:rPr>
          <w:rFonts w:ascii="仿宋_GB2312" w:eastAsia="仿宋_GB2312" w:cs="仿宋_GB2312" w:hint="eastAsia"/>
          <w:sz w:val="30"/>
          <w:szCs w:val="30"/>
        </w:rPr>
        <w:t>（详见附件）</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本部门2024年度无国有资本经营预算财政拨款收入，《国有资本经营预算财政拨款收入支出决算表》为空表。</w:t>
      </w: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rPr>
      </w:pPr>
      <w:r>
        <w:rPr>
          <w:rFonts w:ascii="黑体" w:eastAsia="黑体" w:cs="黑体" w:hAnsi="黑体" w:hint="eastAsia"/>
          <w:sz w:val="32"/>
          <w:szCs w:val="32"/>
        </w:rPr>
        <w:t>第三部分  2024年度部门决算情况说明</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一、收入决算情况说明</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卫生健康局2024年度收入合计458,139,459.00元。其中：财政拨款收入86,178,278.06元，占总收入的18.81%；无上级补助收入；事业收入317,199,213.55元（含教育收费0.00元），占总收入的69.24%；无经营收入；无附属单位上缴收入；其他收入54,761,967.39元，占总收入的11.95%。</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与上年相比，收入合计减少20,913,462.67元，下降4.37%。其中：财政拨款收入增加1,492,069.86元，增长1.76%；无上级补助收入；事业收入减少6,607,570.84元，下降2.04%；无经营收入；无附属单位上缴收入；其他收入减少15,797,961.69元，下降22.39%。主要原因是医院事业收入大幅减少，所以总收入减少。</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二、支出决算情况说明</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通海县卫生健康局2024年度支出合计477,368,947.02元。其中：基本支出405,212,827.99元，占总支出的84.88％；项目支出72,156,119.03元，占总支出的15.12％；无上缴上级支出；无经营支出；无对附属单位补助支出。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与上年相比，支出合计减少15,005,521.47元，下降3.05%。其中：基本支出减少25,887,334.89元，下降6.00%；项目支出增加10,881,813.42元，增长17.76%；无上缴上级支出；无经营支出；无对附属单位补助支出。主要原因是2024年基本建设类项目减少，所以总支出减少。</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（一）基本支出情况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用于保障通海县卫生健康局机关、下属事业单位等机构正常运转的日常支出405,212,827.99元。其中：基本工资、津贴补贴等人员经费支出174,052,160.54元，占基本支出的42.95％；办公费、印刷费、水电费、办公设备购置等公用经费231,160,667.45元，占基本支出的57.05％。</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（二）项目支出情况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用于保障通海县卫生健康局机关、下属事业单位等机构为完成特定的行政工作任务或事业发展目标，用于专项业务工作的经费支出72,156,119.03元。其中：基本建设类项目支出33,392,492.74元。具体项目开支及开展工作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1.一般公共服务支出34,000.00元，主要用于清廉单元创建工作(中医院区）补助支出。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2.科学技术支出61,163.05元，主要用于支付皮肤科工作经费。</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3.死亡抚恤支出84,866.80元，主要用于职工的死亡抚恤支出。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4.卫生健康支出38,213,016.44元，主要用于卫健系统公立医院、基层医疗卫生机构、基本公共卫生服务、中医药、计划生育事务等。</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5.城乡社区支出370,580元，主要用于爱国卫生“7个专项行动”宣传资料印刷制作费、核酸设备等支出。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6.其他支出33,392,492.74元，主要用于基本建设支出。</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三、一般公共预算财政拨款支出决算情况说明</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（一）一般公共预算财政拨款支出决算总体情况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通海县卫生健康局2024年度一般公共预算财政拨款支出85,857,598.06元,占本年支出合计的17.99%。与上年相比增加531,953.52元，增长0.62%,完成年初预算的93.40%。</w:t>
      </w:r>
    </w:p>
    <w:p>
      <w:pPr>
        <w:spacing w:beforeAutospacing="0" w:afterAutospacing="0" w:line="590" w:lineRule="exact"/>
        <w:ind w:firstLineChars="200" w:firstLine="600"/>
        <w:rPr>
          <w:rFonts w:ascii="黑体" w:eastAsia="黑体" w:cs="黑体" w:hAnsi="黑体" w:hint="eastAsia"/>
          <w:sz w:val="30"/>
          <w:szCs w:val="30"/>
        </w:rPr>
      </w:pPr>
      <w:r>
        <w:rPr>
          <w:rFonts w:ascii="楷体" w:eastAsia="楷体" w:cs="楷体" w:hAnsi="楷体" w:hint="eastAsia"/>
          <w:sz w:val="30"/>
          <w:szCs w:val="30"/>
        </w:rPr>
        <w:t>（二）一般公共预算财政拨款支出决算分功能分类科目情况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1.一般公共服务（类）支出34,000.00元，占一般公共预算财政拨款总支出的0.04%,年初无此项预算。主要用于清廉单元创建工作(中医院区）补助。</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2.外交（类）无支出，年初无此项预算。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3.国防（类）无支出，年初无此项预算。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4.公共安全（类）无支出，年初无此项预算。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5.教育（类）无支出，年初无此项预算。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6.科学技术（类）无支出,年初无此项预算。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7.文化旅游体育与传媒（类）无支出,年初无此项预算。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8.社会保障和就业（类）支出6,813,894.25元，占一般公共预算财政拨款总支出的7.94%,完成年初预算的48.39%。主要用于支付卫计系统基本养老保险缴费及职业年金的支出；造成预决算差异的主要原因是年初预算包含离退休人员的生活补助，但是2024年实际未发放，所以有差异。</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9.卫生健康（类）支出75,924,666.81元，占一般公共预算财政拨款总支出的88.43%,完成年初预算的105.56%。主要用于卫健系统人员工资、公立医院综合改革、基层医疗卫生机构、基本公共卫生、中医药、计划生育事务等；造成预决算差异的主要原因是年初预算无基本公共卫生服务项目、计划生育事务的上级资金，所以出现差异。</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10.节能环保（类）无支出，年初无此项预算。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11.城乡社区（类）无支出，年初无此项预算。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12.农林水（类）无支出,年初无此项预算。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13.交通运输（类）无支出,年初无此项预算。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14.资源勘探工业信息等（类）无支出,年初无此项预算。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15.商业服务业等（类）无支出,年初无此项预算。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16.金融（类）无支出,年初无此项预算。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17.援助其他地区（类）无支出,年初无此项预算。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18.自然资源海洋气象等（类）无支出,年初无此项预算。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19.住房保障（类）支出3,085,037.00元，占一般公共预算财政拨款总支出的3.59%,完成年初预算的52.17%。主要用于支付住房公积金；造成预决算差异的主要原因是2024年住房公积金未补助到位。</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20.粮油物资储备（类）无支出,年初无此项预算。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21.国有资本经营预算（类）无支出,年初无此项预算。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22.灾害防治及应急管理（类）无支出,年初无此项预算。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23.其他（类）无支出,年初无此项预算。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24.债务还本（类）无支出,年初无此项预算。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25.债务付息（类）无支出,年初无此项预算。</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26.抗疫特别国债安排（类）无支出,年初无此项预算。</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四、财政拨款“三公”经费支出决算情况说明</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（一）总体情况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2024年度财政拨款“三公”经费支出决算中，财政拨款“三公”经费支出年初预算为71,122.57元，决算为25,148.50元，完成年初预算的35.36%；支出决算较上年减少17,075.66元，下降40.44%。</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51,122.57元，决算为15,466.50元，占财政拨款“三公”经费总支出决算的61.50%，完成年初预算的30.25%；公务接待费支出年初预算为20,000.00元，决算为9,682.00元，占财政拨款“三公”经费总支出决算的38.50%，完成年初预算的48.41%。</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因公出国（境）费支出决算较上年增加0.00元，上年无此项支出；公务用车购置费支出决算较上年增加0.00元，上年无此项支出；公务用车运行维护费支出决算较上年减少7,176.66元，下降31.69%；公务接待费支出决算较上年减少9,899.00元，下降50.55%；具体是国内接待费支出决算9,682.00元（其中：外事接待费支出决算0.00元），较上年减少9,899.00元，下降50.55%；国（境）外接待费支出决算0.00元，较上年增加0.00元，上年无此项支出。</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（二）一般公共预算财政拨款“三公”经费支出决算情况说明</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2024年度一般公共预算财政拨款“三公”经费支出年初预算为71,122.57元，支出决算为25,148.50元，完成年初预算的35.36%，支出决算较上年减少17,075.66元，下降40.44%。</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中：因公出国（境）费支出年初预算为0.00元，决算为0.00元；公务用车购置费支出年初预算为0.00元，决算为0.00元；公务用车运行维护费支出年初预算为51,122.57元，决算为15,466.50元，完成年初预算的30.25%；公务接待费支出年初预算为20,000.00元，决算为9,682.00元，完成年初预算的48.41%。2024年度一般公共预算财政拨款“三公”经费支出决算数小于年初预算数的主要原因是厉行节约，减少不必要的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中：因公出国（境）费支出决算增加0.00元，上年无此项支出；公务用车购置费支出决算增加0.00元，上年无此项支出；公务用车运行维护费支出决算减少7,176.66元，下降1.69%；公务接待费支出决算减少9,899.00元，下降50.55%，具体是国内接待费支出决算9,682.00元（其中：外事接待费支出决算0.00元），较上年减少9,899.00元，下降50.55%；国（境）外接待费支出决算0.00元较上年增加0.00元，上年无此项支出。2024年度一般公共预算财政拨款“三公”经费支出决算减少的主要原因是厉行节约，减少不必要的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一般公共预算财政拨款“三公”经费支出实物量的具体情况：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1.安排因公出国（境）团组0个，累计0人次。</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2.购置车辆0辆。开支一般公共预算财政拨款的公务用车保有量为1辆。主要用于卫健系统所需车辆燃料费、维修费、过路过桥费、保险费等。</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3.安排国内公务接待14批次（其中：外事接待0批次），接待人次100人（其中：外事接待人次0人）。主要用于卫健系统发生的接待支出。安排国（境）外公务接待0批次，接待人次0人。</w:t>
      </w:r>
    </w:p>
    <w:p>
      <w:pPr>
        <w:spacing w:beforeAutospacing="0" w:afterAutospacing="0"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（三）不存在需要说明的事项</w:t>
      </w: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rPr>
      </w:pPr>
      <w:r>
        <w:rPr>
          <w:rFonts w:ascii="黑体" w:eastAsia="黑体" w:cs="黑体" w:hAnsi="黑体" w:hint="eastAsia"/>
          <w:sz w:val="32"/>
          <w:szCs w:val="32"/>
        </w:rPr>
        <w:t>第四部分  其他重要事项及相关口径情况说明</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一、机关运行经费支出情况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卫生健康局2024年机关运行经费支出450,721.79元，比上年减少22,290.22元，下降4.71%,主要原因是公务用车运行维护费和其他交通费用减少。部门机关运行经费主要用于卫健系统办公费102,889.85元，水费9,386.30元，电费13,325.27元，邮电费11,587.20元，物理管理费1,907.00元，差旅费37,671.50元，印刷费430.00元，公务接待费9,682.00元，公务用车运行维护费15,466.50元，劳务费5,426.17元，其他交通费用242,950.00元。</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二、国有资产占用情况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截至2024年末，通海县卫生健康局资产总额901,030,131.43元，其中，流动资产187,249,581.97元，固定资产505,612,307.7元（净值），对外投资及有价证券0.00元，在建工程167,098,986.89元，无形资产40,416,922.87元（净值），其他资产652,332元（净值）（具体内容详见附表）。与上年相比，本年资产总额减少76,128,938.22元，其中固定资产减少12,665,797.48元。处置房屋建筑物0平方米，账面原值0元；处置车辆2辆，账面原值428,213元；报废报损资产145项，账面原值3,552,073.21元，实现资产处置收入60,337.00元；出租房屋1,958.43平方米，账面原值470,225.78元，实现资产使用收入636,926.88元。</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（国有资产占有使用情况表详见附表）</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三、政府采购支出情况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部门政府采购支出总额22,146,322.79元，其中：政府采购货物支出14,753,665.80元；政府采购工程支出0.00元；政府采购服务支出7,392,656.99元。授予中小企业合同金额4,020.00元，其中：授予小微企业合同金额4,020.00元。</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四、部门绩效自评情况</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部门绩效自评情况详见附表。</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五、其他重要事项情况说明</w:t>
      </w:r>
    </w:p>
    <w:p>
      <w:pPr>
        <w:spacing w:beforeAutospacing="0" w:afterAutospacing="0"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六、相关口径说明</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（一）基本支出中人员经费包括工资福利支出和对个人和家庭的补助，公用经费包括商品和服务支出、资本性支出等人员经费以外的支出。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（二）机关运行经费指行政单位和参照公务员法管理的事业单位使用一般公共预算财政拨款安排的基本支出中的公用经费支出。</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spacing w:beforeAutospacing="0" w:afterAutospacing="0" w:line="59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pPr>
        <w:spacing w:beforeAutospacing="0" w:afterAutospacing="0"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rPr>
      </w:pPr>
      <w:r>
        <w:rPr>
          <w:rFonts w:ascii="黑体" w:eastAsia="黑体" w:cs="黑体" w:hAnsi="黑体" w:hint="eastAsia"/>
          <w:sz w:val="32"/>
          <w:szCs w:val="32"/>
        </w:rPr>
        <w:t>第五部分  名词解释</w:t>
      </w:r>
    </w:p>
    <w:p>
      <w:pPr>
        <w:spacing w:beforeAutospacing="0" w:afterAutospacing="0"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spacing w:beforeAutospacing="0" w:afterAutospacing="0" w:line="590" w:lineRule="exact"/>
        <w:ind w:firstLineChars="200" w:firstLine="600"/>
        <w:rPr>
          <w:rFonts w:ascii="仿宋_GB2312" w:eastAsia="仿宋_GB2312" w:cs="仿宋_GB2312" w:hint="eastAsia"/>
          <w:sz w:val="30"/>
          <w:szCs w:val="30"/>
        </w:rPr>
      </w:pPr>
    </w:p>
    <w:p>
      <w:pPr>
        <w:rPr>
          <w:rFonts w:ascii="Arial" w:eastAsia="Arial" w:cs="Arial" w:hAnsi="Arial"/>
          <w:b/>
          <w:bCs/>
          <w:sz w:val="36"/>
          <w:szCs w:val="24"/>
          <w:shd w:val="clear" w:color="auto" w:fill="auto"/>
        </w:rPr>
      </w:pPr>
      <w:r>
        <w:rPr>
          <w:rFonts w:ascii="Arial" w:eastAsia="Arial" w:cs="Arial" w:hAnsi="Arial"/>
          <w:b/>
          <w:bCs/>
          <w:sz w:val="36"/>
          <w:szCs w:val="24"/>
          <w:shd w:val="clear" w:color="auto" w:fill="auto"/>
        </w:rPr>
        <w:t>监督索引号53042300436101111</w:t>
      </w:r>
    </w:p>
    <w:sectPr>
      <w:footerReference w:type="default" r:id="rId2"/>
      <w:pgSz w:w="11907" w:h="16839"/>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auto"/>
    <w:pitch w:val="variable"/>
    <w:sig w:usb0="00007A87" w:usb1="80000000" w:usb2="00000008" w:usb3="00000000" w:csb0="400001FF" w:csb1="FFFF0000"/>
  </w:font>
  <w:font w:name="方正小标宋简体">
    <w:panose1 w:val="02000000000000000000"/>
    <w:charset w:val="86"/>
    <w:family w:val="script"/>
    <w:pitch w:val="variable"/>
    <w:sig w:usb0="A00002BF" w:usb1="184F6CFA" w:usb2="00000012" w:usb3="00000000" w:csb0="00040001"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altName w:val="黑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rPr>
        <w:sz w:val="28"/>
        <w:szCs w:val="28"/>
      </w:rPr>
    </w:pPr>
    <w:r>
      <w:rPr>
        <w:rStyle w:val="42"/>
        <w:sz w:val="28"/>
        <w:szCs w:val="28"/>
      </w:rPr>
      <w:fldChar w:fldCharType="begin"/>
    </w:r>
    <w:r>
      <w:rPr>
        <w:rStyle w:val="42"/>
        <w:sz w:val="28"/>
        <w:szCs w:val="28"/>
      </w:rPr>
      <w:instrText>Page</w:instrText>
    </w:r>
    <w:r>
      <w:rPr>
        <w:rStyle w:val="42"/>
        <w:sz w:val="28"/>
        <w:szCs w:val="28"/>
      </w:rPr>
      <w:fldChar w:fldCharType="separate"/>
    </w:r>
    <w:r>
      <w:rPr>
        <w:rStyle w:val="42"/>
        <w:sz w:val="28"/>
        <w:szCs w:val="28"/>
      </w:rPr>
      <w:t>1</w:t>
    </w:r>
    <w:r>
      <w:rPr>
        <w:rStyle w:val="42"/>
        <w:sz w:val="28"/>
        <w:szCs w:val="28"/>
      </w:rPr>
      <w:fldChar w:fldCharType="end"/>
    </w:r>
  </w:p>
  <w:p>
    <w:pPr>
      <w:pStyle w:val="34"/>
      <w:tabs>
        <w:tab w:val="center" w:pos="4153"/>
        <w:tab w:val="right" w:pos="8307"/>
      </w:tabs>
      <w:ind w:firstLine="360"/>
      <w:rPr>
        <w:sz w:val="28"/>
        <w:szCs w:val="28"/>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spacing w:line="240" w:lineRule="auto"/>
      <w:jc w:val="both"/>
    </w:pPr>
    <w:rPr>
      <w:rFonts w:ascii="Times New Roman" w:eastAsia="宋体" w:cs="Lucida Sans" w:hAnsi="Times New Roman"/>
      <w:kern w:val="2"/>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Lucida Sans"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Lucida Sans"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Lucida Sans" w:hAnsi="Times New Roman"/>
      <w:b/>
      <w:bCs/>
      <w:kern w:val="2"/>
      <w:sz w:val="32"/>
      <w:szCs w:val="32"/>
      <w:lang w:val="en-US" w:eastAsia="zh-CN" w:bidi="ar-SA"/>
    </w:rPr>
  </w:style>
  <w:style w:type="character" w:default="1" w:styleId="10">
    <w:name w:val="Default Paragraph Font"/>
    <w:qFormat/>
  </w:style>
  <w:style w:type="paragraph" w:styleId="15">
    <w:name w:val="table of figures"/>
    <w:qFormat/>
    <w:basedOn w:val="0"/>
    <w:next w:val="0"/>
    <w:pPr>
      <w:ind w:leftChars="200" w:left="400" w:hangingChars="200" w:hanging="200"/>
    </w:pPr>
  </w:style>
  <w:style w:type="paragraph" w:styleId="33">
    <w:name w:val="header"/>
    <w:qFormat/>
    <w:basedOn w:val="0"/>
    <w:pPr>
      <w:pBdr>
        <w:bottom w:val="single" w:sz="6" w:space="1" w:color="auto"/>
      </w:pBdr>
      <w:tabs>
        <w:tab w:val="center" w:pos="4153"/>
        <w:tab w:val="right" w:pos="8307"/>
      </w:tabs>
      <w:snapToGrid w:val="0"/>
      <w:jc w:val="center"/>
    </w:pPr>
    <w:rPr>
      <w:sz w:val="18"/>
      <w:szCs w:val="18"/>
    </w:rPr>
  </w:style>
  <w:style w:type="paragraph" w:styleId="34">
    <w:name w:val="footer"/>
    <w:qFormat/>
    <w:basedOn w:val="0"/>
    <w:pPr>
      <w:tabs>
        <w:tab w:val="center" w:pos="4153"/>
        <w:tab w:val="right" w:pos="8307"/>
      </w:tabs>
      <w:snapToGrid w:val="0"/>
      <w:jc w:val="left"/>
    </w:pPr>
    <w:rPr>
      <w:sz w:val="18"/>
      <w:szCs w:val="18"/>
    </w:rPr>
  </w:style>
  <w:style w:type="character" w:styleId="42">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ECF5A10C-C8F1-4F25-B4BE-BCCAA4FA732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40</TotalTime>
  <Application>Yozo_Office9.0.6292.161ZH.YN02</Application>
  <Pages>17</Pages>
  <Words>0</Words>
  <Characters>6611</Characters>
  <Lines>0</Lines>
  <Paragraphs>179</Paragraphs>
  <CharactersWithSpaces>8815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8</cp:revision>
  <dcterms:created xsi:type="dcterms:W3CDTF">2025-09-28T01:53:50Z</dcterms:created>
  <dcterms:modified xsi:type="dcterms:W3CDTF">2025-09-29T01:02:19Z</dcterms:modified>
</cp:coreProperties>
</file>