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53288">
      <w:pPr>
        <w:pStyle w:val="5"/>
        <w:keepNext w:val="0"/>
        <w:keepLines w:val="0"/>
        <w:widowControl/>
        <w:suppressLineNumbers w:val="0"/>
        <w:spacing w:before="75" w:beforeAutospacing="0" w:after="75" w:afterAutospacing="0"/>
        <w:ind w:left="0" w:right="0"/>
      </w:pPr>
      <w:r>
        <w:rPr>
          <w:rStyle w:val="9"/>
          <w:rFonts w:hint="eastAsia" w:ascii="宋体" w:hAnsi="宋体" w:eastAsia="宋体" w:cs="宋体"/>
          <w:sz w:val="36"/>
          <w:szCs w:val="36"/>
        </w:rPr>
        <w:t>监督索引号</w:t>
      </w:r>
      <w:r>
        <w:rPr>
          <w:rStyle w:val="9"/>
          <w:rFonts w:ascii="Arial" w:hAnsi="Arial" w:cs="Arial"/>
          <w:sz w:val="36"/>
          <w:szCs w:val="36"/>
        </w:rPr>
        <w:t>53042300136000401000</w:t>
      </w:r>
    </w:p>
    <w:p w14:paraId="5EF36D8F">
      <w:pPr>
        <w:pStyle w:val="5"/>
        <w:keepNext w:val="0"/>
        <w:keepLines w:val="0"/>
        <w:widowControl/>
        <w:suppressLineNumbers w:val="0"/>
        <w:spacing w:before="75" w:beforeAutospacing="0" w:after="75" w:afterAutospacing="0"/>
        <w:ind w:left="0" w:right="0"/>
        <w:jc w:val="center"/>
      </w:pPr>
      <w:r>
        <w:rPr>
          <w:rFonts w:ascii="方正小标宋简体" w:hAnsi="方正小标宋简体" w:eastAsia="方正小标宋简体" w:cs="方正小标宋简体"/>
          <w:sz w:val="36"/>
          <w:szCs w:val="36"/>
        </w:rPr>
        <w:t>云南省通海县第一中学</w:t>
      </w:r>
      <w:r>
        <w:rPr>
          <w:rFonts w:hint="default" w:ascii="方正小标宋简体" w:hAnsi="方正小标宋简体" w:eastAsia="方正小标宋简体" w:cs="方正小标宋简体"/>
          <w:sz w:val="36"/>
          <w:szCs w:val="36"/>
        </w:rPr>
        <w:t>2024年度部门决算</w:t>
      </w:r>
    </w:p>
    <w:p w14:paraId="07880C42">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 </w:t>
      </w:r>
    </w:p>
    <w:p w14:paraId="5168C7D2">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目录</w:t>
      </w:r>
    </w:p>
    <w:p w14:paraId="1747BDF6">
      <w:pPr>
        <w:pStyle w:val="5"/>
        <w:keepNext w:val="0"/>
        <w:keepLines w:val="0"/>
        <w:widowControl/>
        <w:suppressLineNumbers w:val="0"/>
        <w:spacing w:before="75" w:beforeAutospacing="0" w:after="75" w:afterAutospacing="0"/>
        <w:ind w:left="0" w:right="0"/>
      </w:pPr>
      <w:r>
        <w:rPr>
          <w:rFonts w:ascii="黑体" w:hAnsi="宋体" w:eastAsia="黑体" w:cs="黑体"/>
          <w:sz w:val="30"/>
          <w:szCs w:val="30"/>
        </w:rPr>
        <w:t> </w:t>
      </w:r>
    </w:p>
    <w:p w14:paraId="7528BAC8">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第一部分</w:t>
      </w:r>
      <w:r>
        <w:rPr>
          <w:rFonts w:hint="eastAsia" w:ascii="宋体" w:hAnsi="宋体" w:eastAsia="宋体" w:cs="宋体"/>
          <w:sz w:val="30"/>
          <w:szCs w:val="30"/>
        </w:rPr>
        <w:t>  </w:t>
      </w:r>
      <w:r>
        <w:rPr>
          <w:rFonts w:hint="eastAsia" w:ascii="黑体" w:hAnsi="宋体" w:eastAsia="黑体" w:cs="黑体"/>
          <w:sz w:val="30"/>
          <w:szCs w:val="30"/>
        </w:rPr>
        <w:t>单位概况</w:t>
      </w:r>
    </w:p>
    <w:p w14:paraId="2440EFD0">
      <w:pPr>
        <w:pStyle w:val="5"/>
        <w:keepNext w:val="0"/>
        <w:keepLines w:val="0"/>
        <w:widowControl/>
        <w:suppressLineNumbers w:val="0"/>
        <w:spacing w:before="75" w:beforeAutospacing="0" w:after="75" w:afterAutospacing="0" w:line="240" w:lineRule="atLeast"/>
        <w:ind w:left="0" w:right="0"/>
      </w:pPr>
      <w:r>
        <w:rPr>
          <w:rFonts w:ascii="楷体" w:hAnsi="楷体" w:eastAsia="楷体" w:cs="楷体"/>
          <w:sz w:val="30"/>
          <w:szCs w:val="30"/>
        </w:rPr>
        <w:t>一、主要职责</w:t>
      </w:r>
    </w:p>
    <w:p w14:paraId="07C893F9">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二、基本情况</w:t>
      </w:r>
    </w:p>
    <w:p w14:paraId="39B252FB">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三、重点工作概述</w:t>
      </w:r>
    </w:p>
    <w:p w14:paraId="533C2BA8">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第二部分</w:t>
      </w:r>
      <w:r>
        <w:rPr>
          <w:rFonts w:hint="eastAsia" w:ascii="宋体" w:hAnsi="宋体" w:eastAsia="宋体" w:cs="宋体"/>
          <w:sz w:val="30"/>
          <w:szCs w:val="30"/>
        </w:rPr>
        <w:t>  </w:t>
      </w:r>
      <w:r>
        <w:rPr>
          <w:rFonts w:hint="eastAsia" w:ascii="黑体" w:hAnsi="宋体" w:eastAsia="黑体" w:cs="黑体"/>
          <w:sz w:val="30"/>
          <w:szCs w:val="30"/>
        </w:rPr>
        <w:t>2024年度部门决算表</w:t>
      </w:r>
    </w:p>
    <w:p w14:paraId="254EFA01">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一、收入支出决算表</w:t>
      </w:r>
    </w:p>
    <w:p w14:paraId="080E25A5">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二、收入决算表</w:t>
      </w:r>
    </w:p>
    <w:p w14:paraId="08C259F5">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三、支出决算表</w:t>
      </w:r>
    </w:p>
    <w:p w14:paraId="6E9AB59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四、财政拨款收入支出决算表</w:t>
      </w:r>
    </w:p>
    <w:p w14:paraId="3DBF86D4">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五、一般公共预算财政拨款收入支出决算表</w:t>
      </w:r>
    </w:p>
    <w:p w14:paraId="79BC14CA">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六、一般公共预算财政拨款基本支出决算表</w:t>
      </w:r>
    </w:p>
    <w:p w14:paraId="430532E2">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七、一般公共预算财政拨款项目支出决算表</w:t>
      </w:r>
    </w:p>
    <w:p w14:paraId="63C520D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八、政府性基金预算财政拨款收入支出决算表</w:t>
      </w:r>
    </w:p>
    <w:p w14:paraId="2F746D66">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九、国有资本经营预算财政拨款收入支出决算表</w:t>
      </w:r>
    </w:p>
    <w:p w14:paraId="4A0B40B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十、财政拨款“三公”经费、行政参公单位机关运行经费情况表</w:t>
      </w:r>
    </w:p>
    <w:p w14:paraId="33AF49A4">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十一、一般公共预算财政拨款“三公”经费情况表</w:t>
      </w:r>
    </w:p>
    <w:p w14:paraId="21F2D584">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第三部分</w:t>
      </w:r>
      <w:r>
        <w:rPr>
          <w:rFonts w:hint="eastAsia" w:ascii="宋体" w:hAnsi="宋体" w:eastAsia="宋体" w:cs="宋体"/>
          <w:sz w:val="30"/>
          <w:szCs w:val="30"/>
        </w:rPr>
        <w:t>  </w:t>
      </w:r>
      <w:r>
        <w:rPr>
          <w:rFonts w:hint="eastAsia" w:ascii="黑体" w:hAnsi="宋体" w:eastAsia="黑体" w:cs="黑体"/>
          <w:sz w:val="30"/>
          <w:szCs w:val="30"/>
        </w:rPr>
        <w:t>2024年度部门决算情况说明</w:t>
      </w:r>
    </w:p>
    <w:p w14:paraId="4DC58C73">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一、收入决算情况说明</w:t>
      </w:r>
    </w:p>
    <w:p w14:paraId="2B304E38">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二、支出决算情况说明</w:t>
      </w:r>
    </w:p>
    <w:p w14:paraId="3CD7D695">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三、一般公共预算财政拨款支出决算情况说明</w:t>
      </w:r>
    </w:p>
    <w:p w14:paraId="28591A01">
      <w:pPr>
        <w:pStyle w:val="5"/>
        <w:keepNext w:val="0"/>
        <w:keepLines w:val="0"/>
        <w:widowControl/>
        <w:suppressLineNumbers w:val="0"/>
        <w:spacing w:before="105" w:beforeAutospacing="0" w:after="105" w:afterAutospacing="0" w:line="360" w:lineRule="atLeast"/>
        <w:ind w:left="0" w:right="0"/>
      </w:pPr>
      <w:r>
        <w:rPr>
          <w:rFonts w:hint="eastAsia" w:ascii="楷体" w:hAnsi="楷体" w:eastAsia="楷体" w:cs="楷体"/>
          <w:sz w:val="30"/>
          <w:szCs w:val="30"/>
        </w:rPr>
        <w:t>四、财政拨款“三公”经费支出决算情况说明</w:t>
      </w:r>
    </w:p>
    <w:p w14:paraId="3AD58E9D">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第四部分</w:t>
      </w:r>
      <w:r>
        <w:rPr>
          <w:rFonts w:hint="eastAsia" w:ascii="楷体" w:hAnsi="楷体" w:eastAsia="楷体" w:cs="楷体"/>
          <w:sz w:val="30"/>
          <w:szCs w:val="30"/>
        </w:rPr>
        <w:t>  </w:t>
      </w:r>
      <w:r>
        <w:rPr>
          <w:rFonts w:hint="eastAsia" w:ascii="黑体" w:hAnsi="宋体" w:eastAsia="黑体" w:cs="黑体"/>
          <w:sz w:val="30"/>
          <w:szCs w:val="30"/>
        </w:rPr>
        <w:t>其他重要事项及相关口径情况说明</w:t>
      </w:r>
    </w:p>
    <w:p w14:paraId="06B7A252">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一、机关运行经费支出情况</w:t>
      </w:r>
    </w:p>
    <w:p w14:paraId="43B14C65">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二、国有资产占用情况</w:t>
      </w:r>
    </w:p>
    <w:p w14:paraId="3C4425E9">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三、政府采购支出情况</w:t>
      </w:r>
    </w:p>
    <w:p w14:paraId="722124F0">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四、单位绩效自评情况</w:t>
      </w:r>
    </w:p>
    <w:p w14:paraId="041E6849">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五、其他重要事项情况说明</w:t>
      </w:r>
    </w:p>
    <w:p w14:paraId="1F734DC3">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六、相关口径说明</w:t>
      </w:r>
    </w:p>
    <w:p w14:paraId="3A0A8A66">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第五部分</w:t>
      </w:r>
      <w:r>
        <w:rPr>
          <w:rFonts w:hint="eastAsia" w:ascii="宋体" w:hAnsi="宋体" w:eastAsia="宋体" w:cs="宋体"/>
          <w:sz w:val="30"/>
          <w:szCs w:val="30"/>
        </w:rPr>
        <w:t>  </w:t>
      </w:r>
      <w:r>
        <w:rPr>
          <w:rFonts w:hint="eastAsia" w:ascii="黑体" w:hAnsi="宋体" w:eastAsia="黑体" w:cs="黑体"/>
          <w:sz w:val="30"/>
          <w:szCs w:val="30"/>
        </w:rPr>
        <w:t>名词解释</w:t>
      </w:r>
    </w:p>
    <w:p w14:paraId="41524D52">
      <w:pPr>
        <w:pStyle w:val="5"/>
        <w:keepNext w:val="0"/>
        <w:keepLines w:val="0"/>
        <w:widowControl/>
        <w:suppressLineNumbers w:val="0"/>
        <w:spacing w:before="75" w:beforeAutospacing="0" w:after="75" w:afterAutospacing="0"/>
        <w:ind w:left="0" w:right="0"/>
        <w:jc w:val="center"/>
      </w:pPr>
      <w:r>
        <w:rPr>
          <w:rFonts w:hint="eastAsia" w:ascii="宋体" w:hAnsi="宋体" w:eastAsia="宋体" w:cs="宋体"/>
          <w:sz w:val="31"/>
          <w:szCs w:val="31"/>
        </w:rPr>
        <w:t> </w:t>
      </w:r>
    </w:p>
    <w:p w14:paraId="596FE4A8">
      <w:pPr>
        <w:pStyle w:val="5"/>
        <w:keepNext w:val="0"/>
        <w:keepLines w:val="0"/>
        <w:widowControl/>
        <w:suppressLineNumbers w:val="0"/>
        <w:spacing w:before="75" w:beforeAutospacing="0" w:after="75" w:afterAutospacing="0"/>
        <w:ind w:left="0" w:right="0"/>
        <w:jc w:val="center"/>
      </w:pPr>
      <w:r>
        <w:rPr>
          <w:rFonts w:hint="eastAsia" w:ascii="宋体" w:hAnsi="宋体" w:eastAsia="宋体" w:cs="宋体"/>
          <w:sz w:val="31"/>
          <w:szCs w:val="31"/>
        </w:rPr>
        <w:t> </w:t>
      </w:r>
    </w:p>
    <w:p w14:paraId="36DA4298">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第一部分</w:t>
      </w:r>
      <w:r>
        <w:rPr>
          <w:rFonts w:hint="eastAsia" w:ascii="宋体" w:hAnsi="宋体" w:eastAsia="宋体" w:cs="宋体"/>
          <w:sz w:val="31"/>
          <w:szCs w:val="31"/>
        </w:rPr>
        <w:t>  </w:t>
      </w:r>
      <w:r>
        <w:rPr>
          <w:rFonts w:hint="eastAsia" w:ascii="黑体" w:hAnsi="宋体" w:eastAsia="黑体" w:cs="黑体"/>
          <w:sz w:val="31"/>
          <w:szCs w:val="31"/>
        </w:rPr>
        <w:t>单位概况</w:t>
      </w:r>
    </w:p>
    <w:p w14:paraId="596C8787">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一、主要职责</w:t>
      </w:r>
    </w:p>
    <w:p w14:paraId="5D5DE3AC">
      <w:pPr>
        <w:pStyle w:val="5"/>
        <w:keepNext w:val="0"/>
        <w:keepLines w:val="0"/>
        <w:widowControl/>
        <w:suppressLineNumbers w:val="0"/>
        <w:spacing w:before="75" w:beforeAutospacing="0" w:after="75" w:afterAutospacing="0" w:line="600" w:lineRule="atLeast"/>
        <w:ind w:left="0" w:right="0" w:firstLine="630"/>
      </w:pPr>
      <w:r>
        <w:rPr>
          <w:rFonts w:ascii="仿宋_GB2312" w:eastAsia="仿宋_GB2312" w:cs="仿宋_GB2312"/>
          <w:sz w:val="30"/>
          <w:szCs w:val="30"/>
        </w:rPr>
        <w:t>通海一中是云南省一级三等高级中学，历史悠久、治学严谨、学风浓厚、人才辈出，是一所在市内外享有较高声誉的县属高级中学。先后被授予</w:t>
      </w:r>
      <w:r>
        <w:rPr>
          <w:rFonts w:hint="default" w:ascii="Times New Roman" w:hAnsi="Times New Roman" w:eastAsia="仿宋_GB2312" w:cs="Times New Roman"/>
          <w:sz w:val="30"/>
          <w:szCs w:val="30"/>
        </w:rPr>
        <w:t>“</w:t>
      </w:r>
      <w:r>
        <w:rPr>
          <w:rFonts w:hint="default" w:ascii="仿宋_GB2312" w:eastAsia="仿宋_GB2312" w:cs="仿宋_GB2312"/>
          <w:sz w:val="30"/>
          <w:szCs w:val="30"/>
        </w:rPr>
        <w:t>云南省一级科技教育示范学校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w:t>
      </w:r>
      <w:r>
        <w:rPr>
          <w:rFonts w:hint="default" w:ascii="Times New Roman" w:hAnsi="Times New Roman" w:eastAsia="仿宋_GB2312" w:cs="Times New Roman"/>
          <w:sz w:val="30"/>
          <w:szCs w:val="30"/>
        </w:rPr>
        <w:t>“</w:t>
      </w:r>
      <w:r>
        <w:rPr>
          <w:rFonts w:hint="default" w:ascii="仿宋_GB2312" w:eastAsia="仿宋_GB2312" w:cs="仿宋_GB2312"/>
          <w:sz w:val="30"/>
          <w:szCs w:val="30"/>
        </w:rPr>
        <w:t>云南省文明学校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w:t>
      </w:r>
      <w:r>
        <w:rPr>
          <w:rFonts w:hint="default" w:ascii="Times New Roman" w:hAnsi="Times New Roman" w:eastAsia="仿宋_GB2312" w:cs="Times New Roman"/>
          <w:sz w:val="30"/>
          <w:szCs w:val="30"/>
        </w:rPr>
        <w:t>“</w:t>
      </w:r>
      <w:r>
        <w:rPr>
          <w:rFonts w:hint="default" w:ascii="仿宋_GB2312" w:eastAsia="仿宋_GB2312" w:cs="仿宋_GB2312"/>
          <w:sz w:val="30"/>
          <w:szCs w:val="30"/>
        </w:rPr>
        <w:t>教育部语文教师专业化发展工程基地校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w:t>
      </w:r>
      <w:r>
        <w:rPr>
          <w:rFonts w:hint="default" w:ascii="Times New Roman" w:hAnsi="Times New Roman" w:eastAsia="仿宋_GB2312" w:cs="Times New Roman"/>
          <w:sz w:val="30"/>
          <w:szCs w:val="30"/>
        </w:rPr>
        <w:t>“</w:t>
      </w:r>
      <w:r>
        <w:rPr>
          <w:rFonts w:hint="default" w:ascii="仿宋_GB2312" w:eastAsia="仿宋_GB2312" w:cs="仿宋_GB2312"/>
          <w:sz w:val="30"/>
          <w:szCs w:val="30"/>
        </w:rPr>
        <w:t>云南省民族团结示范教育学校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w:t>
      </w:r>
      <w:r>
        <w:rPr>
          <w:rFonts w:hint="default" w:ascii="Times New Roman" w:hAnsi="Times New Roman" w:eastAsia="仿宋_GB2312" w:cs="Times New Roman"/>
          <w:sz w:val="30"/>
          <w:szCs w:val="30"/>
        </w:rPr>
        <w:t>“</w:t>
      </w:r>
      <w:r>
        <w:rPr>
          <w:rFonts w:hint="default" w:ascii="仿宋_GB2312" w:eastAsia="仿宋_GB2312" w:cs="仿宋_GB2312"/>
          <w:sz w:val="30"/>
          <w:szCs w:val="30"/>
        </w:rPr>
        <w:t>云南省绿色学校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等称号；被评为</w:t>
      </w:r>
      <w:r>
        <w:rPr>
          <w:rFonts w:hint="default" w:ascii="Times New Roman" w:hAnsi="Times New Roman" w:eastAsia="仿宋_GB2312" w:cs="Times New Roman"/>
          <w:sz w:val="30"/>
          <w:szCs w:val="30"/>
        </w:rPr>
        <w:t>“</w:t>
      </w:r>
      <w:r>
        <w:rPr>
          <w:rFonts w:hint="default" w:ascii="仿宋_GB2312" w:eastAsia="仿宋_GB2312" w:cs="仿宋_GB2312"/>
          <w:sz w:val="30"/>
          <w:szCs w:val="30"/>
        </w:rPr>
        <w:t>云南省文明单位</w:t>
      </w:r>
      <w:r>
        <w:rPr>
          <w:rFonts w:hint="default" w:ascii="Times New Roman" w:hAnsi="Times New Roman" w:eastAsia="仿宋_GB2312" w:cs="Times New Roman"/>
          <w:sz w:val="30"/>
          <w:szCs w:val="30"/>
        </w:rPr>
        <w:t>”</w:t>
      </w:r>
      <w:r>
        <w:rPr>
          <w:rFonts w:hint="default" w:ascii="仿宋_GB2312" w:eastAsia="仿宋_GB2312" w:cs="仿宋_GB2312"/>
          <w:sz w:val="30"/>
          <w:szCs w:val="30"/>
        </w:rPr>
        <w:t>、</w:t>
      </w:r>
      <w:r>
        <w:rPr>
          <w:rFonts w:hint="default" w:ascii="Times New Roman" w:hAnsi="Times New Roman" w:eastAsia="仿宋_GB2312" w:cs="Times New Roman"/>
          <w:sz w:val="30"/>
          <w:szCs w:val="30"/>
        </w:rPr>
        <w:t>“</w:t>
      </w:r>
      <w:r>
        <w:rPr>
          <w:rFonts w:hint="default" w:ascii="仿宋_GB2312" w:eastAsia="仿宋_GB2312" w:cs="仿宋_GB2312"/>
          <w:sz w:val="30"/>
          <w:szCs w:val="30"/>
        </w:rPr>
        <w:t>全国艺术教育先进单位</w:t>
      </w:r>
      <w:r>
        <w:rPr>
          <w:rFonts w:hint="default" w:ascii="Times New Roman" w:hAnsi="Times New Roman" w:eastAsia="仿宋_GB2312" w:cs="Times New Roman"/>
          <w:sz w:val="30"/>
          <w:szCs w:val="30"/>
        </w:rPr>
        <w:t>”</w:t>
      </w:r>
      <w:r>
        <w:rPr>
          <w:rFonts w:hint="default" w:ascii="仿宋_GB2312" w:eastAsia="仿宋_GB2312" w:cs="仿宋_GB2312"/>
          <w:sz w:val="30"/>
          <w:szCs w:val="30"/>
        </w:rPr>
        <w:t>、</w:t>
      </w:r>
      <w:r>
        <w:rPr>
          <w:rFonts w:hint="default" w:ascii="Times New Roman" w:hAnsi="Times New Roman" w:eastAsia="仿宋_GB2312" w:cs="Times New Roman"/>
          <w:sz w:val="30"/>
          <w:szCs w:val="30"/>
        </w:rPr>
        <w:t>“</w:t>
      </w:r>
      <w:r>
        <w:rPr>
          <w:rFonts w:hint="default" w:ascii="仿宋_GB2312" w:eastAsia="仿宋_GB2312" w:cs="仿宋_GB2312"/>
          <w:sz w:val="30"/>
          <w:szCs w:val="30"/>
        </w:rPr>
        <w:t>全国贯彻《学校体育工作条例》先进单位</w:t>
      </w:r>
      <w:r>
        <w:rPr>
          <w:rFonts w:hint="default" w:ascii="Times New Roman" w:hAnsi="Times New Roman" w:eastAsia="仿宋_GB2312" w:cs="Times New Roman"/>
          <w:sz w:val="30"/>
          <w:szCs w:val="30"/>
        </w:rPr>
        <w:t>”</w:t>
      </w:r>
      <w:r>
        <w:rPr>
          <w:rFonts w:hint="default" w:ascii="仿宋_GB2312" w:eastAsia="仿宋_GB2312" w:cs="仿宋_GB2312"/>
          <w:sz w:val="30"/>
          <w:szCs w:val="30"/>
        </w:rPr>
        <w:t>、全国诗化教育先进单位、</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中华诗教先进单位</w:t>
      </w:r>
      <w:r>
        <w:rPr>
          <w:rFonts w:hint="default" w:ascii="Times New Roman" w:hAnsi="Times New Roman" w:eastAsia="仿宋_GB2312" w:cs="Times New Roman"/>
          <w:sz w:val="30"/>
          <w:szCs w:val="30"/>
        </w:rPr>
        <w:t>”</w:t>
      </w:r>
      <w:r>
        <w:rPr>
          <w:rFonts w:hint="default" w:ascii="仿宋_GB2312" w:eastAsia="仿宋_GB2312" w:cs="仿宋_GB2312"/>
          <w:sz w:val="30"/>
          <w:szCs w:val="30"/>
        </w:rPr>
        <w:t>。2024年，学校占地192亩，建筑面积12万余平方米，拥有完备的现代教育教学装备和文体设施。在校学生2223人，44个教学班，在职在编教职员工166名（专任教师158名）。2024年，在县委、县政府和县教体局的坚强领导和社会各界的关心支持下，顺利完成领导班子调整。一年来，特别是秋季学期以来，学校牢固树立服务全县经济社会高质量发展大局，创建人民满意的</w:t>
      </w:r>
      <w:r>
        <w:rPr>
          <w:rFonts w:hint="default" w:ascii="Times New Roman" w:hAnsi="Times New Roman" w:eastAsia="仿宋_GB2312" w:cs="Times New Roman"/>
          <w:sz w:val="30"/>
          <w:szCs w:val="30"/>
        </w:rPr>
        <w:t>“</w:t>
      </w:r>
      <w:r>
        <w:rPr>
          <w:rFonts w:hint="default" w:ascii="仿宋_GB2312" w:eastAsia="仿宋_GB2312" w:cs="仿宋_GB2312"/>
          <w:sz w:val="30"/>
          <w:szCs w:val="30"/>
        </w:rPr>
        <w:t>家门口名校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工作目标，严格遵循党的教育方针，进一步明确了</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一年有起色、两年见成效、三年上台阶</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工作思路，切实增强高质量发展的思想自觉和行动自觉，用心、用情、用力回应县委、县政府关切和人民期盼，坚定信心，立德树人、破解难题、提高质量、促进公平、增强活力，在队伍建设、条件改善、教育教学、发展创新等方面取得了一些成绩，为学校高质量发展奠定了坚实的基础。</w:t>
      </w:r>
    </w:p>
    <w:p w14:paraId="33909FEC">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二、基本情况</w:t>
      </w:r>
    </w:p>
    <w:p w14:paraId="56C0DD98">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（一）机构设置情况</w:t>
      </w:r>
    </w:p>
    <w:p w14:paraId="5992CF47">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共设置6个内设机构，包括：办公室、教务处、教科室、德育处、总务处、安全处六个职能处室，具体负责协调处理各块事务。教务处、教科室重点领导学校13个学科（组）的教学科研师训工作。德育处重点领导3个年级44个班的学生工作。总务处负责学校后勤事务工作，提供办学的物质保证。办公室为行政人事处室，协助校长处理日常事务，协调各处室的工作。安全处负责管理学校各项安全事务，保障师生生命财产安全。学校各组织、各部门在校长的直接领导下，认真履行职责，充分发挥职能作用，保证学校教育教学的顺利开展。</w:t>
      </w:r>
    </w:p>
    <w:p w14:paraId="3CE6CEA4">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我单位为基层预算单位，无下属单位。</w:t>
      </w:r>
    </w:p>
    <w:p w14:paraId="0DF1E243">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（二）决算单位构成</w:t>
      </w:r>
    </w:p>
    <w:p w14:paraId="5C6F6D6B">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云南省通海县第一中学作为二级预算单位纳入2024年度部门决算编报范围。</w:t>
      </w:r>
    </w:p>
    <w:p w14:paraId="46E460F0">
      <w:pPr>
        <w:pStyle w:val="5"/>
        <w:keepNext w:val="0"/>
        <w:keepLines w:val="0"/>
        <w:widowControl/>
        <w:suppressLineNumbers w:val="0"/>
        <w:spacing w:before="75" w:beforeAutospacing="0" w:after="75" w:afterAutospacing="0"/>
        <w:ind w:left="0" w:right="0" w:firstLine="600"/>
      </w:pPr>
      <w:r>
        <w:rPr>
          <w:rFonts w:hint="eastAsia" w:ascii="楷体" w:hAnsi="楷体" w:eastAsia="楷体" w:cs="楷体"/>
          <w:sz w:val="30"/>
          <w:szCs w:val="30"/>
        </w:rPr>
        <w:t>（三）单位人员和车辆的编制及实有情况</w:t>
      </w:r>
    </w:p>
    <w:p w14:paraId="5C22D388">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我单位2024年末编制内实有人员166人。包括财政拨款开支经费的：公务员0人，参照公务员法管理人员0人，事业管理人员和专业技术人员158人，机关和事业工人8人；经费自理人员0人。</w:t>
      </w:r>
    </w:p>
    <w:p w14:paraId="162922B3">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我单位2024年末其他人员6人。包括财政拨款开支经费的人员6人；经费自理人员0人。</w:t>
      </w:r>
    </w:p>
    <w:p w14:paraId="222185B3">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年末尚未移交养老保险基金发放养老金的离退休人员共计0人（离休0人，退休0人）。年末由养老保险基金发放养老金的离退休人员98人（离休0人，退休98人）。年末学生2223人。年末遗属6人。</w:t>
      </w:r>
    </w:p>
    <w:p w14:paraId="04127E35">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车辆编制1辆，在编实有车辆1辆，超编0辆。</w:t>
      </w:r>
    </w:p>
    <w:p w14:paraId="20063E2E">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三、重点工作概述</w:t>
      </w:r>
    </w:p>
    <w:p w14:paraId="48E63E4D">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1.依法办学 方向明确</w:t>
      </w:r>
    </w:p>
    <w:p w14:paraId="52488C99">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一年来，在县教体局的领导下，学校全面贯彻党的教育方针，坚持中国特色社会主义教育发展道路，坚持社会主义办学方向，立足于</w:t>
      </w:r>
      <w:r>
        <w:rPr>
          <w:rFonts w:hint="default" w:ascii="Times New Roman" w:hAnsi="Times New Roman" w:eastAsia="仿宋_GB2312" w:cs="Times New Roman"/>
          <w:sz w:val="30"/>
          <w:szCs w:val="30"/>
        </w:rPr>
        <w:t>“</w:t>
      </w:r>
      <w:r>
        <w:rPr>
          <w:rFonts w:hint="default" w:ascii="仿宋_GB2312" w:eastAsia="仿宋_GB2312" w:cs="仿宋_GB2312"/>
          <w:sz w:val="30"/>
          <w:szCs w:val="30"/>
        </w:rPr>
        <w:t>培养什么人，怎样培养人，为谁培养人</w:t>
      </w:r>
      <w:r>
        <w:rPr>
          <w:rFonts w:hint="default" w:ascii="Times New Roman" w:hAnsi="Times New Roman" w:eastAsia="仿宋_GB2312" w:cs="Times New Roman"/>
          <w:sz w:val="30"/>
          <w:szCs w:val="30"/>
        </w:rPr>
        <w:t>”</w:t>
      </w:r>
      <w:r>
        <w:rPr>
          <w:rFonts w:hint="default" w:ascii="仿宋_GB2312" w:eastAsia="仿宋_GB2312" w:cs="仿宋_GB2312"/>
          <w:sz w:val="30"/>
          <w:szCs w:val="30"/>
        </w:rPr>
        <w:t>这一根本问题，深学笃用关于教育的重要论述，立足县情，遵循教育规律，以立德树人为根本，办好人民满意的</w:t>
      </w:r>
      <w:r>
        <w:rPr>
          <w:rFonts w:hint="default" w:ascii="Times New Roman" w:hAnsi="Times New Roman" w:eastAsia="仿宋_GB2312" w:cs="Times New Roman"/>
          <w:sz w:val="30"/>
          <w:szCs w:val="30"/>
        </w:rPr>
        <w:t>“</w:t>
      </w:r>
      <w:r>
        <w:rPr>
          <w:rFonts w:hint="default" w:ascii="仿宋_GB2312" w:eastAsia="仿宋_GB2312" w:cs="仿宋_GB2312"/>
          <w:sz w:val="30"/>
          <w:szCs w:val="30"/>
        </w:rPr>
        <w:t>家门口名校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。学校将</w:t>
      </w:r>
      <w:r>
        <w:rPr>
          <w:rFonts w:hint="default" w:ascii="Times New Roman" w:hAnsi="Times New Roman" w:eastAsia="仿宋_GB2312" w:cs="Times New Roman"/>
          <w:sz w:val="30"/>
          <w:szCs w:val="30"/>
        </w:rPr>
        <w:t>“</w:t>
      </w:r>
      <w:r>
        <w:rPr>
          <w:rFonts w:hint="default" w:ascii="仿宋_GB2312" w:eastAsia="仿宋_GB2312" w:cs="仿宋_GB2312"/>
          <w:sz w:val="30"/>
          <w:szCs w:val="30"/>
        </w:rPr>
        <w:t>依法治校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与</w:t>
      </w:r>
      <w:r>
        <w:rPr>
          <w:rFonts w:hint="default" w:ascii="Times New Roman" w:hAnsi="Times New Roman" w:eastAsia="仿宋_GB2312" w:cs="Times New Roman"/>
          <w:sz w:val="30"/>
          <w:szCs w:val="30"/>
        </w:rPr>
        <w:t>“</w:t>
      </w:r>
      <w:r>
        <w:rPr>
          <w:rFonts w:hint="default" w:ascii="仿宋_GB2312" w:eastAsia="仿宋_GB2312" w:cs="仿宋_GB2312"/>
          <w:sz w:val="30"/>
          <w:szCs w:val="30"/>
        </w:rPr>
        <w:t>德润人心</w:t>
      </w:r>
      <w:r>
        <w:rPr>
          <w:rFonts w:hint="default" w:ascii="Times New Roman" w:hAnsi="Times New Roman" w:eastAsia="仿宋_GB2312" w:cs="Times New Roman"/>
          <w:sz w:val="30"/>
          <w:szCs w:val="30"/>
        </w:rPr>
        <w:t>”</w:t>
      </w:r>
      <w:r>
        <w:rPr>
          <w:rFonts w:hint="default" w:ascii="仿宋_GB2312" w:eastAsia="仿宋_GB2312" w:cs="仿宋_GB2312"/>
          <w:sz w:val="30"/>
          <w:szCs w:val="30"/>
        </w:rPr>
        <w:t>有机地在实践中融合起来，深入推进习近平法治思想进教材进课堂进头脑，将法治理念贯穿于学校工作的各方面、全过程，全面执行教育法律法规，不断完善优化学校章程，引导师生坚定走中国特色社会主义法治道路，引导师生培养法律思维、提升法治素养、培育法治精神，能动开展依法育人、依法管理，努力提升依法办学的水平。全力构建现代学校管理背景之下可光照、可操作、可创造的</w:t>
      </w:r>
      <w:r>
        <w:rPr>
          <w:rFonts w:hint="default" w:ascii="Times New Roman" w:hAnsi="Times New Roman" w:eastAsia="仿宋_GB2312" w:cs="Times New Roman"/>
          <w:sz w:val="30"/>
          <w:szCs w:val="30"/>
        </w:rPr>
        <w:t>“</w:t>
      </w:r>
      <w:r>
        <w:rPr>
          <w:rFonts w:hint="default" w:ascii="仿宋_GB2312" w:eastAsia="仿宋_GB2312" w:cs="仿宋_GB2312"/>
          <w:sz w:val="30"/>
          <w:szCs w:val="30"/>
        </w:rPr>
        <w:t>正气、志气、朝气，强化、优化、诗化</w:t>
      </w:r>
      <w:r>
        <w:rPr>
          <w:rFonts w:hint="default" w:ascii="Times New Roman" w:hAnsi="Times New Roman" w:eastAsia="仿宋_GB2312" w:cs="Times New Roman"/>
          <w:sz w:val="30"/>
          <w:szCs w:val="30"/>
        </w:rPr>
        <w:t>”</w:t>
      </w:r>
      <w:r>
        <w:rPr>
          <w:rFonts w:hint="default" w:ascii="仿宋_GB2312" w:eastAsia="仿宋_GB2312" w:cs="仿宋_GB2312"/>
          <w:sz w:val="30"/>
          <w:szCs w:val="30"/>
        </w:rPr>
        <w:t>教育理念和鲜明的办学特色。学校制定了《十四五》、《十五五》发展规划，根据省、市、县要求，并结合学校发展实际，全面推动高质量发展规划三年行动计划实施方案的编制；制定并评审通过了西校区提升改造建设规划，并明确了建设方案，确定了2024-2025年完成建设的发展目标；结合县委、县政府安排部署，提前谋划2024</w:t>
      </w:r>
      <w:r>
        <w:rPr>
          <w:rFonts w:hint="default" w:ascii="Times New Roman" w:hAnsi="Times New Roman" w:eastAsia="仿宋_GB2312" w:cs="Times New Roman"/>
          <w:sz w:val="30"/>
          <w:szCs w:val="30"/>
        </w:rPr>
        <w:t>—</w:t>
      </w:r>
      <w:r>
        <w:rPr>
          <w:rFonts w:hint="default" w:ascii="仿宋_GB2312" w:eastAsia="仿宋_GB2312" w:cs="仿宋_GB2312"/>
          <w:sz w:val="30"/>
          <w:szCs w:val="30"/>
        </w:rPr>
        <w:t>2026年扩容规划的编制，进一步对晋升一级二等完中规划进行了优化。</w:t>
      </w:r>
    </w:p>
    <w:p w14:paraId="3535F937">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2.加强党的领导</w:t>
      </w:r>
    </w:p>
    <w:p w14:paraId="2F54BB57">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学校始终把抓好党建工作作为办学治校的基本功，引领广大教职工关于教育的重要论述转化为教书育人的精气神，按照习近平总书记</w:t>
      </w:r>
      <w:r>
        <w:rPr>
          <w:rFonts w:hint="default" w:ascii="Times New Roman" w:hAnsi="Times New Roman" w:eastAsia="仿宋_GB2312" w:cs="Times New Roman"/>
          <w:sz w:val="30"/>
          <w:szCs w:val="30"/>
        </w:rPr>
        <w:t>“</w:t>
      </w:r>
      <w:r>
        <w:rPr>
          <w:rFonts w:hint="default" w:ascii="仿宋_GB2312" w:eastAsia="仿宋_GB2312" w:cs="仿宋_GB2312"/>
          <w:sz w:val="30"/>
          <w:szCs w:val="30"/>
        </w:rPr>
        <w:t>九个坚持</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要求，用新时代的眼光和标准进一步认清校情，深入研究教育教学业务，把情况分析得更透，把问题把握得更准，把工作谋划得更实，把机遇抢抓得更快。学校党总支发挥党总揽全局的领导制度体系，将三个党支部分设于三个年级，带领广大教职工树牢</w:t>
      </w:r>
      <w:r>
        <w:rPr>
          <w:rFonts w:hint="default" w:ascii="Times New Roman" w:hAnsi="Times New Roman" w:eastAsia="仿宋_GB2312" w:cs="Times New Roman"/>
          <w:sz w:val="30"/>
          <w:szCs w:val="30"/>
        </w:rPr>
        <w:t>“</w:t>
      </w:r>
      <w:r>
        <w:rPr>
          <w:rFonts w:hint="default" w:ascii="仿宋_GB2312" w:eastAsia="仿宋_GB2312" w:cs="仿宋_GB2312"/>
          <w:sz w:val="30"/>
          <w:szCs w:val="30"/>
        </w:rPr>
        <w:t>四个意识</w:t>
      </w:r>
      <w:r>
        <w:rPr>
          <w:rFonts w:hint="default" w:ascii="Times New Roman" w:hAnsi="Times New Roman" w:eastAsia="仿宋_GB2312" w:cs="Times New Roman"/>
          <w:sz w:val="30"/>
          <w:szCs w:val="30"/>
        </w:rPr>
        <w:t>”</w:t>
      </w:r>
      <w:r>
        <w:rPr>
          <w:rFonts w:hint="default" w:ascii="仿宋_GB2312" w:eastAsia="仿宋_GB2312" w:cs="仿宋_GB2312"/>
          <w:sz w:val="30"/>
          <w:szCs w:val="30"/>
        </w:rPr>
        <w:t>、坚定</w:t>
      </w:r>
      <w:r>
        <w:rPr>
          <w:rFonts w:hint="default" w:ascii="Times New Roman" w:hAnsi="Times New Roman" w:eastAsia="仿宋_GB2312" w:cs="Times New Roman"/>
          <w:sz w:val="30"/>
          <w:szCs w:val="30"/>
        </w:rPr>
        <w:t>“</w:t>
      </w:r>
      <w:r>
        <w:rPr>
          <w:rFonts w:hint="default" w:ascii="仿宋_GB2312" w:eastAsia="仿宋_GB2312" w:cs="仿宋_GB2312"/>
          <w:sz w:val="30"/>
          <w:szCs w:val="30"/>
        </w:rPr>
        <w:t>四个自信</w:t>
      </w:r>
      <w:r>
        <w:rPr>
          <w:rFonts w:hint="default" w:ascii="Times New Roman" w:hAnsi="Times New Roman" w:eastAsia="仿宋_GB2312" w:cs="Times New Roman"/>
          <w:sz w:val="30"/>
          <w:szCs w:val="30"/>
        </w:rPr>
        <w:t>”</w:t>
      </w:r>
      <w:r>
        <w:rPr>
          <w:rFonts w:hint="default" w:ascii="仿宋_GB2312" w:eastAsia="仿宋_GB2312" w:cs="仿宋_GB2312"/>
          <w:sz w:val="30"/>
          <w:szCs w:val="30"/>
        </w:rPr>
        <w:t>、坚决做到</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两个维护</w:t>
      </w:r>
      <w:r>
        <w:rPr>
          <w:rFonts w:hint="default" w:ascii="Times New Roman" w:hAnsi="Times New Roman" w:eastAsia="仿宋_GB2312" w:cs="Times New Roman"/>
          <w:sz w:val="30"/>
          <w:szCs w:val="30"/>
        </w:rPr>
        <w:t>”</w:t>
      </w:r>
      <w:r>
        <w:rPr>
          <w:rFonts w:hint="default" w:ascii="仿宋_GB2312" w:eastAsia="仿宋_GB2312" w:cs="仿宋_GB2312"/>
          <w:sz w:val="30"/>
          <w:szCs w:val="30"/>
        </w:rPr>
        <w:t>，形成落实党的领导纵向到底、横向到边、全面覆盖的工作格局，77名党员站在教书育人的第一线和最前沿，把党组织建设为成为教书育人的坚强战斗堡垒和师生最贴心、最信赖的组织依靠。一是全面推进党组织领导的校长负责制。根据《中共云南省委教育工委 中共云南省委组织部关于印发云南省公办中小学校党组织领导的校长负责制有关配套示范文本的通知》，在县委组织部、县教育工委的指导和领导下，把抓好党建工作作为办学治校基本功，全力推动党组织领导的校长负责制落实落细，党组织、书记校长职责清单，党组织会议、校长办公会议事决策等制度全面规范建立实施；二是加强思政课程建设。推动思政课程深度融合，从学生的身心特点和思想实际出发，深入推思想进教材进课堂进头脑，组织青年政治课教师成立思政</w:t>
      </w:r>
      <w:r>
        <w:rPr>
          <w:rFonts w:hint="default" w:ascii="Times New Roman" w:hAnsi="Times New Roman" w:eastAsia="仿宋_GB2312" w:cs="Times New Roman"/>
          <w:sz w:val="30"/>
          <w:szCs w:val="30"/>
        </w:rPr>
        <w:t>“</w:t>
      </w:r>
      <w:r>
        <w:rPr>
          <w:rFonts w:hint="default" w:ascii="仿宋_GB2312" w:eastAsia="仿宋_GB2312" w:cs="仿宋_GB2312"/>
          <w:sz w:val="30"/>
          <w:szCs w:val="30"/>
        </w:rPr>
        <w:t>示范课堂</w:t>
      </w:r>
      <w:r>
        <w:rPr>
          <w:rFonts w:hint="default" w:ascii="Times New Roman" w:hAnsi="Times New Roman" w:eastAsia="仿宋_GB2312" w:cs="Times New Roman"/>
          <w:sz w:val="30"/>
          <w:szCs w:val="30"/>
        </w:rPr>
        <w:t>”</w:t>
      </w:r>
      <w:r>
        <w:rPr>
          <w:rFonts w:hint="default" w:ascii="仿宋_GB2312" w:eastAsia="仿宋_GB2312" w:cs="仿宋_GB2312"/>
          <w:sz w:val="30"/>
          <w:szCs w:val="30"/>
        </w:rPr>
        <w:t>和精品课程工作室，进一步增强思政课程的实效。12月26日，按照县委安排，高质量完成县委书记为师生讲授思政课《志存高远 脚踏实地 争做有理想敢担当能吃苦肯奋斗的新时代还好青年》。三是落实意识形态工作责任制深入开展铸牢中华民族共同体意识教育。始终站在增强</w:t>
      </w:r>
      <w:r>
        <w:rPr>
          <w:rFonts w:hint="default" w:ascii="Times New Roman" w:hAnsi="Times New Roman" w:eastAsia="仿宋_GB2312" w:cs="Times New Roman"/>
          <w:sz w:val="30"/>
          <w:szCs w:val="30"/>
        </w:rPr>
        <w:t>“</w:t>
      </w:r>
      <w:r>
        <w:rPr>
          <w:rFonts w:hint="default" w:ascii="仿宋_GB2312" w:eastAsia="仿宋_GB2312" w:cs="仿宋_GB2312"/>
          <w:sz w:val="30"/>
          <w:szCs w:val="30"/>
        </w:rPr>
        <w:t>四个意识</w:t>
      </w:r>
      <w:r>
        <w:rPr>
          <w:rFonts w:hint="default" w:ascii="Times New Roman" w:hAnsi="Times New Roman" w:eastAsia="仿宋_GB2312" w:cs="Times New Roman"/>
          <w:sz w:val="30"/>
          <w:szCs w:val="30"/>
        </w:rPr>
        <w:t>”</w:t>
      </w:r>
      <w:r>
        <w:rPr>
          <w:rFonts w:hint="default" w:ascii="仿宋_GB2312" w:eastAsia="仿宋_GB2312" w:cs="仿宋_GB2312"/>
          <w:sz w:val="30"/>
          <w:szCs w:val="30"/>
        </w:rPr>
        <w:t>、坚定</w:t>
      </w:r>
      <w:r>
        <w:rPr>
          <w:rFonts w:hint="default" w:ascii="Times New Roman" w:hAnsi="Times New Roman" w:eastAsia="仿宋_GB2312" w:cs="Times New Roman"/>
          <w:sz w:val="30"/>
          <w:szCs w:val="30"/>
        </w:rPr>
        <w:t>“</w:t>
      </w:r>
      <w:r>
        <w:rPr>
          <w:rFonts w:hint="default" w:ascii="仿宋_GB2312" w:eastAsia="仿宋_GB2312" w:cs="仿宋_GB2312"/>
          <w:sz w:val="30"/>
          <w:szCs w:val="30"/>
        </w:rPr>
        <w:t>四个自信</w:t>
      </w:r>
      <w:r>
        <w:rPr>
          <w:rFonts w:hint="default" w:ascii="Times New Roman" w:hAnsi="Times New Roman" w:eastAsia="仿宋_GB2312" w:cs="Times New Roman"/>
          <w:sz w:val="30"/>
          <w:szCs w:val="30"/>
        </w:rPr>
        <w:t>”</w:t>
      </w:r>
      <w:r>
        <w:rPr>
          <w:rFonts w:hint="default" w:ascii="仿宋_GB2312" w:eastAsia="仿宋_GB2312" w:cs="仿宋_GB2312"/>
          <w:sz w:val="30"/>
          <w:szCs w:val="30"/>
        </w:rPr>
        <w:t>、做到</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两个维护</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政治高度，坚持党管意识形态不动摇，牢牢把握意识形态工作领导权、管理权、话语权，积极培育和践行社会主义核心价值观，积极研究和探索新形势下意识形态工作的特点和规律，从第一议题的落实到校园文化建设，从入脑入心的宣传教育到落地见效的主题活动；从潜在隐患的排查整治到党政领导的包保责任，学校坚守党的教育阵地，引领广大师生认真学习领会民族宗教政策，坚决抵御和防范宗教向校园渗透，圆满完成专项工作整改。每周升旗仪式和主题班会课成为进行师生爱国主义教育的重要形式。四是实施清廉学校建设。以深入开展清廉学校建设为契机，狠抓全校党风廉政建设和作风建设，持之以恒正风肃纪，提高教职工队伍素质，努力培育党风正、校风清、教风良、学风好的良好政治生态和教育生态。结合巡察整改和审计整改，学校从落实</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三重一大</w:t>
      </w:r>
      <w:r>
        <w:rPr>
          <w:rFonts w:hint="default" w:ascii="Times New Roman" w:hAnsi="Times New Roman" w:eastAsia="仿宋_GB2312" w:cs="Times New Roman"/>
          <w:sz w:val="30"/>
          <w:szCs w:val="30"/>
        </w:rPr>
        <w:t>”</w:t>
      </w:r>
      <w:r>
        <w:rPr>
          <w:rFonts w:hint="default" w:ascii="仿宋_GB2312" w:eastAsia="仿宋_GB2312" w:cs="仿宋_GB2312"/>
          <w:sz w:val="30"/>
          <w:szCs w:val="30"/>
        </w:rPr>
        <w:t>党组织决策制度建设入手，对招生、科书教辅征订、校服招投标、食堂管理、工程建设等重点领域进行全面排查。组织开展师德师风专题教育3次，进行案例通报5次。对2名教职工进行了面对面约谈和批评教育。</w:t>
      </w:r>
    </w:p>
    <w:p w14:paraId="0EF71125">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3.加强班子建设</w:t>
      </w:r>
    </w:p>
    <w:p w14:paraId="34E79524">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学校不断强化优化会议制度建设，构建有较为完备的议事决策、校务公开、宣传教育会议制度。建立了党组织会议、校务委员会、教职工例会、周晨会、专题工作会等会议制度和会议组织程序，制定了《党组织会议议事规则》、《通海一中</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三重一大</w:t>
      </w:r>
      <w:r>
        <w:rPr>
          <w:rFonts w:hint="default" w:ascii="Times New Roman" w:hAnsi="Times New Roman" w:eastAsia="仿宋_GB2312" w:cs="Times New Roman"/>
          <w:sz w:val="30"/>
          <w:szCs w:val="30"/>
        </w:rPr>
        <w:t>”</w:t>
      </w:r>
      <w:r>
        <w:rPr>
          <w:rFonts w:hint="default" w:ascii="仿宋_GB2312" w:eastAsia="仿宋_GB2312" w:cs="仿宋_GB2312"/>
          <w:sz w:val="30"/>
          <w:szCs w:val="30"/>
        </w:rPr>
        <w:t>会议制度》、《校务委员会议事规则》。一年来，组织召开专题工作会10次；党总支会议20次，校务委员会37次，会议组织严肃、程序清晰，效果突出。</w:t>
      </w:r>
    </w:p>
    <w:p w14:paraId="553D7C8D">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学校新的校级领导班子组建以来，在县教体局的指导支持下，进一步规范了中层班子的选拔和任命程序，构建了一支老中青结合、文理兼容的学校领导班子，全力构建善管理、懂管理、敢管理、会管理的班子队伍。整个班子队伍对标</w:t>
      </w:r>
      <w:r>
        <w:rPr>
          <w:rFonts w:hint="default" w:ascii="Times New Roman" w:hAnsi="Times New Roman" w:eastAsia="仿宋_GB2312" w:cs="Times New Roman"/>
          <w:sz w:val="30"/>
          <w:szCs w:val="30"/>
        </w:rPr>
        <w:t>“</w:t>
      </w:r>
      <w:r>
        <w:rPr>
          <w:rFonts w:hint="default" w:ascii="仿宋_GB2312" w:eastAsia="仿宋_GB2312" w:cs="仿宋_GB2312"/>
          <w:sz w:val="30"/>
          <w:szCs w:val="30"/>
        </w:rPr>
        <w:t>政治强、情怀深、思维新、视野广、自律严、人格正</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的要求，牢固树立</w:t>
      </w:r>
      <w:r>
        <w:rPr>
          <w:rFonts w:hint="default" w:ascii="Times New Roman" w:hAnsi="Times New Roman" w:eastAsia="仿宋_GB2312" w:cs="Times New Roman"/>
          <w:sz w:val="30"/>
          <w:szCs w:val="30"/>
        </w:rPr>
        <w:t>“</w:t>
      </w:r>
      <w:r>
        <w:rPr>
          <w:rFonts w:hint="default" w:ascii="仿宋_GB2312" w:eastAsia="仿宋_GB2312" w:cs="仿宋_GB2312"/>
          <w:sz w:val="30"/>
          <w:szCs w:val="30"/>
        </w:rPr>
        <w:t>功成不必在我</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的情怀和境界，坚定自觉团结协作，各负其责、各施所长，紧紧围绕做好</w:t>
      </w:r>
      <w:r>
        <w:rPr>
          <w:rFonts w:hint="default" w:ascii="Times New Roman" w:hAnsi="Times New Roman" w:eastAsia="仿宋_GB2312" w:cs="Times New Roman"/>
          <w:sz w:val="30"/>
          <w:szCs w:val="30"/>
        </w:rPr>
        <w:t>“</w:t>
      </w:r>
      <w:r>
        <w:rPr>
          <w:rFonts w:hint="default" w:ascii="仿宋_GB2312" w:eastAsia="仿宋_GB2312" w:cs="仿宋_GB2312"/>
          <w:sz w:val="30"/>
          <w:szCs w:val="30"/>
        </w:rPr>
        <w:t>引领者、示范者、敬业者、服务者</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要求，带领全校教职工提振精气神，凝聚战斗力，坚持在干中求进、干中求变，用新观念研究新情况、用新思路破解新难题、用新举措创造新气象，在新起点开创新局面的工作目标，以校为家，坚守一线教学，承担教学任务，深入课堂听课评课，身体力行开展家访。高质量组织召开了全校德育工作会和教学工作会。领导班子勤勉务实的工作作风和卓有成效的工作得到了广大教职员工的认同。</w:t>
      </w:r>
    </w:p>
    <w:p w14:paraId="5301E478">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4.教职工管理</w:t>
      </w:r>
    </w:p>
    <w:p w14:paraId="6763B6FA">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2024年，学校有在职在编教职员工166名（专任教师155名）。其中：研究生学历11人，本科学历147人；副高级职称75人，中级职称43人，初级职称 33人，未定等级4人；有</w:t>
      </w:r>
      <w:r>
        <w:rPr>
          <w:rFonts w:hint="default" w:ascii="Times New Roman" w:hAnsi="Times New Roman" w:eastAsia="仿宋_GB2312" w:cs="Times New Roman"/>
          <w:sz w:val="30"/>
          <w:szCs w:val="30"/>
        </w:rPr>
        <w:t>“</w:t>
      </w:r>
      <w:r>
        <w:rPr>
          <w:rFonts w:hint="default" w:ascii="仿宋_GB2312" w:eastAsia="仿宋_GB2312" w:cs="仿宋_GB2312"/>
          <w:sz w:val="30"/>
          <w:szCs w:val="30"/>
        </w:rPr>
        <w:t>兴玉教学名师</w:t>
      </w:r>
      <w:r>
        <w:rPr>
          <w:rFonts w:hint="default" w:ascii="Times New Roman" w:hAnsi="Times New Roman" w:eastAsia="仿宋_GB2312" w:cs="Times New Roman"/>
          <w:sz w:val="30"/>
          <w:szCs w:val="30"/>
        </w:rPr>
        <w:t>”</w:t>
      </w:r>
      <w:r>
        <w:rPr>
          <w:rFonts w:hint="default" w:ascii="仿宋_GB2312" w:eastAsia="仿宋_GB2312" w:cs="仿宋_GB2312"/>
          <w:sz w:val="30"/>
          <w:szCs w:val="30"/>
        </w:rPr>
        <w:t>2人；省级骨干教师3人，市级骨干教师及学科带头人17人，县级骨干教师及学科带头人38人。教职工平均年龄40岁。2024年，从二中三中走教教师7名，临聘教师3名，借调教师2名，提前招聘教师6名，初步缓解了师资紧缺的现状；盘活整合校内师资资源。统筹信息技术、图书管理、档案管理、通用技术、教学辅助等师资力量，为部分专业教师减轻非教学工作量，使其能潜心教学。</w:t>
      </w:r>
    </w:p>
    <w:p w14:paraId="2CD3E18C">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5.学生管理</w:t>
      </w:r>
    </w:p>
    <w:p w14:paraId="2E1B8418">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根据国家法律法规和教育行政部门相关规定，严格落实招生入学方案。2024年，初中恢复招生96人，高中圆满完成教育行政部门下达的招生计划748人（招生计划750人，实际751人，3人贵州籍学生未入学）。按照分层教学、因材施教的原则实施阳光分班。主动回应社会关切，针对借读生管理存在不规范的现象，进行了专项整治，得到了家长和社会的理解和好评。规范组织各级各类考试，全年圆满顺利组织高中学业水平考试5次（含1次调研测试），高考英语听力口语2次，高考1次，省市检测6次，</w:t>
      </w:r>
      <w:r>
        <w:rPr>
          <w:rFonts w:hint="default" w:ascii="Times New Roman" w:hAnsi="Times New Roman" w:eastAsia="仿宋_GB2312" w:cs="Times New Roman"/>
          <w:sz w:val="30"/>
          <w:szCs w:val="30"/>
        </w:rPr>
        <w:t>“</w:t>
      </w:r>
      <w:r>
        <w:rPr>
          <w:rFonts w:hint="default" w:ascii="仿宋_GB2312" w:eastAsia="仿宋_GB2312" w:cs="仿宋_GB2312"/>
          <w:sz w:val="30"/>
          <w:szCs w:val="30"/>
        </w:rPr>
        <w:t>通江易</w:t>
      </w:r>
      <w:r>
        <w:rPr>
          <w:rFonts w:hint="default" w:ascii="Times New Roman" w:hAnsi="Times New Roman" w:eastAsia="仿宋_GB2312" w:cs="Times New Roman"/>
          <w:sz w:val="30"/>
          <w:szCs w:val="30"/>
        </w:rPr>
        <w:t>”</w:t>
      </w:r>
      <w:r>
        <w:rPr>
          <w:rFonts w:hint="default" w:ascii="仿宋_GB2312" w:eastAsia="仿宋_GB2312" w:cs="仿宋_GB2312"/>
          <w:sz w:val="30"/>
          <w:szCs w:val="30"/>
        </w:rPr>
        <w:t>联考4次；初中统测1次，初中听力口语1次。进一步严肃考风考纪，加强学生诚信教育，探索邀请家长参与监考方式，收到了良好的效果。按照省、市、县学籍管理规定，制定《通海一中学生管理规定》，全面强化普通高中学籍管理的规范性和严肃性，从严规范学生学籍注册、缓学、转学、休学、复学、退学等学籍办理，切实做到</w:t>
      </w:r>
      <w:r>
        <w:rPr>
          <w:rFonts w:hint="default" w:ascii="Times New Roman" w:hAnsi="Times New Roman" w:eastAsia="仿宋_GB2312" w:cs="Times New Roman"/>
          <w:sz w:val="30"/>
          <w:szCs w:val="30"/>
        </w:rPr>
        <w:t>“</w:t>
      </w:r>
      <w:r>
        <w:rPr>
          <w:rFonts w:hint="default" w:ascii="仿宋_GB2312" w:eastAsia="仿宋_GB2312" w:cs="仿宋_GB2312"/>
          <w:sz w:val="30"/>
          <w:szCs w:val="30"/>
        </w:rPr>
        <w:t>籍随人走，人籍一致</w:t>
      </w:r>
      <w:r>
        <w:rPr>
          <w:rFonts w:hint="default" w:ascii="Times New Roman" w:hAnsi="Times New Roman" w:eastAsia="仿宋_GB2312" w:cs="Times New Roman"/>
          <w:sz w:val="30"/>
          <w:szCs w:val="30"/>
        </w:rPr>
        <w:t>”</w:t>
      </w:r>
      <w:r>
        <w:rPr>
          <w:rFonts w:hint="default" w:ascii="仿宋_GB2312" w:eastAsia="仿宋_GB2312" w:cs="仿宋_GB2312"/>
          <w:sz w:val="30"/>
          <w:szCs w:val="30"/>
        </w:rPr>
        <w:t>。</w:t>
      </w:r>
    </w:p>
    <w:p w14:paraId="279719CA">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6.教育教学常规管理</w:t>
      </w:r>
    </w:p>
    <w:p w14:paraId="025CC217">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围绕 “尖子生占比逐步提升、重点一本率明显提升、一般本科率全面提升</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的目标，牢固树立</w:t>
      </w:r>
      <w:r>
        <w:rPr>
          <w:rFonts w:hint="default" w:ascii="Times New Roman" w:hAnsi="Times New Roman" w:eastAsia="仿宋_GB2312" w:cs="Times New Roman"/>
          <w:sz w:val="30"/>
          <w:szCs w:val="30"/>
        </w:rPr>
        <w:t>“</w:t>
      </w:r>
      <w:r>
        <w:rPr>
          <w:rFonts w:hint="default" w:ascii="仿宋_GB2312" w:eastAsia="仿宋_GB2312" w:cs="仿宋_GB2312"/>
          <w:sz w:val="30"/>
          <w:szCs w:val="30"/>
        </w:rPr>
        <w:t>提升高考成绩是第一要务</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要求，切实增强忧患意识和危机感，把压力当动力，把差距当潜力，上下一条心、拧成一股绳，强化精细实，千方百计提升教学质量。一是强化教学常规。严格执行《通海县中小学教学常规管理实施方案（试行）》，从备、讲、改、辅、测、听等方面做出定性和定量的规定，使教师日常操作有规范。落实过程管理，进行定期和不定期检查，扎扎实实教学常规，有检查、督促、指导评价教师执行教学常规的措施，以常规促规范，以常规促提升。全面启动全员听课制度，改进集体备课，努力发扬团结协作精神，优化学科教学，切实加强集体备课，做到资源共享、集思广益。二是优化课程设置。严格执行国家课程标准，结合实际对当前的课程设置情况进行了优化。高一年级开设语文、数学、英语、思想政治、历史、地理、物理、化学、生物、体育与健康、音乐、美术、综合实践活动共13门课程；高二年级按照新高考方案进行了6个组合的课程设置和开设信息技术、通用技术课程；在开齐开足国家规定课程，贯彻落实好省教育厅印发中小学教育日历的基础上，探索、落实国家课程的实施策略，力争以最少的课内时间、最佳的行动指南、最优的评价策略对课程实施管理。三是抓好高三复习备考。科学、客观、理性分析2024年高考情况，制定2025届高考复习备考方案，成立高三毕业班领导小组，学校领导、处室主任</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三管一包</w:t>
      </w:r>
      <w:r>
        <w:rPr>
          <w:rFonts w:hint="default" w:ascii="Times New Roman" w:hAnsi="Times New Roman" w:eastAsia="仿宋_GB2312" w:cs="Times New Roman"/>
          <w:sz w:val="30"/>
          <w:szCs w:val="30"/>
        </w:rPr>
        <w:t>”</w:t>
      </w:r>
      <w:r>
        <w:rPr>
          <w:rFonts w:hint="default" w:ascii="仿宋_GB2312" w:eastAsia="仿宋_GB2312" w:cs="仿宋_GB2312"/>
          <w:sz w:val="30"/>
          <w:szCs w:val="30"/>
        </w:rPr>
        <w:t>定点挂钩帮扶到班级，根据高考指标，细化量化到班、到人，千方百计保证争重点、保本科。优化质量分析，依托</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三全育人</w:t>
      </w:r>
      <w:r>
        <w:rPr>
          <w:rFonts w:hint="default" w:ascii="Times New Roman" w:hAnsi="Times New Roman" w:eastAsia="仿宋_GB2312" w:cs="Times New Roman"/>
          <w:sz w:val="30"/>
          <w:szCs w:val="30"/>
        </w:rPr>
        <w:t>”</w:t>
      </w:r>
      <w:r>
        <w:rPr>
          <w:rFonts w:hint="default" w:ascii="仿宋_GB2312" w:eastAsia="仿宋_GB2312" w:cs="仿宋_GB2312"/>
          <w:sz w:val="30"/>
          <w:szCs w:val="30"/>
        </w:rPr>
        <w:t>工作做好，树立良好的学习风气和氛围。四是强化高考改革的研究。加强了高一、高二年级教学周规划、月规划、期规划、年规划的督导落实，确保了新课程改革推进的正确性、连续性、有效性。启动《高考质量提升困境及解决路径》课题研究，从课程设置、时间管理、师资培训、班级管理、教育科研、高效课堂等方面强化新课程、新教材、新高考背景下质量提升路径和方法探索。按照</w:t>
      </w:r>
      <w:r>
        <w:rPr>
          <w:rFonts w:hint="default" w:ascii="Times New Roman" w:hAnsi="Times New Roman" w:eastAsia="仿宋_GB2312" w:cs="Times New Roman"/>
          <w:sz w:val="30"/>
          <w:szCs w:val="30"/>
        </w:rPr>
        <w:t>“</w:t>
      </w:r>
      <w:r>
        <w:rPr>
          <w:rFonts w:hint="default" w:ascii="仿宋_GB2312" w:eastAsia="仿宋_GB2312" w:cs="仿宋_GB2312"/>
          <w:sz w:val="30"/>
          <w:szCs w:val="30"/>
        </w:rPr>
        <w:t>早部署、早落实</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原则，学校努力抓好学生规划课程和相关讲座，组织进行了2026届高考分组选科培训，得到了学生和家长的高度认可。五是全面分析2024届高考情况。学校组织对2024届高考情况进行了全面分析和反思。这其中，有生源外流、质量下降、良莠不齐的客观因素；有办学保障不到位的影响，但是也不回避教育教学工作方法、师生主观能动性发挥、新高考研究不到位的问题。学校在时间管理、课堂管理、常规管理、智力因素和非智力因素等方面均采取了相应的改进措施，全校上下齐心协力，力争2025年高考成绩稳中有进。</w:t>
      </w:r>
    </w:p>
    <w:p w14:paraId="3DD5978D">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7.安全卫生管理</w:t>
      </w:r>
    </w:p>
    <w:p w14:paraId="79007496">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学校高度重视校园安全，从强化校园安全管理体制建设入手，建立了安全管理和安全教育双线负责的管理责任制，对校园安全宣传教育和隐患排查整治及安全管理实行</w:t>
      </w:r>
      <w:r>
        <w:rPr>
          <w:rFonts w:hint="default" w:ascii="Times New Roman" w:hAnsi="Times New Roman" w:eastAsia="仿宋_GB2312" w:cs="Times New Roman"/>
          <w:sz w:val="30"/>
          <w:szCs w:val="30"/>
        </w:rPr>
        <w:t>“</w:t>
      </w:r>
      <w:r>
        <w:rPr>
          <w:rFonts w:hint="default" w:ascii="仿宋_GB2312" w:eastAsia="仿宋_GB2312" w:cs="仿宋_GB2312"/>
          <w:sz w:val="30"/>
          <w:szCs w:val="30"/>
        </w:rPr>
        <w:t>双线合力</w:t>
      </w:r>
      <w:r>
        <w:rPr>
          <w:rFonts w:hint="default" w:ascii="Times New Roman" w:hAnsi="Times New Roman" w:eastAsia="仿宋_GB2312" w:cs="Times New Roman"/>
          <w:sz w:val="30"/>
          <w:szCs w:val="30"/>
        </w:rPr>
        <w:t>”</w:t>
      </w:r>
      <w:r>
        <w:rPr>
          <w:rFonts w:hint="default" w:ascii="仿宋_GB2312" w:eastAsia="仿宋_GB2312" w:cs="仿宋_GB2312"/>
          <w:sz w:val="30"/>
          <w:szCs w:val="30"/>
        </w:rPr>
        <w:t>管理，始终把校园安全作为一项重大政治任务，树立了安全工作红线意识、底线思维，强化了学校主要负责人、分管安全工作负责人和管理人员的责任意识，明确了全体教职员工岗位安全工作职责，建立了在校长的直接领导下，分管领导具体负责，以专职安全人员为中心，以学校各职能部门和全体班主任为主体的综合治理工作网络，构建了横向到边、纵向到底的安全管理体系，形成了学校领导班子、处室、年级、班级共同抓管理、抓落实、抓督促、抓检查、抓整改的良好安全环境，使学校安全工作得到全方位、全过程的安全监管，坚持在</w:t>
      </w:r>
      <w:r>
        <w:rPr>
          <w:rFonts w:hint="default" w:ascii="Times New Roman" w:hAnsi="Times New Roman" w:eastAsia="仿宋_GB2312" w:cs="Times New Roman"/>
          <w:sz w:val="30"/>
          <w:szCs w:val="30"/>
        </w:rPr>
        <w:t>“</w:t>
      </w:r>
      <w:r>
        <w:rPr>
          <w:rFonts w:hint="default" w:ascii="仿宋_GB2312" w:eastAsia="仿宋_GB2312" w:cs="仿宋_GB2312"/>
          <w:sz w:val="30"/>
          <w:szCs w:val="30"/>
        </w:rPr>
        <w:t>常</w:t>
      </w:r>
      <w:r>
        <w:rPr>
          <w:rFonts w:hint="default" w:ascii="Times New Roman" w:hAnsi="Times New Roman" w:eastAsia="仿宋_GB2312" w:cs="Times New Roman"/>
          <w:sz w:val="30"/>
          <w:szCs w:val="30"/>
        </w:rPr>
        <w:t>”“</w:t>
      </w:r>
      <w:r>
        <w:rPr>
          <w:rFonts w:hint="default" w:ascii="仿宋_GB2312" w:eastAsia="仿宋_GB2312" w:cs="仿宋_GB2312"/>
          <w:sz w:val="30"/>
          <w:szCs w:val="30"/>
        </w:rPr>
        <w:t>长</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上下功夫，做到责任层层落实，信息及时互通反馈。秋季学期以来，学校人防、技防、物防能力得到进一步提升；1530安全教育制度进一步落实，安全应急演练常态化开展；防溺水、防交通事故、防校园欺凌等专项教育活动有效开展，一年来未发生学校安全责任事故。</w:t>
      </w:r>
    </w:p>
    <w:p w14:paraId="746B410D">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8.后勤管理</w:t>
      </w:r>
    </w:p>
    <w:p w14:paraId="2DB9EAEC">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学校后勤工作以构建和谐后勤为工作目标，以</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三服务、两育人</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为工作主线，牢记</w:t>
      </w:r>
      <w:r>
        <w:rPr>
          <w:rFonts w:hint="default" w:ascii="Times New Roman" w:hAnsi="Times New Roman" w:eastAsia="仿宋_GB2312" w:cs="Times New Roman"/>
          <w:sz w:val="30"/>
          <w:szCs w:val="30"/>
        </w:rPr>
        <w:t>“</w:t>
      </w:r>
      <w:r>
        <w:rPr>
          <w:rFonts w:hint="default" w:ascii="仿宋_GB2312" w:eastAsia="仿宋_GB2312" w:cs="仿宋_GB2312"/>
          <w:sz w:val="30"/>
          <w:szCs w:val="30"/>
        </w:rPr>
        <w:t>求真务实、规范管理、责任到人、服务到位</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工作原则，不断提高后勤职工队伍的政治素质和业务水平、管理水平、服务技能、服务质量。一是强化学校财务管理。严格按照上级主管部门的要求，不断完善财务规章制度，规范收支两条线，实行财务公开，做到账目清楚，程序合法。加强收费的透明化管理，按章收费，使学校的收费工作置于学生、家长、社会的监督之下。秋季学期以来，学校启动学校内控制度建设，进一步加强了总务处和财务室的规范化建设，取得了突出的成效。二是努力推动项目建设。按照</w:t>
      </w:r>
      <w:r>
        <w:rPr>
          <w:rFonts w:hint="default" w:ascii="Times New Roman" w:hAnsi="Times New Roman" w:eastAsia="仿宋_GB2312" w:cs="Times New Roman"/>
          <w:sz w:val="30"/>
          <w:szCs w:val="30"/>
        </w:rPr>
        <w:t>“</w:t>
      </w:r>
      <w:r>
        <w:rPr>
          <w:rFonts w:hint="default" w:ascii="仿宋_GB2312" w:eastAsia="仿宋_GB2312" w:cs="仿宋_GB2312"/>
          <w:sz w:val="30"/>
          <w:szCs w:val="30"/>
        </w:rPr>
        <w:t>小切口推动大改革</w:t>
      </w:r>
      <w:r>
        <w:rPr>
          <w:rFonts w:hint="default" w:ascii="Times New Roman" w:hAnsi="Times New Roman" w:eastAsia="仿宋_GB2312" w:cs="Times New Roman"/>
          <w:sz w:val="30"/>
          <w:szCs w:val="30"/>
        </w:rPr>
        <w:t>”“</w:t>
      </w:r>
      <w:r>
        <w:rPr>
          <w:rFonts w:hint="default" w:ascii="仿宋_GB2312" w:eastAsia="仿宋_GB2312" w:cs="仿宋_GB2312"/>
          <w:sz w:val="30"/>
          <w:szCs w:val="30"/>
        </w:rPr>
        <w:t>小切口解决大问题</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思路，学校认真梳理了学校存在的困难问题，从解决学生用水、淋浴难，教师办公环境差问题入手，实施了供水管道铺设；新建了学生淋浴室，建设了150余个教职工工位；成功争取城乡绿美行动示范点建设项目并顺利竣工，被认定为2023年度玉溪市</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绿美校园</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与此同时，在县教体局的大力支持下，顺利争取到中央资金2,445.00万元，全面推动学校重大项目的争取和实施，千方百计进行项目融资，强化项目策划，投资5,000.00万元的新建学生宿舍、食堂及西校区改造提升项目顺利立项；智慧校园银校合作项目建设完毕；此外，学校提前谋划，恢复初中招生，启动高中整合工作。三是切实做好学生资助工作。学校资助工作组织机构健全，资助政策宣传到位，制度完善，档案资料齐全，资金管理规范，资助系统运行正常，项目管理到位，日常工作正常。圆满组织完成普通高中国家助学金、家庭经济困难大学新生路费补助、省市优秀贫困学子奖励计划、生源地信用助学贷款等资助工作。</w:t>
      </w:r>
    </w:p>
    <w:p w14:paraId="2250A278">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学校按时报送上级要求的各种材料和信息，积极落实各项工作，确保工作落到实处。重视宣传工作的开展，讲好师生好故事，传播学校好声音，积极营造和谐环境，努力增强学校吸引力和影响力。2024年制作发布的教师节专题宣传片和冬季运动会系列宣传在社会引发强烈反响，得到社会各界的认同。</w:t>
      </w:r>
    </w:p>
    <w:p w14:paraId="49DC5618">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第二部分</w:t>
      </w:r>
      <w:r>
        <w:rPr>
          <w:rFonts w:hint="eastAsia" w:ascii="宋体" w:hAnsi="宋体" w:eastAsia="宋体" w:cs="宋体"/>
          <w:sz w:val="31"/>
          <w:szCs w:val="31"/>
        </w:rPr>
        <w:t>  </w:t>
      </w:r>
      <w:r>
        <w:rPr>
          <w:rFonts w:hint="eastAsia" w:ascii="黑体" w:hAnsi="宋体" w:eastAsia="黑体" w:cs="黑体"/>
          <w:sz w:val="31"/>
          <w:szCs w:val="31"/>
        </w:rPr>
        <w:t>2024年度部门决算表</w:t>
      </w:r>
    </w:p>
    <w:p w14:paraId="4046F363">
      <w:pPr>
        <w:pStyle w:val="5"/>
        <w:keepNext w:val="0"/>
        <w:keepLines w:val="0"/>
        <w:widowControl/>
        <w:suppressLineNumbers w:val="0"/>
        <w:spacing w:before="75" w:beforeAutospacing="0" w:after="75" w:afterAutospacing="0" w:line="600" w:lineRule="atLeast"/>
        <w:ind w:left="0" w:right="0" w:firstLine="600"/>
        <w:jc w:val="center"/>
      </w:pPr>
      <w:r>
        <w:rPr>
          <w:rFonts w:hint="default" w:ascii="仿宋_GB2312" w:eastAsia="仿宋_GB2312" w:cs="仿宋_GB2312"/>
          <w:sz w:val="30"/>
          <w:szCs w:val="30"/>
        </w:rPr>
        <w:t>（详见附件）</w:t>
      </w:r>
    </w:p>
    <w:p w14:paraId="66261B87">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除涉密信息外，《收入决算表》、《支出决算表》、《一般公共预算财政拨款支出决算表》、和《国有资本经营预算财政拨款支出决算表》、已细化公开到功能分类项级科目，《一般公共预算财政拨款基本支出决算明细表》已细化公开到经济分类款级科目。本单位2024年度无政府性基金预算财政拨款收入支出，《政府性基金预算财政拨款收入支出决算表》为空表；本单位2024年度无国有资本经营预算财政拨款收入，《国有资本经营预算财政拨款收入支出决算表》为空表；本单位2024年度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经费、行政参公单位机关运行经费情况表》为空表；本单位2024年度无一般公共预算财政拨款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经费情况表》为空表。</w:t>
      </w:r>
    </w:p>
    <w:p w14:paraId="4957C6F2">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 </w:t>
      </w:r>
    </w:p>
    <w:p w14:paraId="2A894094">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第三部分</w:t>
      </w:r>
      <w:r>
        <w:rPr>
          <w:rFonts w:hint="eastAsia" w:ascii="宋体" w:hAnsi="宋体" w:eastAsia="宋体" w:cs="宋体"/>
          <w:sz w:val="31"/>
          <w:szCs w:val="31"/>
        </w:rPr>
        <w:t>  </w:t>
      </w:r>
      <w:r>
        <w:rPr>
          <w:rFonts w:hint="eastAsia" w:ascii="黑体" w:hAnsi="宋体" w:eastAsia="黑体" w:cs="黑体"/>
          <w:sz w:val="31"/>
          <w:szCs w:val="31"/>
        </w:rPr>
        <w:t>2024年度部门决算情况说明</w:t>
      </w:r>
    </w:p>
    <w:p w14:paraId="00633F3E">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一、收入决算情况说明</w:t>
      </w:r>
    </w:p>
    <w:p w14:paraId="4B557BAB">
      <w:pPr>
        <w:pStyle w:val="5"/>
        <w:keepNext w:val="0"/>
        <w:keepLines w:val="0"/>
        <w:widowControl/>
        <w:suppressLineNumbers w:val="0"/>
        <w:spacing w:before="105" w:beforeAutospacing="0" w:after="105" w:afterAutospacing="0" w:line="600" w:lineRule="atLeast"/>
        <w:ind w:left="0" w:right="0" w:firstLine="540"/>
      </w:pPr>
      <w:r>
        <w:rPr>
          <w:rFonts w:hint="default" w:ascii="仿宋_GB2312" w:eastAsia="仿宋_GB2312" w:cs="仿宋_GB2312"/>
          <w:sz w:val="30"/>
          <w:szCs w:val="30"/>
        </w:rPr>
        <w:t>云南省通海县第一中学2024年度收入合计32,245,663.00元。其中：财政拨款收入30,427,188.87元，占总收入的94.36%；上级补助收入0.00元，占总收入的0.00%；事业收入1,217,251.19元（含教育收费1,217,251.19元），占总收入的3.77%；经营收入0.00元，占总收入的0.00%；附属单位上缴收入0.00元，占总收入的0.00%；其他收入601,222.94元，占总收入的1.86%。</w:t>
      </w:r>
    </w:p>
    <w:p w14:paraId="7A8436F9">
      <w:pPr>
        <w:pStyle w:val="5"/>
        <w:keepNext w:val="0"/>
        <w:keepLines w:val="0"/>
        <w:widowControl/>
        <w:suppressLineNumbers w:val="0"/>
        <w:spacing w:before="105" w:beforeAutospacing="0" w:after="105" w:afterAutospacing="0" w:line="600" w:lineRule="atLeast"/>
        <w:ind w:left="0" w:right="0" w:firstLine="540"/>
      </w:pPr>
      <w:r>
        <w:rPr>
          <w:rFonts w:hint="default" w:ascii="仿宋_GB2312" w:eastAsia="仿宋_GB2312" w:cs="仿宋_GB2312"/>
          <w:sz w:val="30"/>
          <w:szCs w:val="30"/>
        </w:rPr>
        <w:t>与上年相比，收入合计增加1,078,394.37元，增长3.46%。其中：财政拨款收入增加1,076,109.88元，增长3.67%；上级补助收入增加0.00元，增长0.00%；事业收入增加309,306.70元，增长34.07%；经营收入增加0.00元，增长0.00%；附属单位上缴收入增加</w:t>
      </w:r>
      <w:r>
        <w:rPr>
          <w:rFonts w:hint="default" w:ascii="Times New Roman" w:hAnsi="Times New Roman" w:eastAsia="仿宋_GB2312" w:cs="Times New Roman"/>
          <w:sz w:val="30"/>
          <w:szCs w:val="30"/>
        </w:rPr>
        <w:t> </w:t>
      </w:r>
      <w:r>
        <w:rPr>
          <w:rFonts w:hint="default" w:ascii="仿宋_GB2312" w:eastAsia="仿宋_GB2312" w:cs="仿宋_GB2312"/>
          <w:sz w:val="30"/>
          <w:szCs w:val="30"/>
        </w:rPr>
        <w:t>0.00元，增长0.00%；其他收入减少307,022.21元，下降33.80%。主要原因是工资增加，社会保险增加，支付部分历年差旅费报账。</w:t>
      </w:r>
    </w:p>
    <w:p w14:paraId="78342EA3">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二、支出决算情况说明</w:t>
      </w:r>
    </w:p>
    <w:p w14:paraId="5241DC82">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云南省通海县第一中学2024年度支出合计32,540,864.42元。其中：基本支出29,689,644.88元，占总支出的91.24％；项目支出2,851,219.54元，占总支出的8.76％；上缴上级支出0.00元，占总支出的0.00％；经营支出0.00元，占总支出的0.00％；对附属单位补助支出0.00元，占总支出的0.00％。</w:t>
      </w:r>
    </w:p>
    <w:p w14:paraId="7583EEEF">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与上年相比，支出合计增加1,977,364.00元，增长6.47%。其中：基本支出增加872,851.18元，增长3.03%；项目支出增加1,104,512.82元，增长63.23%；上缴上级支出增加0.00元，增长0.00%；经营支出增加0.00元，增长0.00%；对附属单位补助支出增加0.00元，增长0.00%。主要原因是基本支出减少是因为录入财政大平台在支出，财政未审批支付；项目支出增加是因为事业收入项目返还增加，所以支出增加。</w:t>
      </w:r>
    </w:p>
    <w:p w14:paraId="32541B05">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（一）基本支出情况</w:t>
      </w:r>
    </w:p>
    <w:p w14:paraId="5E8A8607">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2024年度用于保障云南省通海县第一中学机构正常运转的日常支出29,689,644.88元。其中：基本工资、津贴补贴等人员经费支出29,380,215.58元，占基本支出的98.96％；办公费、印刷费、水电费、办公设备购置等公用经费309,429.30元，占基本支出的1.04％。</w:t>
      </w:r>
    </w:p>
    <w:p w14:paraId="02E5104F">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（二）项目支出情况</w:t>
      </w:r>
    </w:p>
    <w:p w14:paraId="2FE9337B">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2024年度用于保障云南省通海县第一中学为完成特定的行政工作任务或事业发展目标，用于专项业务工作的经费支出2,851,219.54元。其中：基本建设类项目支出474,244.30元。</w:t>
      </w:r>
    </w:p>
    <w:p w14:paraId="0A72AE8E">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通财〔2023〕192号普通高中学校生均公用经费省级补助资金145,936.80元，主要用于学校正常运转的支出。</w:t>
      </w:r>
    </w:p>
    <w:p w14:paraId="74E55A1D">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通财〔2024〕241号普通高中生均公用经费省级补助资金300,000.00元，主要用于学校正常运转的支出。</w:t>
      </w:r>
    </w:p>
    <w:p w14:paraId="395A5B18">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通财〔2024〕1号人员经费预留1,810.00元，主要用于新增教师大病保险费的支出。</w:t>
      </w:r>
    </w:p>
    <w:p w14:paraId="0490A406">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通财〔2024〕310号普通高中国家助学金专项资金19,508.00元，主要用于国家助学金的支出。</w:t>
      </w:r>
    </w:p>
    <w:p w14:paraId="7D37A496">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通财〔2024〕1号普通高中建档立卡贫困学生生活补助专项资金2,100.00元，主要用于建档立卡贫困学生生活补助的支出。</w:t>
      </w:r>
    </w:p>
    <w:p w14:paraId="61AEDF8F">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通财〔2023〕304号学生宿舍食堂建设专项补助资金474,244.30元，主要用于学生宿舍建设。</w:t>
      </w:r>
    </w:p>
    <w:p w14:paraId="5493D6B7">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通财〔2024〕241号普通高中生均公用经费专项资金1,319,128.44元，主要用于学校正常运转的支出。</w:t>
      </w:r>
    </w:p>
    <w:p w14:paraId="52E7569A">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通财〔2024〕1号遗属生活补助经费58,218.00元，主要用于遗属生活补助的支出。</w:t>
      </w:r>
    </w:p>
    <w:p w14:paraId="561D946F">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财〔2024〕1号新校区教学教研用房工程、工程欠款校园零星修理校园文化建设及晋级升一级二等项目等补助资金530,274.00元，主要用于支付新校区教学教研用房工程、工程欠款校园零星修理校园文化建设及晋级升一级二等项目等支出。</w:t>
      </w:r>
    </w:p>
    <w:p w14:paraId="755A8327">
      <w:pPr>
        <w:pStyle w:val="5"/>
        <w:keepNext w:val="0"/>
        <w:keepLines w:val="0"/>
        <w:widowControl/>
        <w:suppressLineNumbers w:val="0"/>
        <w:spacing w:before="105" w:beforeAutospacing="0" w:after="105" w:afterAutospacing="0" w:line="600" w:lineRule="atLeast"/>
        <w:ind w:left="0" w:right="0" w:firstLine="600"/>
      </w:pPr>
      <w:r>
        <w:rPr>
          <w:rFonts w:hint="eastAsia" w:ascii="黑体" w:hAnsi="宋体" w:eastAsia="黑体" w:cs="黑体"/>
          <w:sz w:val="30"/>
          <w:szCs w:val="30"/>
        </w:rPr>
        <w:t>三、一般公共预算财政拨款支出决算情况说明</w:t>
      </w:r>
    </w:p>
    <w:p w14:paraId="63237672">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（一）一般公共预算财政拨款支出决算总体情况</w:t>
      </w:r>
    </w:p>
    <w:p w14:paraId="1A3036A2">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云南省通海县第一中学2024年度一般公共预算财政拨款支出30,427,188.87元,占本年支出合计的93.50%。与上年相比增加1,076,109.88元，增长3.67%,完成年初预算的75.91%。</w:t>
      </w:r>
    </w:p>
    <w:p w14:paraId="525F5C64">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（二）一般公共预算财政拨款支出决算分功能分类科目情况</w:t>
      </w:r>
    </w:p>
    <w:p w14:paraId="6A93C03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1.一般公共服务（类）支出无支出,年初无此项预算。</w:t>
      </w:r>
    </w:p>
    <w:p w14:paraId="5590E298">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2.外交（类）支出无支出,年初无此项预算。</w:t>
      </w:r>
    </w:p>
    <w:p w14:paraId="7844323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3.国防（类）支出无支出,年初无此项预算。</w:t>
      </w:r>
    </w:p>
    <w:p w14:paraId="2230211A">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4.公共安全（类）支出无支出,年初无此项预算。</w:t>
      </w:r>
    </w:p>
    <w:p w14:paraId="4ABA05E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5.教育（类）支出22,053,560.13元，占一般公共预算财政拨款总支出的72.48%,完成年初预算的74.72%。主要用于教育事务，人员工资、办公经费、困难学生补助等；造成预决算差异的主要原因是预算编制的静态预估与实际执行的动态变量不匹配。</w:t>
      </w:r>
    </w:p>
    <w:p w14:paraId="36A67FCA">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6.科学技术（类）支出无支出,年初无此项预算。</w:t>
      </w:r>
    </w:p>
    <w:p w14:paraId="325E8114">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7.文化旅游体育与传媒（类）支出无支出,年初无此项预算。</w:t>
      </w:r>
    </w:p>
    <w:p w14:paraId="36653D6C">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8.社会保障和就业（类）支出3,911,858.48元，占一般公共预算财政拨款总支出的12.86%,完成年初预算的83.59%。主要用于各种社会保险；造成预决算差异的主要原因是社会保险缴费的计算依据、实际执行中的人员变化。</w:t>
      </w:r>
    </w:p>
    <w:p w14:paraId="5BBDBEE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9.卫生健康（类）支出2,932,196.26元，占一般公共预算财政拨款总支出的9.64%,完成年初预算的91.28%。主要用于行政事业单位医疗补助；造成预决算差异的主要原因是参保人员与缴费基数的实际变动。</w:t>
      </w:r>
    </w:p>
    <w:p w14:paraId="202806F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10.节能环保（类）支出无支出,年初无此项预算。</w:t>
      </w:r>
    </w:p>
    <w:p w14:paraId="1CA9BAD5">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11.城乡社区（类）支出无支出,年初无此项预算。</w:t>
      </w:r>
    </w:p>
    <w:p w14:paraId="35ECED1C">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12.农林水（类）支出无支出,年初无此项预算。</w:t>
      </w:r>
    </w:p>
    <w:p w14:paraId="4F0BB498">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13.交通运输（类）支出无支出,年初无此项预算。</w:t>
      </w:r>
    </w:p>
    <w:p w14:paraId="174A436A">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14.资源勘探工业信息等（类）支出无支出,年初无此项预算。</w:t>
      </w:r>
    </w:p>
    <w:p w14:paraId="679A91E4">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15.商业服务业等（类）支出无支出,年初无此项预算。</w:t>
      </w:r>
    </w:p>
    <w:p w14:paraId="34AF62C9">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16.金融（类）支出无支出,年初无此项预算。</w:t>
      </w:r>
    </w:p>
    <w:p w14:paraId="66720A1F">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17.援助其他地区（类）支出无支出,年初无此项预算。</w:t>
      </w:r>
    </w:p>
    <w:p w14:paraId="68B4EF7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18.自然资源海洋气象等（类）支出无支出,年初无此项预算。</w:t>
      </w:r>
    </w:p>
    <w:p w14:paraId="38ACDB49">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19.住房保障（类）支出1,529,574.00元，占一般公共预算财政拨款总支出的5.03%,完成年初预算的57.08%。主要用于住房公积金和购房补贴；造成预决算差异的主要原因是人数的变动，基数的调整。</w:t>
      </w:r>
    </w:p>
    <w:p w14:paraId="7C631EB1">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20.粮油物资储备（类）支出无支出,年初无此项预算。</w:t>
      </w:r>
    </w:p>
    <w:p w14:paraId="1CEE21F4">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21.国有资本经营预算（类）支出无支出,年初无此项预算。</w:t>
      </w:r>
    </w:p>
    <w:p w14:paraId="645725A1">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22.灾害防治及应急管理（类）支出无支出,年初无此项预算。</w:t>
      </w:r>
    </w:p>
    <w:p w14:paraId="79D43C3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23.其他（类）支出无支出,年初无此项预算。</w:t>
      </w:r>
    </w:p>
    <w:p w14:paraId="2A753410">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24.债务还本（类）支出无支出,年初无此项预算。</w:t>
      </w:r>
    </w:p>
    <w:p w14:paraId="0A7C33E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25.债务付息（类）支出无支出,年初无此项预算。</w:t>
      </w:r>
    </w:p>
    <w:p w14:paraId="249231F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26.抗疫特别国债安排（类）支出无支出,年初无此项预算。</w:t>
      </w:r>
    </w:p>
    <w:p w14:paraId="3665F129">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四、财政拨款“三公”经费支出决算情况说明</w:t>
      </w:r>
    </w:p>
    <w:p w14:paraId="5D067892">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（​一）总体情况</w:t>
      </w:r>
    </w:p>
    <w:p w14:paraId="390CBD80">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2024年度财政拨款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经费支出决算中，财政拨款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经费支出年初预算为0.00元，决算为0.00元；支出决算较上年增加0.00元，上年无此项支出。</w:t>
      </w:r>
    </w:p>
    <w:p w14:paraId="417FAB78">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因公出国（境）费支出年初预算为0.00元，决算为0.00元，占财政拨款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经费总支出决算的0.00%；公务用车购置费支出年初预算为0.00元，决算为0.00元，占财政拨款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经费总支出决算的0.00%；公务用车运行维护费支出年初预算为0.00元，决算为0.00元，占财政拨款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经费总支出决算的0.00%；公务接待费支出年初预算为0.00元，决算为0.00元，占财政拨款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w:t>
      </w:r>
    </w:p>
    <w:p w14:paraId="00EDC72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因公出国（境）费支出决算较上年增加0.00元，上年无此项支出；公务用车购置费支出决算较上年增加0.00元，上年无此项支出；公务用车运行维护费支出决算较上年增加0.00元，上年无此项支出；公务接待费支出决算较上年增加0.00元，上年无此项支出；具体是国内接待费支出决算0.00元（其中：外事接待费支出决算0.00元），较上年增加0.00元，上年无此项支出；国（境）外接待费支出决算0.00元较上年增加0.00元，上年无此项支出。</w:t>
      </w:r>
    </w:p>
    <w:p w14:paraId="52B3D0E5">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（二）一般公共预算财政拨款“三公”经费支出决算情况说明</w:t>
      </w:r>
    </w:p>
    <w:p w14:paraId="11097CBD">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2024年度一般公共预算财政拨款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经费支出年初预算为0.00元，支出决算为0.00元，支出决算较上年增加0.00元，上年无此项支出。</w:t>
      </w:r>
    </w:p>
    <w:p w14:paraId="30CA241B">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中：因公出国（境）费支出年初预算为0.00元，决算为0.00元；公务用车购置费支出年初预算为0.00元，决算为0.00元；公务用车运行维护费支出年初预算为0.00元，决算为0.00元；公务接待费支出年初预算为0.00元，决算为0.00元。2024年度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经费支出决算数和年初预算数均为0.00元。</w:t>
      </w:r>
    </w:p>
    <w:p w14:paraId="76B51E10">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中：因公出国（境）费支出决算增加0.00元，上年无此项支出；公务用车购置费支出决算增加0.00元，上年无此项支出；公务用车运行维护费支出决算增加0.00元，上年无此项支出；公务接待费支出决算增加0.00元，上年无此项支出，具体是国内接待费支出决算0.00元（其中：外事接待费支出决算0.00元），较上年增加0.00元，上年无此项支出；国（境）外接待费支出决算0.00元较上年增加0.00元，上年无此项支出。2024年度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经费支出决算与上年对比无变化。</w:t>
      </w:r>
    </w:p>
    <w:p w14:paraId="75A70CA6">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经费支出实物量的具体情况：</w:t>
      </w:r>
    </w:p>
    <w:p w14:paraId="610AAAB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1.安排因公出国（境）团组0个，累计0人次。</w:t>
      </w:r>
    </w:p>
    <w:p w14:paraId="7C329E47">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2.购置车辆0辆。开支一般公共预算财政拨款的公务用车保有量为0辆。</w:t>
      </w:r>
    </w:p>
    <w:p w14:paraId="21C3949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3.安排国内公务接待0批次（其中：外事接待0批次），接待人次0人（其中：外事接待人次0人）。安排国（境）外公务接待0批次，接待人次0人。</w:t>
      </w:r>
    </w:p>
    <w:p w14:paraId="52DC7401">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（三）需要说明的事项</w:t>
      </w:r>
    </w:p>
    <w:p w14:paraId="0729BE6F">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不存在需要说明的事项。</w:t>
      </w:r>
    </w:p>
    <w:p w14:paraId="75BF3D60">
      <w:pPr>
        <w:pStyle w:val="5"/>
        <w:keepNext w:val="0"/>
        <w:keepLines w:val="0"/>
        <w:widowControl/>
        <w:suppressLineNumbers w:val="0"/>
        <w:spacing w:before="105" w:beforeAutospacing="0" w:after="105" w:afterAutospacing="0" w:line="360" w:lineRule="atLeast"/>
        <w:ind w:left="0" w:right="0" w:firstLine="600"/>
      </w:pPr>
    </w:p>
    <w:p w14:paraId="57641D07">
      <w:pPr>
        <w:pStyle w:val="5"/>
        <w:keepNext w:val="0"/>
        <w:keepLines w:val="0"/>
        <w:widowControl/>
        <w:suppressLineNumbers w:val="0"/>
        <w:spacing w:before="105" w:beforeAutospacing="0" w:after="105" w:afterAutospacing="0" w:line="360" w:lineRule="atLeast"/>
        <w:ind w:left="0" w:right="0" w:firstLine="645"/>
        <w:jc w:val="center"/>
      </w:pPr>
      <w:r>
        <w:rPr>
          <w:rFonts w:hint="eastAsia" w:ascii="黑体" w:hAnsi="宋体" w:eastAsia="黑体" w:cs="黑体"/>
          <w:sz w:val="31"/>
          <w:szCs w:val="31"/>
        </w:rPr>
        <w:t>第四部分</w:t>
      </w:r>
      <w:r>
        <w:rPr>
          <w:rFonts w:hint="eastAsia" w:ascii="宋体" w:hAnsi="宋体" w:eastAsia="宋体" w:cs="宋体"/>
          <w:sz w:val="31"/>
          <w:szCs w:val="31"/>
        </w:rPr>
        <w:t>  </w:t>
      </w:r>
      <w:r>
        <w:rPr>
          <w:rFonts w:hint="eastAsia" w:ascii="黑体" w:hAnsi="宋体" w:eastAsia="黑体" w:cs="黑体"/>
          <w:sz w:val="31"/>
          <w:szCs w:val="31"/>
        </w:rPr>
        <w:t>其他重要事项及相关口径情况说明</w:t>
      </w:r>
    </w:p>
    <w:p w14:paraId="0987D864">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一、机关运行经费支出情况</w:t>
      </w:r>
    </w:p>
    <w:p w14:paraId="3D4B46B5">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云南省通海县第一中学2024年机关运行经费支出0.00元，比上年增加0.00元，增长0.00%,主要原因是我单位是全额拨款事业单位，无机关运行经费。</w:t>
      </w:r>
    </w:p>
    <w:p w14:paraId="2999DB6D">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二、国有资产占用情况</w:t>
      </w:r>
    </w:p>
    <w:p w14:paraId="56B46548">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截至2024年末，云南省通海县第一中学资产总额49,429,443.10元，其中，流动资产6,031,782.08元，固定资产43,129,883.34元（净值），对外投资及有价证券0.00元，在建工程0.00元，无形资产130,740.73元（净值），其他资产0.00元（净值）（具体内容详见附表）。与上年相比，本年资产总额减少1,839,495.97元，其中固定资产减少341,842.61元。处置房屋建筑物1100平方米，账面原值451,079.70元；处置车辆0辆，账面原值0.00元；报废报损资产1250项，账面原值700,542.77元，实现资产处置收入56,580.00元；出租房屋0平方米，账面原值0.00元，实现资产使用收入0.00元。</w:t>
      </w:r>
    </w:p>
    <w:p w14:paraId="0A48C7B2">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（国有资产占有使用情况表详见附表）</w:t>
      </w:r>
    </w:p>
    <w:p w14:paraId="053F506C">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三、政府采购支出情况</w:t>
      </w:r>
    </w:p>
    <w:p w14:paraId="5AE2B065">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2024年度，单位政府采购支出总额101,299.67元，其中：政府采购货物支出0.00元；政府采购工程支出0.00元；政府采购服务支出101,299.67元。授予中小企业合同金额101,299.67元，其中：授予小微企业合同金额101,299.67元。</w:t>
      </w:r>
    </w:p>
    <w:p w14:paraId="31F66150">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四、单位绩效自评情况</w:t>
      </w:r>
    </w:p>
    <w:p w14:paraId="5AB6D23C">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单位绩效自评情况详见附表。</w:t>
      </w:r>
    </w:p>
    <w:p w14:paraId="6A158287">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五、其他重要事项情况说明</w:t>
      </w:r>
    </w:p>
    <w:p w14:paraId="7D31F0D9">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无。</w:t>
      </w:r>
    </w:p>
    <w:p w14:paraId="5BAFE372">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六、相关口径说明</w:t>
      </w:r>
    </w:p>
    <w:p w14:paraId="743231DE">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（一）基本支出中人员经费包括工资福利支出和对个人和家庭的补助，公用经费包括商品和服务支出、资本性支出等人员经费以外的支出。</w:t>
      </w:r>
    </w:p>
    <w:p w14:paraId="151BC970">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（二）机关运行经费指行政单位和参照公务员法管理的事业单位使用一般公共预算财政拨款安排的基本支出中的公用经费支出。</w:t>
      </w:r>
    </w:p>
    <w:p w14:paraId="3FC60C48">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（三）按照党中央、国务院有关文件及部门预算管理有关规定，</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经费相关数据是一般公共预算、政府性基金及国有资本经营预算财政拨款支出的相关经费，不含非财政拨款部分。</w:t>
      </w:r>
    </w:p>
    <w:p w14:paraId="5F734435">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（四）本文所称财政拨款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经费决算数是指各部门（含下属单位）或单位当年通过本级财政拨款和以前年度财政拨款结转结余资金安排的因公出国（境）费、公务用车购置及运行维护费和公务接待费支出数（包括基本支出和项目支出）。</w:t>
      </w:r>
    </w:p>
    <w:p w14:paraId="3B66D83B">
      <w:pPr>
        <w:pStyle w:val="5"/>
        <w:keepNext w:val="0"/>
        <w:keepLines w:val="0"/>
        <w:widowControl/>
        <w:suppressLineNumbers w:val="0"/>
        <w:spacing w:before="75" w:beforeAutospacing="0" w:after="75" w:afterAutospacing="0"/>
        <w:ind w:left="0" w:right="0" w:firstLine="600"/>
      </w:pPr>
      <w:r>
        <w:rPr>
          <w:rFonts w:hint="default" w:ascii="Times New Roman" w:hAnsi="Times New Roman" w:cs="Times New Roman"/>
          <w:sz w:val="24"/>
          <w:szCs w:val="24"/>
        </w:rPr>
        <w:t> </w:t>
      </w:r>
    </w:p>
    <w:p w14:paraId="1087AC78">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第五部分</w:t>
      </w:r>
      <w:r>
        <w:rPr>
          <w:rFonts w:hint="eastAsia" w:ascii="宋体" w:hAnsi="宋体" w:eastAsia="宋体" w:cs="宋体"/>
          <w:sz w:val="31"/>
          <w:szCs w:val="31"/>
        </w:rPr>
        <w:t>  </w:t>
      </w:r>
      <w:r>
        <w:rPr>
          <w:rFonts w:hint="eastAsia" w:ascii="黑体" w:hAnsi="宋体" w:eastAsia="黑体" w:cs="黑体"/>
          <w:sz w:val="31"/>
          <w:szCs w:val="31"/>
        </w:rPr>
        <w:t>名词解释</w:t>
      </w:r>
    </w:p>
    <w:p w14:paraId="10AB4BE8">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23FB6A2">
      <w:pPr>
        <w:pStyle w:val="5"/>
        <w:keepNext w:val="0"/>
        <w:keepLines w:val="0"/>
        <w:widowControl/>
        <w:suppressLineNumbers w:val="0"/>
        <w:spacing w:before="75" w:beforeAutospacing="0" w:after="75" w:afterAutospacing="0"/>
        <w:ind w:left="0" w:right="0"/>
      </w:pPr>
      <w:r>
        <w:rPr>
          <w:rStyle w:val="9"/>
          <w:rFonts w:hint="eastAsia" w:ascii="宋体" w:hAnsi="宋体" w:eastAsia="宋体" w:cs="宋体"/>
          <w:sz w:val="36"/>
          <w:szCs w:val="36"/>
        </w:rPr>
        <w:t>监督索引号</w:t>
      </w:r>
      <w:r>
        <w:rPr>
          <w:rStyle w:val="9"/>
          <w:rFonts w:hint="default" w:ascii="Arial" w:hAnsi="Arial" w:cs="Arial"/>
          <w:sz w:val="36"/>
          <w:szCs w:val="36"/>
        </w:rPr>
        <w:t>53042300136000401111</w:t>
      </w:r>
    </w:p>
    <w:p w14:paraId="72853D52">
      <w:pPr>
        <w:pStyle w:val="5"/>
        <w:keepNext w:val="0"/>
        <w:keepLines w:val="0"/>
        <w:widowControl/>
        <w:suppressLineNumbers w:val="0"/>
        <w:spacing w:before="75" w:beforeAutospacing="0" w:after="75" w:afterAutospacing="0"/>
        <w:ind w:left="0" w:right="0"/>
      </w:pPr>
      <w:r>
        <w:rPr>
          <w:rFonts w:hint="default" w:ascii="Times New Roman" w:hAnsi="Times New Roman" w:cs="Times New Roman"/>
          <w:sz w:val="24"/>
          <w:szCs w:val="24"/>
        </w:rPr>
        <w:t> </w:t>
      </w:r>
    </w:p>
    <w:p w14:paraId="7C26BF1E">
      <w:pPr>
        <w:pStyle w:val="5"/>
        <w:keepNext w:val="0"/>
        <w:keepLines w:val="0"/>
        <w:widowControl/>
        <w:suppressLineNumbers w:val="0"/>
        <w:spacing w:before="75" w:beforeAutospacing="0" w:after="75" w:afterAutospacing="0"/>
        <w:ind w:left="0" w:right="0"/>
      </w:pPr>
      <w:r>
        <w:rPr>
          <w:rStyle w:val="9"/>
          <w:rFonts w:hint="default" w:ascii="Arial" w:hAnsi="Arial" w:cs="Arial"/>
          <w:sz w:val="36"/>
          <w:szCs w:val="36"/>
        </w:rPr>
        <w:t> </w:t>
      </w:r>
    </w:p>
    <w:p w14:paraId="6EC14F20">
      <w:pPr>
        <w:pStyle w:val="5"/>
        <w:keepNext w:val="0"/>
        <w:keepLines w:val="0"/>
        <w:widowControl/>
        <w:suppressLineNumbers w:val="0"/>
        <w:spacing w:before="75" w:beforeAutospacing="0" w:after="75" w:afterAutospacing="0"/>
        <w:ind w:left="0" w:right="0"/>
      </w:pPr>
    </w:p>
    <w:p w14:paraId="53EDB4E3">
      <w:pPr>
        <w:rPr>
          <w:rFonts w:ascii="Arial" w:hAnsi="Arial" w:eastAsia="Arial" w:cs="Arial"/>
          <w:b/>
          <w:sz w:val="36"/>
        </w:rPr>
      </w:pPr>
      <w:bookmarkStart w:id="0" w:name="_GoBack"/>
      <w:bookmarkEnd w:id="0"/>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9EE2">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AE271A">
                          <w:pPr>
                            <w:pStyle w:val="3"/>
                            <w:rPr>
                              <w:rStyle w:val="10"/>
                            </w:rPr>
                          </w:pPr>
                          <w:r>
                            <w:rPr>
                              <w:rStyle w:val="10"/>
                            </w:rPr>
                            <w:fldChar w:fldCharType="begin"/>
                          </w:r>
                          <w:r>
                            <w:rPr>
                              <w:rStyle w:val="10"/>
                              <w:sz w:val="28"/>
                              <w:szCs w:val="28"/>
                            </w:rPr>
                            <w:instrText xml:space="preserve">PAGE  </w:instrText>
                          </w:r>
                          <w:r>
                            <w:rPr>
                              <w:sz w:val="28"/>
                              <w:szCs w:val="28"/>
                            </w:rPr>
                            <w:fldChar w:fldCharType="separate"/>
                          </w:r>
                          <w:r>
                            <w:rPr>
                              <w:rStyle w:val="10"/>
                              <w:sz w:val="28"/>
                              <w:szCs w:val="28"/>
                            </w:rPr>
                            <w:t>- 14 -</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BAE271A">
                    <w:pPr>
                      <w:pStyle w:val="3"/>
                      <w:rPr>
                        <w:rStyle w:val="10"/>
                      </w:rPr>
                    </w:pPr>
                    <w:r>
                      <w:rPr>
                        <w:rStyle w:val="10"/>
                      </w:rPr>
                      <w:fldChar w:fldCharType="begin"/>
                    </w:r>
                    <w:r>
                      <w:rPr>
                        <w:rStyle w:val="10"/>
                        <w:sz w:val="28"/>
                        <w:szCs w:val="28"/>
                      </w:rPr>
                      <w:instrText xml:space="preserve">PAGE  </w:instrText>
                    </w:r>
                    <w:r>
                      <w:rPr>
                        <w:sz w:val="28"/>
                        <w:szCs w:val="28"/>
                      </w:rPr>
                      <w:fldChar w:fldCharType="separate"/>
                    </w:r>
                    <w:r>
                      <w:rPr>
                        <w:rStyle w:val="10"/>
                        <w:sz w:val="28"/>
                        <w:szCs w:val="28"/>
                      </w:rPr>
                      <w:t>- 14 -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9E22">
    <w:pPr>
      <w:pStyle w:val="3"/>
      <w:framePr w:wrap="around" w:vAnchor="text" w:hAnchor="margin" w:xAlign="center" w:y="1"/>
      <w:rPr>
        <w:rStyle w:val="10"/>
      </w:rPr>
    </w:pPr>
    <w:r>
      <w:rPr>
        <w:rStyle w:val="10"/>
      </w:rPr>
      <w:fldChar w:fldCharType="begin"/>
    </w:r>
    <w:r>
      <w:rPr>
        <w:rStyle w:val="10"/>
      </w:rPr>
      <w:instrText xml:space="preserve">PAGE  </w:instrText>
    </w:r>
    <w:r>
      <w:fldChar w:fldCharType="end"/>
    </w:r>
  </w:p>
  <w:p w14:paraId="2C46DC3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6B3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CF"/>
    <w:rsid w:val="00004E2F"/>
    <w:rsid w:val="000A50B4"/>
    <w:rsid w:val="0013625F"/>
    <w:rsid w:val="001562CA"/>
    <w:rsid w:val="001862D5"/>
    <w:rsid w:val="001A3D9E"/>
    <w:rsid w:val="002A304A"/>
    <w:rsid w:val="002F17F2"/>
    <w:rsid w:val="004E4BFF"/>
    <w:rsid w:val="004F3B27"/>
    <w:rsid w:val="004F4338"/>
    <w:rsid w:val="004F71DC"/>
    <w:rsid w:val="00535461"/>
    <w:rsid w:val="005652B2"/>
    <w:rsid w:val="00601552"/>
    <w:rsid w:val="0065527D"/>
    <w:rsid w:val="007414CF"/>
    <w:rsid w:val="0077209C"/>
    <w:rsid w:val="007978AC"/>
    <w:rsid w:val="007B10A6"/>
    <w:rsid w:val="007E35DB"/>
    <w:rsid w:val="00894386"/>
    <w:rsid w:val="00894B24"/>
    <w:rsid w:val="008B54D8"/>
    <w:rsid w:val="009C2145"/>
    <w:rsid w:val="00AC5087"/>
    <w:rsid w:val="00B005EB"/>
    <w:rsid w:val="00B15A76"/>
    <w:rsid w:val="00B44702"/>
    <w:rsid w:val="00B8009C"/>
    <w:rsid w:val="00D419B3"/>
    <w:rsid w:val="00F86CED"/>
    <w:rsid w:val="00FA3A1F"/>
    <w:rsid w:val="2A600150"/>
    <w:rsid w:val="440E77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kern w:val="0"/>
      <w:sz w:val="24"/>
    </w:rPr>
  </w:style>
  <w:style w:type="table" w:styleId="7">
    <w:name w:val="Table Grid"/>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1AA7B-1E2A-4024-BCB0-C158BDBC4D2A}">
  <ds:schemaRefs/>
</ds:datastoreItem>
</file>

<file path=customXml/itemProps3.xml><?xml version="1.0" encoding="utf-8"?>
<ds:datastoreItem xmlns:ds="http://schemas.openxmlformats.org/officeDocument/2006/customXml" ds:itemID="{1DA01A22-367F-47EF-ADA9-C20E7F51A377}">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25</Pages>
  <Words>11368</Words>
  <Characters>12556</Characters>
  <Lines>90</Lines>
  <Paragraphs>25</Paragraphs>
  <TotalTime>2</TotalTime>
  <ScaleCrop>false</ScaleCrop>
  <LinksUpToDate>false</LinksUpToDate>
  <CharactersWithSpaces>12588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2025-09-30T01:41:00Z</dcterms:created>
  <dc:creator>李瑞婷(拟稿)</dc:creator>
  <cp:lastModifiedBy>会飞的鱼</cp:lastModifiedBy>
  <cp:lastPrinted>2024-07-30T06:24:00Z</cp:lastPrinted>
  <dcterms:modified xsi:type="dcterms:W3CDTF">2025-09-30T03:24:54Z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eyJoZGlkIjoiOTMwZjBhOGU4ZGY1YmEwNzU2ZTZhZGYxODExMWY4MTYiLCJ1c2VySWQiOiIxMTQ4MzEyMDA4In0=</vt:lpwstr>
  </property>
  <property fmtid="{D5CDD505-2E9C-101B-9397-08002B2CF9AE}" pid="4" name="ICV">
    <vt:lpwstr>2A6DBAC6955A4B63AD866B0EFE7BBDA1_12</vt:lpwstr>
  </property>
</Properties>
</file>