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D88C7">
      <w:pPr>
        <w:rPr>
          <w:rFonts w:ascii="Arial" w:hAnsi="Arial" w:eastAsia="Arial" w:cs="Arial"/>
          <w:b/>
          <w:sz w:val="36"/>
        </w:rPr>
      </w:pPr>
      <w:r>
        <w:rPr>
          <w:rFonts w:ascii="Arial" w:hAnsi="Arial" w:eastAsia="Arial" w:cs="Arial"/>
          <w:b/>
          <w:sz w:val="36"/>
        </w:rPr>
        <w:t>监督索引号53042300136001801000</w:t>
      </w:r>
    </w:p>
    <w:p w14:paraId="6E758CA6">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通海县兴蒙中心小学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E8B50DD">
      <w:pPr>
        <w:jc w:val="center"/>
        <w:rPr>
          <w:rFonts w:hint="eastAsia" w:ascii="方正小标宋简体" w:hAnsi="方正小标宋简体" w:eastAsia="方正小标宋简体" w:cs="方正小标宋简体"/>
          <w:sz w:val="36"/>
          <w:szCs w:val="36"/>
          <w:highlight w:val="none"/>
        </w:rPr>
      </w:pPr>
    </w:p>
    <w:p w14:paraId="2D0FF199">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DA356D6">
      <w:pPr>
        <w:jc w:val="left"/>
        <w:rPr>
          <w:rFonts w:hint="eastAsia" w:ascii="黑体" w:hAnsi="黑体" w:eastAsia="黑体"/>
          <w:sz w:val="30"/>
          <w:szCs w:val="30"/>
          <w:highlight w:val="none"/>
        </w:rPr>
      </w:pPr>
    </w:p>
    <w:p w14:paraId="0673A38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0989BDF6">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24698FA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7FF49D3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1BF41DB">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209065D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84549A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6366DE9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268F37C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5554373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7F3B3F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17AF03DD">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12FBEF8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3A980C4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1CEF3BB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DFF998C">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2FA7EF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07AEEC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3B97C3D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6B8E376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097ACCC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D33D6D7">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312126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6533302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7DC5AA3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E7776A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2F8E1F5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700300C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40747E8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0B63BE5">
      <w:pPr>
        <w:jc w:val="center"/>
        <w:rPr>
          <w:rFonts w:hint="eastAsia" w:ascii="黑体" w:hAnsi="黑体" w:eastAsia="黑体"/>
          <w:sz w:val="32"/>
          <w:szCs w:val="32"/>
          <w:highlight w:val="none"/>
        </w:rPr>
      </w:pPr>
    </w:p>
    <w:p w14:paraId="33ADE3F5">
      <w:pPr>
        <w:jc w:val="center"/>
        <w:rPr>
          <w:rFonts w:hint="eastAsia" w:ascii="黑体" w:hAnsi="黑体" w:eastAsia="黑体"/>
          <w:sz w:val="32"/>
          <w:szCs w:val="32"/>
          <w:highlight w:val="none"/>
        </w:rPr>
      </w:pPr>
    </w:p>
    <w:p w14:paraId="05608BAB">
      <w:pPr>
        <w:jc w:val="center"/>
        <w:rPr>
          <w:rFonts w:hint="eastAsia" w:ascii="黑体" w:hAnsi="黑体" w:eastAsia="黑体"/>
          <w:sz w:val="32"/>
          <w:szCs w:val="32"/>
          <w:highlight w:val="none"/>
        </w:rPr>
      </w:pPr>
    </w:p>
    <w:p w14:paraId="12ADCE88">
      <w:pPr>
        <w:jc w:val="center"/>
        <w:rPr>
          <w:rFonts w:hint="eastAsia" w:ascii="黑体" w:hAnsi="黑体" w:eastAsia="黑体"/>
          <w:sz w:val="32"/>
          <w:szCs w:val="32"/>
          <w:highlight w:val="none"/>
        </w:rPr>
      </w:pPr>
    </w:p>
    <w:p w14:paraId="1F6FC1C6">
      <w:pPr>
        <w:jc w:val="center"/>
        <w:rPr>
          <w:rFonts w:hint="eastAsia" w:ascii="黑体" w:hAnsi="黑体" w:eastAsia="黑体"/>
          <w:sz w:val="32"/>
          <w:szCs w:val="32"/>
          <w:highlight w:val="none"/>
        </w:rPr>
      </w:pPr>
    </w:p>
    <w:p w14:paraId="5A52921D">
      <w:pPr>
        <w:jc w:val="center"/>
        <w:rPr>
          <w:rFonts w:hint="eastAsia" w:ascii="黑体" w:hAnsi="黑体" w:eastAsia="黑体"/>
          <w:sz w:val="32"/>
          <w:szCs w:val="32"/>
          <w:highlight w:val="none"/>
        </w:rPr>
      </w:pPr>
    </w:p>
    <w:p w14:paraId="20E7B478">
      <w:pPr>
        <w:jc w:val="center"/>
        <w:rPr>
          <w:rFonts w:hint="eastAsia" w:ascii="黑体" w:hAnsi="黑体" w:eastAsia="黑体"/>
          <w:sz w:val="32"/>
          <w:szCs w:val="32"/>
          <w:highlight w:val="none"/>
        </w:rPr>
      </w:pPr>
    </w:p>
    <w:p w14:paraId="0BCEF243">
      <w:pPr>
        <w:jc w:val="both"/>
        <w:rPr>
          <w:rFonts w:hint="eastAsia" w:ascii="黑体" w:hAnsi="黑体" w:eastAsia="黑体"/>
          <w:sz w:val="32"/>
          <w:szCs w:val="32"/>
          <w:highlight w:val="none"/>
        </w:rPr>
      </w:pPr>
    </w:p>
    <w:p w14:paraId="0EFA142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408B87F5">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2F7BCB79">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Times New Roman"/>
          <w:sz w:val="30"/>
          <w:lang w:val="zh-CN"/>
        </w:rPr>
      </w:pPr>
      <w:r>
        <w:rPr>
          <w:rFonts w:hint="eastAsia" w:ascii="楷体" w:hAnsi="楷体" w:eastAsia="楷体"/>
          <w:sz w:val="30"/>
          <w:lang w:val="zh-CN"/>
        </w:rPr>
        <w:t>（一）主要职能</w:t>
      </w:r>
    </w:p>
    <w:p w14:paraId="21E61AF1">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rPr>
      </w:pPr>
      <w:r>
        <w:rPr>
          <w:rFonts w:hint="eastAsia" w:ascii="仿宋" w:hAnsi="仿宋" w:eastAsia="仿宋"/>
          <w:color w:val="auto"/>
          <w:sz w:val="30"/>
          <w:lang w:val="en-US"/>
        </w:rPr>
        <w:t>1</w:t>
      </w:r>
      <w:r>
        <w:rPr>
          <w:rFonts w:hint="eastAsia" w:ascii="仿宋" w:hAnsi="仿宋" w:eastAsia="仿宋"/>
          <w:color w:val="auto"/>
          <w:sz w:val="30"/>
          <w:lang w:val="en-US" w:eastAsia="zh-CN"/>
        </w:rPr>
        <w:t>.贯彻执行党和国家教育体育工作方针政策和法律法规，拟订通海县兴蒙中心小学工作的规章制度，并组织实施。</w:t>
      </w:r>
    </w:p>
    <w:p w14:paraId="21AF46D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rPr>
      </w:pPr>
      <w:r>
        <w:rPr>
          <w:rFonts w:hint="eastAsia" w:ascii="仿宋" w:hAnsi="仿宋" w:eastAsia="仿宋"/>
          <w:color w:val="auto"/>
          <w:sz w:val="30"/>
          <w:lang w:val="en-US"/>
        </w:rPr>
        <w:t>2</w:t>
      </w:r>
      <w:r>
        <w:rPr>
          <w:rFonts w:hint="eastAsia" w:ascii="仿宋" w:hAnsi="仿宋" w:eastAsia="仿宋"/>
          <w:color w:val="auto"/>
          <w:sz w:val="30"/>
          <w:lang w:val="en-US" w:eastAsia="zh-CN"/>
        </w:rPr>
        <w:t>.管理通海县兴蒙中心小学经费，会同教育体育局拟订经费筹措、拨款、基建投资、专项经费的办理经费的安排和使用情况；负责校（园）国有资产管理，会同有关部门教育收费标准的执行；实施家庭困难学生资助工作。</w:t>
      </w:r>
    </w:p>
    <w:p w14:paraId="19FCC00B">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rPr>
        <w:t>3</w:t>
      </w:r>
      <w:r>
        <w:rPr>
          <w:rFonts w:hint="eastAsia" w:ascii="仿宋" w:hAnsi="仿宋" w:eastAsia="仿宋"/>
          <w:color w:val="auto"/>
          <w:sz w:val="30"/>
          <w:lang w:val="en-US" w:eastAsia="zh-CN"/>
        </w:rPr>
        <w:t>.拟订通海县兴蒙中心小学改革方案、中长期发展规划和年度计划；拟订通海县兴蒙中心小学教师队伍建设规划；统筹规划教师培训和继续教育工作。</w:t>
      </w:r>
    </w:p>
    <w:p w14:paraId="41140AAE">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rPr>
      </w:pPr>
      <w:r>
        <w:rPr>
          <w:rFonts w:hint="eastAsia" w:ascii="仿宋" w:hAnsi="仿宋" w:eastAsia="仿宋"/>
          <w:color w:val="auto"/>
          <w:sz w:val="30"/>
          <w:lang w:val="en-US"/>
        </w:rPr>
        <w:t>4</w:t>
      </w:r>
      <w:r>
        <w:rPr>
          <w:rFonts w:hint="eastAsia" w:ascii="仿宋" w:hAnsi="仿宋" w:eastAsia="仿宋"/>
          <w:color w:val="auto"/>
          <w:sz w:val="30"/>
          <w:lang w:val="en-US" w:eastAsia="zh-CN"/>
        </w:rPr>
        <w:t>.管理和指导学前教育、义务教育开展教育教学、办学体制。</w:t>
      </w:r>
    </w:p>
    <w:p w14:paraId="3436B46C">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rPr>
      </w:pPr>
      <w:r>
        <w:rPr>
          <w:rFonts w:hint="eastAsia" w:ascii="仿宋" w:hAnsi="仿宋" w:eastAsia="仿宋"/>
          <w:color w:val="auto"/>
          <w:sz w:val="30"/>
          <w:lang w:val="en-US"/>
        </w:rPr>
        <w:t>5</w:t>
      </w:r>
      <w:r>
        <w:rPr>
          <w:rFonts w:hint="eastAsia" w:ascii="仿宋" w:hAnsi="仿宋" w:eastAsia="仿宋"/>
          <w:color w:val="auto"/>
          <w:sz w:val="30"/>
          <w:lang w:val="en-US" w:eastAsia="zh-CN"/>
        </w:rPr>
        <w:t>.指导校（园）的思想政治工作、德育工作、精神文明建设工作；统筹管理和指导学校体育、卫生健康、艺术教育、法治教育、安全教育、国防教育和禁毒防艾教育；青少年科技活动和校外教育工作。</w:t>
      </w:r>
    </w:p>
    <w:p w14:paraId="216EDA78">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rPr>
        <w:t>6</w:t>
      </w:r>
      <w:r>
        <w:rPr>
          <w:rFonts w:hint="eastAsia" w:ascii="仿宋" w:hAnsi="仿宋" w:eastAsia="仿宋"/>
          <w:color w:val="auto"/>
          <w:sz w:val="30"/>
          <w:lang w:val="en-US" w:eastAsia="zh-CN"/>
        </w:rPr>
        <w:t>.负责校（园）的安全稳定工作；负责治安综合治理和安全管理工作；做好各类应急预案及安全演练工作。</w:t>
      </w:r>
    </w:p>
    <w:p w14:paraId="23F36E0E">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3560CF5A">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205E3351">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hint="default" w:ascii="仿宋" w:hAnsi="仿宋" w:eastAsia="仿宋"/>
          <w:color w:val="auto"/>
          <w:sz w:val="30"/>
          <w:lang w:val="zh-CN" w:eastAsia="zh-CN"/>
        </w:rPr>
      </w:pPr>
      <w:r>
        <w:rPr>
          <w:rFonts w:hint="eastAsia" w:ascii="仿宋" w:hAnsi="仿宋" w:eastAsia="仿宋"/>
          <w:color w:val="auto"/>
          <w:sz w:val="30"/>
          <w:lang w:val="en-US" w:eastAsia="zh-CN"/>
        </w:rPr>
        <w:t>我单位共设置6个内设机构，包括：办公室、总务处、教务处、德育处、安全管理处、工会。</w:t>
      </w:r>
    </w:p>
    <w:p w14:paraId="78CC4804">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仿宋" w:hAnsi="仿宋" w:eastAsia="仿宋"/>
          <w:color w:val="auto"/>
          <w:sz w:val="30"/>
          <w:lang w:val="zh-CN" w:eastAsia="zh-CN"/>
        </w:rPr>
      </w:pPr>
      <w:r>
        <w:rPr>
          <w:rFonts w:hint="eastAsia" w:ascii="仿宋" w:hAnsi="仿宋" w:eastAsia="仿宋"/>
          <w:color w:val="auto"/>
          <w:sz w:val="30"/>
          <w:lang w:val="en-US" w:eastAsia="zh-CN"/>
        </w:rPr>
        <w:t>我单位为基层预算单位，无下属单位。</w:t>
      </w:r>
    </w:p>
    <w:p w14:paraId="42861ADC">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4B9BD6CF">
      <w:pPr>
        <w:spacing w:line="600" w:lineRule="exact"/>
        <w:ind w:firstLine="600" w:firstLineChars="200"/>
        <w:rPr>
          <w:rFonts w:hint="eastAsia" w:ascii="仿宋_GB2312" w:eastAsia="仿宋_GB2312"/>
          <w:sz w:val="30"/>
          <w:szCs w:val="30"/>
          <w:highlight w:val="none"/>
        </w:rPr>
      </w:pPr>
      <w:r>
        <w:rPr>
          <w:rFonts w:hint="eastAsia" w:ascii="仿宋" w:hAnsi="仿宋" w:eastAsia="仿宋"/>
          <w:color w:val="auto"/>
          <w:sz w:val="30"/>
          <w:lang w:val="zh-CN" w:eastAsia="zh-CN"/>
        </w:rPr>
        <w:t>通海县</w:t>
      </w:r>
      <w:r>
        <w:rPr>
          <w:rFonts w:hint="eastAsia" w:ascii="仿宋" w:hAnsi="仿宋" w:eastAsia="仿宋"/>
          <w:color w:val="auto"/>
          <w:sz w:val="30"/>
          <w:lang w:val="en-US" w:eastAsia="zh-CN"/>
        </w:rPr>
        <w:t>兴蒙</w:t>
      </w:r>
      <w:r>
        <w:rPr>
          <w:rFonts w:hint="eastAsia" w:ascii="仿宋" w:hAnsi="仿宋" w:eastAsia="仿宋"/>
          <w:color w:val="auto"/>
          <w:sz w:val="30"/>
          <w:lang w:val="zh-CN" w:eastAsia="zh-CN"/>
        </w:rPr>
        <w:t>中心小学</w:t>
      </w:r>
      <w:r>
        <w:rPr>
          <w:rFonts w:hint="eastAsia" w:ascii="仿宋" w:hAnsi="仿宋" w:eastAsia="仿宋"/>
          <w:color w:val="auto"/>
          <w:sz w:val="30"/>
          <w:lang w:val="en-US" w:eastAsia="zh-CN"/>
        </w:rPr>
        <w:t>作为二级预算单位纳入</w:t>
      </w:r>
      <w:r>
        <w:rPr>
          <w:rFonts w:hint="eastAsia" w:ascii="仿宋" w:hAnsi="仿宋" w:eastAsia="仿宋"/>
          <w:color w:val="auto"/>
          <w:sz w:val="30"/>
          <w:lang w:val="zh-CN" w:eastAsia="zh-CN"/>
        </w:rPr>
        <w:t>通海县教育体育局</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52A7100D">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3622669E">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21</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21</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6627F19B">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3</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3</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6E42A061">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26</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26</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330</w:t>
      </w:r>
      <w:r>
        <w:rPr>
          <w:rFonts w:hint="eastAsia" w:ascii="仿宋_GB2312" w:hAnsi="宋体" w:eastAsia="仿宋_GB2312" w:cs="Arial"/>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3</w:t>
      </w:r>
      <w:r>
        <w:rPr>
          <w:rFonts w:hint="eastAsia" w:ascii="仿宋_GB2312" w:hAnsi="宋体" w:eastAsia="仿宋_GB2312" w:cs="Arial"/>
          <w:kern w:val="0"/>
          <w:sz w:val="30"/>
          <w:szCs w:val="30"/>
          <w:highlight w:val="none"/>
          <w:lang w:val="en-US" w:eastAsia="zh-CN"/>
        </w:rPr>
        <w:t>人。</w:t>
      </w:r>
    </w:p>
    <w:p w14:paraId="69E06667">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14:paraId="211DFBC8">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2D9B960">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2024年度实际开展的具体业务活动、党务工作、深入开展创先争优活动，支部以“五个好”为要求，党员以“五个模范”为目标，做好教职工的表率作用。</w:t>
      </w:r>
    </w:p>
    <w:p w14:paraId="600AAD75">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1.认真落实《党建工作目标管理责任书》及《党风廉政建设目标责任书》，努力做好党建工作，定期召开支委会，开展民主评议党员，支部生活，积极宣传党的方针政策，做好党风廉政建设。成立了专门的党员活动室。</w:t>
      </w:r>
    </w:p>
    <w:p w14:paraId="2547C95A">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2.同时，调整了学校团委班子，学校领导班子健全，成员以身作则，团结协作，富有创新精神。</w:t>
      </w:r>
    </w:p>
    <w:p w14:paraId="233BB427">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仿宋" w:hAnsi="仿宋" w:eastAsia="仿宋"/>
          <w:color w:val="auto"/>
          <w:sz w:val="30"/>
          <w:lang w:val="en-US" w:eastAsia="zh-CN"/>
        </w:rPr>
      </w:pPr>
      <w:r>
        <w:rPr>
          <w:rFonts w:hint="eastAsia" w:ascii="仿宋" w:hAnsi="仿宋" w:eastAsia="仿宋"/>
          <w:color w:val="auto"/>
          <w:sz w:val="30"/>
          <w:lang w:val="en-US" w:eastAsia="zh-CN"/>
        </w:rPr>
        <w:t>3.积极开展多样式的教育教学活动，尤其是“四步六环节”导学案的全面推开，以导学案为载体的自主学习模式，给学生提供了极大的自主学习的空间，也真正实现了提质增效。演示实验开出率达100.00%，分组实验开出率达90.50%，现代教育技术设备——电子白板已经覆盖各个班级。</w:t>
      </w:r>
    </w:p>
    <w:p w14:paraId="31A3FEE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en-US" w:eastAsia="zh-CN"/>
        </w:rPr>
      </w:pPr>
      <w:r>
        <w:rPr>
          <w:rFonts w:hint="eastAsia" w:ascii="仿宋" w:hAnsi="仿宋" w:eastAsia="仿宋"/>
          <w:color w:val="auto"/>
          <w:sz w:val="30"/>
          <w:lang w:val="en-US" w:eastAsia="zh-CN"/>
        </w:rPr>
        <w:t>4.德育处依据《小学德育大纲》、《小学生日常行为规范》，构建以《弟子规》为载体的传统国学文化体系，从学生基本的“吃、穿、住、行”等入手。</w:t>
      </w:r>
    </w:p>
    <w:p w14:paraId="4627E193">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bCs/>
          <w:szCs w:val="30"/>
          <w:highlight w:val="none"/>
        </w:rPr>
      </w:pPr>
      <w:r>
        <w:rPr>
          <w:rFonts w:hint="eastAsia" w:ascii="仿宋" w:hAnsi="仿宋" w:eastAsia="仿宋"/>
          <w:color w:val="auto"/>
          <w:sz w:val="30"/>
          <w:lang w:val="en-US" w:eastAsia="zh-CN"/>
        </w:rPr>
        <w:t>5.后勤保障 ：学校有严格的财务制度和校产管理制度，有详细的校产登记册。管理有序，账实相符。有专人负责食堂的食品安全管理，严格按《食品安全法》及有关部门的要求进行督导与检查。</w:t>
      </w:r>
    </w:p>
    <w:p w14:paraId="3F5BDF73">
      <w:pPr>
        <w:spacing w:line="600" w:lineRule="exact"/>
        <w:ind w:firstLine="600" w:firstLineChars="200"/>
        <w:jc w:val="left"/>
        <w:rPr>
          <w:rFonts w:hint="eastAsia" w:ascii="仿宋_GB2312" w:hAnsi="宋体" w:eastAsia="仿宋_GB2312" w:cs="Arial"/>
          <w:kern w:val="0"/>
          <w:sz w:val="30"/>
          <w:szCs w:val="30"/>
          <w:highlight w:val="none"/>
        </w:rPr>
      </w:pPr>
    </w:p>
    <w:p w14:paraId="3488624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298FAAD0">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3B1B44E">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zh-CN" w:eastAsia="zh-CN"/>
        </w:rPr>
      </w:pPr>
      <w:r>
        <w:rPr>
          <w:rFonts w:hint="eastAsia" w:ascii="仿宋" w:hAnsi="仿宋" w:eastAsia="仿宋"/>
          <w:color w:val="auto"/>
          <w:sz w:val="30"/>
          <w:lang w:val="en-US" w:eastAsia="zh-CN"/>
        </w:rPr>
        <w:t>通海县兴蒙中心小学2024年度没有政府性基金收入，也没有使用政府性基金安排的支出，故</w:t>
      </w:r>
      <w:r>
        <w:rPr>
          <w:rFonts w:hint="eastAsia" w:ascii="仿宋" w:hAnsi="仿宋" w:eastAsia="仿宋"/>
          <w:color w:val="auto"/>
          <w:sz w:val="30"/>
          <w:lang w:val="zh-CN" w:eastAsia="zh-CN"/>
        </w:rPr>
        <w:t>《政府性基金预算财政拨款收入支出决算表》</w:t>
      </w:r>
      <w:r>
        <w:rPr>
          <w:rFonts w:hint="eastAsia" w:ascii="仿宋" w:hAnsi="仿宋" w:eastAsia="仿宋"/>
          <w:color w:val="auto"/>
          <w:sz w:val="30"/>
          <w:lang w:val="en-US" w:eastAsia="zh-CN"/>
        </w:rPr>
        <w:t>无数据</w:t>
      </w:r>
      <w:r>
        <w:rPr>
          <w:rFonts w:hint="eastAsia" w:ascii="仿宋" w:hAnsi="仿宋" w:eastAsia="仿宋"/>
          <w:color w:val="auto"/>
          <w:sz w:val="30"/>
          <w:lang w:val="zh-CN" w:eastAsia="zh-CN"/>
        </w:rPr>
        <w:t>。</w:t>
      </w:r>
    </w:p>
    <w:p w14:paraId="4BE679FA">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zh-CN" w:eastAsia="zh-CN"/>
        </w:rPr>
      </w:pPr>
      <w:r>
        <w:rPr>
          <w:rFonts w:hint="eastAsia" w:ascii="仿宋" w:hAnsi="仿宋" w:eastAsia="仿宋"/>
          <w:color w:val="auto"/>
          <w:sz w:val="30"/>
          <w:lang w:val="en-US" w:eastAsia="zh-CN"/>
        </w:rPr>
        <w:t>通海县兴蒙中心小学2024年</w:t>
      </w:r>
      <w:r>
        <w:rPr>
          <w:rFonts w:hint="eastAsia" w:ascii="仿宋" w:hAnsi="仿宋" w:eastAsia="仿宋"/>
          <w:color w:val="auto"/>
          <w:sz w:val="30"/>
          <w:lang w:val="zh-CN" w:eastAsia="zh-CN"/>
        </w:rPr>
        <w:t>度</w:t>
      </w:r>
      <w:r>
        <w:rPr>
          <w:rFonts w:hint="eastAsia" w:ascii="仿宋" w:hAnsi="仿宋" w:eastAsia="仿宋"/>
          <w:color w:val="auto"/>
          <w:sz w:val="30"/>
          <w:lang w:val="en-US" w:eastAsia="zh-CN"/>
        </w:rPr>
        <w:t>没有</w:t>
      </w:r>
      <w:r>
        <w:rPr>
          <w:rFonts w:hint="eastAsia" w:ascii="仿宋" w:hAnsi="仿宋" w:eastAsia="仿宋"/>
          <w:color w:val="auto"/>
          <w:sz w:val="30"/>
          <w:lang w:val="zh-CN" w:eastAsia="zh-CN"/>
        </w:rPr>
        <w:t>国有资本经营</w:t>
      </w:r>
      <w:r>
        <w:rPr>
          <w:rFonts w:hint="eastAsia" w:ascii="仿宋" w:hAnsi="仿宋" w:eastAsia="仿宋"/>
          <w:color w:val="auto"/>
          <w:sz w:val="30"/>
          <w:lang w:val="en-US" w:eastAsia="zh-CN"/>
        </w:rPr>
        <w:t>收入，也没有使用</w:t>
      </w:r>
      <w:r>
        <w:rPr>
          <w:rFonts w:hint="eastAsia" w:ascii="仿宋" w:hAnsi="仿宋" w:eastAsia="仿宋"/>
          <w:color w:val="auto"/>
          <w:sz w:val="30"/>
          <w:lang w:val="zh-CN" w:eastAsia="zh-CN"/>
        </w:rPr>
        <w:t>国有资本经营</w:t>
      </w:r>
      <w:r>
        <w:rPr>
          <w:rFonts w:hint="eastAsia" w:ascii="仿宋" w:hAnsi="仿宋" w:eastAsia="仿宋"/>
          <w:color w:val="auto"/>
          <w:sz w:val="30"/>
          <w:lang w:val="en-US" w:eastAsia="zh-CN"/>
        </w:rPr>
        <w:t>安排的支出</w:t>
      </w:r>
      <w:r>
        <w:rPr>
          <w:rFonts w:hint="eastAsia" w:ascii="仿宋" w:hAnsi="仿宋" w:eastAsia="仿宋"/>
          <w:color w:val="auto"/>
          <w:sz w:val="30"/>
          <w:lang w:val="zh-CN" w:eastAsia="zh-CN"/>
        </w:rPr>
        <w:t>，</w:t>
      </w:r>
      <w:r>
        <w:rPr>
          <w:rFonts w:hint="eastAsia" w:ascii="仿宋" w:hAnsi="仿宋" w:eastAsia="仿宋"/>
          <w:color w:val="auto"/>
          <w:sz w:val="30"/>
          <w:lang w:val="en-US" w:eastAsia="zh-CN"/>
        </w:rPr>
        <w:t>故</w:t>
      </w:r>
      <w:r>
        <w:rPr>
          <w:rFonts w:hint="eastAsia" w:ascii="仿宋" w:hAnsi="仿宋" w:eastAsia="仿宋"/>
          <w:color w:val="auto"/>
          <w:sz w:val="30"/>
          <w:lang w:val="zh-CN" w:eastAsia="zh-CN"/>
        </w:rPr>
        <w:t>《国有资本经营预算财政拨款收入支出决算表》</w:t>
      </w:r>
      <w:r>
        <w:rPr>
          <w:rFonts w:hint="eastAsia" w:ascii="仿宋" w:hAnsi="仿宋" w:eastAsia="仿宋"/>
          <w:color w:val="auto"/>
          <w:sz w:val="30"/>
          <w:lang w:val="en-US" w:eastAsia="zh-CN"/>
        </w:rPr>
        <w:t>无数据</w:t>
      </w:r>
      <w:r>
        <w:rPr>
          <w:rFonts w:hint="eastAsia" w:ascii="仿宋" w:hAnsi="仿宋" w:eastAsia="仿宋"/>
          <w:color w:val="auto"/>
          <w:sz w:val="30"/>
          <w:lang w:val="zh-CN" w:eastAsia="zh-CN"/>
        </w:rPr>
        <w:t>。</w:t>
      </w:r>
    </w:p>
    <w:p w14:paraId="62AF80A8">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olor w:val="auto"/>
          <w:sz w:val="30"/>
          <w:lang w:val="zh-CN" w:eastAsia="zh-CN"/>
        </w:rPr>
      </w:pPr>
      <w:r>
        <w:rPr>
          <w:rFonts w:hint="eastAsia" w:ascii="仿宋" w:hAnsi="仿宋" w:eastAsia="仿宋"/>
          <w:color w:val="auto"/>
          <w:sz w:val="30"/>
          <w:lang w:val="en-US" w:eastAsia="zh-CN"/>
        </w:rPr>
        <w:t>通海县兴蒙中心小学</w:t>
      </w:r>
      <w:r>
        <w:rPr>
          <w:rFonts w:hint="eastAsia" w:ascii="仿宋" w:hAnsi="仿宋" w:eastAsia="仿宋"/>
          <w:color w:val="auto"/>
          <w:sz w:val="30"/>
          <w:lang w:val="zh-CN" w:eastAsia="zh-CN"/>
        </w:rPr>
        <w:t>202</w:t>
      </w:r>
      <w:r>
        <w:rPr>
          <w:rFonts w:hint="eastAsia" w:ascii="仿宋" w:hAnsi="仿宋" w:eastAsia="仿宋"/>
          <w:color w:val="auto"/>
          <w:sz w:val="30"/>
          <w:lang w:val="en-US" w:eastAsia="zh-CN"/>
        </w:rPr>
        <w:t>4</w:t>
      </w:r>
      <w:r>
        <w:rPr>
          <w:rFonts w:hint="eastAsia" w:ascii="仿宋" w:hAnsi="仿宋" w:eastAsia="仿宋"/>
          <w:color w:val="auto"/>
          <w:sz w:val="30"/>
          <w:lang w:val="zh-CN" w:eastAsia="zh-CN"/>
        </w:rPr>
        <w:t>年度</w:t>
      </w:r>
      <w:r>
        <w:rPr>
          <w:rFonts w:hint="eastAsia" w:ascii="仿宋" w:hAnsi="仿宋" w:eastAsia="仿宋"/>
          <w:color w:val="auto"/>
          <w:sz w:val="30"/>
          <w:lang w:val="en-US" w:eastAsia="zh-CN"/>
        </w:rPr>
        <w:t>没有</w:t>
      </w:r>
      <w:r>
        <w:rPr>
          <w:rFonts w:hint="eastAsia" w:ascii="仿宋" w:hAnsi="仿宋" w:eastAsia="仿宋"/>
          <w:color w:val="auto"/>
          <w:sz w:val="30"/>
          <w:lang w:val="zh-CN" w:eastAsia="zh-CN"/>
        </w:rPr>
        <w:t>财政拨款“三公”经费、行政参公单位机关运行经费的收入，</w:t>
      </w:r>
      <w:r>
        <w:rPr>
          <w:rFonts w:hint="eastAsia" w:ascii="仿宋" w:hAnsi="仿宋" w:eastAsia="仿宋"/>
          <w:color w:val="auto"/>
          <w:sz w:val="30"/>
          <w:lang w:val="en-US" w:eastAsia="zh-CN"/>
        </w:rPr>
        <w:t>也没有使用</w:t>
      </w:r>
      <w:r>
        <w:rPr>
          <w:rFonts w:hint="eastAsia" w:ascii="仿宋" w:hAnsi="仿宋" w:eastAsia="仿宋"/>
          <w:color w:val="auto"/>
          <w:sz w:val="30"/>
          <w:lang w:val="zh-CN" w:eastAsia="zh-CN"/>
        </w:rPr>
        <w:t>财政拨款“三公”经费、行政参公单位机关运行经费</w:t>
      </w:r>
      <w:r>
        <w:rPr>
          <w:rFonts w:hint="eastAsia" w:ascii="仿宋" w:hAnsi="仿宋" w:eastAsia="仿宋"/>
          <w:color w:val="auto"/>
          <w:sz w:val="30"/>
          <w:lang w:val="en-US" w:eastAsia="zh-CN"/>
        </w:rPr>
        <w:t>安排</w:t>
      </w:r>
      <w:r>
        <w:rPr>
          <w:rFonts w:hint="eastAsia" w:ascii="仿宋" w:hAnsi="仿宋" w:eastAsia="仿宋"/>
          <w:color w:val="auto"/>
          <w:sz w:val="30"/>
          <w:lang w:val="zh-CN" w:eastAsia="zh-CN"/>
        </w:rPr>
        <w:t>的</w:t>
      </w:r>
      <w:r>
        <w:rPr>
          <w:rFonts w:hint="eastAsia" w:ascii="仿宋" w:hAnsi="仿宋" w:eastAsia="仿宋"/>
          <w:color w:val="auto"/>
          <w:sz w:val="30"/>
          <w:lang w:val="en-US" w:eastAsia="zh-CN"/>
        </w:rPr>
        <w:t>支出</w:t>
      </w:r>
      <w:r>
        <w:rPr>
          <w:rFonts w:hint="eastAsia" w:ascii="仿宋" w:hAnsi="仿宋" w:eastAsia="仿宋"/>
          <w:color w:val="auto"/>
          <w:sz w:val="30"/>
          <w:lang w:val="zh-CN" w:eastAsia="zh-CN"/>
        </w:rPr>
        <w:t>，</w:t>
      </w:r>
      <w:r>
        <w:rPr>
          <w:rFonts w:hint="eastAsia" w:ascii="仿宋" w:hAnsi="仿宋" w:eastAsia="仿宋"/>
          <w:color w:val="auto"/>
          <w:sz w:val="30"/>
          <w:lang w:val="en-US" w:eastAsia="zh-CN"/>
        </w:rPr>
        <w:t>故</w:t>
      </w:r>
      <w:r>
        <w:rPr>
          <w:rFonts w:hint="eastAsia" w:ascii="仿宋" w:hAnsi="仿宋" w:eastAsia="仿宋"/>
          <w:color w:val="auto"/>
          <w:sz w:val="30"/>
          <w:lang w:val="zh-CN" w:eastAsia="zh-CN"/>
        </w:rPr>
        <w:t>《财政拨款“三公”经费、行政参公单位机关运行经费情况表》</w:t>
      </w:r>
      <w:r>
        <w:rPr>
          <w:rFonts w:hint="eastAsia" w:ascii="仿宋" w:hAnsi="仿宋" w:eastAsia="仿宋"/>
          <w:color w:val="auto"/>
          <w:sz w:val="30"/>
          <w:lang w:val="en-US" w:eastAsia="zh-CN"/>
        </w:rPr>
        <w:t>无数据</w:t>
      </w:r>
      <w:r>
        <w:rPr>
          <w:rFonts w:hint="eastAsia" w:ascii="仿宋" w:hAnsi="仿宋" w:eastAsia="仿宋"/>
          <w:color w:val="auto"/>
          <w:sz w:val="30"/>
          <w:lang w:val="zh-CN" w:eastAsia="zh-CN"/>
        </w:rPr>
        <w:t>。</w:t>
      </w:r>
    </w:p>
    <w:p w14:paraId="0E83C580">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default" w:ascii="仿宋" w:hAnsi="仿宋" w:eastAsia="仿宋"/>
          <w:color w:val="auto"/>
          <w:sz w:val="30"/>
          <w:lang w:val="en-US" w:eastAsia="zh-CN"/>
        </w:rPr>
      </w:pPr>
      <w:r>
        <w:rPr>
          <w:rFonts w:hint="eastAsia" w:ascii="仿宋" w:hAnsi="仿宋" w:eastAsia="仿宋"/>
          <w:color w:val="auto"/>
          <w:sz w:val="30"/>
          <w:lang w:val="en-US" w:eastAsia="zh-CN"/>
        </w:rPr>
        <w:t>通海县兴蒙中心小学</w:t>
      </w:r>
      <w:r>
        <w:rPr>
          <w:rFonts w:hint="eastAsia" w:ascii="仿宋" w:hAnsi="仿宋" w:eastAsia="仿宋"/>
          <w:color w:val="auto"/>
          <w:sz w:val="30"/>
          <w:lang w:val="zh-CN" w:eastAsia="zh-CN"/>
        </w:rPr>
        <w:t>202</w:t>
      </w:r>
      <w:r>
        <w:rPr>
          <w:rFonts w:hint="eastAsia" w:ascii="仿宋" w:hAnsi="仿宋" w:eastAsia="仿宋"/>
          <w:color w:val="auto"/>
          <w:sz w:val="30"/>
          <w:lang w:val="en-US" w:eastAsia="zh-CN"/>
        </w:rPr>
        <w:t>4</w:t>
      </w:r>
      <w:r>
        <w:rPr>
          <w:rFonts w:hint="eastAsia" w:ascii="仿宋" w:hAnsi="仿宋" w:eastAsia="仿宋"/>
          <w:color w:val="auto"/>
          <w:sz w:val="30"/>
          <w:lang w:val="zh-CN" w:eastAsia="zh-CN"/>
        </w:rPr>
        <w:t>年度没有一般公共预算财政拨款“三公”经费</w:t>
      </w:r>
      <w:r>
        <w:rPr>
          <w:rFonts w:hint="eastAsia" w:ascii="仿宋" w:hAnsi="仿宋" w:eastAsia="仿宋"/>
          <w:color w:val="auto"/>
          <w:sz w:val="30"/>
          <w:lang w:val="en-US" w:eastAsia="zh-CN"/>
        </w:rPr>
        <w:t>的收入</w:t>
      </w:r>
      <w:r>
        <w:rPr>
          <w:rFonts w:hint="eastAsia" w:ascii="仿宋" w:hAnsi="仿宋" w:eastAsia="仿宋"/>
          <w:color w:val="auto"/>
          <w:sz w:val="30"/>
          <w:lang w:val="zh-CN" w:eastAsia="zh-CN"/>
        </w:rPr>
        <w:t>，</w:t>
      </w:r>
      <w:r>
        <w:rPr>
          <w:rFonts w:hint="eastAsia" w:ascii="仿宋" w:hAnsi="仿宋" w:eastAsia="仿宋"/>
          <w:color w:val="auto"/>
          <w:sz w:val="30"/>
          <w:lang w:val="en-US" w:eastAsia="zh-CN"/>
        </w:rPr>
        <w:t>也</w:t>
      </w:r>
      <w:r>
        <w:rPr>
          <w:rFonts w:hint="eastAsia" w:ascii="仿宋" w:hAnsi="仿宋" w:eastAsia="仿宋"/>
          <w:color w:val="auto"/>
          <w:sz w:val="30"/>
          <w:lang w:val="zh-CN" w:eastAsia="zh-CN"/>
        </w:rPr>
        <w:t>没有</w:t>
      </w:r>
      <w:r>
        <w:rPr>
          <w:rFonts w:hint="eastAsia" w:ascii="仿宋" w:hAnsi="仿宋" w:eastAsia="仿宋"/>
          <w:color w:val="auto"/>
          <w:sz w:val="30"/>
          <w:lang w:val="en-US" w:eastAsia="zh-CN"/>
        </w:rPr>
        <w:t>使用</w:t>
      </w:r>
      <w:r>
        <w:rPr>
          <w:rFonts w:hint="eastAsia" w:ascii="仿宋" w:hAnsi="仿宋" w:eastAsia="仿宋"/>
          <w:color w:val="auto"/>
          <w:sz w:val="30"/>
          <w:lang w:val="zh-CN" w:eastAsia="zh-CN"/>
        </w:rPr>
        <w:t>一般公共预算财政拨款“三公”经费</w:t>
      </w:r>
      <w:r>
        <w:rPr>
          <w:rFonts w:hint="eastAsia" w:ascii="仿宋" w:hAnsi="仿宋" w:eastAsia="仿宋"/>
          <w:color w:val="auto"/>
          <w:sz w:val="30"/>
          <w:lang w:val="en-US" w:eastAsia="zh-CN"/>
        </w:rPr>
        <w:t>安排的支出，故《一般公共预算财政拨款“三公”经费情况表》无数据。</w:t>
      </w:r>
    </w:p>
    <w:p w14:paraId="21A43233">
      <w:pPr>
        <w:spacing w:line="600" w:lineRule="exact"/>
        <w:ind w:firstLine="600" w:firstLineChars="200"/>
        <w:jc w:val="left"/>
        <w:rPr>
          <w:rFonts w:hint="eastAsia" w:ascii="仿宋_GB2312" w:eastAsia="仿宋_GB2312"/>
          <w:sz w:val="30"/>
          <w:szCs w:val="30"/>
          <w:highlight w:val="none"/>
          <w:lang w:eastAsia="zh-CN"/>
        </w:rPr>
      </w:pPr>
    </w:p>
    <w:p w14:paraId="05747A8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69DCB06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1B37C8E">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通海县兴蒙中心小学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498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702.95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390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687.22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97.60</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108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015.73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2.40</w:t>
      </w:r>
      <w:r>
        <w:rPr>
          <w:rFonts w:hint="eastAsia" w:ascii="仿宋_GB2312" w:eastAsia="仿宋_GB2312"/>
          <w:sz w:val="30"/>
          <w:szCs w:val="30"/>
          <w:highlight w:val="none"/>
        </w:rPr>
        <w:t>%。</w:t>
      </w:r>
    </w:p>
    <w:p w14:paraId="4C6F0842">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137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882.19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2.97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70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920.08</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附属单位上缴收入；其他收入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66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962.11</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38.27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人员工资增加、社会保险基数调高了</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保育费减少</w:t>
      </w:r>
      <w:r>
        <w:rPr>
          <w:rFonts w:hint="eastAsia" w:ascii="仿宋_GB2312" w:eastAsia="仿宋_GB2312"/>
          <w:color w:val="auto"/>
          <w:sz w:val="30"/>
          <w:szCs w:val="30"/>
          <w:highlight w:val="none"/>
        </w:rPr>
        <w:t>。</w:t>
      </w:r>
    </w:p>
    <w:p w14:paraId="196C9E92">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0CB65E4F">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通海县兴蒙中心小学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504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610.72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162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999.05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92.42</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341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611.67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7.58</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341304B0">
      <w:pPr>
        <w:spacing w:line="600" w:lineRule="exact"/>
        <w:ind w:firstLine="600" w:firstLineChars="200"/>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113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798.62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2.46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181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379.75</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4.18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67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581.13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24.66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公用经费支出减少，</w:t>
      </w:r>
      <w:r>
        <w:rPr>
          <w:rFonts w:hint="eastAsia" w:ascii="仿宋_GB2312" w:eastAsia="仿宋_GB2312"/>
          <w:color w:val="auto"/>
          <w:sz w:val="30"/>
          <w:szCs w:val="30"/>
        </w:rPr>
        <w:t>项目支出增加是因为增加支付学校运转经费、困难学生生活补助费。</w:t>
      </w:r>
      <w:r>
        <w:rPr>
          <w:rFonts w:hint="eastAsia" w:ascii="仿宋_GB2312" w:eastAsia="仿宋_GB2312"/>
          <w:sz w:val="30"/>
          <w:szCs w:val="30"/>
          <w:highlight w:val="none"/>
        </w:rPr>
        <w:t>。</w:t>
      </w:r>
    </w:p>
    <w:p w14:paraId="572519B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7524098">
      <w:pPr>
        <w:widowControl/>
        <w:snapToGrid w:val="0"/>
        <w:spacing w:before="100" w:after="100" w:line="600" w:lineRule="exact"/>
        <w:ind w:firstLine="538"/>
        <w:jc w:val="left"/>
        <w:rPr>
          <w:rFonts w:hint="eastAsia" w:ascii="仿宋_GB2312" w:eastAsia="仿宋_GB2312"/>
          <w:color w:val="FF000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通海县兴蒙中心小学</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162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999.05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141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575.55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99.49</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21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423.50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0.51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p>
    <w:p w14:paraId="148EE3D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44C0531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通海县兴蒙中心小学</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341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611.67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26504F6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1.普通教育支出</w:t>
      </w:r>
      <w:r>
        <w:rPr>
          <w:rFonts w:hint="eastAsia" w:ascii="仿宋_GB2312" w:eastAsia="仿宋_GB2312"/>
          <w:sz w:val="30"/>
          <w:szCs w:val="30"/>
          <w:highlight w:val="none"/>
          <w:lang w:val="en-US" w:eastAsia="zh-CN"/>
        </w:rPr>
        <w:t>3,248,647.70</w:t>
      </w:r>
      <w:r>
        <w:rPr>
          <w:rFonts w:hint="eastAsia" w:ascii="仿宋_GB2312" w:eastAsia="仿宋_GB2312"/>
          <w:sz w:val="30"/>
          <w:szCs w:val="30"/>
          <w:highlight w:val="none"/>
        </w:rPr>
        <w:t>元。其中学前教育支出</w:t>
      </w:r>
      <w:r>
        <w:rPr>
          <w:rFonts w:hint="eastAsia" w:ascii="仿宋_GB2312" w:eastAsia="仿宋_GB2312"/>
          <w:sz w:val="30"/>
          <w:szCs w:val="30"/>
          <w:highlight w:val="none"/>
          <w:lang w:val="en-US" w:eastAsia="zh-CN"/>
        </w:rPr>
        <w:t>49,372.00</w:t>
      </w:r>
      <w:r>
        <w:rPr>
          <w:rFonts w:hint="eastAsia" w:ascii="仿宋_GB2312" w:eastAsia="仿宋_GB2312"/>
          <w:sz w:val="30"/>
          <w:szCs w:val="30"/>
          <w:highlight w:val="none"/>
        </w:rPr>
        <w:t>元，小学教育支出</w:t>
      </w:r>
      <w:r>
        <w:rPr>
          <w:rFonts w:hint="eastAsia" w:ascii="仿宋_GB2312" w:eastAsia="仿宋_GB2312"/>
          <w:sz w:val="30"/>
          <w:szCs w:val="30"/>
          <w:highlight w:val="none"/>
          <w:lang w:val="en-US" w:eastAsia="zh-CN"/>
        </w:rPr>
        <w:t>3,063,495.09</w:t>
      </w:r>
      <w:r>
        <w:rPr>
          <w:rFonts w:hint="eastAsia" w:ascii="仿宋_GB2312" w:eastAsia="仿宋_GB2312"/>
          <w:sz w:val="30"/>
          <w:szCs w:val="30"/>
          <w:highlight w:val="none"/>
        </w:rPr>
        <w:t>元，用于为学校提供良好的教育条件，促进教育的普及和提高教育质量。</w:t>
      </w:r>
    </w:p>
    <w:p w14:paraId="3821786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2.特殊教育支出</w:t>
      </w:r>
      <w:r>
        <w:rPr>
          <w:rFonts w:hint="eastAsia" w:ascii="仿宋_GB2312" w:eastAsia="仿宋_GB2312"/>
          <w:sz w:val="30"/>
          <w:szCs w:val="30"/>
          <w:highlight w:val="none"/>
          <w:lang w:val="en-US" w:eastAsia="zh-CN"/>
        </w:rPr>
        <w:t>5,780.61</w:t>
      </w:r>
      <w:r>
        <w:rPr>
          <w:rFonts w:hint="eastAsia" w:ascii="仿宋_GB2312" w:eastAsia="仿宋_GB2312"/>
          <w:sz w:val="30"/>
          <w:szCs w:val="30"/>
          <w:highlight w:val="none"/>
        </w:rPr>
        <w:t>元，用于为特殊教育学校提供必要的支持和保障，确保特殊教育学生获得平等的教育机会和优质的教育资源。</w:t>
      </w:r>
    </w:p>
    <w:p w14:paraId="1E2D3D5F">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2E86691F">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8018644">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通海县兴蒙中心小学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4</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390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687.22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97.47</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70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920.08</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1.59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84.08</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34A937A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36FE432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2</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0.05</w:t>
      </w:r>
      <w:r>
        <w:rPr>
          <w:rFonts w:hint="eastAsia" w:ascii="仿宋_GB2312" w:eastAsia="仿宋_GB2312"/>
          <w:sz w:val="30"/>
          <w:szCs w:val="30"/>
          <w:highlight w:val="none"/>
        </w:rPr>
        <w:t>%,</w:t>
      </w:r>
      <w:r>
        <w:rPr>
          <w:rFonts w:hint="eastAsia" w:ascii="仿宋_GB2312" w:hAnsi="仿宋_GB2312" w:eastAsia="仿宋_GB2312" w:cs="仿宋_GB2312"/>
          <w:kern w:val="0"/>
          <w:sz w:val="30"/>
        </w:rPr>
        <w:t>年初无此项预算。主要用于单位党员阵地建设、制度更新；造成预决算差异的主要原因是此项支出为年中新增支</w:t>
      </w:r>
      <w:r>
        <w:rPr>
          <w:rFonts w:hint="eastAsia" w:ascii="仿宋_GB2312" w:hAnsi="宋体" w:eastAsia="仿宋_GB2312" w:cs="Arial"/>
          <w:kern w:val="0"/>
          <w:sz w:val="30"/>
          <w:szCs w:val="30"/>
          <w:highlight w:val="none"/>
          <w:lang w:eastAsia="zh-CN"/>
        </w:rPr>
        <w:t>。</w:t>
      </w:r>
    </w:p>
    <w:p w14:paraId="6B89D41B">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年初无此项预算</w:t>
      </w:r>
    </w:p>
    <w:p w14:paraId="4EBE5A0B">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年初无此项预算。</w:t>
      </w:r>
    </w:p>
    <w:p w14:paraId="2BD41D8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3A25FD60">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3,134,724.20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71.39</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89.09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lang w:val="en-US" w:eastAsia="zh-CN"/>
        </w:rPr>
        <w:t>普通教育支出：学前教育支出和小学教育支出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sz w:val="30"/>
          <w:szCs w:val="30"/>
          <w:highlight w:val="none"/>
          <w:lang w:val="en-US" w:eastAsia="zh-CN"/>
        </w:rPr>
        <w:t>小学和学前公用经费支出减少</w:t>
      </w:r>
      <w:r>
        <w:rPr>
          <w:rFonts w:hint="eastAsia" w:ascii="仿宋_GB2312" w:eastAsia="仿宋_GB2312"/>
          <w:sz w:val="30"/>
          <w:szCs w:val="30"/>
          <w:highlight w:val="none"/>
          <w:lang w:eastAsia="zh-CN"/>
        </w:rPr>
        <w:t>。</w:t>
      </w:r>
    </w:p>
    <w:p w14:paraId="3D74202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11798B0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232EEC88">
      <w:pPr>
        <w:pStyle w:val="5"/>
        <w:spacing w:before="105" w:beforeAutospacing="0" w:after="105" w:afterAutospacing="0" w:line="360" w:lineRule="atLeast"/>
        <w:ind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566,939.07</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12.91</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69.80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cs="Arial"/>
          <w:color w:val="auto"/>
          <w:sz w:val="30"/>
          <w:szCs w:val="30"/>
        </w:rPr>
        <w:t>教职工的工伤、失业、生育保险等社会保障支出；造成预</w:t>
      </w:r>
      <w:r>
        <w:rPr>
          <w:rFonts w:hint="eastAsia" w:ascii="仿宋_GB2312" w:hAnsi="仿宋_GB2312" w:eastAsia="仿宋_GB2312" w:cs="仿宋_GB2312"/>
          <w:color w:val="auto"/>
          <w:sz w:val="30"/>
        </w:rPr>
        <w:t>决算</w:t>
      </w:r>
      <w:r>
        <w:rPr>
          <w:rFonts w:hint="eastAsia" w:ascii="仿宋_GB2312" w:eastAsia="仿宋_GB2312" w:cs="Arial"/>
          <w:color w:val="auto"/>
          <w:sz w:val="30"/>
          <w:szCs w:val="30"/>
        </w:rPr>
        <w:t>差异的主要原因是</w:t>
      </w:r>
      <w:r>
        <w:rPr>
          <w:rFonts w:hint="eastAsia" w:ascii="仿宋_GB2312" w:eastAsia="仿宋_GB2312"/>
          <w:color w:val="auto"/>
          <w:sz w:val="30"/>
          <w:szCs w:val="30"/>
        </w:rPr>
        <w:t>相关社保缴费基数调整、参保教职工人数减少，导致实际支出与年初预算存在差异</w:t>
      </w:r>
      <w:r>
        <w:rPr>
          <w:rFonts w:hint="eastAsia" w:ascii="仿宋_GB2312" w:hAnsi="宋体" w:eastAsia="仿宋_GB2312" w:cs="Arial"/>
          <w:kern w:val="0"/>
          <w:sz w:val="30"/>
          <w:szCs w:val="30"/>
          <w:highlight w:val="none"/>
          <w:lang w:eastAsia="zh-CN"/>
        </w:rPr>
        <w:t>。</w:t>
      </w:r>
    </w:p>
    <w:p w14:paraId="1021641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429</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116.95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9.77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87.76</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主要用于</w:t>
      </w:r>
      <w:r>
        <w:rPr>
          <w:rFonts w:hint="eastAsia" w:ascii="仿宋_GB2312" w:eastAsia="仿宋_GB2312"/>
          <w:color w:val="auto"/>
          <w:sz w:val="30"/>
          <w:szCs w:val="30"/>
          <w:highlight w:val="none"/>
          <w:lang w:val="en-US" w:eastAsia="zh-CN"/>
        </w:rPr>
        <w:t>事业单位医疗保险、公务员医疗保险和其他行政事业单位医疗支出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宋体" w:eastAsia="仿宋_GB2312" w:cs="Arial"/>
          <w:color w:val="auto"/>
          <w:kern w:val="0"/>
          <w:sz w:val="30"/>
          <w:szCs w:val="30"/>
          <w:highlight w:val="none"/>
          <w:lang w:val="en-US" w:eastAsia="zh-CN"/>
        </w:rPr>
        <w:t>2024年度</w:t>
      </w:r>
      <w:r>
        <w:rPr>
          <w:rFonts w:hint="eastAsia" w:ascii="仿宋_GB2312" w:eastAsia="仿宋_GB2312"/>
          <w:color w:val="auto"/>
          <w:sz w:val="30"/>
          <w:szCs w:val="30"/>
          <w:highlight w:val="none"/>
          <w:lang w:val="en-US" w:eastAsia="zh-CN"/>
        </w:rPr>
        <w:t>人员调出</w:t>
      </w:r>
    </w:p>
    <w:p w14:paraId="4C384AA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0504F82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7DBEB94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742C1CB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eastAsia="仿宋_GB2312"/>
          <w:sz w:val="30"/>
          <w:szCs w:val="30"/>
          <w:highlight w:val="none"/>
          <w:lang w:val="en-US" w:eastAsia="zh-CN"/>
        </w:rPr>
        <w:t>，</w:t>
      </w:r>
      <w:r>
        <w:rPr>
          <w:rFonts w:hint="eastAsia" w:ascii="仿宋_GB2312" w:eastAsia="仿宋_GB2312"/>
          <w:color w:val="auto"/>
          <w:sz w:val="30"/>
          <w:szCs w:val="30"/>
          <w:lang w:eastAsia="zh-CN"/>
        </w:rPr>
        <w:t>年初无此项预算。</w:t>
      </w:r>
    </w:p>
    <w:p w14:paraId="5A35F01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418A0C8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6C7DDA1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0542AE9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012E181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2083B4E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257</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907.00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5.87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64.09</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rPr>
        <w:t>主要用于</w:t>
      </w:r>
      <w:r>
        <w:rPr>
          <w:rFonts w:hint="eastAsia" w:ascii="仿宋_GB2312" w:hAnsi="仿宋_GB2312" w:eastAsia="仿宋_GB2312" w:cs="仿宋_GB2312"/>
          <w:color w:val="auto"/>
          <w:kern w:val="0"/>
          <w:sz w:val="30"/>
          <w:lang w:val="en-US" w:eastAsia="zh-CN"/>
        </w:rPr>
        <w:t>住房公积金支出</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kern w:val="0"/>
          <w:sz w:val="30"/>
          <w:lang w:val="en-US" w:eastAsia="zh-CN"/>
        </w:rPr>
        <w:t>造成预决算差异的主要原因是住房公积金基数减少</w:t>
      </w:r>
      <w:r>
        <w:rPr>
          <w:rFonts w:hint="eastAsia" w:ascii="仿宋_GB2312" w:hAnsi="宋体" w:eastAsia="仿宋_GB2312" w:cs="Arial"/>
          <w:kern w:val="0"/>
          <w:sz w:val="30"/>
          <w:szCs w:val="30"/>
          <w:highlight w:val="none"/>
          <w:lang w:eastAsia="zh-CN"/>
        </w:rPr>
        <w:t>。</w:t>
      </w:r>
    </w:p>
    <w:p w14:paraId="26F48AF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798864F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266390D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2CAC6FC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5163B60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347E06C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0865E67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3F95C5A9">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5F7D6E7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6F843E8D">
      <w:pPr>
        <w:widowControl/>
        <w:snapToGrid w:val="0"/>
        <w:spacing w:before="100" w:after="100" w:line="360" w:lineRule="auto"/>
        <w:ind w:firstLine="600" w:firstLineChars="200"/>
        <w:jc w:val="both"/>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color w:val="auto"/>
          <w:kern w:val="0"/>
          <w:sz w:val="30"/>
          <w:szCs w:val="30"/>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rPr>
        <w:t>元，上年无此项支出</w:t>
      </w:r>
      <w:r>
        <w:rPr>
          <w:rFonts w:hint="eastAsia" w:ascii="仿宋_GB2312" w:eastAsia="仿宋_GB2312"/>
          <w:color w:val="auto"/>
          <w:sz w:val="30"/>
          <w:szCs w:val="30"/>
          <w:lang w:eastAsia="zh-CN"/>
        </w:rPr>
        <w:t>。</w:t>
      </w:r>
    </w:p>
    <w:p w14:paraId="70A4874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p>
    <w:p w14:paraId="5B49CEE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w:t>
      </w:r>
    </w:p>
    <w:p w14:paraId="74DBF56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164F3238">
      <w:pPr>
        <w:widowControl/>
        <w:snapToGrid w:val="0"/>
        <w:spacing w:before="100" w:after="100" w:line="360" w:lineRule="auto"/>
        <w:ind w:firstLine="600" w:firstLineChars="200"/>
        <w:jc w:val="both"/>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rPr>
        <w:t>上年无此项支出</w:t>
      </w:r>
      <w:r>
        <w:rPr>
          <w:rFonts w:hint="eastAsia" w:ascii="仿宋_GB2312" w:hAnsi="宋体" w:eastAsia="仿宋_GB2312" w:cs="Arial"/>
          <w:kern w:val="0"/>
          <w:sz w:val="30"/>
          <w:szCs w:val="30"/>
          <w:highlight w:val="none"/>
          <w:lang w:eastAsia="zh-CN"/>
        </w:rPr>
        <w:t>。</w:t>
      </w:r>
    </w:p>
    <w:p w14:paraId="024DFA29">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auto"/>
          <w:sz w:val="30"/>
          <w:szCs w:val="30"/>
        </w:rPr>
        <w:t>上年无此项支出</w:t>
      </w:r>
      <w:r>
        <w:rPr>
          <w:rFonts w:hint="eastAsia" w:ascii="仿宋_GB2312" w:eastAsia="仿宋_GB2312"/>
          <w:sz w:val="30"/>
          <w:szCs w:val="30"/>
          <w:highlight w:val="none"/>
        </w:rPr>
        <w:t>。</w:t>
      </w:r>
    </w:p>
    <w:p w14:paraId="7307063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0E9FE439">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人次。</w:t>
      </w:r>
    </w:p>
    <w:p w14:paraId="584C2EA8">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w:t>
      </w:r>
    </w:p>
    <w:p w14:paraId="09F59069">
      <w:pPr>
        <w:widowControl/>
        <w:snapToGrid w:val="0"/>
        <w:spacing w:before="100" w:after="100" w:line="360" w:lineRule="auto"/>
        <w:ind w:firstLine="600" w:firstLineChars="200"/>
        <w:jc w:val="left"/>
        <w:rPr>
          <w:rFonts w:hint="eastAsia" w:ascii="仿宋_GB2312" w:eastAsia="仿宋_GB2312"/>
          <w:b w:val="0"/>
          <w:bCs/>
          <w:color w:val="FF0000"/>
          <w:sz w:val="30"/>
          <w:szCs w:val="30"/>
          <w:highlight w:val="none"/>
          <w:lang w:eastAsia="zh-CN"/>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w:t>
      </w:r>
    </w:p>
    <w:p w14:paraId="0144A5DA">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576803F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1F892FB5">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4597D0CD">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B44430A">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4E9ADB45">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通海县兴蒙中心小学</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val="en-US" w:eastAsia="zh-CN"/>
        </w:rPr>
        <w:t>年初无此预算</w:t>
      </w:r>
      <w:r>
        <w:rPr>
          <w:rFonts w:hint="eastAsia" w:ascii="仿宋_GB2312" w:hAnsi="黑体" w:eastAsia="仿宋_GB2312" w:cs="方正小标宋简体"/>
          <w:sz w:val="30"/>
          <w:szCs w:val="30"/>
          <w:highlight w:val="none"/>
        </w:rPr>
        <w:t>。</w:t>
      </w:r>
    </w:p>
    <w:p w14:paraId="6862351D">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1FF7CD77">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通海县兴蒙中心小学</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6,671,680.61</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216,432.57</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6,425,248.04</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30,000.00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6,425,248.01</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86,307.36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206,352.46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0686EC1E">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23F2693A">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00E8B937">
            <w:pPr>
              <w:widowControl/>
              <w:jc w:val="left"/>
              <w:rPr>
                <w:rFonts w:ascii="宋体" w:hAnsi="宋体" w:cs="宋体"/>
                <w:color w:val="000000"/>
                <w:kern w:val="0"/>
                <w:sz w:val="17"/>
                <w:szCs w:val="17"/>
                <w:highlight w:val="none"/>
              </w:rPr>
            </w:pPr>
          </w:p>
        </w:tc>
      </w:tr>
      <w:tr w14:paraId="37114389">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4692E66">
            <w:pPr>
              <w:widowControl/>
              <w:jc w:val="left"/>
              <w:rPr>
                <w:rFonts w:ascii="宋体" w:hAnsi="宋体" w:cs="宋体"/>
                <w:color w:val="000000"/>
                <w:kern w:val="0"/>
                <w:sz w:val="17"/>
                <w:szCs w:val="17"/>
                <w:highlight w:val="none"/>
              </w:rPr>
            </w:pPr>
          </w:p>
        </w:tc>
      </w:tr>
      <w:tr w14:paraId="383E5BB8">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181DA85D">
            <w:pPr>
              <w:widowControl/>
              <w:jc w:val="left"/>
              <w:rPr>
                <w:rFonts w:ascii="宋体" w:hAnsi="宋体" w:cs="宋体"/>
                <w:color w:val="000000"/>
                <w:kern w:val="0"/>
                <w:sz w:val="17"/>
                <w:szCs w:val="17"/>
                <w:highlight w:val="none"/>
              </w:rPr>
            </w:pPr>
          </w:p>
        </w:tc>
      </w:tr>
      <w:tr w14:paraId="7EFA0342">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439AC959">
            <w:pPr>
              <w:widowControl/>
              <w:jc w:val="left"/>
              <w:rPr>
                <w:rFonts w:ascii="宋体" w:hAnsi="宋体" w:cs="宋体"/>
                <w:color w:val="000000"/>
                <w:kern w:val="0"/>
                <w:sz w:val="17"/>
                <w:szCs w:val="17"/>
                <w:highlight w:val="none"/>
              </w:rPr>
            </w:pPr>
          </w:p>
        </w:tc>
      </w:tr>
      <w:tr w14:paraId="36B4A140">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2339C3D9">
            <w:pPr>
              <w:widowControl/>
              <w:jc w:val="left"/>
              <w:rPr>
                <w:rFonts w:ascii="宋体" w:hAnsi="宋体" w:cs="宋体"/>
                <w:color w:val="000000"/>
                <w:kern w:val="0"/>
                <w:sz w:val="17"/>
                <w:szCs w:val="17"/>
                <w:highlight w:val="none"/>
              </w:rPr>
            </w:pPr>
          </w:p>
        </w:tc>
      </w:tr>
      <w:tr w14:paraId="740F4230">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2F75A9C1">
            <w:pPr>
              <w:widowControl/>
              <w:jc w:val="left"/>
              <w:rPr>
                <w:rFonts w:ascii="宋体" w:hAnsi="宋体" w:cs="宋体"/>
                <w:color w:val="000000"/>
                <w:kern w:val="0"/>
                <w:sz w:val="17"/>
                <w:szCs w:val="17"/>
                <w:highlight w:val="none"/>
              </w:rPr>
            </w:pPr>
          </w:p>
        </w:tc>
      </w:tr>
      <w:tr w14:paraId="7560F090">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02C3D353">
            <w:pPr>
              <w:widowControl/>
              <w:jc w:val="left"/>
              <w:rPr>
                <w:rFonts w:ascii="宋体" w:hAnsi="宋体" w:cs="宋体"/>
                <w:color w:val="000000"/>
                <w:kern w:val="0"/>
                <w:sz w:val="17"/>
                <w:szCs w:val="17"/>
                <w:highlight w:val="none"/>
              </w:rPr>
            </w:pPr>
          </w:p>
        </w:tc>
      </w:tr>
      <w:tr w14:paraId="5E42567F">
        <w:tblPrEx>
          <w:tblCellMar>
            <w:top w:w="0" w:type="dxa"/>
            <w:left w:w="0" w:type="dxa"/>
            <w:bottom w:w="0" w:type="dxa"/>
            <w:right w:w="0" w:type="dxa"/>
          </w:tblCellMar>
        </w:tblPrEx>
        <w:trPr>
          <w:trHeight w:val="495" w:hRule="atLeast"/>
        </w:trPr>
        <w:tc>
          <w:tcPr>
            <w:tcW w:w="142" w:type="dxa"/>
            <w:noWrap w:val="0"/>
            <w:vAlign w:val="center"/>
          </w:tcPr>
          <w:p w14:paraId="5E0AD6C9">
            <w:pPr>
              <w:widowControl/>
              <w:jc w:val="left"/>
              <w:rPr>
                <w:rFonts w:ascii="Times New Roman" w:hAnsi="Times New Roman" w:eastAsia="Times New Roman"/>
                <w:kern w:val="0"/>
                <w:sz w:val="20"/>
                <w:szCs w:val="20"/>
                <w:highlight w:val="none"/>
              </w:rPr>
            </w:pPr>
          </w:p>
        </w:tc>
      </w:tr>
    </w:tbl>
    <w:p w14:paraId="394242E1">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7DDC79FD">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84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530.00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84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530.00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3CEDF129">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4960E496">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05B143E8">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7042C47">
      <w:pPr>
        <w:ind w:firstLine="600" w:firstLineChars="200"/>
        <w:jc w:val="left"/>
        <w:rPr>
          <w:rFonts w:hint="eastAsia" w:ascii="仿宋_GB2312" w:hAnsi="黑体" w:eastAsia="仿宋_GB2312" w:cs="方正小标宋简体"/>
          <w:color w:val="FF0000"/>
          <w:sz w:val="30"/>
          <w:szCs w:val="30"/>
          <w:highlight w:val="none"/>
        </w:rPr>
      </w:pPr>
      <w:r>
        <w:rPr>
          <w:rFonts w:hint="eastAsia" w:ascii="仿宋_GB2312" w:hAnsi="黑体" w:eastAsia="仿宋_GB2312" w:cs="方正小标宋简体"/>
          <w:sz w:val="30"/>
          <w:szCs w:val="30"/>
          <w:highlight w:val="none"/>
          <w:lang w:val="en-US" w:eastAsia="zh-CN"/>
        </w:rPr>
        <w:t>无</w:t>
      </w:r>
    </w:p>
    <w:p w14:paraId="2CB29324">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12B5252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0D13B890">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5A643DE4">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4C50BEAC">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7F6B1486">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4504CC92">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0BD5B1DC">
      <w:pPr>
        <w:rPr>
          <w:rFonts w:hint="default" w:eastAsia="宋体"/>
          <w:highlight w:val="none"/>
          <w:lang w:val="en-US" w:eastAsia="zh-CN"/>
        </w:rPr>
      </w:pPr>
    </w:p>
    <w:p w14:paraId="16A7B95C">
      <w:pPr>
        <w:rPr>
          <w:rFonts w:ascii="Arial" w:hAnsi="Arial" w:eastAsia="Arial" w:cs="Arial"/>
          <w:b/>
          <w:sz w:val="36"/>
        </w:rPr>
      </w:pPr>
      <w:r>
        <w:rPr>
          <w:rFonts w:ascii="Arial" w:hAnsi="Arial" w:eastAsia="Arial" w:cs="Arial"/>
          <w:b/>
          <w:sz w:val="36"/>
        </w:rPr>
        <w:t>监督索引号53042300136001801111</w:t>
      </w:r>
    </w:p>
    <w:p w14:paraId="56EFD0C7">
      <w:pPr>
        <w:rPr>
          <w:rFonts w:ascii="Arial" w:hAnsi="Arial" w:eastAsia="Arial" w:cs="Arial"/>
          <w:b/>
          <w:sz w:val="36"/>
        </w:rPr>
      </w:pPr>
      <w:bookmarkStart w:id="0" w:name="_GoBack"/>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B12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9856D6">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59856D6">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031E">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58F5E3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2C5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221D6B"/>
    <w:rsid w:val="21237657"/>
    <w:rsid w:val="32CF4414"/>
    <w:rsid w:val="44444823"/>
    <w:rsid w:val="64FA57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0"/>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5742</Words>
  <Characters>6664</Characters>
  <Lines>0</Lines>
  <Paragraphs>0</Paragraphs>
  <TotalTime>6</TotalTime>
  <ScaleCrop>false</ScaleCrop>
  <LinksUpToDate>false</LinksUpToDate>
  <CharactersWithSpaces>6687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会飞的鱼</cp:lastModifiedBy>
  <cp:lastPrinted>2024-07-30T06:24:00Z</cp:lastPrinted>
  <dcterms:modified xsi:type="dcterms:W3CDTF">2025-09-30T07:54:45Z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3E3875A8CD614081B57BE17A2C74FE70_13</vt:lpwstr>
  </property>
  <property fmtid="{D5CDD505-2E9C-101B-9397-08002B2CF9AE}" pid="3" name="KSOProductBuildVer">
    <vt:lpwstr>2052-12.1.0.19302</vt:lpwstr>
  </property>
  <property fmtid="{D5CDD505-2E9C-101B-9397-08002B2CF9AE}" pid="4" name="KSOTemplateDocerSaveRecord">
    <vt:lpwstr>eyJoZGlkIjoiOTMwZjBhOGU4ZGY1YmEwNzU2ZTZhZGYxODExMWY4MTYiLCJ1c2VySWQiOiIxMTQ4MzEyMDA4In0=</vt:lpwstr>
  </property>
</Properties>
</file>