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72450">
      <w:pPr>
        <w:rPr>
          <w:rFonts w:ascii="Arial" w:hAnsi="Arial" w:eastAsia="Arial" w:cs="Arial"/>
          <w:b/>
          <w:sz w:val="36"/>
        </w:rPr>
      </w:pPr>
      <w:r>
        <w:rPr>
          <w:rFonts w:ascii="Arial" w:hAnsi="Arial" w:eastAsia="Arial" w:cs="Arial"/>
          <w:b/>
          <w:sz w:val="36"/>
        </w:rPr>
        <w:t>监督索引号53042300533300501000</w:t>
      </w:r>
    </w:p>
    <w:p w14:paraId="7E22FBCD">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通海县名城保护管理所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BD58C48">
      <w:pPr>
        <w:jc w:val="center"/>
        <w:rPr>
          <w:rFonts w:hint="eastAsia" w:ascii="方正小标宋简体" w:hAnsi="方正小标宋简体" w:eastAsia="方正小标宋简体" w:cs="方正小标宋简体"/>
          <w:sz w:val="36"/>
          <w:szCs w:val="36"/>
          <w:highlight w:val="none"/>
        </w:rPr>
      </w:pPr>
    </w:p>
    <w:p w14:paraId="75459DC2">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0B809EAB">
      <w:pPr>
        <w:jc w:val="left"/>
        <w:rPr>
          <w:rFonts w:hint="eastAsia" w:ascii="黑体" w:hAnsi="黑体" w:eastAsia="黑体"/>
          <w:sz w:val="30"/>
          <w:szCs w:val="30"/>
          <w:highlight w:val="none"/>
        </w:rPr>
      </w:pPr>
    </w:p>
    <w:p w14:paraId="5E067531">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63A8E22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12C4959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4216417">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52981718">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5AFE0DC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615B178D">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4EC82D1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11A57B7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2D5644F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54E3B96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1FECA45C">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16842EC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32AC2BA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68B94837">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03EBA24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2823F624">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7B203DB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2B04FE5B">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0711296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40AB23DD">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13FEDB72">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439C83BF">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C8541A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493BE4E4">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C15E811">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6576FCAC">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3903635D">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4A92D194">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6387EAC7">
      <w:pPr>
        <w:jc w:val="center"/>
        <w:rPr>
          <w:rFonts w:hint="eastAsia" w:ascii="黑体" w:hAnsi="黑体" w:eastAsia="黑体"/>
          <w:sz w:val="32"/>
          <w:szCs w:val="32"/>
          <w:highlight w:val="none"/>
        </w:rPr>
      </w:pPr>
    </w:p>
    <w:p w14:paraId="186735CE">
      <w:pPr>
        <w:jc w:val="center"/>
        <w:rPr>
          <w:rFonts w:hint="eastAsia" w:ascii="黑体" w:hAnsi="黑体" w:eastAsia="黑体"/>
          <w:sz w:val="32"/>
          <w:szCs w:val="32"/>
          <w:highlight w:val="none"/>
        </w:rPr>
      </w:pPr>
    </w:p>
    <w:p w14:paraId="666FB152">
      <w:pPr>
        <w:jc w:val="center"/>
        <w:rPr>
          <w:rFonts w:hint="eastAsia" w:ascii="黑体" w:hAnsi="黑体" w:eastAsia="黑体"/>
          <w:sz w:val="32"/>
          <w:szCs w:val="32"/>
          <w:highlight w:val="none"/>
        </w:rPr>
      </w:pPr>
    </w:p>
    <w:p w14:paraId="6539DE1A">
      <w:pPr>
        <w:jc w:val="center"/>
        <w:rPr>
          <w:rFonts w:hint="eastAsia" w:ascii="黑体" w:hAnsi="黑体" w:eastAsia="黑体"/>
          <w:sz w:val="32"/>
          <w:szCs w:val="32"/>
          <w:highlight w:val="none"/>
        </w:rPr>
      </w:pPr>
    </w:p>
    <w:p w14:paraId="6E08C56A">
      <w:pPr>
        <w:jc w:val="center"/>
        <w:rPr>
          <w:rFonts w:hint="eastAsia" w:ascii="黑体" w:hAnsi="黑体" w:eastAsia="黑体"/>
          <w:sz w:val="32"/>
          <w:szCs w:val="32"/>
          <w:highlight w:val="none"/>
        </w:rPr>
      </w:pPr>
    </w:p>
    <w:p w14:paraId="08B5A89A">
      <w:pPr>
        <w:jc w:val="center"/>
        <w:rPr>
          <w:rFonts w:hint="eastAsia" w:ascii="黑体" w:hAnsi="黑体" w:eastAsia="黑体"/>
          <w:sz w:val="32"/>
          <w:szCs w:val="32"/>
          <w:highlight w:val="none"/>
        </w:rPr>
      </w:pPr>
    </w:p>
    <w:p w14:paraId="594F1892">
      <w:pPr>
        <w:jc w:val="center"/>
        <w:rPr>
          <w:rFonts w:hint="eastAsia" w:ascii="黑体" w:hAnsi="黑体" w:eastAsia="黑体"/>
          <w:sz w:val="32"/>
          <w:szCs w:val="32"/>
          <w:highlight w:val="none"/>
        </w:rPr>
      </w:pPr>
    </w:p>
    <w:p w14:paraId="1F56A38B">
      <w:pPr>
        <w:jc w:val="both"/>
        <w:rPr>
          <w:rFonts w:hint="eastAsia" w:ascii="黑体" w:hAnsi="黑体" w:eastAsia="黑体"/>
          <w:sz w:val="32"/>
          <w:szCs w:val="32"/>
          <w:highlight w:val="none"/>
        </w:rPr>
      </w:pPr>
    </w:p>
    <w:p w14:paraId="03A2F703">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2606A09B">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6554F796">
      <w:pPr>
        <w:pStyle w:val="3"/>
        <w:adjustRightInd w:val="0"/>
        <w:snapToGrid w:val="0"/>
        <w:spacing w:line="600" w:lineRule="exact"/>
        <w:ind w:firstLine="630" w:firstLineChars="210"/>
        <w:rPr>
          <w:rFonts w:hint="eastAsia"/>
          <w:bCs/>
          <w:szCs w:val="30"/>
          <w:highlight w:val="none"/>
        </w:rPr>
      </w:pPr>
      <w:r>
        <w:rPr>
          <w:rFonts w:hint="eastAsia" w:ascii="Times New Roman" w:hAnsi="Times New Roman" w:eastAsia="仿宋" w:cs="Times New Roman"/>
          <w:color w:val="auto"/>
          <w:kern w:val="2"/>
          <w:sz w:val="30"/>
          <w:lang w:val="en-US"/>
        </w:rPr>
        <w:t>贯彻实施和宣传国家、省、市、县有关历史文化名城、名镇、名村保护的法律、法规和方针政策；拟订我县历史文化名城保护相关规范性文件及技术标准；指导、监督乡镇（街道）依法做好历史文化名城、名镇、名村的保护管理工作；指导乡镇（街道）开展历史建筑普查、评定、建档、保护标志设置、修缮、安全检查等工作；按照已批准的保护规划制定我县历史文化街区、历史建筑的保护修缮计划和措施；配合相关职能部门对历史文化街区建设项目进行审查；争取国家、省、市对名城保护的资金投入。</w:t>
      </w:r>
    </w:p>
    <w:p w14:paraId="75EC9C80">
      <w:pPr>
        <w:spacing w:line="600" w:lineRule="exact"/>
        <w:ind w:firstLine="600" w:firstLineChars="200"/>
        <w:outlineLvl w:val="1"/>
        <w:rPr>
          <w:rFonts w:hint="eastAsia" w:ascii="黑体" w:hAnsi="黑体" w:eastAsia="黑体"/>
          <w:sz w:val="30"/>
          <w:szCs w:val="30"/>
          <w:highlight w:val="none"/>
        </w:rPr>
      </w:pPr>
      <w:r>
        <w:rPr>
          <w:rFonts w:hint="eastAsia" w:ascii="黑体" w:hAnsi="黑体" w:eastAsia="黑体"/>
          <w:sz w:val="30"/>
          <w:szCs w:val="30"/>
          <w:highlight w:val="none"/>
        </w:rPr>
        <w:t>二、基本情况</w:t>
      </w:r>
    </w:p>
    <w:p w14:paraId="7F345E05">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4E53B9B0">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我单位共设置0个内设机构。</w:t>
      </w:r>
    </w:p>
    <w:p w14:paraId="1878B31D">
      <w:pPr>
        <w:spacing w:line="600" w:lineRule="exact"/>
        <w:ind w:firstLine="600" w:firstLineChars="200"/>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我单位为基层预算单位，无下属单位。</w:t>
      </w:r>
    </w:p>
    <w:p w14:paraId="4138B36C">
      <w:pPr>
        <w:spacing w:line="600" w:lineRule="exact"/>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0CA0FB19">
      <w:pPr>
        <w:spacing w:line="600" w:lineRule="exact"/>
        <w:ind w:firstLine="600" w:firstLineChars="200"/>
        <w:rPr>
          <w:rFonts w:hint="eastAsia" w:ascii="仿宋_GB2312" w:eastAsia="仿宋_GB2312"/>
          <w:sz w:val="30"/>
          <w:szCs w:val="30"/>
          <w:highlight w:val="none"/>
        </w:rPr>
      </w:pPr>
      <w:r>
        <w:rPr>
          <w:rFonts w:hint="eastAsia" w:ascii="仿宋_GB2312" w:eastAsia="仿宋_GB2312"/>
          <w:sz w:val="30"/>
          <w:szCs w:val="30"/>
          <w:highlight w:val="none"/>
          <w:lang w:eastAsia="zh-CN"/>
        </w:rPr>
        <w:t>我单位作为</w:t>
      </w:r>
      <w:r>
        <w:rPr>
          <w:rFonts w:hint="eastAsia" w:ascii="仿宋_GB2312" w:eastAsia="仿宋_GB2312"/>
          <w:sz w:val="30"/>
          <w:szCs w:val="30"/>
          <w:highlight w:val="none"/>
          <w:lang w:val="en-US" w:eastAsia="zh-CN"/>
        </w:rPr>
        <w:t>通海县住房和城乡建设局的</w:t>
      </w:r>
      <w:r>
        <w:rPr>
          <w:rFonts w:hint="eastAsia" w:ascii="仿宋_GB2312" w:eastAsia="仿宋_GB2312"/>
          <w:sz w:val="30"/>
          <w:szCs w:val="30"/>
          <w:highlight w:val="none"/>
          <w:lang w:eastAsia="zh-CN"/>
        </w:rPr>
        <w:t>二级预算单位</w:t>
      </w:r>
      <w:r>
        <w:rPr>
          <w:rFonts w:hint="eastAsia" w:ascii="仿宋_GB2312" w:eastAsia="仿宋_GB2312"/>
          <w:sz w:val="30"/>
          <w:szCs w:val="30"/>
          <w:highlight w:val="none"/>
        </w:rPr>
        <w:t>纳入</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w:t>
      </w:r>
      <w:r>
        <w:rPr>
          <w:rFonts w:hint="eastAsia" w:ascii="仿宋_GB2312" w:eastAsia="仿宋_GB2312"/>
          <w:sz w:val="30"/>
          <w:szCs w:val="30"/>
          <w:highlight w:val="none"/>
          <w:lang w:eastAsia="zh-CN"/>
        </w:rPr>
        <w:t>范围</w:t>
      </w:r>
      <w:r>
        <w:rPr>
          <w:rFonts w:hint="eastAsia" w:ascii="仿宋_GB2312" w:eastAsia="仿宋_GB2312"/>
          <w:sz w:val="30"/>
          <w:szCs w:val="30"/>
          <w:highlight w:val="none"/>
        </w:rPr>
        <w:t>。</w:t>
      </w:r>
    </w:p>
    <w:p w14:paraId="15A470D9">
      <w:pPr>
        <w:ind w:firstLine="600" w:firstLineChars="200"/>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56DCCFC5">
      <w:pPr>
        <w:spacing w:line="600" w:lineRule="exact"/>
        <w:ind w:firstLine="600" w:firstLineChars="200"/>
        <w:rPr>
          <w:rFonts w:hint="eastAsia" w:ascii="仿宋_GB2312" w:hAnsi="宋体" w:eastAsia="仿宋_GB2312" w:cs="Arial"/>
          <w:kern w:val="0"/>
          <w:sz w:val="30"/>
          <w:szCs w:val="30"/>
          <w:highlight w:val="none"/>
          <w:lang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编制内</w:t>
      </w:r>
      <w:r>
        <w:rPr>
          <w:rFonts w:hint="eastAsia" w:ascii="仿宋_GB2312" w:eastAsia="仿宋_GB2312"/>
          <w:sz w:val="30"/>
          <w:szCs w:val="30"/>
          <w:highlight w:val="none"/>
        </w:rPr>
        <w:t>实有人员</w:t>
      </w:r>
      <w:r>
        <w:rPr>
          <w:rFonts w:hint="eastAsia" w:ascii="仿宋_GB2312" w:hAnsi="仿宋_GB2312" w:eastAsia="仿宋_GB2312" w:cs="仿宋_GB2312"/>
          <w:color w:val="auto"/>
          <w:sz w:val="30"/>
          <w:szCs w:val="30"/>
          <w:lang w:val="en-US" w:eastAsia="zh-CN"/>
        </w:rPr>
        <w:t>6</w:t>
      </w:r>
      <w:r>
        <w:rPr>
          <w:rFonts w:hint="eastAsia" w:ascii="仿宋_GB2312" w:hAnsi="宋体" w:eastAsia="仿宋_GB2312" w:cs="Arial"/>
          <w:kern w:val="0"/>
          <w:sz w:val="30"/>
          <w:szCs w:val="30"/>
          <w:highlight w:val="none"/>
        </w:rPr>
        <w:t>人。</w:t>
      </w:r>
      <w:r>
        <w:rPr>
          <w:rFonts w:hint="eastAsia" w:ascii="仿宋_GB2312" w:hAnsi="宋体" w:eastAsia="仿宋_GB2312" w:cs="Arial"/>
          <w:b w:val="0"/>
          <w:bCs w:val="0"/>
          <w:kern w:val="0"/>
          <w:sz w:val="30"/>
          <w:szCs w:val="30"/>
          <w:highlight w:val="none"/>
          <w:lang w:eastAsia="zh-CN"/>
        </w:rPr>
        <w:t>包括</w:t>
      </w:r>
      <w:r>
        <w:rPr>
          <w:rFonts w:hint="eastAsia" w:ascii="仿宋_GB2312" w:hAnsi="宋体" w:eastAsia="仿宋_GB2312" w:cs="Arial"/>
          <w:kern w:val="0"/>
          <w:sz w:val="30"/>
          <w:szCs w:val="30"/>
          <w:highlight w:val="none"/>
          <w:lang w:eastAsia="zh-CN"/>
        </w:rPr>
        <w:t>财政拨款开支经费的</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6</w:t>
      </w:r>
      <w:r>
        <w:rPr>
          <w:rFonts w:hint="eastAsia" w:ascii="仿宋_GB2312" w:hAnsi="宋体" w:eastAsia="仿宋_GB2312" w:cs="Arial"/>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p>
    <w:p w14:paraId="00F10570">
      <w:pPr>
        <w:spacing w:line="600" w:lineRule="exact"/>
        <w:ind w:firstLine="600" w:firstLineChars="200"/>
        <w:rPr>
          <w:rFonts w:hint="eastAsia" w:ascii="仿宋_GB2312" w:hAnsi="宋体" w:eastAsia="仿宋_GB2312" w:cs="Arial"/>
          <w:kern w:val="0"/>
          <w:sz w:val="30"/>
          <w:szCs w:val="30"/>
          <w:highlight w:val="none"/>
          <w:lang w:val="en-US" w:eastAsia="zh-CN"/>
        </w:rPr>
      </w:pPr>
      <w:r>
        <w:rPr>
          <w:rFonts w:hint="eastAsia" w:ascii="仿宋_GB2312" w:eastAsia="仿宋_GB2312"/>
          <w:sz w:val="30"/>
          <w:szCs w:val="30"/>
          <w:highlight w:val="none"/>
          <w:lang w:eastAsia="zh-CN"/>
        </w:rPr>
        <w:t>我单位</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年末</w:t>
      </w:r>
      <w:r>
        <w:rPr>
          <w:rFonts w:hint="eastAsia" w:ascii="仿宋_GB2312" w:eastAsia="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eastAsia="仿宋_GB2312"/>
          <w:sz w:val="30"/>
          <w:szCs w:val="30"/>
          <w:highlight w:val="none"/>
          <w:lang w:eastAsia="zh-CN"/>
        </w:rPr>
        <w:t>人。</w:t>
      </w:r>
    </w:p>
    <w:p w14:paraId="584AE671">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lang w:eastAsia="zh-CN"/>
        </w:rPr>
        <w:t>年末尚未移交</w:t>
      </w:r>
      <w:r>
        <w:rPr>
          <w:rFonts w:hint="eastAsia" w:ascii="仿宋_GB2312" w:hAnsi="宋体" w:eastAsia="仿宋_GB2312" w:cs="Arial"/>
          <w:kern w:val="0"/>
          <w:sz w:val="30"/>
          <w:szCs w:val="30"/>
          <w:highlight w:val="none"/>
        </w:rPr>
        <w:t>养老保险基金发放养老金的离退休人员</w:t>
      </w:r>
      <w:r>
        <w:rPr>
          <w:rFonts w:hint="eastAsia" w:ascii="仿宋_GB2312" w:hAnsi="宋体" w:eastAsia="仿宋_GB2312" w:cs="Arial"/>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）。年末</w:t>
      </w:r>
      <w:r>
        <w:rPr>
          <w:rFonts w:hint="eastAsia" w:ascii="仿宋_GB2312" w:hAnsi="宋体" w:eastAsia="仿宋_GB2312" w:cs="Arial"/>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lang w:val="en-US" w:eastAsia="zh-CN"/>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宋体" w:eastAsia="仿宋_GB2312" w:cs="Arial"/>
          <w:kern w:val="0"/>
          <w:sz w:val="30"/>
          <w:szCs w:val="30"/>
          <w:highlight w:val="none"/>
        </w:rPr>
        <w:t>人</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w:t>
      </w:r>
    </w:p>
    <w:p w14:paraId="3633A5B6">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车辆编制0辆，在编实有车辆0辆，超编0辆。</w:t>
      </w:r>
    </w:p>
    <w:p w14:paraId="4E1B48B9">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041910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rightChars="0" w:firstLine="600" w:firstLineChars="200"/>
        <w:jc w:val="both"/>
        <w:textAlignment w:val="auto"/>
        <w:outlineLvl w:val="9"/>
        <w:rPr>
          <w:rFonts w:hint="default" w:ascii="仿宋_GB2312" w:hAnsi="Times New Roman" w:eastAsia="仿宋_GB2312" w:cs="Times New Roman"/>
          <w:kern w:val="2"/>
          <w:sz w:val="30"/>
          <w:szCs w:val="30"/>
          <w:highlight w:val="none"/>
          <w:lang w:val="en-US" w:eastAsia="zh-CN" w:bidi="ar-SA"/>
        </w:rPr>
      </w:pPr>
      <w:r>
        <w:rPr>
          <w:rFonts w:hint="default" w:ascii="仿宋_GB2312" w:hAnsi="Times New Roman" w:eastAsia="仿宋_GB2312" w:cs="Times New Roman"/>
          <w:kern w:val="2"/>
          <w:sz w:val="30"/>
          <w:szCs w:val="30"/>
          <w:highlight w:val="none"/>
          <w:lang w:val="en-US" w:eastAsia="zh-CN" w:bidi="ar-SA"/>
        </w:rPr>
        <w:t>一是修订《通海历史文化名城保护办法》，</w:t>
      </w:r>
      <w:r>
        <w:rPr>
          <w:rFonts w:hint="eastAsia" w:ascii="仿宋_GB2312" w:hAnsi="Times New Roman" w:eastAsia="仿宋_GB2312" w:cs="Times New Roman"/>
          <w:kern w:val="2"/>
          <w:sz w:val="30"/>
          <w:szCs w:val="30"/>
          <w:highlight w:val="none"/>
          <w:lang w:val="en-US" w:eastAsia="zh-CN" w:bidi="ar-SA"/>
        </w:rPr>
        <w:t>于4月1日起施行。二是</w:t>
      </w:r>
      <w:r>
        <w:rPr>
          <w:rFonts w:hint="default" w:ascii="仿宋_GB2312" w:hAnsi="Times New Roman" w:eastAsia="仿宋_GB2312" w:cs="Times New Roman"/>
          <w:kern w:val="2"/>
          <w:sz w:val="30"/>
          <w:szCs w:val="30"/>
          <w:highlight w:val="none"/>
          <w:lang w:val="en-US" w:eastAsia="zh-CN" w:bidi="ar-SA"/>
        </w:rPr>
        <w:t>《通海历史文化名城保护条例》纳入</w:t>
      </w:r>
      <w:r>
        <w:rPr>
          <w:rFonts w:hint="eastAsia" w:ascii="仿宋_GB2312" w:hAnsi="Times New Roman" w:eastAsia="仿宋_GB2312" w:cs="Times New Roman"/>
          <w:kern w:val="2"/>
          <w:sz w:val="30"/>
          <w:szCs w:val="30"/>
          <w:highlight w:val="none"/>
          <w:lang w:val="en-US" w:eastAsia="zh-CN" w:bidi="ar-SA"/>
        </w:rPr>
        <w:t>了</w:t>
      </w:r>
      <w:r>
        <w:rPr>
          <w:rFonts w:hint="default" w:ascii="仿宋_GB2312" w:hAnsi="Times New Roman" w:eastAsia="仿宋_GB2312" w:cs="Times New Roman"/>
          <w:kern w:val="2"/>
          <w:sz w:val="30"/>
          <w:szCs w:val="30"/>
          <w:highlight w:val="none"/>
          <w:lang w:val="en-US" w:eastAsia="zh-CN" w:bidi="ar-SA"/>
        </w:rPr>
        <w:t>市人大常委会</w:t>
      </w:r>
      <w:r>
        <w:rPr>
          <w:rFonts w:hint="eastAsia" w:ascii="仿宋_GB2312" w:hAnsi="Times New Roman" w:eastAsia="仿宋_GB2312" w:cs="Times New Roman"/>
          <w:kern w:val="2"/>
          <w:sz w:val="30"/>
          <w:szCs w:val="30"/>
          <w:highlight w:val="none"/>
          <w:lang w:val="en-US" w:eastAsia="zh-CN" w:bidi="ar-SA"/>
        </w:rPr>
        <w:t>2024</w:t>
      </w:r>
      <w:r>
        <w:rPr>
          <w:rFonts w:hint="default" w:ascii="仿宋_GB2312" w:hAnsi="Times New Roman" w:eastAsia="仿宋_GB2312" w:cs="Times New Roman"/>
          <w:kern w:val="2"/>
          <w:sz w:val="30"/>
          <w:szCs w:val="30"/>
          <w:highlight w:val="none"/>
          <w:lang w:val="en-US" w:eastAsia="zh-CN" w:bidi="ar-SA"/>
        </w:rPr>
        <w:t>年立法</w:t>
      </w:r>
      <w:r>
        <w:rPr>
          <w:rFonts w:hint="eastAsia" w:ascii="仿宋_GB2312" w:hAnsi="Times New Roman" w:eastAsia="仿宋_GB2312" w:cs="Times New Roman"/>
          <w:kern w:val="2"/>
          <w:sz w:val="30"/>
          <w:szCs w:val="30"/>
          <w:highlight w:val="none"/>
          <w:lang w:val="en-US" w:eastAsia="zh-CN" w:bidi="ar-SA"/>
        </w:rPr>
        <w:t>预备项目，目前成立了立法工作专班，已形成《条例》初稿，并征询县级相关部门及乡镇（街道）意见，计划年内完成县级审查程序。三是</w:t>
      </w:r>
      <w:r>
        <w:rPr>
          <w:rFonts w:hint="default" w:ascii="仿宋_GB2312" w:hAnsi="Times New Roman" w:eastAsia="仿宋_GB2312" w:cs="Times New Roman"/>
          <w:kern w:val="2"/>
          <w:sz w:val="30"/>
          <w:szCs w:val="30"/>
          <w:highlight w:val="none"/>
          <w:lang w:val="en-US" w:eastAsia="zh-CN" w:bidi="ar-SA"/>
        </w:rPr>
        <w:t>加强</w:t>
      </w:r>
      <w:r>
        <w:rPr>
          <w:rFonts w:hint="eastAsia" w:ascii="仿宋_GB2312" w:hAnsi="Times New Roman" w:eastAsia="仿宋_GB2312" w:cs="Times New Roman"/>
          <w:kern w:val="2"/>
          <w:sz w:val="30"/>
          <w:szCs w:val="30"/>
          <w:highlight w:val="none"/>
          <w:lang w:val="en-US" w:eastAsia="zh-CN" w:bidi="ar-SA"/>
        </w:rPr>
        <w:t>校地</w:t>
      </w:r>
      <w:r>
        <w:rPr>
          <w:rFonts w:hint="default" w:ascii="仿宋_GB2312" w:hAnsi="Times New Roman" w:eastAsia="仿宋_GB2312" w:cs="Times New Roman"/>
          <w:kern w:val="2"/>
          <w:sz w:val="30"/>
          <w:szCs w:val="30"/>
          <w:highlight w:val="none"/>
          <w:lang w:val="en-US" w:eastAsia="zh-CN" w:bidi="ar-SA"/>
        </w:rPr>
        <w:t>产学研合作</w:t>
      </w:r>
      <w:r>
        <w:rPr>
          <w:rFonts w:hint="eastAsia" w:ascii="仿宋_GB2312" w:hAnsi="Times New Roman" w:eastAsia="仿宋_GB2312" w:cs="Times New Roman"/>
          <w:kern w:val="2"/>
          <w:sz w:val="30"/>
          <w:szCs w:val="30"/>
          <w:highlight w:val="none"/>
          <w:lang w:val="en-US" w:eastAsia="zh-CN" w:bidi="ar-SA"/>
        </w:rPr>
        <w:t>，与</w:t>
      </w:r>
      <w:r>
        <w:rPr>
          <w:rFonts w:hint="default" w:ascii="仿宋_GB2312" w:hAnsi="Times New Roman" w:eastAsia="仿宋_GB2312" w:cs="Times New Roman"/>
          <w:kern w:val="2"/>
          <w:sz w:val="30"/>
          <w:szCs w:val="30"/>
          <w:highlight w:val="none"/>
          <w:lang w:val="en-US" w:eastAsia="zh-CN" w:bidi="ar-SA"/>
        </w:rPr>
        <w:t>云南大学签订</w:t>
      </w:r>
      <w:r>
        <w:rPr>
          <w:rFonts w:hint="eastAsia" w:ascii="仿宋_GB2312" w:hAnsi="Times New Roman" w:eastAsia="仿宋_GB2312" w:cs="Times New Roman"/>
          <w:kern w:val="2"/>
          <w:sz w:val="30"/>
          <w:szCs w:val="30"/>
          <w:highlight w:val="none"/>
          <w:lang w:val="en-US" w:eastAsia="zh-CN" w:bidi="ar-SA"/>
        </w:rPr>
        <w:t>《战略</w:t>
      </w:r>
      <w:r>
        <w:rPr>
          <w:rFonts w:hint="default" w:ascii="仿宋_GB2312" w:hAnsi="Times New Roman" w:eastAsia="仿宋_GB2312" w:cs="Times New Roman"/>
          <w:kern w:val="2"/>
          <w:sz w:val="30"/>
          <w:szCs w:val="30"/>
          <w:highlight w:val="none"/>
          <w:lang w:val="en-US" w:eastAsia="zh-CN" w:bidi="ar-SA"/>
        </w:rPr>
        <w:t>合作协议</w:t>
      </w:r>
      <w:r>
        <w:rPr>
          <w:rFonts w:hint="eastAsia" w:ascii="仿宋_GB2312" w:hAnsi="Times New Roman" w:eastAsia="仿宋_GB2312" w:cs="Times New Roman"/>
          <w:kern w:val="2"/>
          <w:sz w:val="30"/>
          <w:szCs w:val="30"/>
          <w:highlight w:val="none"/>
          <w:lang w:val="en-US" w:eastAsia="zh-CN" w:bidi="ar-SA"/>
        </w:rPr>
        <w:t>》。四是加快推进</w:t>
      </w:r>
      <w:r>
        <w:rPr>
          <w:rFonts w:hint="default" w:ascii="仿宋_GB2312" w:hAnsi="Times New Roman" w:eastAsia="仿宋_GB2312" w:cs="Times New Roman"/>
          <w:kern w:val="2"/>
          <w:sz w:val="30"/>
          <w:szCs w:val="30"/>
          <w:highlight w:val="none"/>
          <w:lang w:val="en-US" w:eastAsia="zh-CN" w:bidi="ar-SA"/>
        </w:rPr>
        <w:t>《通海历史文化名城保护规划》</w:t>
      </w:r>
      <w:r>
        <w:rPr>
          <w:rFonts w:hint="eastAsia" w:ascii="仿宋_GB2312" w:hAnsi="Times New Roman" w:eastAsia="仿宋_GB2312" w:cs="Times New Roman"/>
          <w:kern w:val="2"/>
          <w:sz w:val="30"/>
          <w:szCs w:val="30"/>
          <w:highlight w:val="none"/>
          <w:lang w:val="en-US" w:eastAsia="zh-CN" w:bidi="ar-SA"/>
        </w:rPr>
        <w:t>、</w:t>
      </w:r>
      <w:r>
        <w:rPr>
          <w:rFonts w:hint="default" w:ascii="仿宋_GB2312" w:hAnsi="Times New Roman" w:eastAsia="仿宋_GB2312" w:cs="Times New Roman"/>
          <w:kern w:val="2"/>
          <w:sz w:val="30"/>
          <w:szCs w:val="30"/>
          <w:highlight w:val="none"/>
          <w:lang w:val="en-US" w:eastAsia="zh-CN" w:bidi="ar-SA"/>
        </w:rPr>
        <w:t>《通海</w:t>
      </w:r>
      <w:r>
        <w:rPr>
          <w:rFonts w:hint="eastAsia" w:ascii="仿宋_GB2312" w:hAnsi="Times New Roman" w:eastAsia="仿宋_GB2312" w:cs="Times New Roman"/>
          <w:kern w:val="2"/>
          <w:sz w:val="30"/>
          <w:szCs w:val="30"/>
          <w:highlight w:val="none"/>
          <w:lang w:val="en-US" w:eastAsia="zh-CN" w:bidi="ar-SA"/>
        </w:rPr>
        <w:t>县御城</w:t>
      </w:r>
      <w:r>
        <w:rPr>
          <w:rFonts w:hint="default" w:ascii="仿宋_GB2312" w:hAnsi="Times New Roman" w:eastAsia="仿宋_GB2312" w:cs="Times New Roman"/>
          <w:kern w:val="2"/>
          <w:sz w:val="30"/>
          <w:szCs w:val="30"/>
          <w:highlight w:val="none"/>
          <w:lang w:val="en-US" w:eastAsia="zh-CN" w:bidi="ar-SA"/>
        </w:rPr>
        <w:t>历史文化</w:t>
      </w:r>
      <w:r>
        <w:rPr>
          <w:rFonts w:hint="eastAsia" w:ascii="仿宋_GB2312" w:hAnsi="Times New Roman" w:eastAsia="仿宋_GB2312" w:cs="Times New Roman"/>
          <w:kern w:val="2"/>
          <w:sz w:val="30"/>
          <w:szCs w:val="30"/>
          <w:highlight w:val="none"/>
          <w:lang w:val="en-US" w:eastAsia="zh-CN" w:bidi="ar-SA"/>
        </w:rPr>
        <w:t>街</w:t>
      </w:r>
      <w:r>
        <w:rPr>
          <w:rFonts w:hint="default" w:ascii="仿宋_GB2312" w:hAnsi="Times New Roman" w:eastAsia="仿宋_GB2312" w:cs="Times New Roman"/>
          <w:kern w:val="2"/>
          <w:sz w:val="30"/>
          <w:szCs w:val="30"/>
          <w:highlight w:val="none"/>
          <w:lang w:val="en-US" w:eastAsia="zh-CN" w:bidi="ar-SA"/>
        </w:rPr>
        <w:t>区保护规划》</w:t>
      </w:r>
      <w:r>
        <w:rPr>
          <w:rFonts w:hint="eastAsia" w:ascii="仿宋_GB2312" w:hAnsi="Times New Roman" w:eastAsia="仿宋_GB2312" w:cs="Times New Roman"/>
          <w:kern w:val="2"/>
          <w:sz w:val="30"/>
          <w:szCs w:val="30"/>
          <w:highlight w:val="none"/>
          <w:lang w:val="en-US" w:eastAsia="zh-CN" w:bidi="ar-SA"/>
        </w:rPr>
        <w:t>和《通海县旧县历史文化街区保护规划》编制工作，已完成县级和市级的审查程序，目前，市住建局正报请市政府上报省政府审查。五是不断</w:t>
      </w:r>
      <w:r>
        <w:rPr>
          <w:rFonts w:hint="default" w:ascii="仿宋_GB2312" w:hAnsi="Times New Roman" w:eastAsia="仿宋_GB2312" w:cs="Times New Roman"/>
          <w:kern w:val="2"/>
          <w:sz w:val="30"/>
          <w:szCs w:val="30"/>
          <w:highlight w:val="none"/>
          <w:lang w:val="en-US" w:eastAsia="zh-CN" w:bidi="ar-SA"/>
        </w:rPr>
        <w:t>巩固物防</w:t>
      </w:r>
      <w:r>
        <w:rPr>
          <w:rFonts w:hint="eastAsia" w:ascii="仿宋_GB2312" w:hAnsi="Times New Roman" w:eastAsia="仿宋_GB2312" w:cs="Times New Roman"/>
          <w:kern w:val="2"/>
          <w:sz w:val="30"/>
          <w:szCs w:val="30"/>
          <w:highlight w:val="none"/>
          <w:lang w:val="en-US" w:eastAsia="zh-CN" w:bidi="ar-SA"/>
        </w:rPr>
        <w:t>基础</w:t>
      </w:r>
      <w:r>
        <w:rPr>
          <w:rFonts w:hint="default" w:ascii="仿宋_GB2312" w:hAnsi="Times New Roman" w:eastAsia="仿宋_GB2312" w:cs="Times New Roman"/>
          <w:kern w:val="2"/>
          <w:sz w:val="30"/>
          <w:szCs w:val="30"/>
          <w:highlight w:val="none"/>
          <w:lang w:val="en-US" w:eastAsia="zh-CN" w:bidi="ar-SA"/>
        </w:rPr>
        <w:t>，</w:t>
      </w:r>
      <w:r>
        <w:rPr>
          <w:rFonts w:hint="eastAsia" w:ascii="仿宋_GB2312" w:hAnsi="Times New Roman" w:eastAsia="仿宋_GB2312" w:cs="Times New Roman"/>
          <w:kern w:val="2"/>
          <w:sz w:val="30"/>
          <w:szCs w:val="30"/>
          <w:highlight w:val="none"/>
          <w:lang w:val="en-US" w:eastAsia="zh-CN" w:bidi="ar-SA"/>
        </w:rPr>
        <w:t>古城建设“一栓一站”30套，全面配齐全县111处历史建筑灭火器，补齐名城、名镇消防短板</w:t>
      </w:r>
      <w:r>
        <w:rPr>
          <w:rFonts w:hint="default" w:ascii="仿宋_GB2312" w:hAnsi="Times New Roman" w:eastAsia="仿宋_GB2312" w:cs="Times New Roman"/>
          <w:kern w:val="2"/>
          <w:sz w:val="30"/>
          <w:szCs w:val="30"/>
          <w:highlight w:val="none"/>
          <w:lang w:val="en-US" w:eastAsia="zh-CN" w:bidi="ar-SA"/>
        </w:rPr>
        <w:t>。</w:t>
      </w:r>
      <w:r>
        <w:rPr>
          <w:rFonts w:hint="eastAsia" w:ascii="仿宋_GB2312" w:hAnsi="Times New Roman" w:eastAsia="仿宋_GB2312" w:cs="Times New Roman"/>
          <w:kern w:val="2"/>
          <w:sz w:val="30"/>
          <w:szCs w:val="30"/>
          <w:highlight w:val="none"/>
          <w:lang w:val="en-US" w:eastAsia="zh-CN" w:bidi="ar-SA"/>
        </w:rPr>
        <w:t>六是进一步凝聚部门合力，优化审批流程，以联审联批上门服务的方式进行历史城区内民房建设的审批工作，目前已完成审批47院（验收11院，正在修缮36院），待审批1院，最快的半天完成户主的审批工作。七是联合文旅部门谋划包装“通海古城历史文化街区保护提升项目”，项目总投资9000万元（其中，争取中央预算内资金7200万元），已委托金埔园林完成项目可研、初设、实施方案等编制工作，在国家发改委提级论证阶段因云南属于12个债务高风险省份，提级论证未通过，目前，正在开展历史建筑、传统风貌建筑和街立面的三维立体测绘工作。八是</w:t>
      </w:r>
      <w:r>
        <w:rPr>
          <w:rFonts w:hint="default" w:ascii="仿宋_GB2312" w:hAnsi="Times New Roman" w:eastAsia="仿宋_GB2312" w:cs="Times New Roman"/>
          <w:kern w:val="2"/>
          <w:sz w:val="30"/>
          <w:szCs w:val="30"/>
          <w:highlight w:val="none"/>
          <w:lang w:val="en-US" w:eastAsia="zh-CN" w:bidi="ar-SA"/>
        </w:rPr>
        <w:t>争取</w:t>
      </w:r>
      <w:r>
        <w:rPr>
          <w:rFonts w:hint="eastAsia" w:ascii="仿宋_GB2312" w:hAnsi="Times New Roman" w:eastAsia="仿宋_GB2312" w:cs="Times New Roman"/>
          <w:kern w:val="2"/>
          <w:sz w:val="30"/>
          <w:szCs w:val="30"/>
          <w:highlight w:val="none"/>
          <w:lang w:val="en-US" w:eastAsia="zh-CN" w:bidi="ar-SA"/>
        </w:rPr>
        <w:t>到住房和城乡建设部和</w:t>
      </w:r>
      <w:r>
        <w:rPr>
          <w:rFonts w:hint="eastAsia" w:ascii="仿宋_GB2312" w:eastAsia="仿宋_GB2312" w:cs="Times New Roman"/>
          <w:kern w:val="2"/>
          <w:sz w:val="30"/>
          <w:szCs w:val="30"/>
          <w:highlight w:val="none"/>
          <w:lang w:val="en-US" w:eastAsia="zh-CN" w:bidi="ar-SA"/>
        </w:rPr>
        <w:t>中央广播电视总台</w:t>
      </w:r>
      <w:r>
        <w:rPr>
          <w:rFonts w:hint="eastAsia" w:ascii="仿宋_GB2312" w:hAnsi="Times New Roman" w:eastAsia="仿宋_GB2312" w:cs="Times New Roman"/>
          <w:kern w:val="2"/>
          <w:sz w:val="30"/>
          <w:szCs w:val="30"/>
          <w:highlight w:val="none"/>
          <w:lang w:val="en-US" w:eastAsia="zh-CN" w:bidi="ar-SA"/>
        </w:rPr>
        <w:t>大型纪录片</w:t>
      </w:r>
      <w:r>
        <w:rPr>
          <w:rFonts w:hint="default" w:ascii="仿宋_GB2312" w:hAnsi="Times New Roman" w:eastAsia="仿宋_GB2312" w:cs="Times New Roman"/>
          <w:kern w:val="2"/>
          <w:sz w:val="30"/>
          <w:szCs w:val="30"/>
          <w:highlight w:val="none"/>
          <w:lang w:val="en-US" w:eastAsia="zh-CN" w:bidi="ar-SA"/>
        </w:rPr>
        <w:t>《文脉春秋》国家历史文化名城系列节目</w:t>
      </w:r>
      <w:r>
        <w:rPr>
          <w:rFonts w:hint="eastAsia" w:ascii="仿宋_GB2312" w:hAnsi="Times New Roman" w:eastAsia="仿宋_GB2312" w:cs="Times New Roman"/>
          <w:kern w:val="2"/>
          <w:sz w:val="30"/>
          <w:szCs w:val="30"/>
          <w:highlight w:val="none"/>
          <w:lang w:val="en-US" w:eastAsia="zh-CN" w:bidi="ar-SA"/>
        </w:rPr>
        <w:t>2024年的</w:t>
      </w:r>
      <w:r>
        <w:rPr>
          <w:rFonts w:hint="default" w:ascii="仿宋_GB2312" w:hAnsi="Times New Roman" w:eastAsia="仿宋_GB2312" w:cs="Times New Roman"/>
          <w:kern w:val="2"/>
          <w:sz w:val="30"/>
          <w:szCs w:val="30"/>
          <w:highlight w:val="none"/>
          <w:lang w:val="en-US" w:eastAsia="zh-CN" w:bidi="ar-SA"/>
        </w:rPr>
        <w:t>拍摄</w:t>
      </w:r>
      <w:r>
        <w:rPr>
          <w:rFonts w:hint="eastAsia" w:ascii="仿宋_GB2312" w:hAnsi="Times New Roman" w:eastAsia="仿宋_GB2312" w:cs="Times New Roman"/>
          <w:kern w:val="2"/>
          <w:sz w:val="30"/>
          <w:szCs w:val="30"/>
          <w:highlight w:val="none"/>
          <w:lang w:val="en-US" w:eastAsia="zh-CN" w:bidi="ar-SA"/>
        </w:rPr>
        <w:t>，</w:t>
      </w:r>
      <w:r>
        <w:rPr>
          <w:rFonts w:hint="default" w:ascii="仿宋_GB2312" w:hAnsi="Times New Roman" w:eastAsia="仿宋_GB2312" w:cs="Times New Roman"/>
          <w:kern w:val="2"/>
          <w:sz w:val="30"/>
          <w:szCs w:val="30"/>
          <w:highlight w:val="none"/>
          <w:lang w:val="en-US" w:eastAsia="zh-CN" w:bidi="ar-SA"/>
        </w:rPr>
        <w:t>摄制组</w:t>
      </w:r>
      <w:r>
        <w:rPr>
          <w:rFonts w:hint="eastAsia" w:ascii="仿宋_GB2312" w:hAnsi="Times New Roman" w:eastAsia="仿宋_GB2312" w:cs="Times New Roman"/>
          <w:kern w:val="2"/>
          <w:sz w:val="30"/>
          <w:szCs w:val="30"/>
          <w:highlight w:val="none"/>
          <w:lang w:val="en-US" w:eastAsia="zh-CN" w:bidi="ar-SA"/>
        </w:rPr>
        <w:t>于6月下旬完成节目拍摄的前期调研工作，9月初完成拍摄工作，预计年内在CCTV1黄金时段播放。九是配合住建部第三方评估组做好通海国家历史文化名城评估工作，10月9日收到住建部第三方评估反馈的2条问题线索，目前正在制定整改方案。十是“通海县印发《通海县古城古民居保护开发补助方案》，通过政府补助引导，调动民间资金参与修缮的方式激励历史文化街区的有机更新”经验做法，入选住建部《历史文化街区保护利用可复制经验做法清单（第一批）》。十一是通海国家历史文化名城、旧县历史文化街区和御城历史文化街区保护工作，入选省住建厅《云南历史文化保护利用传承示范案（第二轮）》。十二是认真核查住建部反馈通海国家历史文化名城14个图斑变化情况，补充和完善佐证资料，主动认领存在问题，及时制定整改方案，并做好整改工作。</w:t>
      </w:r>
    </w:p>
    <w:p w14:paraId="72E902C1">
      <w:pPr>
        <w:spacing w:line="600" w:lineRule="exact"/>
        <w:ind w:firstLine="600" w:firstLineChars="200"/>
        <w:jc w:val="left"/>
        <w:rPr>
          <w:rFonts w:hint="eastAsia" w:ascii="仿宋_GB2312" w:hAnsi="宋体" w:eastAsia="仿宋_GB2312" w:cs="Arial"/>
          <w:kern w:val="0"/>
          <w:sz w:val="30"/>
          <w:szCs w:val="30"/>
          <w:highlight w:val="none"/>
        </w:rPr>
      </w:pPr>
    </w:p>
    <w:p w14:paraId="6CD32ADA">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64207475">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60751B48">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rPr>
      </w:pPr>
      <w:r>
        <w:rPr>
          <w:rFonts w:hint="eastAsia" w:ascii="Times New Roman" w:hAnsi="Times New Roman" w:eastAsia="仿宋" w:cs="Times New Roman"/>
          <w:color w:val="auto"/>
          <w:kern w:val="2"/>
          <w:sz w:val="30"/>
          <w:lang w:val="en-US"/>
        </w:rPr>
        <w:t>通海县名城保护管理所</w:t>
      </w:r>
      <w:r>
        <w:rPr>
          <w:rFonts w:hint="default" w:ascii="Times New Roman" w:hAnsi="Times New Roman" w:eastAsia="仿宋" w:cs="Times New Roman"/>
          <w:kern w:val="2"/>
          <w:sz w:val="30"/>
          <w:szCs w:val="30"/>
        </w:rPr>
        <w:t>202</w:t>
      </w:r>
      <w:r>
        <w:rPr>
          <w:rFonts w:hint="eastAsia" w:ascii="Times New Roman" w:hAnsi="Times New Roman" w:eastAsia="仿宋" w:cs="Times New Roman"/>
          <w:kern w:val="2"/>
          <w:sz w:val="30"/>
          <w:szCs w:val="30"/>
          <w:lang w:val="en-US" w:eastAsia="zh-CN"/>
        </w:rPr>
        <w:t>4</w:t>
      </w:r>
      <w:r>
        <w:rPr>
          <w:rFonts w:hint="default" w:ascii="Times New Roman" w:hAnsi="Times New Roman" w:eastAsia="仿宋" w:cs="Times New Roman"/>
          <w:kern w:val="2"/>
          <w:sz w:val="30"/>
          <w:szCs w:val="30"/>
        </w:rPr>
        <w:t>年</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政府性基金预算财政拨款收入，也</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使用政府性基金预算财政拨款安排的支出，《政府性基金预算财政拨款收入支出决算表》为空表。</w:t>
      </w:r>
    </w:p>
    <w:p w14:paraId="5CD80A75">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rPr>
      </w:pPr>
      <w:r>
        <w:rPr>
          <w:rFonts w:hint="eastAsia" w:ascii="Times New Roman" w:hAnsi="Times New Roman" w:eastAsia="仿宋" w:cs="Times New Roman"/>
          <w:color w:val="auto"/>
          <w:kern w:val="2"/>
          <w:sz w:val="30"/>
          <w:lang w:val="en-US"/>
        </w:rPr>
        <w:t>通海县名城保护管理所</w:t>
      </w:r>
      <w:r>
        <w:rPr>
          <w:rFonts w:hint="default" w:ascii="Times New Roman" w:hAnsi="Times New Roman" w:eastAsia="仿宋" w:cs="Times New Roman"/>
          <w:kern w:val="2"/>
          <w:sz w:val="30"/>
          <w:szCs w:val="30"/>
        </w:rPr>
        <w:t>202</w:t>
      </w:r>
      <w:r>
        <w:rPr>
          <w:rFonts w:hint="eastAsia" w:ascii="Times New Roman" w:hAnsi="Times New Roman" w:eastAsia="仿宋" w:cs="Times New Roman"/>
          <w:kern w:val="2"/>
          <w:sz w:val="30"/>
          <w:szCs w:val="30"/>
          <w:lang w:val="en-US" w:eastAsia="zh-CN"/>
        </w:rPr>
        <w:t>4</w:t>
      </w:r>
      <w:r>
        <w:rPr>
          <w:rFonts w:hint="default" w:ascii="Times New Roman" w:hAnsi="Times New Roman" w:eastAsia="仿宋" w:cs="Times New Roman"/>
          <w:kern w:val="2"/>
          <w:sz w:val="30"/>
          <w:szCs w:val="30"/>
        </w:rPr>
        <w:t>年</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国有资本经营预算财政拨款收入，也</w:t>
      </w:r>
      <w:r>
        <w:rPr>
          <w:rFonts w:hint="default" w:ascii="Times New Roman" w:hAnsi="Times New Roman" w:eastAsia="仿宋" w:cs="Times New Roman"/>
          <w:kern w:val="2"/>
          <w:sz w:val="30"/>
          <w:szCs w:val="30"/>
          <w:lang w:val="en-US" w:eastAsia="zh-CN"/>
        </w:rPr>
        <w:t>没有</w:t>
      </w:r>
      <w:r>
        <w:rPr>
          <w:rFonts w:hint="default" w:ascii="Times New Roman" w:hAnsi="Times New Roman" w:eastAsia="仿宋" w:cs="Times New Roman"/>
          <w:kern w:val="2"/>
          <w:sz w:val="30"/>
          <w:szCs w:val="30"/>
        </w:rPr>
        <w:t>使用国有资本经营预算财政拨款安排的支出，《国有资本经营预算财政拨款收入支出决算表》为空表。</w:t>
      </w:r>
    </w:p>
    <w:p w14:paraId="6C33FA8F">
      <w:pPr>
        <w:spacing w:line="600" w:lineRule="exact"/>
        <w:ind w:firstLine="600" w:firstLineChars="200"/>
        <w:jc w:val="left"/>
        <w:rPr>
          <w:rFonts w:hint="eastAsia" w:ascii="仿宋_GB2312" w:eastAsia="仿宋_GB2312"/>
          <w:sz w:val="30"/>
          <w:szCs w:val="30"/>
          <w:highlight w:val="none"/>
          <w:lang w:eastAsia="zh-CN"/>
        </w:rPr>
      </w:pPr>
    </w:p>
    <w:p w14:paraId="52A7FEA1">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536AC303">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5245B40F">
      <w:pPr>
        <w:widowControl/>
        <w:snapToGrid w:val="0"/>
        <w:spacing w:before="100" w:after="100" w:line="600" w:lineRule="exact"/>
        <w:ind w:firstLine="538"/>
        <w:jc w:val="left"/>
        <w:rPr>
          <w:rFonts w:hint="eastAsia" w:ascii="仿宋_GB2312" w:eastAsia="仿宋_GB2312"/>
          <w:sz w:val="30"/>
          <w:szCs w:val="30"/>
          <w:highlight w:val="none"/>
          <w:lang w:eastAsia="zh-CN"/>
        </w:rPr>
      </w:pPr>
      <w:r>
        <w:rPr>
          <w:rFonts w:hint="eastAsia" w:ascii="仿宋_GB2312" w:hAnsi="仿宋_GB2312" w:eastAsia="仿宋_GB2312" w:cs="仿宋_GB2312"/>
          <w:color w:val="auto"/>
          <w:sz w:val="30"/>
          <w:lang w:val="zh-CN"/>
        </w:rPr>
        <w:t>通海县名城保护管理所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786110.59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786110.59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（含教育收费）</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其他收入。</w:t>
      </w:r>
    </w:p>
    <w:p w14:paraId="333C847E">
      <w:pPr>
        <w:widowControl/>
        <w:snapToGrid w:val="0"/>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62170.31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62170.31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；事业收入增加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；附属单位上缴收入增加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；其他收入增加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default" w:ascii="Times New Roman" w:hAnsi="Times New Roman" w:eastAsia="仿宋" w:cs="Times New Roman"/>
          <w:kern w:val="2"/>
          <w:sz w:val="30"/>
          <w:szCs w:val="30"/>
          <w:highlight w:val="none"/>
          <w:lang w:val="en-US" w:eastAsia="zh-CN"/>
        </w:rPr>
        <w:t>202</w:t>
      </w:r>
      <w:r>
        <w:rPr>
          <w:rFonts w:hint="eastAsia" w:ascii="Times New Roman" w:hAnsi="Times New Roman" w:eastAsia="仿宋" w:cs="Times New Roman"/>
          <w:kern w:val="2"/>
          <w:sz w:val="30"/>
          <w:szCs w:val="30"/>
          <w:highlight w:val="none"/>
          <w:lang w:val="en-US" w:eastAsia="zh-CN"/>
        </w:rPr>
        <w:t>4</w:t>
      </w:r>
      <w:r>
        <w:rPr>
          <w:rFonts w:hint="default" w:ascii="Times New Roman" w:hAnsi="Times New Roman" w:eastAsia="仿宋" w:cs="Times New Roman"/>
          <w:kern w:val="2"/>
          <w:sz w:val="30"/>
          <w:szCs w:val="30"/>
          <w:highlight w:val="none"/>
          <w:lang w:val="en-US" w:eastAsia="zh-CN"/>
        </w:rPr>
        <w:t>年</w:t>
      </w:r>
      <w:r>
        <w:rPr>
          <w:rFonts w:hint="eastAsia" w:ascii="仿宋_GB2312" w:hAnsi="仿宋" w:eastAsia="仿宋_GB2312"/>
          <w:sz w:val="32"/>
          <w:szCs w:val="32"/>
        </w:rPr>
        <w:t>人员经费标准提高。</w:t>
      </w:r>
    </w:p>
    <w:p w14:paraId="03E7654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232431CD">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通海县名城保护管理所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786110.59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786110.59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项目支出；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14:paraId="203F0FDB">
      <w:pPr>
        <w:spacing w:line="600" w:lineRule="exact"/>
        <w:ind w:firstLine="600" w:firstLineChars="200"/>
        <w:rPr>
          <w:rFonts w:hint="eastAsia" w:ascii="仿宋_GB2312" w:eastAsia="仿宋_GB2312"/>
          <w:color w:val="FF0000"/>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62170.31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62170.31</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8.59</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；上缴上级支出增加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；对附属单位补助支出增加</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default" w:ascii="Times New Roman" w:hAnsi="Times New Roman" w:eastAsia="仿宋" w:cs="Times New Roman"/>
          <w:kern w:val="2"/>
          <w:sz w:val="30"/>
          <w:szCs w:val="30"/>
          <w:highlight w:val="none"/>
          <w:lang w:val="en-US" w:eastAsia="zh-CN"/>
        </w:rPr>
        <w:t>202</w:t>
      </w:r>
      <w:r>
        <w:rPr>
          <w:rFonts w:hint="eastAsia" w:ascii="Times New Roman" w:hAnsi="Times New Roman" w:eastAsia="仿宋" w:cs="Times New Roman"/>
          <w:kern w:val="2"/>
          <w:sz w:val="30"/>
          <w:szCs w:val="30"/>
          <w:highlight w:val="none"/>
          <w:lang w:val="en-US" w:eastAsia="zh-CN"/>
        </w:rPr>
        <w:t>4</w:t>
      </w:r>
      <w:r>
        <w:rPr>
          <w:rFonts w:hint="default" w:ascii="Times New Roman" w:hAnsi="Times New Roman" w:eastAsia="仿宋" w:cs="Times New Roman"/>
          <w:kern w:val="2"/>
          <w:sz w:val="30"/>
          <w:szCs w:val="30"/>
          <w:highlight w:val="none"/>
          <w:lang w:val="en-US" w:eastAsia="zh-CN"/>
        </w:rPr>
        <w:t>年</w:t>
      </w:r>
      <w:r>
        <w:rPr>
          <w:rFonts w:hint="eastAsia" w:ascii="仿宋_GB2312" w:hAnsi="仿宋" w:eastAsia="仿宋_GB2312"/>
          <w:sz w:val="32"/>
          <w:szCs w:val="32"/>
        </w:rPr>
        <w:t>人员经费标准提高</w:t>
      </w:r>
      <w:r>
        <w:rPr>
          <w:rFonts w:hint="eastAsia" w:ascii="仿宋_GB2312" w:eastAsia="仿宋_GB2312"/>
          <w:sz w:val="30"/>
          <w:szCs w:val="30"/>
          <w:highlight w:val="none"/>
        </w:rPr>
        <w:t>。</w:t>
      </w:r>
    </w:p>
    <w:p w14:paraId="421846AB">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A84EB95">
      <w:pPr>
        <w:widowControl/>
        <w:snapToGrid w:val="0"/>
        <w:spacing w:before="100" w:after="100" w:line="600" w:lineRule="exact"/>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通海县名城保护管理所</w:t>
      </w:r>
      <w:r>
        <w:rPr>
          <w:rFonts w:hint="eastAsia" w:ascii="仿宋_GB2312" w:hAnsi="仿宋_GB2312" w:eastAsia="仿宋_GB2312" w:cs="仿宋_GB2312"/>
          <w:sz w:val="30"/>
          <w:szCs w:val="30"/>
          <w:highlight w:val="none"/>
        </w:rPr>
        <w:t>机构正常运转的日常支出</w:t>
      </w:r>
      <w:r>
        <w:rPr>
          <w:rFonts w:hint="eastAsia" w:ascii="仿宋_GB2312" w:hAnsi="仿宋_GB2312" w:eastAsia="仿宋_GB2312" w:cs="仿宋_GB2312"/>
          <w:color w:val="auto"/>
          <w:sz w:val="30"/>
          <w:lang w:val="zh-CN"/>
        </w:rPr>
        <w:t>786110.59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748894.59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95.27</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37216.00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4.73</w:t>
      </w:r>
      <w:r>
        <w:rPr>
          <w:rFonts w:hint="eastAsia" w:ascii="仿宋_GB2312" w:hAnsi="仿宋_GB2312" w:eastAsia="仿宋_GB2312" w:cs="仿宋_GB2312"/>
          <w:sz w:val="30"/>
          <w:szCs w:val="30"/>
          <w:highlight w:val="none"/>
        </w:rPr>
        <w:t>％。</w:t>
      </w:r>
    </w:p>
    <w:p w14:paraId="34F67207">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eastAsia="仿宋_GB2312"/>
          <w:color w:val="FF0000"/>
          <w:sz w:val="30"/>
          <w:szCs w:val="30"/>
          <w:highlight w:val="none"/>
          <w:lang w:eastAsia="zh-CN"/>
        </w:rPr>
        <w:drawing>
          <wp:anchor distT="0" distB="0" distL="114300" distR="114300" simplePos="0" relativeHeight="251659264" behindDoc="0" locked="0" layoutInCell="1" allowOverlap="1">
            <wp:simplePos x="0" y="0"/>
            <wp:positionH relativeFrom="column">
              <wp:posOffset>98425</wp:posOffset>
            </wp:positionH>
            <wp:positionV relativeFrom="paragraph">
              <wp:posOffset>209550</wp:posOffset>
            </wp:positionV>
            <wp:extent cx="5080000" cy="3810000"/>
            <wp:effectExtent l="4445" t="4445" r="20955"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BA5C3F3">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322B7232">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026A940C">
      <w:pPr>
        <w:widowControl/>
        <w:snapToGrid w:val="0"/>
        <w:spacing w:before="100" w:after="100" w:line="600" w:lineRule="exact"/>
        <w:ind w:firstLine="538"/>
        <w:jc w:val="left"/>
        <w:rPr>
          <w:rFonts w:hint="eastAsia" w:ascii="仿宋_GB2312" w:eastAsia="仿宋_GB2312"/>
          <w:color w:val="FF0000"/>
          <w:sz w:val="30"/>
          <w:szCs w:val="30"/>
          <w:highlight w:val="none"/>
          <w:lang w:eastAsia="zh-CN"/>
        </w:rPr>
      </w:pPr>
    </w:p>
    <w:p w14:paraId="42899DE5">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7A1AEB34">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7469D4EA">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498B4615">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03A6C13C">
      <w:pPr>
        <w:widowControl/>
        <w:snapToGrid w:val="0"/>
        <w:spacing w:before="100" w:after="100" w:line="600" w:lineRule="exact"/>
        <w:ind w:firstLine="538"/>
        <w:jc w:val="left"/>
        <w:rPr>
          <w:rFonts w:hint="eastAsia" w:ascii="仿宋_GB2312" w:eastAsia="仿宋_GB2312"/>
          <w:color w:val="FF0000"/>
          <w:sz w:val="30"/>
          <w:szCs w:val="30"/>
          <w:highlight w:val="none"/>
        </w:rPr>
      </w:pPr>
    </w:p>
    <w:p w14:paraId="6FCFF770">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0792671A">
      <w:pPr>
        <w:widowControl/>
        <w:snapToGrid w:val="0"/>
        <w:spacing w:before="100" w:after="100" w:line="600" w:lineRule="exact"/>
        <w:ind w:firstLine="600" w:firstLineChars="200"/>
        <w:jc w:val="left"/>
        <w:outlineLvl w:val="1"/>
        <w:rPr>
          <w:rFonts w:hint="eastAsia" w:ascii="仿宋_GB2312" w:hAnsi="Times New Roman" w:eastAsia="仿宋_GB2312" w:cs="Times New Roman"/>
          <w:sz w:val="30"/>
          <w:szCs w:val="30"/>
          <w:highlight w:val="none"/>
          <w:lang w:val="en-US" w:eastAsia="zh-CN"/>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w:t>
      </w:r>
      <w:r>
        <w:rPr>
          <w:rFonts w:hint="eastAsia" w:ascii="仿宋_GB2312" w:hAnsi="Times New Roman" w:eastAsia="仿宋_GB2312" w:cs="Times New Roman"/>
          <w:sz w:val="30"/>
          <w:szCs w:val="30"/>
          <w:highlight w:val="none"/>
          <w:lang w:val="en-US" w:eastAsia="zh-CN"/>
        </w:rPr>
        <w:t>本单位无项目支出。</w:t>
      </w:r>
    </w:p>
    <w:p w14:paraId="72646484">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5D5123E6">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0B21EAA5">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通海县名城保护管理所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786110.59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增加</w:t>
      </w:r>
      <w:r>
        <w:rPr>
          <w:rFonts w:hint="eastAsia" w:ascii="仿宋_GB2312" w:hAnsi="仿宋_GB2312" w:eastAsia="仿宋_GB2312" w:cs="仿宋_GB2312"/>
          <w:color w:val="auto"/>
          <w:kern w:val="0"/>
          <w:sz w:val="30"/>
          <w:lang w:val="zh-CN"/>
        </w:rPr>
        <w:t>62170.31</w:t>
      </w:r>
      <w:r>
        <w:rPr>
          <w:rFonts w:hint="eastAsia" w:ascii="仿宋_GB2312" w:hAnsi="宋体" w:eastAsia="仿宋_GB2312" w:cs="Arial"/>
          <w:kern w:val="0"/>
          <w:sz w:val="30"/>
          <w:szCs w:val="30"/>
          <w:highlight w:val="none"/>
        </w:rPr>
        <w:t>元，增长</w:t>
      </w:r>
      <w:r>
        <w:rPr>
          <w:rFonts w:hint="eastAsia" w:ascii="仿宋_GB2312" w:hAnsi="仿宋_GB2312" w:eastAsia="仿宋_GB2312" w:cs="仿宋_GB2312"/>
          <w:color w:val="auto"/>
          <w:kern w:val="0"/>
          <w:sz w:val="30"/>
          <w:lang w:val="zh-CN"/>
        </w:rPr>
        <w:t>8.59</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94.49</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2569132A">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3DF9ACA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2FCCA00">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2.外交（类）支出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BFDE7D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3.国防（类）支出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48247B9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1CF80E0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eastAsia="仿宋_GB2312"/>
          <w:color w:val="auto"/>
          <w:sz w:val="30"/>
          <w:szCs w:val="30"/>
          <w:highlight w:val="none"/>
          <w:lang w:val="en-US" w:eastAsia="zh-CN"/>
        </w:rPr>
        <w:t>无支出</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10862C3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eastAsia="仿宋_GB2312"/>
          <w:color w:val="auto"/>
          <w:sz w:val="30"/>
          <w:szCs w:val="30"/>
          <w:highlight w:val="none"/>
          <w:lang w:val="en-US" w:eastAsia="zh-CN"/>
        </w:rPr>
        <w:t>无支出</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F39AAC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eastAsia="仿宋_GB2312"/>
          <w:color w:val="auto"/>
          <w:sz w:val="30"/>
          <w:szCs w:val="30"/>
          <w:highlight w:val="none"/>
          <w:lang w:val="en-US" w:eastAsia="zh-CN"/>
        </w:rPr>
        <w:t>无支出</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508325D">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86108.16</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10.95</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102.39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在职在编人员养老保险、职业年金等保险费开支；</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保险在实际缴纳过程中核算计提基数与预算核算计提基数存在差异</w:t>
      </w:r>
      <w:r>
        <w:rPr>
          <w:rFonts w:hint="eastAsia" w:ascii="仿宋_GB2312" w:hAnsi="宋体" w:eastAsia="仿宋_GB2312" w:cs="Arial"/>
          <w:color w:val="auto"/>
          <w:kern w:val="0"/>
          <w:sz w:val="30"/>
          <w:szCs w:val="30"/>
          <w:highlight w:val="none"/>
          <w:lang w:eastAsia="zh-CN"/>
        </w:rPr>
        <w:t>。</w:t>
      </w:r>
    </w:p>
    <w:p w14:paraId="6E90C48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71609.15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9.11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97.38</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在职人员医疗和大病保险费支出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保险在实际缴纳过程中核算计提基数与预算核算计提基数存在差异</w:t>
      </w:r>
      <w:r>
        <w:rPr>
          <w:rFonts w:hint="eastAsia" w:ascii="仿宋_GB2312" w:hAnsi="宋体" w:eastAsia="仿宋_GB2312" w:cs="Arial"/>
          <w:color w:val="auto"/>
          <w:kern w:val="0"/>
          <w:sz w:val="30"/>
          <w:szCs w:val="30"/>
          <w:highlight w:val="none"/>
          <w:lang w:eastAsia="zh-CN"/>
        </w:rPr>
        <w:t>。</w:t>
      </w:r>
    </w:p>
    <w:p w14:paraId="776A2C7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29DA6145">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586663.28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74.63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97.6 4</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人员工资发放、保运转经费开支</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1、人员工资在实际发放过程中存在工资调整情况；2、公用经费因财政资金不足，存在不能完成支付的情况</w:t>
      </w:r>
      <w:r>
        <w:rPr>
          <w:rFonts w:hint="eastAsia" w:ascii="仿宋_GB2312" w:hAnsi="宋体" w:eastAsia="仿宋_GB2312" w:cs="Arial"/>
          <w:color w:val="auto"/>
          <w:kern w:val="0"/>
          <w:sz w:val="30"/>
          <w:szCs w:val="30"/>
          <w:highlight w:val="none"/>
          <w:lang w:eastAsia="zh-CN"/>
        </w:rPr>
        <w:t>。</w:t>
      </w:r>
    </w:p>
    <w:p w14:paraId="5D7C6EF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5EB7CE9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18134F1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05EB7D51">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280A0BC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21F6AE9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年初无此项预算。</w:t>
      </w:r>
    </w:p>
    <w:p w14:paraId="3212C62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宋体" w:eastAsia="仿宋_GB2312" w:cs="Arial"/>
          <w:kern w:val="0"/>
          <w:sz w:val="30"/>
          <w:szCs w:val="30"/>
          <w:highlight w:val="none"/>
          <w:lang w:val="en-US" w:eastAsia="zh-CN"/>
        </w:rPr>
        <w:t>无支出</w:t>
      </w:r>
      <w:r>
        <w:rPr>
          <w:rFonts w:hint="eastAsia" w:ascii="仿宋_GB2312" w:hAnsi="宋体" w:eastAsia="仿宋_GB2312" w:cs="Arial"/>
          <w:kern w:val="0"/>
          <w:sz w:val="30"/>
          <w:szCs w:val="30"/>
          <w:highlight w:val="none"/>
          <w:lang w:eastAsia="zh-CN"/>
        </w:rPr>
        <w:t>，占一般公共预算财政拨款总支出的</w:t>
      </w:r>
      <w:r>
        <w:rPr>
          <w:rFonts w:hint="eastAsia" w:ascii="仿宋_GB2312" w:hAnsi="宋体" w:eastAsia="仿宋_GB2312" w:cs="Arial"/>
          <w:kern w:val="0"/>
          <w:sz w:val="30"/>
          <w:szCs w:val="30"/>
          <w:highlight w:val="none"/>
          <w:lang w:val="zh-CN" w:eastAsia="zh-CN"/>
        </w:rPr>
        <w:t>0.00</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lang w:val="en-US" w:eastAsia="zh-CN"/>
        </w:rPr>
        <w:t>年初无此项预算</w:t>
      </w:r>
      <w:r>
        <w:rPr>
          <w:rFonts w:hint="eastAsia" w:ascii="仿宋_GB2312" w:hAnsi="宋体" w:eastAsia="仿宋_GB2312" w:cs="Arial"/>
          <w:kern w:val="0"/>
          <w:sz w:val="30"/>
          <w:szCs w:val="30"/>
          <w:highlight w:val="none"/>
          <w:lang w:eastAsia="zh-CN"/>
        </w:rPr>
        <w:t>。</w:t>
      </w:r>
    </w:p>
    <w:p w14:paraId="590C8DA2">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41730.00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5.31</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56.83</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default" w:ascii="Times New Roman" w:hAnsi="Times New Roman" w:eastAsia="仿宋" w:cs="Times New Roman"/>
          <w:color w:val="auto"/>
          <w:kern w:val="2"/>
          <w:sz w:val="30"/>
          <w:szCs w:val="30"/>
          <w:highlight w:val="none"/>
          <w:lang w:val="en-US" w:eastAsia="zh-CN"/>
        </w:rPr>
        <w:t>在职在编人员住房公积金费用的支付</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default" w:ascii="Times New Roman" w:hAnsi="Times New Roman" w:eastAsia="仿宋" w:cs="Times New Roman"/>
          <w:color w:val="auto"/>
          <w:kern w:val="2"/>
          <w:sz w:val="30"/>
          <w:szCs w:val="30"/>
          <w:highlight w:val="none"/>
          <w:lang w:val="en-US" w:eastAsia="zh-CN"/>
        </w:rPr>
        <w:t>住房公积金</w:t>
      </w:r>
      <w:r>
        <w:rPr>
          <w:rFonts w:hint="eastAsia" w:ascii="仿宋_GB2312" w:eastAsia="仿宋_GB2312"/>
          <w:color w:val="auto"/>
          <w:sz w:val="30"/>
          <w:szCs w:val="30"/>
          <w:highlight w:val="none"/>
          <w:lang w:val="en-US" w:eastAsia="zh-CN"/>
        </w:rPr>
        <w:t>在实际发放过程中存在调整情况</w:t>
      </w:r>
      <w:r>
        <w:rPr>
          <w:rFonts w:hint="eastAsia" w:ascii="仿宋_GB2312" w:hAnsi="宋体" w:eastAsia="仿宋_GB2312" w:cs="Arial"/>
          <w:color w:val="auto"/>
          <w:kern w:val="0"/>
          <w:sz w:val="30"/>
          <w:szCs w:val="30"/>
          <w:highlight w:val="none"/>
          <w:lang w:eastAsia="zh-CN"/>
        </w:rPr>
        <w:t>。</w:t>
      </w:r>
    </w:p>
    <w:p w14:paraId="0A4ADCC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val="en-US" w:eastAsia="zh-CN"/>
        </w:rPr>
        <w:t>年初无此项预算</w:t>
      </w:r>
      <w:r>
        <w:rPr>
          <w:rFonts w:hint="eastAsia" w:ascii="仿宋_GB2312" w:hAnsi="宋体" w:eastAsia="仿宋_GB2312" w:cs="Arial"/>
          <w:kern w:val="0"/>
          <w:sz w:val="30"/>
          <w:szCs w:val="30"/>
          <w:highlight w:val="none"/>
          <w:lang w:eastAsia="zh-CN"/>
        </w:rPr>
        <w:t>。</w:t>
      </w:r>
    </w:p>
    <w:p w14:paraId="4838C51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val="en-US" w:eastAsia="zh-CN"/>
        </w:rPr>
        <w:t>年初无此项预算</w:t>
      </w:r>
      <w:r>
        <w:rPr>
          <w:rFonts w:hint="eastAsia" w:ascii="仿宋_GB2312" w:hAnsi="宋体" w:eastAsia="仿宋_GB2312" w:cs="Arial"/>
          <w:kern w:val="0"/>
          <w:sz w:val="30"/>
          <w:szCs w:val="30"/>
          <w:highlight w:val="none"/>
          <w:lang w:eastAsia="zh-CN"/>
        </w:rPr>
        <w:t>。</w:t>
      </w:r>
    </w:p>
    <w:p w14:paraId="3BFCECD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524D25C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en-US" w:eastAsia="zh-CN"/>
        </w:rPr>
        <w:t>年初无此项预算</w:t>
      </w:r>
      <w:bookmarkStart w:id="0" w:name="_GoBack"/>
      <w:bookmarkEnd w:id="0"/>
      <w:r>
        <w:rPr>
          <w:rFonts w:hint="eastAsia" w:ascii="仿宋_GB2312" w:hAnsi="宋体" w:eastAsia="仿宋_GB2312" w:cs="Arial"/>
          <w:kern w:val="0"/>
          <w:sz w:val="30"/>
          <w:szCs w:val="30"/>
          <w:highlight w:val="none"/>
          <w:lang w:eastAsia="zh-CN"/>
        </w:rPr>
        <w:t>。</w:t>
      </w:r>
    </w:p>
    <w:p w14:paraId="705FA08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28843716">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16649EC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26.抗疫特别国债安排（类）支出</w:t>
      </w:r>
      <w:r>
        <w:rPr>
          <w:rFonts w:hint="eastAsia" w:ascii="仿宋_GB2312" w:eastAsia="仿宋_GB2312"/>
          <w:color w:val="auto"/>
          <w:sz w:val="30"/>
          <w:szCs w:val="30"/>
          <w:highlight w:val="none"/>
          <w:lang w:val="en-US" w:eastAsia="zh-CN"/>
        </w:rPr>
        <w:t>无支出</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4760A5AA">
      <w:pPr>
        <w:widowControl/>
        <w:snapToGrid w:val="0"/>
        <w:spacing w:before="100" w:after="100" w:line="360" w:lineRule="auto"/>
        <w:ind w:firstLine="600" w:firstLineChars="200"/>
        <w:jc w:val="left"/>
        <w:rPr>
          <w:rFonts w:hint="eastAsia" w:ascii="仿宋_GB2312" w:eastAsia="仿宋_GB2312"/>
          <w:color w:val="FF0000"/>
          <w:sz w:val="30"/>
          <w:szCs w:val="30"/>
          <w:highlight w:val="none"/>
          <w:lang w:eastAsia="zh-CN"/>
        </w:rPr>
      </w:pPr>
      <w:r>
        <w:rPr>
          <w:rFonts w:hint="eastAsia" w:ascii="仿宋_GB2312" w:eastAsia="仿宋_GB2312"/>
          <w:color w:val="FF0000"/>
          <w:sz w:val="30"/>
          <w:szCs w:val="30"/>
          <w:highlight w:val="none"/>
          <w:lang w:eastAsia="zh-CN"/>
        </w:rPr>
        <w:drawing>
          <wp:inline distT="0" distB="0" distL="114300" distR="114300">
            <wp:extent cx="5080000" cy="3810000"/>
            <wp:effectExtent l="4445" t="4445" r="209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241168">
      <w:pPr>
        <w:widowControl/>
        <w:snapToGrid w:val="0"/>
        <w:spacing w:before="100" w:after="100" w:line="360" w:lineRule="auto"/>
        <w:ind w:firstLine="600" w:firstLineChars="200"/>
        <w:jc w:val="left"/>
        <w:rPr>
          <w:rFonts w:hint="eastAsia" w:ascii="仿宋_GB2312" w:eastAsia="仿宋_GB2312"/>
          <w:color w:val="FF0000"/>
          <w:sz w:val="30"/>
          <w:szCs w:val="30"/>
          <w:highlight w:val="none"/>
          <w:lang w:eastAsia="zh-CN"/>
        </w:rPr>
      </w:pPr>
    </w:p>
    <w:p w14:paraId="5801C0C6">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F2E57C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5629ADB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lang w:eastAsia="zh-CN"/>
        </w:rPr>
      </w:pPr>
      <w:r>
        <w:rPr>
          <w:rFonts w:hint="eastAsia" w:ascii="仿宋_GB2312" w:hAnsi="宋体" w:eastAsia="仿宋_GB2312" w:cs="Arial"/>
          <w:kern w:val="0"/>
          <w:sz w:val="30"/>
          <w:szCs w:val="30"/>
          <w:highlight w:val="none"/>
          <w:lang w:val="en-US" w:eastAsia="zh-CN"/>
        </w:rPr>
        <w:t>2024</w:t>
      </w:r>
      <w:r>
        <w:rPr>
          <w:rFonts w:hint="eastAsia" w:ascii="仿宋_GB2312" w:hAnsi="宋体" w:eastAsia="仿宋_GB2312" w:cs="Arial"/>
          <w:kern w:val="0"/>
          <w:sz w:val="30"/>
          <w:szCs w:val="30"/>
          <w:highlight w:val="none"/>
        </w:rPr>
        <w:t>年度财政拨款“三公”经费支出决算中，财政拨款“三公”经费支出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kern w:val="0"/>
          <w:sz w:val="30"/>
          <w:lang w:val="en-US" w:eastAsia="zh-CN"/>
        </w:rPr>
        <w:t>0.00</w:t>
      </w:r>
      <w:r>
        <w:rPr>
          <w:rFonts w:hint="eastAsia" w:ascii="仿宋_GB2312" w:hAnsi="宋体" w:eastAsia="仿宋_GB2312" w:cs="Arial"/>
          <w:kern w:val="0"/>
          <w:sz w:val="30"/>
          <w:szCs w:val="30"/>
          <w:highlight w:val="none"/>
        </w:rPr>
        <w:t>元，决算为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；上年无此项支出</w:t>
      </w:r>
      <w:r>
        <w:rPr>
          <w:rFonts w:hint="eastAsia" w:ascii="仿宋_GB2312" w:eastAsia="仿宋_GB2312"/>
          <w:color w:val="auto"/>
          <w:sz w:val="30"/>
          <w:szCs w:val="30"/>
          <w:lang w:eastAsia="zh-CN"/>
        </w:rPr>
        <w:t>。</w:t>
      </w:r>
    </w:p>
    <w:p w14:paraId="096201E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FF0000"/>
          <w:sz w:val="30"/>
          <w:szCs w:val="30"/>
          <w:lang w:eastAsia="zh-CN"/>
        </w:rPr>
      </w:pPr>
      <w:r>
        <w:rPr>
          <w:rFonts w:hint="eastAsia" w:ascii="仿宋_GB2312" w:hAnsi="宋体" w:eastAsia="仿宋_GB2312" w:cs="Arial"/>
          <w:kern w:val="0"/>
          <w:sz w:val="30"/>
          <w:szCs w:val="30"/>
          <w:highlight w:val="none"/>
        </w:rPr>
        <w:t>因公出国（境）费支出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hAnsi="宋体" w:eastAsia="仿宋_GB2312" w:cs="Arial"/>
          <w:kern w:val="0"/>
          <w:sz w:val="30"/>
          <w:szCs w:val="30"/>
          <w:highlight w:val="none"/>
        </w:rPr>
        <w:t>；公务用车购置费支出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%；公务用车</w:t>
      </w:r>
      <w:r>
        <w:rPr>
          <w:rFonts w:hint="eastAsia" w:ascii="仿宋_GB2312" w:hAnsi="宋体" w:eastAsia="仿宋_GB2312" w:cs="Arial"/>
          <w:kern w:val="0"/>
          <w:sz w:val="30"/>
          <w:szCs w:val="30"/>
          <w:highlight w:val="none"/>
          <w:lang w:eastAsia="zh-CN"/>
        </w:rPr>
        <w:t>运行维护</w:t>
      </w:r>
      <w:r>
        <w:rPr>
          <w:rFonts w:hint="eastAsia" w:ascii="仿宋_GB2312" w:hAnsi="宋体" w:eastAsia="仿宋_GB2312" w:cs="Arial"/>
          <w:kern w:val="0"/>
          <w:sz w:val="30"/>
          <w:szCs w:val="30"/>
          <w:highlight w:val="none"/>
        </w:rPr>
        <w:t>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w:t>
      </w:r>
      <w:r>
        <w:rPr>
          <w:rFonts w:hint="eastAsia" w:ascii="仿宋_GB2312" w:hAnsi="宋体" w:eastAsia="仿宋_GB2312" w:cs="Arial"/>
          <w:kern w:val="0"/>
          <w:sz w:val="30"/>
          <w:szCs w:val="30"/>
          <w:highlight w:val="none"/>
        </w:rPr>
        <w:t>公务接待费支出</w:t>
      </w:r>
      <w:r>
        <w:rPr>
          <w:rFonts w:hint="eastAsia" w:ascii="仿宋_GB2312" w:hAnsi="宋体" w:eastAsia="仿宋_GB2312" w:cs="Arial"/>
          <w:kern w:val="0"/>
          <w:sz w:val="30"/>
          <w:szCs w:val="30"/>
          <w:highlight w:val="none"/>
          <w:lang w:eastAsia="zh-CN"/>
        </w:rPr>
        <w:t>年初</w:t>
      </w:r>
      <w:r>
        <w:rPr>
          <w:rFonts w:hint="eastAsia" w:ascii="仿宋_GB2312" w:hAnsi="宋体" w:eastAsia="仿宋_GB2312" w:cs="Arial"/>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w:t>
      </w:r>
      <w:r>
        <w:rPr>
          <w:rFonts w:hint="eastAsia" w:ascii="仿宋_GB2312" w:hAnsi="宋体" w:eastAsia="仿宋_GB2312" w:cs="Arial"/>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元，占财政拨款“三公”经费</w:t>
      </w:r>
      <w:r>
        <w:rPr>
          <w:rFonts w:hint="eastAsia" w:ascii="仿宋_GB2312" w:hAnsi="宋体" w:eastAsia="仿宋_GB2312" w:cs="Arial"/>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p>
    <w:p w14:paraId="723166FE">
      <w:pPr>
        <w:widowControl/>
        <w:snapToGrid w:val="0"/>
        <w:spacing w:before="100" w:after="100" w:line="360" w:lineRule="auto"/>
        <w:ind w:firstLine="600" w:firstLineChars="200"/>
        <w:jc w:val="left"/>
        <w:rPr>
          <w:rFonts w:hint="eastAsia" w:ascii="仿宋_GB2312" w:hAnsi="Times New Roman" w:eastAsia="仿宋_GB2312" w:cs="Times New Roman"/>
          <w:sz w:val="30"/>
          <w:szCs w:val="30"/>
          <w:highlight w:val="none"/>
          <w:lang w:eastAsia="zh-CN"/>
        </w:rPr>
      </w:pPr>
      <w:r>
        <w:rPr>
          <w:rFonts w:hint="eastAsia" w:ascii="仿宋_GB2312" w:eastAsia="仿宋_GB2312"/>
          <w:sz w:val="30"/>
          <w:szCs w:val="30"/>
          <w:highlight w:val="none"/>
        </w:rPr>
        <w:t>因公出国（境）费</w:t>
      </w:r>
      <w:r>
        <w:rPr>
          <w:rFonts w:hint="eastAsia" w:ascii="仿宋_GB2312" w:hAnsi="宋体" w:eastAsia="仿宋_GB2312" w:cs="Arial"/>
          <w:kern w:val="0"/>
          <w:sz w:val="30"/>
          <w:szCs w:val="30"/>
          <w:highlight w:val="none"/>
          <w:lang w:eastAsia="zh-CN"/>
        </w:rPr>
        <w:t>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公务用车购置费</w:t>
      </w:r>
      <w:r>
        <w:rPr>
          <w:rFonts w:hint="eastAsia" w:ascii="仿宋_GB2312" w:hAnsi="Times New Roman" w:eastAsia="仿宋_GB2312" w:cs="Times New Roman"/>
          <w:sz w:val="30"/>
          <w:szCs w:val="30"/>
          <w:highlight w:val="none"/>
          <w:lang w:eastAsia="zh-CN"/>
        </w:rPr>
        <w:t>支出上年无此项支出；</w:t>
      </w:r>
      <w:r>
        <w:rPr>
          <w:rFonts w:hint="eastAsia" w:ascii="仿宋_GB2312" w:hAnsi="Times New Roman" w:eastAsia="仿宋_GB2312" w:cs="Times New Roman"/>
          <w:sz w:val="30"/>
          <w:szCs w:val="30"/>
          <w:highlight w:val="none"/>
        </w:rPr>
        <w:t>公务用车</w:t>
      </w:r>
      <w:r>
        <w:rPr>
          <w:rFonts w:hint="eastAsia" w:ascii="仿宋_GB2312" w:hAnsi="Times New Roman" w:eastAsia="仿宋_GB2312" w:cs="Times New Roman"/>
          <w:sz w:val="30"/>
          <w:szCs w:val="30"/>
          <w:highlight w:val="none"/>
          <w:lang w:eastAsia="zh-CN"/>
        </w:rPr>
        <w:t>运行维护费支出上年无此项支出；</w:t>
      </w:r>
      <w:r>
        <w:rPr>
          <w:rFonts w:hint="eastAsia" w:ascii="仿宋_GB2312" w:hAnsi="Times New Roman" w:eastAsia="仿宋_GB2312" w:cs="Times New Roman"/>
          <w:sz w:val="30"/>
          <w:szCs w:val="30"/>
          <w:highlight w:val="none"/>
        </w:rPr>
        <w:t>公务接待费</w:t>
      </w:r>
      <w:r>
        <w:rPr>
          <w:rFonts w:hint="eastAsia" w:ascii="仿宋_GB2312" w:hAnsi="Times New Roman" w:eastAsia="仿宋_GB2312" w:cs="Times New Roman"/>
          <w:sz w:val="30"/>
          <w:szCs w:val="30"/>
          <w:highlight w:val="none"/>
          <w:lang w:eastAsia="zh-CN"/>
        </w:rPr>
        <w:t>支出上年无此项支出；具体是国内接待费支出决算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元（其中：外事接待费支出决算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w:t>
      </w:r>
      <w:r>
        <w:rPr>
          <w:rFonts w:hint="eastAsia" w:ascii="仿宋_GB2312" w:hAnsi="宋体" w:eastAsia="仿宋_GB2312" w:cs="Arial"/>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Times New Roman" w:eastAsia="仿宋_GB2312" w:cs="Times New Roman"/>
          <w:sz w:val="30"/>
          <w:szCs w:val="30"/>
          <w:highlight w:val="none"/>
          <w:lang w:eastAsia="zh-CN"/>
        </w:rPr>
        <w:t>上年无此项支出。</w:t>
      </w:r>
    </w:p>
    <w:p w14:paraId="45467CC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0517B64D">
      <w:pPr>
        <w:widowControl/>
        <w:snapToGrid w:val="0"/>
        <w:spacing w:before="100" w:after="100" w:line="360" w:lineRule="auto"/>
        <w:ind w:firstLine="600" w:firstLineChars="200"/>
        <w:jc w:val="left"/>
        <w:rPr>
          <w:rFonts w:hint="eastAsia" w:ascii="仿宋_GB2312" w:hAnsi="Times New Roman" w:eastAsia="仿宋_GB2312" w:cs="Times New Roman"/>
          <w:sz w:val="30"/>
          <w:szCs w:val="30"/>
          <w:highlight w:val="none"/>
          <w:lang w:eastAsia="zh-CN"/>
        </w:rPr>
      </w:pPr>
      <w:r>
        <w:rPr>
          <w:rFonts w:hint="eastAsia" w:ascii="仿宋_GB2312" w:hAnsi="Times New Roman" w:eastAsia="仿宋_GB2312" w:cs="Times New Roman"/>
          <w:sz w:val="30"/>
          <w:szCs w:val="30"/>
          <w:highlight w:val="none"/>
          <w:lang w:val="en-US" w:eastAsia="zh-CN"/>
        </w:rPr>
        <w:t>2024</w:t>
      </w:r>
      <w:r>
        <w:rPr>
          <w:rFonts w:hint="eastAsia" w:ascii="仿宋_GB2312" w:hAnsi="Times New Roman" w:eastAsia="仿宋_GB2312" w:cs="Times New Roman"/>
          <w:sz w:val="30"/>
          <w:szCs w:val="30"/>
          <w:highlight w:val="none"/>
        </w:rPr>
        <w:t>年度一般公共预算财政拨款“三公”经费支出</w:t>
      </w:r>
      <w:r>
        <w:rPr>
          <w:rFonts w:hint="eastAsia" w:ascii="仿宋_GB2312" w:hAnsi="Times New Roman" w:eastAsia="仿宋_GB2312" w:cs="Times New Roman"/>
          <w:sz w:val="30"/>
          <w:szCs w:val="30"/>
          <w:highlight w:val="none"/>
          <w:lang w:eastAsia="zh-CN"/>
        </w:rPr>
        <w:t>年初</w:t>
      </w:r>
      <w:r>
        <w:rPr>
          <w:rFonts w:hint="eastAsia" w:ascii="仿宋_GB2312" w:hAnsi="Times New Roman" w:eastAsia="仿宋_GB2312" w:cs="Times New Roman"/>
          <w:sz w:val="30"/>
          <w:szCs w:val="30"/>
          <w:highlight w:val="none"/>
        </w:rPr>
        <w:t>预算为</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w:t>
      </w:r>
      <w:r>
        <w:rPr>
          <w:rFonts w:hint="eastAsia" w:ascii="仿宋_GB2312" w:hAnsi="Times New Roman" w:eastAsia="仿宋_GB2312" w:cs="Times New Roman"/>
          <w:sz w:val="30"/>
          <w:szCs w:val="30"/>
          <w:highlight w:val="none"/>
        </w:rPr>
        <w:t>，支出决算为</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w:t>
      </w:r>
    </w:p>
    <w:p w14:paraId="0DF7A5B4">
      <w:pPr>
        <w:widowControl/>
        <w:snapToGrid w:val="0"/>
        <w:spacing w:before="100" w:after="100" w:line="360" w:lineRule="auto"/>
        <w:ind w:firstLine="600" w:firstLineChars="200"/>
        <w:jc w:val="left"/>
        <w:rPr>
          <w:rFonts w:hint="eastAsia" w:ascii="仿宋_GB2312" w:eastAsia="仿宋_GB2312"/>
          <w:sz w:val="30"/>
          <w:szCs w:val="30"/>
          <w:highlight w:val="yellow"/>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；公务用车购置费支出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；公务用车</w:t>
      </w:r>
      <w:r>
        <w:rPr>
          <w:rFonts w:hint="eastAsia" w:ascii="仿宋_GB2312" w:eastAsia="仿宋_GB2312"/>
          <w:sz w:val="30"/>
          <w:szCs w:val="30"/>
          <w:highlight w:val="none"/>
          <w:lang w:eastAsia="zh-CN"/>
        </w:rPr>
        <w:t>运行维护费</w:t>
      </w:r>
      <w:r>
        <w:rPr>
          <w:rFonts w:hint="eastAsia" w:ascii="仿宋_GB2312" w:eastAsia="仿宋_GB2312"/>
          <w:sz w:val="30"/>
          <w:szCs w:val="30"/>
          <w:highlight w:val="none"/>
        </w:rPr>
        <w:t>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；公务接待费支出</w:t>
      </w:r>
      <w:r>
        <w:rPr>
          <w:rFonts w:hint="eastAsia" w:ascii="仿宋_GB2312" w:eastAsia="仿宋_GB2312"/>
          <w:sz w:val="30"/>
          <w:szCs w:val="30"/>
          <w:highlight w:val="none"/>
          <w:lang w:eastAsia="zh-CN"/>
        </w:rPr>
        <w:t>年</w:t>
      </w:r>
      <w:r>
        <w:rPr>
          <w:rFonts w:hint="eastAsia" w:ascii="仿宋_GB2312" w:hAnsi="宋体" w:eastAsia="仿宋_GB2312" w:cs="Arial"/>
          <w:kern w:val="0"/>
          <w:sz w:val="30"/>
          <w:szCs w:val="30"/>
          <w:highlight w:val="none"/>
          <w:lang w:eastAsia="zh-CN"/>
        </w:rPr>
        <w:t>初</w:t>
      </w:r>
      <w:r>
        <w:rPr>
          <w:rFonts w:hint="eastAsia" w:ascii="仿宋_GB2312" w:eastAsia="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32747EC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中：</w:t>
      </w:r>
      <w:r>
        <w:rPr>
          <w:rFonts w:hint="eastAsia" w:ascii="仿宋_GB2312" w:eastAsia="仿宋_GB2312"/>
          <w:sz w:val="30"/>
          <w:szCs w:val="30"/>
          <w:highlight w:val="none"/>
        </w:rPr>
        <w:t>因公出国（境）费支出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；公务用车购置费支出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；公务用车</w:t>
      </w:r>
      <w:r>
        <w:rPr>
          <w:rFonts w:hint="eastAsia" w:ascii="仿宋_GB2312" w:hAnsi="Times New Roman" w:eastAsia="仿宋_GB2312" w:cs="Times New Roman"/>
          <w:sz w:val="30"/>
          <w:szCs w:val="30"/>
          <w:highlight w:val="none"/>
          <w:lang w:eastAsia="zh-CN"/>
        </w:rPr>
        <w:t>运行维护费</w:t>
      </w:r>
      <w:r>
        <w:rPr>
          <w:rFonts w:hint="eastAsia" w:ascii="仿宋_GB2312" w:hAnsi="Times New Roman" w:eastAsia="仿宋_GB2312" w:cs="Times New Roman"/>
          <w:sz w:val="30"/>
          <w:szCs w:val="30"/>
          <w:highlight w:val="none"/>
        </w:rPr>
        <w:t>支出</w:t>
      </w:r>
      <w:r>
        <w:rPr>
          <w:rFonts w:hint="eastAsia" w:ascii="仿宋_GB2312" w:hAnsi="Times New Roman" w:eastAsia="仿宋_GB2312" w:cs="Times New Roman"/>
          <w:sz w:val="30"/>
          <w:szCs w:val="30"/>
          <w:highlight w:val="none"/>
          <w:lang w:eastAsia="zh-CN"/>
        </w:rPr>
        <w:t>上年无此项支出</w:t>
      </w:r>
      <w:r>
        <w:rPr>
          <w:rFonts w:hint="eastAsia" w:ascii="仿宋_GB2312" w:hAnsi="Times New Roman" w:eastAsia="仿宋_GB2312" w:cs="Times New Roman"/>
          <w:sz w:val="30"/>
          <w:szCs w:val="30"/>
          <w:highlight w:val="none"/>
        </w:rPr>
        <w:t>；公务接待费支出</w:t>
      </w:r>
      <w:r>
        <w:rPr>
          <w:rFonts w:hint="eastAsia" w:ascii="仿宋_GB2312" w:hAnsi="Times New Roman" w:eastAsia="仿宋_GB2312" w:cs="Times New Roman"/>
          <w:sz w:val="30"/>
          <w:szCs w:val="30"/>
          <w:highlight w:val="none"/>
          <w:lang w:eastAsia="zh-CN"/>
        </w:rPr>
        <w:t>上年无此项支出，具体是国内接待费支出决算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元（其中：外事接待费支出决算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元），上年无此项支出；国（境）外接待费支出决算</w:t>
      </w:r>
      <w:r>
        <w:rPr>
          <w:rFonts w:hint="eastAsia" w:ascii="仿宋_GB2312" w:hAnsi="Times New Roman" w:eastAsia="仿宋_GB2312" w:cs="Times New Roman"/>
          <w:sz w:val="30"/>
          <w:szCs w:val="30"/>
          <w:highlight w:val="none"/>
          <w:lang w:val="zh-CN"/>
        </w:rPr>
        <w:t>0.00</w:t>
      </w:r>
      <w:r>
        <w:rPr>
          <w:rFonts w:hint="eastAsia" w:ascii="仿宋_GB2312" w:hAnsi="Times New Roman" w:eastAsia="仿宋_GB2312" w:cs="Times New Roman"/>
          <w:sz w:val="30"/>
          <w:szCs w:val="30"/>
          <w:highlight w:val="none"/>
          <w:lang w:eastAsia="zh-CN"/>
        </w:rPr>
        <w:t>元，上年无此项支出。</w:t>
      </w:r>
      <w:r>
        <w:rPr>
          <w:rFonts w:hint="eastAsia" w:ascii="仿宋_GB2312" w:hAnsi="Times New Roman" w:eastAsia="仿宋_GB2312" w:cs="Times New Roman"/>
          <w:sz w:val="30"/>
          <w:szCs w:val="30"/>
          <w:highlight w:val="none"/>
          <w:lang w:val="en-US" w:eastAsia="zh-CN"/>
        </w:rPr>
        <w:t>2024</w:t>
      </w:r>
      <w:r>
        <w:rPr>
          <w:rFonts w:hint="eastAsia" w:ascii="仿宋_GB2312" w:hAnsi="Times New Roman" w:eastAsia="仿宋_GB2312" w:cs="Times New Roman"/>
          <w:sz w:val="30"/>
          <w:szCs w:val="30"/>
          <w:highlight w:val="none"/>
        </w:rPr>
        <w:t>年度</w:t>
      </w:r>
      <w:r>
        <w:rPr>
          <w:rFonts w:hint="eastAsia" w:ascii="仿宋_GB2312" w:hAnsi="Times New Roman" w:eastAsia="仿宋_GB2312" w:cs="Times New Roman"/>
          <w:sz w:val="30"/>
          <w:szCs w:val="30"/>
          <w:highlight w:val="none"/>
          <w:lang w:eastAsia="zh-CN"/>
        </w:rPr>
        <w:t>单位无</w:t>
      </w:r>
      <w:r>
        <w:rPr>
          <w:rFonts w:hint="eastAsia" w:ascii="仿宋_GB2312" w:hAnsi="Times New Roman" w:eastAsia="仿宋_GB2312" w:cs="Times New Roman"/>
          <w:sz w:val="30"/>
          <w:szCs w:val="30"/>
          <w:highlight w:val="none"/>
        </w:rPr>
        <w:t>一般公共预算财政</w:t>
      </w:r>
      <w:r>
        <w:rPr>
          <w:rFonts w:hint="eastAsia" w:ascii="仿宋_GB2312" w:eastAsia="仿宋_GB2312"/>
          <w:sz w:val="30"/>
          <w:szCs w:val="30"/>
          <w:highlight w:val="none"/>
        </w:rPr>
        <w:t>拨款“三公”经费支出</w:t>
      </w:r>
      <w:r>
        <w:rPr>
          <w:rFonts w:hint="eastAsia" w:ascii="仿宋_GB2312" w:eastAsia="仿宋_GB2312"/>
          <w:sz w:val="30"/>
          <w:szCs w:val="30"/>
          <w:highlight w:val="none"/>
          <w:lang w:eastAsia="zh-CN"/>
        </w:rPr>
        <w:t>。</w:t>
      </w:r>
    </w:p>
    <w:p w14:paraId="41BD96C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rPr>
        <w:t>一般公共预算财政拨款“三公”经费支出</w:t>
      </w:r>
      <w:r>
        <w:rPr>
          <w:rFonts w:hint="eastAsia" w:ascii="仿宋_GB2312" w:eastAsia="仿宋_GB2312"/>
          <w:sz w:val="30"/>
          <w:szCs w:val="30"/>
          <w:highlight w:val="none"/>
          <w:lang w:eastAsia="zh-CN"/>
        </w:rPr>
        <w:t>实物量的</w:t>
      </w:r>
      <w:r>
        <w:rPr>
          <w:rFonts w:hint="eastAsia" w:ascii="仿宋_GB2312" w:eastAsia="仿宋_GB2312"/>
          <w:sz w:val="30"/>
          <w:szCs w:val="30"/>
          <w:highlight w:val="none"/>
        </w:rPr>
        <w:t>具体情况</w:t>
      </w:r>
      <w:r>
        <w:rPr>
          <w:rFonts w:hint="eastAsia" w:ascii="仿宋_GB2312" w:eastAsia="仿宋_GB2312"/>
          <w:sz w:val="30"/>
          <w:szCs w:val="30"/>
          <w:highlight w:val="none"/>
          <w:lang w:eastAsia="zh-CN"/>
        </w:rPr>
        <w:t>：</w:t>
      </w:r>
    </w:p>
    <w:p w14:paraId="31EE47D8">
      <w:pPr>
        <w:widowControl/>
        <w:numPr>
          <w:ilvl w:val="0"/>
          <w:numId w:val="0"/>
        </w:numPr>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lang w:val="en-US" w:eastAsia="zh-CN"/>
        </w:rPr>
        <w:t>1.</w:t>
      </w:r>
      <w:r>
        <w:rPr>
          <w:rFonts w:hint="eastAsia" w:ascii="仿宋_GB2312" w:eastAsia="仿宋_GB2312"/>
          <w:b w:val="0"/>
          <w:bCs/>
          <w:sz w:val="30"/>
          <w:szCs w:val="30"/>
          <w:highlight w:val="none"/>
        </w:rPr>
        <w:t>安排因公出国（境）团组</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人次。</w:t>
      </w:r>
    </w:p>
    <w:p w14:paraId="2E1E5583">
      <w:pPr>
        <w:widowControl/>
        <w:numPr>
          <w:ilvl w:val="0"/>
          <w:numId w:val="0"/>
        </w:numPr>
        <w:snapToGrid w:val="0"/>
        <w:spacing w:before="100" w:after="100" w:line="360" w:lineRule="auto"/>
        <w:ind w:firstLine="600" w:firstLineChars="200"/>
        <w:jc w:val="left"/>
        <w:rPr>
          <w:rFonts w:hint="eastAsia" w:ascii="仿宋_GB2312" w:eastAsia="仿宋_GB2312"/>
          <w:b w:val="0"/>
          <w:bCs/>
          <w:sz w:val="30"/>
          <w:szCs w:val="30"/>
          <w:highlight w:val="none"/>
        </w:rPr>
      </w:pPr>
      <w:r>
        <w:rPr>
          <w:rFonts w:hint="eastAsia" w:ascii="仿宋_GB2312" w:eastAsia="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eastAsia="仿宋_GB2312"/>
          <w:b w:val="0"/>
          <w:bCs/>
          <w:sz w:val="30"/>
          <w:szCs w:val="30"/>
          <w:highlight w:val="none"/>
        </w:rPr>
        <w:t>辆。</w:t>
      </w:r>
    </w:p>
    <w:p w14:paraId="21648FA8">
      <w:pPr>
        <w:widowControl/>
        <w:snapToGrid w:val="0"/>
        <w:spacing w:before="100" w:after="100" w:line="360" w:lineRule="auto"/>
        <w:ind w:firstLine="600" w:firstLineChars="200"/>
        <w:jc w:val="left"/>
        <w:rPr>
          <w:rFonts w:hint="eastAsia" w:ascii="仿宋_GB2312" w:eastAsia="仿宋_GB2312"/>
          <w:sz w:val="30"/>
          <w:szCs w:val="30"/>
          <w:highlight w:val="none"/>
        </w:rPr>
      </w:pPr>
      <w:r>
        <w:rPr>
          <w:rFonts w:hint="eastAsia" w:ascii="仿宋_GB2312" w:eastAsia="仿宋_GB2312"/>
          <w:b w:val="0"/>
          <w:bCs/>
          <w:sz w:val="30"/>
          <w:szCs w:val="30"/>
          <w:highlight w:val="none"/>
        </w:rPr>
        <w:t>3.安排</w:t>
      </w:r>
      <w:r>
        <w:rPr>
          <w:rFonts w:hint="eastAsia" w:ascii="仿宋_GB2312" w:eastAsia="仿宋_GB2312"/>
          <w:sz w:val="30"/>
          <w:szCs w:val="30"/>
          <w:highlight w:val="none"/>
        </w:rPr>
        <w:t>国内公务接待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人）。安排国（境）外公务接待</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eastAsia="仿宋_GB2312"/>
          <w:sz w:val="30"/>
          <w:szCs w:val="30"/>
          <w:highlight w:val="none"/>
        </w:rPr>
        <w:t>人。</w:t>
      </w:r>
    </w:p>
    <w:p w14:paraId="7EFADF11">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0415F6EB">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5DFA752D">
      <w:pPr>
        <w:widowControl/>
        <w:snapToGrid w:val="0"/>
        <w:spacing w:before="100" w:after="100" w:line="360" w:lineRule="auto"/>
        <w:ind w:firstLine="600" w:firstLineChars="200"/>
        <w:jc w:val="left"/>
        <w:rPr>
          <w:rFonts w:hint="eastAsia" w:ascii="仿宋_GB2312" w:eastAsia="仿宋_GB2312"/>
          <w:sz w:val="30"/>
          <w:szCs w:val="30"/>
          <w:highlight w:val="none"/>
          <w:lang w:eastAsia="zh-CN"/>
        </w:rPr>
      </w:pPr>
    </w:p>
    <w:p w14:paraId="54326B90">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6DB93F51">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264DA7B3">
      <w:pPr>
        <w:ind w:firstLine="600" w:firstLineChars="200"/>
        <w:jc w:val="left"/>
        <w:rPr>
          <w:rFonts w:hint="eastAsia" w:ascii="仿宋_GB2312" w:hAnsi="黑体" w:eastAsia="仿宋_GB2312" w:cs="方正小标宋简体"/>
          <w:sz w:val="30"/>
          <w:szCs w:val="30"/>
          <w:highlight w:val="none"/>
        </w:rPr>
      </w:pPr>
      <w:r>
        <w:rPr>
          <w:rFonts w:hint="eastAsia" w:ascii="仿宋_GB2312" w:hAnsi="仿宋_GB2312" w:eastAsia="仿宋_GB2312" w:cs="仿宋_GB2312"/>
          <w:color w:val="auto"/>
          <w:sz w:val="30"/>
          <w:lang w:val="zh-CN"/>
        </w:rPr>
        <w:t>通海县名城保护管理所</w:t>
      </w:r>
      <w:r>
        <w:rPr>
          <w:rFonts w:hint="eastAsia" w:ascii="仿宋_GB2312" w:hAnsi="黑体" w:eastAsia="仿宋_GB2312" w:cs="方正小标宋简体"/>
          <w:sz w:val="30"/>
          <w:szCs w:val="30"/>
          <w:highlight w:val="none"/>
          <w:lang w:val="en-US" w:eastAsia="zh-CN"/>
        </w:rPr>
        <w:t>2024</w:t>
      </w:r>
      <w:r>
        <w:rPr>
          <w:rFonts w:hint="eastAsia" w:ascii="仿宋_GB2312" w:hAnsi="黑体" w:eastAsia="仿宋_GB2312" w:cs="方正小标宋简体"/>
          <w:sz w:val="30"/>
          <w:szCs w:val="30"/>
          <w:highlight w:val="none"/>
        </w:rPr>
        <w:t>年机关运行经费支出</w:t>
      </w:r>
      <w:r>
        <w:rPr>
          <w:rFonts w:hint="eastAsia" w:ascii="仿宋_GB2312" w:hAnsi="仿宋_GB2312" w:eastAsia="仿宋_GB2312" w:cs="仿宋_GB2312"/>
          <w:color w:val="auto"/>
          <w:sz w:val="30"/>
          <w:lang w:val="en-US" w:eastAsia="zh-CN"/>
        </w:rPr>
        <w:t>0.00</w:t>
      </w:r>
      <w:r>
        <w:rPr>
          <w:rFonts w:hint="eastAsia" w:ascii="仿宋_GB2312" w:hAnsi="黑体" w:eastAsia="仿宋_GB2312" w:cs="方正小标宋简体"/>
          <w:sz w:val="30"/>
          <w:szCs w:val="30"/>
          <w:highlight w:val="none"/>
          <w:lang w:eastAsia="zh-CN"/>
        </w:rPr>
        <w:t>元</w:t>
      </w:r>
      <w:r>
        <w:rPr>
          <w:rFonts w:hint="eastAsia" w:ascii="仿宋_GB2312" w:hAnsi="黑体" w:eastAsia="仿宋_GB2312" w:cs="方正小标宋简体"/>
          <w:sz w:val="30"/>
          <w:szCs w:val="30"/>
          <w:highlight w:val="none"/>
        </w:rPr>
        <w:t>，</w:t>
      </w:r>
      <w:r>
        <w:rPr>
          <w:rFonts w:hint="eastAsia" w:ascii="仿宋_GB2312" w:hAnsi="黑体" w:eastAsia="仿宋_GB2312" w:cs="方正小标宋简体"/>
          <w:sz w:val="30"/>
          <w:szCs w:val="30"/>
          <w:highlight w:val="none"/>
          <w:lang w:eastAsia="zh-CN"/>
        </w:rPr>
        <w:t>比上年</w:t>
      </w:r>
      <w:r>
        <w:rPr>
          <w:rFonts w:hint="eastAsia" w:ascii="仿宋_GB2312" w:eastAsia="仿宋_GB2312"/>
          <w:sz w:val="30"/>
          <w:szCs w:val="30"/>
          <w:highlight w:val="none"/>
        </w:rPr>
        <w:t>增加</w:t>
      </w:r>
      <w:r>
        <w:rPr>
          <w:rFonts w:hint="eastAsia" w:ascii="仿宋_GB2312" w:hAnsi="仿宋_GB2312" w:eastAsia="仿宋_GB2312" w:cs="仿宋_GB2312"/>
          <w:color w:val="auto"/>
          <w:sz w:val="30"/>
          <w:lang w:val="en-US" w:eastAsia="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，增长</w:t>
      </w:r>
      <w:r>
        <w:rPr>
          <w:rFonts w:hint="eastAsia" w:ascii="仿宋_GB2312" w:hAnsi="仿宋_GB2312" w:eastAsia="仿宋_GB2312" w:cs="仿宋_GB2312"/>
          <w:color w:val="000000"/>
          <w:sz w:val="30"/>
          <w:lang w:val="zh-CN"/>
        </w:rPr>
        <w:t>0.00</w:t>
      </w:r>
      <w:r>
        <w:rPr>
          <w:rFonts w:hint="eastAsia" w:ascii="仿宋_GB2312" w:eastAsia="仿宋_GB2312"/>
          <w:sz w:val="30"/>
          <w:szCs w:val="30"/>
          <w:highlight w:val="none"/>
        </w:rPr>
        <w:t>%</w:t>
      </w:r>
      <w:r>
        <w:rPr>
          <w:rFonts w:hint="eastAsia" w:ascii="仿宋_GB2312" w:hAnsi="黑体" w:eastAsia="仿宋_GB2312" w:cs="方正小标宋简体"/>
          <w:sz w:val="30"/>
          <w:szCs w:val="30"/>
          <w:highlight w:val="none"/>
        </w:rPr>
        <w:t>,主要原因</w:t>
      </w:r>
      <w:r>
        <w:rPr>
          <w:rFonts w:hint="eastAsia" w:ascii="仿宋_GB2312" w:hAnsi="黑体" w:eastAsia="仿宋_GB2312" w:cs="方正小标宋简体"/>
          <w:sz w:val="30"/>
          <w:szCs w:val="30"/>
          <w:highlight w:val="none"/>
          <w:lang w:eastAsia="zh-CN"/>
        </w:rPr>
        <w:t>是</w:t>
      </w:r>
      <w:r>
        <w:rPr>
          <w:rFonts w:hint="eastAsia" w:ascii="仿宋_GB2312" w:hAnsi="仿宋_GB2312" w:eastAsia="仿宋_GB2312" w:cs="仿宋_GB2312"/>
          <w:color w:val="auto"/>
          <w:sz w:val="30"/>
          <w:lang w:val="zh-CN"/>
        </w:rPr>
        <w:t>通海县名城保护管理所为</w:t>
      </w:r>
      <w:r>
        <w:rPr>
          <w:rFonts w:hint="eastAsia" w:ascii="仿宋_GB2312" w:hAnsi="黑体" w:eastAsia="仿宋_GB2312" w:cs="方正小标宋简体"/>
          <w:sz w:val="30"/>
          <w:szCs w:val="30"/>
          <w:highlight w:val="none"/>
        </w:rPr>
        <w:t>全额拨款事业单位，无机关运行经费。</w:t>
      </w:r>
    </w:p>
    <w:p w14:paraId="1CA6D524">
      <w:pPr>
        <w:widowControl/>
        <w:ind w:firstLine="600" w:firstLineChars="200"/>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0CF2485B">
      <w:pPr>
        <w:widowControl/>
        <w:ind w:firstLine="600" w:firstLineChars="200"/>
        <w:rPr>
          <w:rFonts w:hint="eastAsia" w:ascii="仿宋_GB2312" w:hAnsi="黑体" w:eastAsia="仿宋_GB2312" w:cs="方正小标宋简体"/>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通海县名城保护管理所</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11705.96</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11694.03</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黑体" w:eastAsia="仿宋_GB2312" w:cs="方正小标宋简体"/>
          <w:color w:val="000000"/>
          <w:kern w:val="0"/>
          <w:sz w:val="30"/>
          <w:szCs w:val="30"/>
          <w:highlight w:val="none"/>
        </w:rPr>
        <w:t>。与上年相比，本年资产总额增加减少</w:t>
      </w:r>
      <w:r>
        <w:rPr>
          <w:rFonts w:hint="eastAsia" w:ascii="仿宋_GB2312" w:hAnsi="黑体" w:eastAsia="仿宋_GB2312" w:cs="方正小标宋简体"/>
          <w:color w:val="000000"/>
          <w:kern w:val="0"/>
          <w:sz w:val="30"/>
          <w:szCs w:val="30"/>
          <w:highlight w:val="none"/>
          <w:lang w:val="en-US" w:eastAsia="zh-CN"/>
        </w:rPr>
        <w:t>6805.36</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，其中固定资产增加</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。处置房屋建筑物</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；处置车辆</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辆，账面原值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；报废报损资产</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项，账面原值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，实现资产处置收入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；出租房屋</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rPr>
        <w:t>平方米，账面原值</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，实现资产使用收入</w:t>
      </w:r>
      <w:r>
        <w:rPr>
          <w:rFonts w:hint="eastAsia" w:ascii="仿宋_GB2312" w:hAnsi="黑体" w:eastAsia="仿宋_GB2312" w:cs="方正小标宋简体"/>
          <w:color w:val="000000"/>
          <w:kern w:val="0"/>
          <w:sz w:val="30"/>
          <w:szCs w:val="30"/>
          <w:highlight w:val="none"/>
          <w:lang w:val="en-US" w:eastAsia="zh-CN"/>
        </w:rPr>
        <w:t>0</w:t>
      </w:r>
      <w:r>
        <w:rPr>
          <w:rFonts w:hint="eastAsia" w:ascii="仿宋_GB2312" w:hAnsi="黑体" w:eastAsia="仿宋_GB2312" w:cs="方正小标宋简体"/>
          <w:color w:val="000000"/>
          <w:kern w:val="0"/>
          <w:sz w:val="30"/>
          <w:szCs w:val="30"/>
          <w:highlight w:val="none"/>
          <w:lang w:eastAsia="zh-CN"/>
        </w:rPr>
        <w:t>元</w:t>
      </w:r>
      <w:r>
        <w:rPr>
          <w:rFonts w:hint="eastAsia" w:ascii="仿宋_GB2312" w:hAnsi="黑体" w:eastAsia="仿宋_GB2312" w:cs="方正小标宋简体"/>
          <w:color w:val="000000"/>
          <w:kern w:val="0"/>
          <w:sz w:val="30"/>
          <w:szCs w:val="30"/>
          <w:highlight w:val="none"/>
        </w:rPr>
        <w:t>。</w:t>
      </w:r>
    </w:p>
    <w:p w14:paraId="3410C902">
      <w:pPr>
        <w:widowControl/>
        <w:ind w:firstLine="600" w:firstLineChars="200"/>
        <w:rPr>
          <w:rFonts w:hint="eastAsia" w:ascii="仿宋_GB2312" w:hAnsi="黑体" w:eastAsia="仿宋_GB2312" w:cs="方正小标宋简体"/>
          <w:color w:val="000000"/>
          <w:kern w:val="0"/>
          <w:sz w:val="30"/>
          <w:szCs w:val="30"/>
          <w:highlight w:val="none"/>
          <w:lang w:eastAsia="zh-CN"/>
        </w:rPr>
      </w:pPr>
    </w:p>
    <w:tbl>
      <w:tblPr>
        <w:tblStyle w:val="6"/>
        <w:tblpPr w:leftFromText="180" w:rightFromText="180" w:topFromText="100" w:bottomFromText="100" w:vertAnchor="text" w:horzAnchor="page" w:tblpX="534" w:tblpY="490"/>
        <w:tblOverlap w:val="never"/>
        <w:tblW w:w="142" w:type="dxa"/>
        <w:tblInd w:w="-15" w:type="dxa"/>
        <w:tblLayout w:type="fixed"/>
        <w:tblCellMar>
          <w:top w:w="0" w:type="dxa"/>
          <w:left w:w="0" w:type="dxa"/>
          <w:bottom w:w="0" w:type="dxa"/>
          <w:right w:w="0" w:type="dxa"/>
        </w:tblCellMar>
      </w:tblPr>
      <w:tblGrid>
        <w:gridCol w:w="142"/>
      </w:tblGrid>
      <w:tr w14:paraId="3A1BC1D8">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09E2B995">
            <w:pPr>
              <w:widowControl/>
              <w:jc w:val="left"/>
              <w:rPr>
                <w:rFonts w:ascii="宋体" w:hAnsi="宋体" w:cs="宋体"/>
                <w:color w:val="000000"/>
                <w:kern w:val="0"/>
                <w:sz w:val="17"/>
                <w:szCs w:val="17"/>
                <w:highlight w:val="none"/>
              </w:rPr>
            </w:pPr>
          </w:p>
        </w:tc>
      </w:tr>
      <w:tr w14:paraId="5BEB10B6">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7CD9912F">
            <w:pPr>
              <w:widowControl/>
              <w:jc w:val="left"/>
              <w:rPr>
                <w:rFonts w:ascii="宋体" w:hAnsi="宋体" w:cs="宋体"/>
                <w:color w:val="000000"/>
                <w:kern w:val="0"/>
                <w:sz w:val="17"/>
                <w:szCs w:val="17"/>
                <w:highlight w:val="none"/>
              </w:rPr>
            </w:pPr>
          </w:p>
        </w:tc>
      </w:tr>
      <w:tr w14:paraId="54D230FF">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404EFEFB">
            <w:pPr>
              <w:widowControl/>
              <w:jc w:val="left"/>
              <w:rPr>
                <w:rFonts w:ascii="宋体" w:hAnsi="宋体" w:cs="宋体"/>
                <w:color w:val="000000"/>
                <w:kern w:val="0"/>
                <w:sz w:val="17"/>
                <w:szCs w:val="17"/>
                <w:highlight w:val="none"/>
              </w:rPr>
            </w:pPr>
          </w:p>
        </w:tc>
      </w:tr>
      <w:tr w14:paraId="333F0F27">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65A339B2">
            <w:pPr>
              <w:widowControl/>
              <w:jc w:val="left"/>
              <w:rPr>
                <w:rFonts w:ascii="宋体" w:hAnsi="宋体" w:cs="宋体"/>
                <w:color w:val="000000"/>
                <w:kern w:val="0"/>
                <w:sz w:val="17"/>
                <w:szCs w:val="17"/>
                <w:highlight w:val="none"/>
              </w:rPr>
            </w:pPr>
          </w:p>
        </w:tc>
      </w:tr>
      <w:tr w14:paraId="19FE9675">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3335D96A">
            <w:pPr>
              <w:widowControl/>
              <w:jc w:val="left"/>
              <w:rPr>
                <w:rFonts w:ascii="宋体" w:hAnsi="宋体" w:cs="宋体"/>
                <w:color w:val="000000"/>
                <w:kern w:val="0"/>
                <w:sz w:val="17"/>
                <w:szCs w:val="17"/>
                <w:highlight w:val="none"/>
              </w:rPr>
            </w:pPr>
          </w:p>
        </w:tc>
      </w:tr>
      <w:tr w14:paraId="62AC7DB2">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349E15A5">
            <w:pPr>
              <w:widowControl/>
              <w:jc w:val="left"/>
              <w:rPr>
                <w:rFonts w:ascii="宋体" w:hAnsi="宋体" w:cs="宋体"/>
                <w:color w:val="000000"/>
                <w:kern w:val="0"/>
                <w:sz w:val="17"/>
                <w:szCs w:val="17"/>
                <w:highlight w:val="none"/>
              </w:rPr>
            </w:pPr>
          </w:p>
        </w:tc>
      </w:tr>
      <w:tr w14:paraId="7A185BC6">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53E18CA3">
            <w:pPr>
              <w:widowControl/>
              <w:jc w:val="left"/>
              <w:rPr>
                <w:rFonts w:ascii="宋体" w:hAnsi="宋体" w:cs="宋体"/>
                <w:color w:val="000000"/>
                <w:kern w:val="0"/>
                <w:sz w:val="17"/>
                <w:szCs w:val="17"/>
                <w:highlight w:val="none"/>
              </w:rPr>
            </w:pPr>
          </w:p>
        </w:tc>
      </w:tr>
      <w:tr w14:paraId="0A7FD2CF">
        <w:tblPrEx>
          <w:tblCellMar>
            <w:top w:w="0" w:type="dxa"/>
            <w:left w:w="0" w:type="dxa"/>
            <w:bottom w:w="0" w:type="dxa"/>
            <w:right w:w="0" w:type="dxa"/>
          </w:tblCellMar>
        </w:tblPrEx>
        <w:trPr>
          <w:trHeight w:val="495" w:hRule="atLeast"/>
        </w:trPr>
        <w:tc>
          <w:tcPr>
            <w:tcW w:w="142" w:type="dxa"/>
            <w:noWrap w:val="0"/>
            <w:vAlign w:val="center"/>
          </w:tcPr>
          <w:p w14:paraId="648AFB3C">
            <w:pPr>
              <w:widowControl/>
              <w:jc w:val="left"/>
              <w:rPr>
                <w:rFonts w:ascii="Times New Roman" w:hAnsi="Times New Roman" w:eastAsia="Times New Roman"/>
                <w:kern w:val="0"/>
                <w:sz w:val="20"/>
                <w:szCs w:val="20"/>
                <w:highlight w:val="none"/>
              </w:rPr>
            </w:pPr>
          </w:p>
        </w:tc>
      </w:tr>
    </w:tbl>
    <w:p w14:paraId="6446B8D3">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248CD109">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2024年度，单位政府采购支出总额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w:t>
      </w:r>
    </w:p>
    <w:p w14:paraId="7F195652">
      <w:pPr>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6A840496">
      <w:pPr>
        <w:widowControl/>
        <w:snapToGrid w:val="0"/>
        <w:spacing w:before="100" w:after="100" w:line="360" w:lineRule="auto"/>
        <w:ind w:firstLine="600"/>
        <w:jc w:val="left"/>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单位绩效自评情况详见附表。</w:t>
      </w:r>
    </w:p>
    <w:p w14:paraId="13CD1E83">
      <w:pPr>
        <w:widowControl/>
        <w:snapToGrid w:val="0"/>
        <w:spacing w:before="100" w:after="100" w:line="360" w:lineRule="auto"/>
        <w:ind w:firstLine="600"/>
        <w:jc w:val="left"/>
        <w:rPr>
          <w:rFonts w:hint="default" w:ascii="Times New Roman" w:hAnsi="Times New Roman" w:eastAsia="仿宋" w:cs="Times New Roman"/>
          <w:kern w:val="2"/>
          <w:sz w:val="30"/>
          <w:szCs w:val="30"/>
          <w:highlight w:val="none"/>
          <w:lang w:val="en-US" w:eastAsia="zh-CN"/>
        </w:rPr>
      </w:pPr>
      <w:r>
        <w:rPr>
          <w:rFonts w:hint="default" w:ascii="Times New Roman" w:hAnsi="Times New Roman" w:eastAsia="仿宋" w:cs="Times New Roman"/>
          <w:kern w:val="2"/>
          <w:sz w:val="30"/>
          <w:szCs w:val="30"/>
          <w:highlight w:val="none"/>
          <w:lang w:val="en-US" w:eastAsia="zh-CN"/>
        </w:rPr>
        <w:t>部门整体支出绩效自评由主管部门公开，故《部门整体支出绩效自评报告》和《部门整体支出绩效自评表》为空表。</w:t>
      </w:r>
    </w:p>
    <w:p w14:paraId="1B227E49">
      <w:pPr>
        <w:widowControl/>
        <w:snapToGrid w:val="0"/>
        <w:spacing w:before="100" w:after="100" w:line="360" w:lineRule="auto"/>
        <w:ind w:firstLine="600"/>
        <w:jc w:val="left"/>
        <w:rPr>
          <w:rFonts w:hint="eastAsia" w:ascii="黑体" w:hAnsi="黑体" w:eastAsia="黑体" w:cs="黑体"/>
          <w:sz w:val="30"/>
          <w:szCs w:val="30"/>
          <w:highlight w:val="none"/>
          <w:lang w:val="en-US" w:eastAsia="zh-CN"/>
        </w:rPr>
      </w:pPr>
      <w:r>
        <w:rPr>
          <w:rFonts w:hint="eastAsia" w:ascii="仿宋_GB2312" w:hAnsi="仿宋_GB2312" w:eastAsia="仿宋_GB2312" w:cs="仿宋_GB2312"/>
          <w:color w:val="auto"/>
          <w:sz w:val="30"/>
          <w:lang w:val="zh-CN"/>
        </w:rPr>
        <w:t>通海县名城保护管理所</w:t>
      </w:r>
      <w:r>
        <w:rPr>
          <w:rFonts w:hint="default" w:ascii="Times New Roman" w:hAnsi="Times New Roman" w:eastAsia="仿宋" w:cs="Times New Roman"/>
          <w:kern w:val="2"/>
          <w:sz w:val="30"/>
          <w:szCs w:val="30"/>
          <w:highlight w:val="none"/>
          <w:lang w:val="en-US" w:eastAsia="zh-CN"/>
        </w:rPr>
        <w:t>202</w:t>
      </w:r>
      <w:r>
        <w:rPr>
          <w:rFonts w:hint="eastAsia" w:ascii="Times New Roman" w:hAnsi="Times New Roman" w:eastAsia="仿宋" w:cs="Times New Roman"/>
          <w:kern w:val="2"/>
          <w:sz w:val="30"/>
          <w:szCs w:val="30"/>
          <w:highlight w:val="none"/>
          <w:lang w:val="en-US" w:eastAsia="zh-CN"/>
        </w:rPr>
        <w:t>4</w:t>
      </w:r>
      <w:r>
        <w:rPr>
          <w:rFonts w:hint="default" w:ascii="Times New Roman" w:hAnsi="Times New Roman" w:eastAsia="仿宋" w:cs="Times New Roman"/>
          <w:kern w:val="2"/>
          <w:sz w:val="30"/>
          <w:szCs w:val="30"/>
          <w:highlight w:val="none"/>
          <w:lang w:val="en-US" w:eastAsia="zh-CN"/>
        </w:rPr>
        <w:t>年无项目支出安排，《项目支出绩效自评表》为空表。</w:t>
      </w:r>
    </w:p>
    <w:p w14:paraId="1A50FABC">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5EACCB2F">
      <w:pPr>
        <w:widowControl/>
        <w:snapToGrid w:val="0"/>
        <w:spacing w:before="100" w:after="100" w:line="360" w:lineRule="auto"/>
        <w:ind w:firstLine="600" w:firstLineChars="200"/>
        <w:jc w:val="left"/>
        <w:outlineLvl w:val="1"/>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无。</w:t>
      </w:r>
    </w:p>
    <w:p w14:paraId="0ACCAF39">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3CF15C7A">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2DFC6232">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028E283E">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05CC9E48">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w:t>
      </w:r>
      <w:r>
        <w:rPr>
          <w:rFonts w:hint="eastAsia" w:ascii="仿宋_GB2312" w:hAnsi="黑体" w:eastAsia="仿宋_GB2312" w:cs="方正小标宋简体"/>
          <w:sz w:val="30"/>
          <w:szCs w:val="30"/>
          <w:highlight w:val="none"/>
          <w:lang w:eastAsia="zh-CN"/>
        </w:rPr>
        <w:t>或单位</w:t>
      </w:r>
      <w:r>
        <w:rPr>
          <w:rFonts w:hint="eastAsia" w:ascii="仿宋_GB2312" w:hAnsi="黑体" w:eastAsia="仿宋_GB2312" w:cs="方正小标宋简体"/>
          <w:sz w:val="30"/>
          <w:szCs w:val="30"/>
          <w:highlight w:val="none"/>
        </w:rPr>
        <w:t>当年通过本级财政拨款和以前年度财政拨款结转结余资金安排的因公出国（境）费、公务用车购置及运行维护费和公务接待费支出数（包括基本支出和项目支出）。</w:t>
      </w:r>
    </w:p>
    <w:p w14:paraId="7129C4F8">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9532C2A">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45AC9217">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lang w:val="en-US" w:eastAsia="zh-CN"/>
        </w:rPr>
      </w:pPr>
      <w:r>
        <w:rPr>
          <w:rFonts w:hint="default" w:ascii="Times New Roman" w:hAnsi="Times New Roman" w:eastAsia="仿宋" w:cs="Times New Roman"/>
          <w:kern w:val="2"/>
          <w:sz w:val="30"/>
          <w:szCs w:val="30"/>
          <w:lang w:val="en-US" w:eastAsia="zh-CN"/>
        </w:rPr>
        <w:t>政府采购：是指各级国家机关、事业单位和团体组织，使用财政性资金采购依法制定的集中采购目录以内的或者采购限额标准以上的货物、工程和服务的行为。</w:t>
      </w:r>
    </w:p>
    <w:p w14:paraId="5E7BE5D7">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lang w:val="en-US" w:eastAsia="zh-CN"/>
        </w:rPr>
      </w:pPr>
      <w:r>
        <w:rPr>
          <w:rFonts w:hint="default" w:ascii="Times New Roman" w:hAnsi="Times New Roman" w:eastAsia="仿宋" w:cs="Times New Roman"/>
          <w:kern w:val="2"/>
          <w:sz w:val="30"/>
          <w:szCs w:val="30"/>
          <w:lang w:val="en-US" w:eastAsia="zh-CN"/>
        </w:rPr>
        <w:t>一般公共预算收入：一般公共预算收入是指政府凭借国家政治权力，以社会管理者身份筹集以税收为主体的财政收入，主要用于保障和改善民生、维持国家行政职能正常运转、保障国家安全等方面。包括税收收入和非税收入，其中：税收收入主要包括增值税、营业税、企业所得税、个人所得税等，非税收入主要包括纳入预算管理的行政性收费、罚没收入、专项收入、国有资源（资产）有偿使用收入等。</w:t>
      </w:r>
    </w:p>
    <w:p w14:paraId="56FF0C7A">
      <w:pPr>
        <w:keepNext w:val="0"/>
        <w:keepLines w:val="0"/>
        <w:pageBreakBefore w:val="0"/>
        <w:widowControl w:val="0"/>
        <w:suppressLineNumbers w:val="0"/>
        <w:kinsoku/>
        <w:wordWrap/>
        <w:overflowPunct/>
        <w:topLinePunct w:val="0"/>
        <w:autoSpaceDE w:val="0"/>
        <w:autoSpaceDN/>
        <w:bidi w:val="0"/>
        <w:adjustRightInd/>
        <w:snapToGrid w:val="0"/>
        <w:spacing w:line="590" w:lineRule="exact"/>
        <w:ind w:left="0" w:firstLine="600" w:firstLineChars="200"/>
        <w:jc w:val="both"/>
        <w:textAlignment w:val="auto"/>
        <w:rPr>
          <w:rFonts w:hint="default" w:ascii="Times New Roman" w:hAnsi="Times New Roman" w:eastAsia="仿宋" w:cs="Times New Roman"/>
          <w:kern w:val="2"/>
          <w:sz w:val="30"/>
          <w:szCs w:val="30"/>
          <w:lang w:val="en-US" w:eastAsia="zh-CN"/>
        </w:rPr>
      </w:pPr>
      <w:r>
        <w:rPr>
          <w:rFonts w:hint="default" w:ascii="Times New Roman" w:hAnsi="Times New Roman" w:eastAsia="仿宋" w:cs="Times New Roman"/>
          <w:kern w:val="2"/>
          <w:sz w:val="30"/>
          <w:szCs w:val="30"/>
          <w:lang w:val="en-US" w:eastAsia="zh-CN"/>
        </w:rPr>
        <w:t>一般公共预算支出：一般公共预算支出是指通过一般公共预算收入统筹安排的支出。其功能分类范围主要包括：一般公共服务、公共安全、教育、科学技术、文化体育与传媒、社会保障和就业、医疗卫生、节能环保、城乡社区事务、农林水事务、交通运输、商业服务业等事务、国土资源气象等事物、住房保障支出等。</w:t>
      </w:r>
    </w:p>
    <w:p w14:paraId="239D45C2">
      <w:pPr>
        <w:ind w:firstLine="600" w:firstLineChars="200"/>
        <w:jc w:val="left"/>
        <w:rPr>
          <w:rFonts w:hint="eastAsia" w:ascii="仿宋_GB2312" w:hAnsi="黑体" w:eastAsia="仿宋_GB2312" w:cs="方正小标宋简体"/>
          <w:sz w:val="30"/>
          <w:szCs w:val="30"/>
          <w:highlight w:val="none"/>
        </w:rPr>
      </w:pPr>
    </w:p>
    <w:p w14:paraId="70E1E0AE">
      <w:pPr>
        <w:rPr>
          <w:highlight w:val="none"/>
        </w:rPr>
      </w:pPr>
    </w:p>
    <w:p w14:paraId="6EF08788">
      <w:pPr>
        <w:rPr>
          <w:rFonts w:ascii="Arial" w:hAnsi="Arial" w:eastAsia="Arial" w:cs="Arial"/>
          <w:b/>
          <w:sz w:val="36"/>
        </w:rPr>
      </w:pPr>
      <w:r>
        <w:rPr>
          <w:rFonts w:ascii="Arial" w:hAnsi="Arial" w:eastAsia="Arial" w:cs="Arial"/>
          <w:b/>
          <w:sz w:val="36"/>
        </w:rPr>
        <w:t>监督索引号53042300533300501111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4B6E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F9CDA6">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7F9CDA6">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DEE3">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11356D0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4468">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C334FB2"/>
    <w:rsid w:val="6913415E"/>
    <w:rsid w:val="7FAF25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基本支出情况表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人员经费支出</c:v>
                </c:pt>
                <c:pt idx="1">
                  <c:v>公用经费支出</c:v>
                </c:pt>
              </c:strCache>
            </c:strRef>
          </c:cat>
          <c:val>
            <c:numRef>
              <c:f>Sheet1!$B$2:$B$3</c:f>
              <c:numCache>
                <c:formatCode>General</c:formatCode>
                <c:ptCount val="2"/>
                <c:pt idx="0">
                  <c:v>748894.59</c:v>
                </c:pt>
                <c:pt idx="1">
                  <c:v>37216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一般公共预算财政拨款支出情况表</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社会保障和就业（类）支出</c:v>
                </c:pt>
                <c:pt idx="1">
                  <c:v>卫生健康（类）支出</c:v>
                </c:pt>
                <c:pt idx="2">
                  <c:v>城乡社区（类）支出</c:v>
                </c:pt>
                <c:pt idx="3">
                  <c:v>住房保障（类）支出</c:v>
                </c:pt>
              </c:strCache>
            </c:strRef>
          </c:cat>
          <c:val>
            <c:numRef>
              <c:f>Sheet1!$B$2:$B$5</c:f>
              <c:numCache>
                <c:formatCode>General</c:formatCode>
                <c:ptCount val="4"/>
                <c:pt idx="0">
                  <c:v>86108.16</c:v>
                </c:pt>
                <c:pt idx="1">
                  <c:v>71609.15</c:v>
                </c:pt>
                <c:pt idx="2">
                  <c:v>586663.28</c:v>
                </c:pt>
                <c:pt idx="3">
                  <c:v>41730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xmlns="http://schemas.openxmlformats.org/officeDocument/2006/custom-properties" name="KSOProductBuildVer" fmtid="{D5CDD505-2E9C-101B-9397-08002B2CF9AE}" pid="2">
    <vt:lpwstr xmlns:vt="http://schemas.openxmlformats.org/officeDocument/2006/docPropsVTypes">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bbbbcd-41ab-45df-88a7-e5a8af4116de}">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0</Words>
  <Characters>0</Characters>
  <Lines>0</Lines>
  <Paragraphs>0</Paragraphs>
  <TotalTime>11</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2024-06-03T09:34:00Z</dcterms:created>
  <dc:creator>李瑞婷_x0028_拟稿_x0029_</dc:creator>
  <cp:lastModifiedBy>kylin</cp:lastModifiedBy>
  <cp:lastPrinted>2024-07-30T14:24:00Z</cp:lastPrinted>
  <dcterms:modified xsi:type="dcterms:W3CDTF">2025-09-30T15:59:13Z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874CFF07C6FD400CB576E67B07938AA5</vt:lpwstr>
  </property>
  <property fmtid="{D5CDD505-2E9C-101B-9397-08002B2CF9AE}" pid="3" name="KSOProductBuildVer">
    <vt:lpwstr>2052-12.8.2.17863</vt:lpwstr>
  </property>
</Properties>
</file>