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9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行政许可事项实施规范编制说明</w:t>
      </w:r>
    </w:p>
    <w:p w14:paraId="08A95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主项实施规范</w:t>
      </w:r>
    </w:p>
    <w:p w14:paraId="003C4E0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  <w:lang w:val="en-US" w:eastAsia="zh-CN" w:bidi="ar"/>
        </w:rPr>
        <w:t>（00018200200Y）</w:t>
      </w:r>
    </w:p>
    <w:p w14:paraId="753D719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一、行政许可事项名称：</w:t>
      </w:r>
    </w:p>
    <w:p w14:paraId="329EA4D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电影放映单位设立审批</w:t>
      </w:r>
      <w:bookmarkStart w:id="0" w:name="_GoBack"/>
      <w:bookmarkEnd w:id="0"/>
    </w:p>
    <w:p w14:paraId="385956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二、主管部门：</w:t>
      </w:r>
    </w:p>
    <w:p w14:paraId="0B5FF3B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国家电影局</w:t>
      </w:r>
    </w:p>
    <w:p w14:paraId="13B5A8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三、实施机关：</w:t>
      </w:r>
    </w:p>
    <w:p w14:paraId="21B84CC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县新闻出版（版权）局</w:t>
      </w:r>
    </w:p>
    <w:p w14:paraId="3CCDD88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四、设定和实施依据：</w:t>
      </w:r>
    </w:p>
    <w:p w14:paraId="38A57E8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《中华人民共和国电影产业促进法》《外商投资电影院暂行规定》《电影管理条例》</w:t>
      </w:r>
    </w:p>
    <w:p w14:paraId="5BEB94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《中华人民共和国电影产业促进法》《电影管理条例》《外商投资电影院暂行规定》《点播影院、点播院线管理规定》《外商投资准入特别管理措施（负面清单）（2021年版）》</w:t>
      </w:r>
    </w:p>
    <w:p w14:paraId="6D17E3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五、子项：</w:t>
      </w:r>
    </w:p>
    <w:p w14:paraId="3797867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设立电影放映单位审批</w:t>
      </w:r>
    </w:p>
    <w:p w14:paraId="1D9FC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3EA4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子项、办理项实施规范</w:t>
      </w:r>
    </w:p>
    <w:p w14:paraId="6653CA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一、基本要素 </w:t>
      </w:r>
    </w:p>
    <w:p w14:paraId="5E1A436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 w14:paraId="1CBC34A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电影放映单位设立审批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  <w:lang w:val="en-US" w:eastAsia="zh-CN" w:bidi="ar"/>
        </w:rPr>
        <w:t>00018200200Y</w:t>
      </w:r>
    </w:p>
    <w:p w14:paraId="3DE5346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 w14:paraId="3571C82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设立电影放映单位审批000182002003</w:t>
      </w:r>
    </w:p>
    <w:p w14:paraId="772A920B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行政许可事项业务办理项名称及编码 </w:t>
      </w:r>
    </w:p>
    <w:p w14:paraId="52435D0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设立电影放映单位审批00018200200301</w:t>
      </w:r>
    </w:p>
    <w:p w14:paraId="2605E6F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设定依据 </w:t>
      </w:r>
    </w:p>
    <w:p w14:paraId="380177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《中华人民共和国电影产业促进法》《外商投资电影院暂行规定》《电影管理条例》</w:t>
      </w:r>
    </w:p>
    <w:p w14:paraId="081C16A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实施依据 </w:t>
      </w:r>
    </w:p>
    <w:p w14:paraId="5F85C03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《《中华人民共和国电影产业促进法》《电影管理条例》《外商投资电影院暂行规定》《点播影院、点播院线管理规定》《外商投资准入特别管理措施（负面清单）（2021年版）》</w:t>
      </w:r>
    </w:p>
    <w:p w14:paraId="202DF1B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监管依据 </w:t>
      </w:r>
    </w:p>
    <w:p w14:paraId="663BB05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《中华人民共和国电影产业促进法》</w:t>
      </w:r>
    </w:p>
    <w:p w14:paraId="25A95AB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实施机关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县新闻出版（版权）局</w:t>
      </w:r>
    </w:p>
    <w:p w14:paraId="7F934A3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审批层级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县级</w:t>
      </w:r>
    </w:p>
    <w:p w14:paraId="48B786A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行使层级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 w14:paraId="6F1FD54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06CD348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受理层级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县级</w:t>
      </w:r>
    </w:p>
    <w:p w14:paraId="72ACC388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6AFDFD00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初审层级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07DEE9A0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设立电影放映单位审批</w:t>
      </w:r>
    </w:p>
    <w:p w14:paraId="21669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15.要素统一情况：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全部要素全国统一</w:t>
      </w:r>
    </w:p>
    <w:p w14:paraId="1233CA3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二、行政许可事项类型 </w:t>
      </w:r>
    </w:p>
    <w:p w14:paraId="1EC9DD8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条件型</w:t>
      </w:r>
    </w:p>
    <w:p w14:paraId="54D7A7C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三、行政许可条件 </w:t>
      </w:r>
    </w:p>
    <w:p w14:paraId="1C84DB6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准予行政许可的条件 </w:t>
      </w:r>
    </w:p>
    <w:p w14:paraId="4F9E503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有电影放映单位的名称、章程</w:t>
      </w:r>
    </w:p>
    <w:p w14:paraId="5DB999D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有确定的业务范围</w:t>
      </w:r>
    </w:p>
    <w:p w14:paraId="7324ABB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（3）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有适应业务范围需要的组织机构和专业人员</w:t>
      </w:r>
    </w:p>
    <w:p w14:paraId="24BD320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（4）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有适应业务范围需要的资金、场所和设备</w:t>
      </w:r>
    </w:p>
    <w:p w14:paraId="2BFA734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规定行政许可条件的依据 </w:t>
      </w:r>
    </w:p>
    <w:p w14:paraId="180EF94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《中华人民共和国电影产业促进法》</w:t>
      </w:r>
    </w:p>
    <w:p w14:paraId="252BB3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四、行政许可服务对象类型与改革举措 </w:t>
      </w:r>
    </w:p>
    <w:p w14:paraId="6978DAC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服务对象类型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企业法人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非法人企业</w:t>
      </w:r>
    </w:p>
    <w:p w14:paraId="7131D17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3C69ED8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电影放映单位设立审批</w:t>
      </w:r>
    </w:p>
    <w:p w14:paraId="66044DB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许可证件名称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电影放映经营许可证</w:t>
      </w:r>
    </w:p>
    <w:p w14:paraId="0FEFE8A6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政革方式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优化审批服务</w:t>
      </w:r>
    </w:p>
    <w:p w14:paraId="43D12E1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实行申请材料网上预审。</w:t>
      </w:r>
    </w:p>
    <w:p w14:paraId="7662FCF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加强事中事后监管措施 </w:t>
      </w:r>
    </w:p>
    <w:p w14:paraId="55E31B9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1.开展“双随机、一公开”监管，畅通投诉举报渠道。2.发挥行业协会自律作用。</w:t>
      </w:r>
    </w:p>
    <w:p w14:paraId="7D80D4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五、申请材料 </w:t>
      </w:r>
    </w:p>
    <w:p w14:paraId="5E4B4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1.申请材料名称</w:t>
      </w:r>
    </w:p>
    <w:p w14:paraId="15436BD7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（1）行政许可申请书（一式二份）</w:t>
      </w:r>
    </w:p>
    <w:p w14:paraId="38E6A3F6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（2）公众聚集场所投入使用、营业前消防安全检查意见书（一式二份）</w:t>
      </w:r>
    </w:p>
    <w:p w14:paraId="64E24407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（3）企业（公司）章程（一式二份）</w:t>
      </w:r>
    </w:p>
    <w:p w14:paraId="1E0416A9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（4）法人（委托人）身份证明材料（一式二份）</w:t>
      </w:r>
    </w:p>
    <w:p w14:paraId="076DC9C4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（5）各影厅标明排号、座号的座位图（一式二份）</w:t>
      </w:r>
    </w:p>
    <w:p w14:paraId="7ECBD29E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（6）经营场所的房屋所有权证书或房屋租赁合同（一式二份）</w:t>
      </w:r>
    </w:p>
    <w:p w14:paraId="60320122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（7）电影放映设备、设施明细单（一式二份）</w:t>
      </w:r>
    </w:p>
    <w:p w14:paraId="603A362E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（8）固定电影放映场所的建筑平面图、剖面图（一式二份）</w:t>
      </w:r>
    </w:p>
    <w:p w14:paraId="5E37ACED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（9）营业执照（一式二份）</w:t>
      </w:r>
    </w:p>
    <w:p w14:paraId="27B5A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规定申请材料的依据</w:t>
      </w:r>
    </w:p>
    <w:p w14:paraId="4E88DE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中华人民共和国电影产业促进法》第二十四条：企业、个体工商户具有与所从事的电影放映活动相适应的人员、场所、技术和设备等条件的，经所在地县级人民政府电影主管部门批准，可以从事电影院等固定放映场所电影放映活动。</w:t>
      </w:r>
    </w:p>
    <w:p w14:paraId="79F81EC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六、中介服务 </w:t>
      </w:r>
    </w:p>
    <w:p w14:paraId="50FF7C2A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1.有无法定中介服务事项：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B87780E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中介服务事项名称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1E85D84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设定中介服务事项的依据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E5825D8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提供中介服务的机构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0CA83C7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中介服务事项的收费性质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A9B93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七、审批程序 </w:t>
      </w:r>
    </w:p>
    <w:p w14:paraId="7B6A0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1.办理行政许可的程序环节</w:t>
      </w:r>
    </w:p>
    <w:p w14:paraId="2C999DA1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（1）申请人申请；</w:t>
      </w:r>
    </w:p>
    <w:p w14:paraId="72FCBC9A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（2）审批机构受理/不予受理；</w:t>
      </w:r>
    </w:p>
    <w:p w14:paraId="7FD93C97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（3）审批机构审查；</w:t>
      </w:r>
    </w:p>
    <w:p w14:paraId="0C14C934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（4）决定核发许可证/不予核发许可证。</w:t>
      </w:r>
    </w:p>
    <w:p w14:paraId="50842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2.规定行政许可程序的依据</w:t>
      </w:r>
    </w:p>
    <w:p w14:paraId="1DFA340E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《中华人民共和国电影产业促进法》第八条：国务院电影主管部门负责全国的电影工作；县级以上地方人民政府电影主管部门负责本行政区域内的电影工作。</w:t>
      </w:r>
    </w:p>
    <w:p w14:paraId="330916F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是否需要现场勘验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6A8B29C9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是否需要组织听证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26456B9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是否需要招标、拍卖、挂牌交易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0DD59D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是否需要检验、检测、检疫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1442D232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是否需要鉴定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0D0890C0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是否需要专家评审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6D2CD292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是否需要向社会公示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259DEEE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是否实行告知承诺办理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D5EE11B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11.审批机关是否委托服务机构开展技术性服务：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部分情况下开展</w:t>
      </w:r>
    </w:p>
    <w:p w14:paraId="02D02F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八、受理和审批时限 </w:t>
      </w:r>
    </w:p>
    <w:p w14:paraId="4692A6ED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z w:val="28"/>
          <w:szCs w:val="28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1.承诺受理时限：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5个工作日</w:t>
      </w:r>
    </w:p>
    <w:p w14:paraId="6316C8E8">
      <w:pPr>
        <w:ind w:firstLine="562" w:firstLineChars="200"/>
        <w:outlineLvl w:val="2"/>
        <w:rPr>
          <w:rFonts w:hint="default" w:ascii="Times New Roman" w:hAnsi="Times New Roman" w:eastAsia="仿宋GB2312" w:cs="Times New Roman"/>
          <w:sz w:val="28"/>
          <w:szCs w:val="28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2.法定审批时限：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0个工作日</w:t>
      </w:r>
    </w:p>
    <w:p w14:paraId="0F19E6BD">
      <w:pPr>
        <w:ind w:firstLine="562" w:firstLineChars="200"/>
        <w:outlineLvl w:val="2"/>
        <w:rPr>
          <w:rFonts w:hint="default" w:ascii="Times New Roman" w:hAnsi="Times New Roman" w:eastAsia="方正仿宋_GBK" w:cs="Times New Roman"/>
          <w:color w:val="000000"/>
          <w:w w:val="99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3.规定法定审批时限依据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中华人民共和国电影产业促进法》第二十五条：依照本法规定负责电影发行、放映活动审批的电影主管部门，应当自受理申请之日起三十日内，作出批准或者不批准的决定。对符合条件的，予以批准，颁发电影发行经营许可证或者电影放映经营许可证，并予以公布；对不符合条件的，不予批准，书面通知申请人并说明理由。</w:t>
      </w:r>
    </w:p>
    <w:p w14:paraId="7074DF89">
      <w:pPr>
        <w:pStyle w:val="4"/>
        <w:ind w:firstLine="562" w:firstLineChars="200"/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承诺审批时限：</w:t>
      </w: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个工作日</w:t>
      </w:r>
    </w:p>
    <w:p w14:paraId="4CFF871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九、收费 </w:t>
      </w:r>
    </w:p>
    <w:p w14:paraId="2C0F5B0F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1.办理行政许可是否收费：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7B56768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2.收费项目的名称、收费项目的标准、设定收费项目的依据、规定收费标准的依据：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919FFD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十、行政许可证件 </w:t>
      </w:r>
    </w:p>
    <w:p w14:paraId="0BD1A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1.审批结果类型：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证照</w:t>
      </w:r>
    </w:p>
    <w:p w14:paraId="55E78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2.审批结果名称：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电影放映经营许可证</w:t>
      </w:r>
    </w:p>
    <w:p w14:paraId="29A02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3.审批结果的有效期限：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5年</w:t>
      </w:r>
    </w:p>
    <w:p w14:paraId="49135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4.规定审批结果有效期限的依据</w:t>
      </w:r>
    </w:p>
    <w:p w14:paraId="661E4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《中华人民共和国电影产业促进法》第八条：国务院电影主管部门负责全国的电影工作；县级以上地方人民政府电影主管部门负责本行政区域内的电影工作。</w:t>
      </w:r>
    </w:p>
    <w:p w14:paraId="32A35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5.是否需要办理审批结果变更手续：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37290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6.办理审批结果变更手续的要求：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电影放映单位变更名称、地址、法定代表人，在原登记的市场监督管理部门办理变更登记后，向原审批的电影行政部门备案</w:t>
      </w:r>
    </w:p>
    <w:p w14:paraId="503CD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7.是否需要办理审批结果延续手续：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21791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8.办理审批结果延续手续的要求</w:t>
      </w:r>
    </w:p>
    <w:p w14:paraId="6BB2C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26619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9.审批结果的有效地域范围</w:t>
      </w:r>
    </w:p>
    <w:p w14:paraId="243BA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电影院所在地址</w:t>
      </w:r>
    </w:p>
    <w:p w14:paraId="77510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10.规定审批结果有效地域范围的依据</w:t>
      </w:r>
    </w:p>
    <w:p w14:paraId="274E9E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《中华人民共和国电影产业促进法》</w:t>
      </w:r>
    </w:p>
    <w:p w14:paraId="5204E3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十一、行政许可数量限制 </w:t>
      </w:r>
    </w:p>
    <w:p w14:paraId="2FEE7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1.有无行政许可数量限制：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3E7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2.公布数量限制的方式：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D386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3.公布数量限制的周期：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C8EF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4.在数量限制条件下实施行政许可的方式：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72D632D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5.规定在数量限制条件下实施行政许可方式的依据：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F20928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十二、行政许可后年检 </w:t>
      </w:r>
    </w:p>
    <w:p w14:paraId="2CA52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1.有无年检要求：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4CCD4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2.设定年检要求的依据：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《电影企业经营资格准入暂行规定》（原国家广播电影电视总局令第43号）第十八条：……地方电影行政管理部门按照管理权限，对颁发的《电影发行经营许可证》、《电影放映经营许可证》实行年检制度。</w:t>
      </w:r>
    </w:p>
    <w:p w14:paraId="0E530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3.年检周期：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1年</w:t>
      </w:r>
    </w:p>
    <w:p w14:paraId="41BEA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4.年检是否要求报送材料：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531CD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5.年检报送材料名称：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165CA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6.年检是否收费：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25AB8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7.年检收费项目的名称、年检收费项目的标准、设定年检收费项目的依据、规定年检项目收费标准的依据：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A249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8.通过年检的证明或者标志：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《电影放映经营许可证》副本加盖年检章</w:t>
      </w:r>
    </w:p>
    <w:p w14:paraId="1F5FBA1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十三、行政许可后年报 </w:t>
      </w:r>
    </w:p>
    <w:p w14:paraId="1AC02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有无年报要求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48B0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年报报送材料名称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197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设定年报要求的依据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BABD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年报周期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44F39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十四、监管主体 </w:t>
      </w:r>
    </w:p>
    <w:p w14:paraId="3A5428B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各级电影主管部门</w:t>
      </w:r>
    </w:p>
    <w:p w14:paraId="2D7A72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十五、备注 </w:t>
      </w:r>
    </w:p>
    <w:p w14:paraId="0588F5F7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6F112E-F45C-4654-BE05-D3DAC0D20DA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371043A8-9A19-4A2F-986E-459B387FAFE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C629B0-604B-42CF-BED2-0C07B2056FD2}"/>
  </w:font>
  <w:font w:name="仿宋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0245A169-BA1D-4E8C-B7FC-0BFAD9F9CA34}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ZmM4MGFlOTJlMzEyZjcwYjc0OTZhYzI0ZWEzYWQifQ=="/>
  </w:docVars>
  <w:rsids>
    <w:rsidRoot w:val="00000000"/>
    <w:rsid w:val="03A51FF1"/>
    <w:rsid w:val="1D2B4636"/>
    <w:rsid w:val="2D687FBF"/>
    <w:rsid w:val="3D6C2FBC"/>
    <w:rsid w:val="47E726FC"/>
    <w:rsid w:val="52F93F72"/>
    <w:rsid w:val="567675F1"/>
    <w:rsid w:val="5AA4447D"/>
    <w:rsid w:val="5F9C52DE"/>
    <w:rsid w:val="602D6CC3"/>
    <w:rsid w:val="70CB230C"/>
    <w:rsid w:val="78D5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2824</Words>
  <Characters>2969</Characters>
  <Lines>0</Lines>
  <Paragraphs>0</Paragraphs>
  <TotalTime>7</TotalTime>
  <ScaleCrop>false</ScaleCrop>
  <LinksUpToDate>false</LinksUpToDate>
  <CharactersWithSpaces>2992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2023-10-23T02:50:00Z</dcterms:created>
  <dc:creator>稳稳</dc:creator>
  <cp:lastModifiedBy>刘禹飞</cp:lastModifiedBy>
  <dcterms:modified xsi:type="dcterms:W3CDTF">2026-03-05T09:49:39Z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1A7582FF88A04AFE968E77E88C35B41A_12</vt:lpwstr>
  </property>
  <property fmtid="{D5CDD505-2E9C-101B-9397-08002B2CF9AE}" pid="4" name="KSOTemplateDocerSaveRecord">
    <vt:lpwstr>eyJoZGlkIjoiOGMyZmU5ZmFiNmIyMDY3NzAwMGIwNWIxYzA4ZDA4ZmIiLCJ1c2VySWQiOiIxNTEzNzIzNzU1In0=</vt:lpwstr>
  </property>
</Properties>
</file>