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方正小标宋_GBK" w:hAnsi="方正小标宋_GBK" w:eastAsia="方正小标宋_GBK" w:cs="方正小标宋_GBK"/>
          <w:b w:val="0"/>
          <w:bCs w:val="0"/>
          <w:strike w:val="0"/>
          <w:dstrike w:val="0"/>
          <w:color w:val="auto"/>
          <w:sz w:val="44"/>
          <w:szCs w:val="44"/>
          <w:lang w:val="en-US" w:eastAsia="zh-CN"/>
        </w:rPr>
        <w:t>在村庄、集镇规划区内公共场所修建临时建筑等设施审批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一、行政许可事项名称：</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在村庄、集镇规划区内公共场所修建临时建筑等设施审批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二、主管部门：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通海县住房和城乡建设局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三、实施机关：</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乡级政府</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四、设定和实施依据：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《村庄和集镇规划建设管理条例》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五、子项：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trike w:val="0"/>
          <w:dstrike w:val="0"/>
          <w:sz w:val="32"/>
          <w:szCs w:val="32"/>
          <w:lang w:val="en-US" w:eastAsia="zh-CN"/>
        </w:rPr>
        <w:sectPr>
          <w:pgSz w:w="11906" w:h="16838"/>
          <w:pgMar w:top="2041" w:right="1417" w:bottom="1587" w:left="1644"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在村庄、集镇规划区内公共场所修建临时建筑等设施审批</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【000117138000】</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一、基本要素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bCs/>
          <w:color w:val="000000"/>
          <w:kern w:val="0"/>
          <w:sz w:val="32"/>
          <w:szCs w:val="32"/>
          <w:lang w:val="en-US" w:eastAsia="zh-CN" w:bidi="ar"/>
        </w:rPr>
        <w:t>1.行政许可事项名称及编码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在村庄、集镇规划区内公共场所修建临时建筑等设施审批【000117138000】</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行政许可事项子项名称及编码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行政许可事项业务办理项名称及编码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1.在村庄、集镇规划区内公共场所修建临时建筑等设施审批首次申请(00011713800001)</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2.在村庄、集镇规划区内公共场所修建临时建筑等设施审批变更(00011713800002)</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3.在村庄、集镇规划区内公共场所修建临时建筑等设施审批延续(00011713800003)</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设定依据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《村庄和集镇规划建设管理条例》第32条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《村庄和集镇规划建设管理条例》第40条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监管依据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《村庄和集镇规划建设管理条例》第40条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实施机关</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乡镇政府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8.</w:t>
      </w:r>
      <w:r>
        <w:rPr>
          <w:rFonts w:hint="default" w:ascii="Times New Roman" w:hAnsi="Times New Roman" w:eastAsia="方正楷体_GBK" w:cs="方正仿宋_GBK"/>
          <w:b/>
          <w:bCs/>
          <w:color w:val="000000"/>
          <w:kern w:val="0"/>
          <w:sz w:val="32"/>
          <w:szCs w:val="32"/>
          <w:lang w:val="en-US" w:eastAsia="zh-CN" w:bidi="ar"/>
        </w:rPr>
        <w:t>审批层级</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9.</w:t>
      </w:r>
      <w:r>
        <w:rPr>
          <w:rFonts w:hint="default" w:ascii="Times New Roman" w:hAnsi="Times New Roman" w:eastAsia="方正楷体_GBK" w:cs="方正仿宋_GBK"/>
          <w:b/>
          <w:bCs/>
          <w:color w:val="000000"/>
          <w:kern w:val="0"/>
          <w:sz w:val="32"/>
          <w:szCs w:val="32"/>
          <w:lang w:val="en-US" w:eastAsia="zh-CN" w:bidi="ar"/>
        </w:rPr>
        <w:t>行使层级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镇（乡、街道）级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10.</w:t>
      </w:r>
      <w:r>
        <w:rPr>
          <w:rFonts w:hint="default" w:ascii="Times New Roman" w:hAnsi="Times New Roman" w:eastAsia="方正楷体_GBK" w:cs="方正仿宋_GBK"/>
          <w:b/>
          <w:bCs/>
          <w:color w:val="000000"/>
          <w:kern w:val="0"/>
          <w:sz w:val="32"/>
          <w:szCs w:val="32"/>
          <w:lang w:val="en-US" w:eastAsia="zh-CN" w:bidi="ar"/>
        </w:rPr>
        <w:t>是否由审批机关受理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11.</w:t>
      </w:r>
      <w:r>
        <w:rPr>
          <w:rFonts w:hint="default" w:ascii="Times New Roman" w:hAnsi="Times New Roman" w:eastAsia="方正楷体_GBK" w:cs="方正仿宋_GBK"/>
          <w:b/>
          <w:bCs/>
          <w:color w:val="000000"/>
          <w:kern w:val="0"/>
          <w:sz w:val="32"/>
          <w:szCs w:val="32"/>
          <w:lang w:val="en-US" w:eastAsia="zh-CN" w:bidi="ar"/>
        </w:rPr>
        <w:t>受理层级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12.</w:t>
      </w:r>
      <w:r>
        <w:rPr>
          <w:rFonts w:hint="default" w:ascii="Times New Roman" w:hAnsi="Times New Roman" w:eastAsia="方正楷体_GBK" w:cs="方正仿宋_GBK"/>
          <w:b/>
          <w:bCs/>
          <w:color w:val="000000"/>
          <w:kern w:val="0"/>
          <w:sz w:val="32"/>
          <w:szCs w:val="32"/>
          <w:lang w:val="en-US" w:eastAsia="zh-CN" w:bidi="ar"/>
        </w:rPr>
        <w:t>是否存在初审环节</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13.</w:t>
      </w:r>
      <w:r>
        <w:rPr>
          <w:rFonts w:hint="default" w:ascii="Times New Roman" w:hAnsi="Times New Roman" w:eastAsia="方正楷体_GBK" w:cs="方正仿宋_GBK"/>
          <w:b/>
          <w:bCs/>
          <w:color w:val="000000"/>
          <w:kern w:val="0"/>
          <w:sz w:val="32"/>
          <w:szCs w:val="32"/>
          <w:lang w:val="en-US" w:eastAsia="zh-CN" w:bidi="ar"/>
        </w:rPr>
        <w:t>初审层级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14.</w:t>
      </w:r>
      <w:r>
        <w:rPr>
          <w:rFonts w:hint="default" w:ascii="Times New Roman" w:hAnsi="Times New Roman" w:eastAsia="方正楷体_GBK" w:cs="方正仿宋_GBK"/>
          <w:b/>
          <w:bCs/>
          <w:color w:val="000000"/>
          <w:kern w:val="0"/>
          <w:sz w:val="32"/>
          <w:szCs w:val="32"/>
          <w:lang w:val="en-US" w:eastAsia="zh-CN" w:bidi="ar"/>
        </w:rPr>
        <w:t>对应政务服务事项国家级基本目录名称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无对应政务服务事项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15.要素统一情况：</w:t>
      </w:r>
      <w:r>
        <w:rPr>
          <w:rFonts w:hint="default" w:ascii="Times New Roman" w:hAnsi="Times New Roman" w:eastAsia="方正仿宋_GBK" w:cs="方正仿宋_GBK"/>
          <w:color w:val="000000"/>
          <w:kern w:val="0"/>
          <w:sz w:val="32"/>
          <w:szCs w:val="32"/>
          <w:lang w:val="en-US" w:eastAsia="zh-CN" w:bidi="ar"/>
        </w:rPr>
        <w:t>全省要素统一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二、行政许可事项类型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条件型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三、行政许可条件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准予行政许可的条件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符合经批准的村庄、集镇总体规划和村庄、集镇建设规划要求。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规定行政许可条件的依据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《村庄和集镇规划建设管理条例》第32条未经乡镇人民政府批准，任何单位和个人不得擅自在村庄、集镇规划区的街道、广场、市场和车站等场所修建临时建筑物、构筑物和其他设施。</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四、行政许可服务对象类型与改革举措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服务对象类型</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自然人，企业法人，事业单位法人，社会组织法人，非法人企业，行政机关，其他组织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是否为涉企许可事项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涉企经营许可事项名称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许可证件名称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政革方式</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具体改革举措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推动将审批事项纳入工程建设项目审批制度改革，提高审批效能。将承诺审批时限由20个工作日压减至5个工作日。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加强事中事后监管措施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（1）完善常态化监管机制，通过材料检查、实地检查、随机抽查等强化日常监管，依法查处违法违规建设并公示结果。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（2）拓宽公众参与社会监督的渠道和方式，鼓励通过互联网、举报电话、投诉信箱等反映问题。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（3）对擅自在村庄、集镇规划区内的街道、广场、市场和车站等场所修建临时建筑物、构筑物和其他设施的，由乡级人民政府责令限期拆除，并可处以罚款。</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五、申请材料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1.申请材料名称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进行村庄、集镇规划区内公共场所临时建筑等设施修建的，个人或单位应向乡镇人民政府提出书面申请。申请材料应包括：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（1）在村庄、集镇规划区内公共场所修建临时建筑等设施审批的申请；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（2）临时建筑等设施设计方案；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（3）临时用地审批意见；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（4）其他应当提供的材料（个人申请包括户籍、身份证明等材料，建设单位申请包括营业执照、授权委托书、法定代表人和被授权人身份证明等材料）。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2.规定申请材料的依据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（1）村庄和集镇规划建设管理条例第三十二条未经乡镇人民政府批准，任何单位和个人不得擅自在村庄、集镇规划区的街道、广场、市场和车站等场所修建临时建筑物、构筑物和其他设施。</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六、中介服务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1.有无法定中介服务事项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中介服务事项名称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设定中介服务事项的依据</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提供中介服务的机构</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5.中介服务事项的收费性质</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七、审批程序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1.办理行政许可的程序环节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（1）申请主体申请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（2）乡级人民政府受理、审查，勘验现场情况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（3）决定给予批准/不给予批准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2.规定行政许可程序的依据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（1）村庄和集镇规划建设管理条例第三十二条未经乡镇人民政府批准，任何单位和个人不得擅自在村庄、集镇规划区的街道、广场、市场和车站等场所修建临时建筑物、构筑物和其他设施。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3.是否需要现场勘验</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4.是否需要组织听证</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5.是否需要招标、拍卖、挂牌交易</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6.是否需要检验、检测、检疫</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7.是否需要鉴定</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8.是否需要专家评审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9.是否需要向社会公示</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10.是否实行告知承诺办理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11.审批机关是否委托服务机构开展技术性服务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八、受理和审批时限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1.承诺受理时限：</w:t>
      </w:r>
      <w:r>
        <w:rPr>
          <w:rFonts w:hint="default" w:ascii="Times New Roman" w:hAnsi="Times New Roman" w:eastAsia="方正仿宋_GBK" w:cs="方正仿宋_GBK"/>
          <w:color w:val="000000"/>
          <w:kern w:val="0"/>
          <w:sz w:val="32"/>
          <w:szCs w:val="32"/>
          <w:lang w:val="en-US" w:eastAsia="zh-CN" w:bidi="ar"/>
        </w:rPr>
        <w:t>5个工作日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2.法定审批时限：</w:t>
      </w:r>
      <w:r>
        <w:rPr>
          <w:rFonts w:hint="default" w:ascii="Times New Roman" w:hAnsi="Times New Roman" w:eastAsia="方正仿宋_GBK" w:cs="方正仿宋_GBK"/>
          <w:color w:val="000000"/>
          <w:kern w:val="0"/>
          <w:sz w:val="32"/>
          <w:szCs w:val="32"/>
          <w:lang w:val="en-US" w:eastAsia="zh-CN" w:bidi="ar"/>
        </w:rPr>
        <w:t>20个工作日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3.规定法定审批时限依据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4.承诺审批时限：</w:t>
      </w:r>
      <w:r>
        <w:rPr>
          <w:rFonts w:hint="default" w:ascii="Times New Roman" w:hAnsi="Times New Roman" w:eastAsia="方正仿宋_GBK" w:cs="方正仿宋_GBK"/>
          <w:color w:val="000000"/>
          <w:kern w:val="0"/>
          <w:sz w:val="32"/>
          <w:szCs w:val="32"/>
          <w:lang w:val="en-US" w:eastAsia="zh-CN" w:bidi="ar"/>
        </w:rPr>
        <w:t>5个工作日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九、收费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1.办理行政许可是否收费：</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2.收费项目的名称、收费项目的标准、设定收费项目的依据、规定收费标准的依据：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十、行政许可证件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1.审批结果类型：</w:t>
      </w:r>
      <w:r>
        <w:rPr>
          <w:rFonts w:hint="default" w:ascii="Times New Roman" w:hAnsi="Times New Roman" w:eastAsia="方正仿宋_GBK" w:cs="方正仿宋_GBK"/>
          <w:color w:val="000000"/>
          <w:kern w:val="0"/>
          <w:sz w:val="32"/>
          <w:szCs w:val="32"/>
          <w:lang w:val="en-US" w:eastAsia="zh-CN" w:bidi="ar"/>
        </w:rPr>
        <w:t>批文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2.审批结果名称：</w:t>
      </w:r>
      <w:r>
        <w:rPr>
          <w:rFonts w:hint="default" w:ascii="Times New Roman" w:hAnsi="Times New Roman" w:eastAsia="方正仿宋_GBK" w:cs="方正仿宋_GBK"/>
          <w:color w:val="000000"/>
          <w:kern w:val="0"/>
          <w:sz w:val="32"/>
          <w:szCs w:val="32"/>
          <w:lang w:val="en-US" w:eastAsia="zh-CN" w:bidi="ar"/>
        </w:rPr>
        <w:t>在村庄、集镇规划区内公共场所修建临时建筑等设施的审批文件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3.审批结果的有效期限：</w:t>
      </w:r>
      <w:r>
        <w:rPr>
          <w:rFonts w:hint="default" w:ascii="Times New Roman" w:hAnsi="Times New Roman" w:eastAsia="方正仿宋_GBK" w:cs="方正仿宋_GBK"/>
          <w:color w:val="000000"/>
          <w:kern w:val="0"/>
          <w:sz w:val="32"/>
          <w:szCs w:val="32"/>
          <w:lang w:val="en-US" w:eastAsia="zh-CN" w:bidi="ar"/>
        </w:rPr>
        <w:t>暂由地方规定有无行政许可证件的有效期限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4.规定审批结果有效期限的依据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《村庄和集镇规划建设管理条例》县级以上人民政府建设行政主管部门主管本行政区域的村庄、集镇规划建设管理工作。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5.是否需要办理审批结果变更手续：</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6.办理审批结果变更手续的要求：</w:t>
      </w:r>
      <w:r>
        <w:rPr>
          <w:rFonts w:hint="default" w:ascii="Times New Roman" w:hAnsi="Times New Roman" w:eastAsia="方正仿宋_GBK" w:cs="方正仿宋_GBK"/>
          <w:color w:val="000000"/>
          <w:kern w:val="0"/>
          <w:sz w:val="32"/>
          <w:szCs w:val="32"/>
          <w:lang w:val="en-US" w:eastAsia="zh-CN" w:bidi="ar"/>
        </w:rPr>
        <w:t>符合经批准的村庄、集镇总体规划和村庄、集镇建设规划要求。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7.是否需要办理审批结果延续手续：</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8.办理审批结果延续手续的要求：</w:t>
      </w:r>
      <w:r>
        <w:rPr>
          <w:rFonts w:hint="default" w:ascii="Times New Roman" w:hAnsi="Times New Roman" w:eastAsia="方正仿宋_GBK" w:cs="方正仿宋_GBK"/>
          <w:color w:val="000000"/>
          <w:kern w:val="0"/>
          <w:sz w:val="32"/>
          <w:szCs w:val="32"/>
          <w:lang w:val="en-US" w:eastAsia="zh-CN" w:bidi="ar"/>
        </w:rPr>
        <w:t>符合经批准的村庄、集镇总体规划和村庄、集镇建设规划要求。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9.审批结果的有效地域范围</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本村庄、本集镇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10.规定审批结果有效地域范围的依据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（1）《村庄和集镇规划建设管理条例》第六条：国务院建设行政主管部门主管全国的村庄、集镇规划建设管理工作。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县级以上地方人民政府建设行政主管部门主管本行政区域的村庄、集镇规划建设管理工作。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乡级人民政府负责本行政区域的村庄、集镇规划建设管理工作。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（2）《村庄和集镇规划建设管理条例》第三十二条：未经乡级人民政府批准，任何单位和个人不得擅自在村庄、集镇规划区内的街道、广场、市场和车站等场所修建临时建筑物、构筑物和其他设施。</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十一、行政许可数量限制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1.有无行政许可数量限制：</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2.公布数量限制的方式：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3.公布数量限制的周期：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4.在数量限制条件下实施行政许可的方式：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5.规定在数量限制条件下实施行政许可方式的依据：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十二、行政许可后年检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1.有无年检要求：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2.设定年检要求的依据：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3.年检周期：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4.年检是否要求报送材料：</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5.年检报送材料名称：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6.年检是否收费：</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7.年检收费项目的名称、年检收费项目的标准、设定年检收费项目的依据、规定年检项目收费标准的依据：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8.通过年检的证明或者标志：</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十三、行政许可后年报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1.有无年报要求：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2.年报报送材料名称：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3.设定年报要求的依据：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4.年报周期：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十四、监管主体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住房和城乡建设部；省、市、县级住房和城乡建设部门；乡级人民政府。</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十五、备注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bookmarkStart w:id="0" w:name="_GoBack"/>
      <w:r>
        <w:rPr>
          <w:rFonts w:hint="eastAsia" w:ascii="Times New Roman" w:hAnsi="Times New Roman" w:eastAsia="方正仿宋_GBK" w:cs="方正仿宋_GBK"/>
          <w:color w:val="000000"/>
          <w:kern w:val="0"/>
          <w:sz w:val="32"/>
          <w:szCs w:val="32"/>
          <w:lang w:val="en-US" w:eastAsia="zh-CN" w:bidi="ar"/>
        </w:rPr>
        <w:t>无</w:t>
      </w:r>
    </w:p>
    <w:bookmarkEnd w:id="0"/>
    <w:sectPr>
      <w:pgSz w:w="11906" w:h="16838"/>
      <w:pgMar w:top="2041" w:right="1417" w:bottom="158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11A52DC"/>
    <w:rsid w:val="038570A1"/>
    <w:rsid w:val="040177F9"/>
    <w:rsid w:val="073B772B"/>
    <w:rsid w:val="078E0AF3"/>
    <w:rsid w:val="09102D44"/>
    <w:rsid w:val="09D2576F"/>
    <w:rsid w:val="0ADE0E7F"/>
    <w:rsid w:val="0C675D31"/>
    <w:rsid w:val="0DE81489"/>
    <w:rsid w:val="0DE820DC"/>
    <w:rsid w:val="0E116BEA"/>
    <w:rsid w:val="0E5A2CDA"/>
    <w:rsid w:val="0ECF1FC4"/>
    <w:rsid w:val="11AA5AA8"/>
    <w:rsid w:val="12E76035"/>
    <w:rsid w:val="13AA3A04"/>
    <w:rsid w:val="14A4637A"/>
    <w:rsid w:val="15AE2D22"/>
    <w:rsid w:val="165642AD"/>
    <w:rsid w:val="1780519C"/>
    <w:rsid w:val="17877AF2"/>
    <w:rsid w:val="17EF3B4B"/>
    <w:rsid w:val="181C076B"/>
    <w:rsid w:val="18BB39F2"/>
    <w:rsid w:val="19DB2975"/>
    <w:rsid w:val="1A9D2CAA"/>
    <w:rsid w:val="1B6D5D8C"/>
    <w:rsid w:val="1C3E2F46"/>
    <w:rsid w:val="1D767D65"/>
    <w:rsid w:val="1F2B53A7"/>
    <w:rsid w:val="20E22F28"/>
    <w:rsid w:val="211C305E"/>
    <w:rsid w:val="225E0937"/>
    <w:rsid w:val="244A7769"/>
    <w:rsid w:val="246D2BAA"/>
    <w:rsid w:val="252B19DB"/>
    <w:rsid w:val="25BF44C3"/>
    <w:rsid w:val="25CB5C91"/>
    <w:rsid w:val="269C40D4"/>
    <w:rsid w:val="26FD3A84"/>
    <w:rsid w:val="2895666A"/>
    <w:rsid w:val="28ED45B4"/>
    <w:rsid w:val="2A930047"/>
    <w:rsid w:val="2AEB7BF6"/>
    <w:rsid w:val="2DCF4C6B"/>
    <w:rsid w:val="2E7821DC"/>
    <w:rsid w:val="305C74BB"/>
    <w:rsid w:val="31C7177D"/>
    <w:rsid w:val="32310656"/>
    <w:rsid w:val="32FB1BE2"/>
    <w:rsid w:val="343E21C4"/>
    <w:rsid w:val="34D332FE"/>
    <w:rsid w:val="354D45A9"/>
    <w:rsid w:val="36464C21"/>
    <w:rsid w:val="37EF3107"/>
    <w:rsid w:val="38212A74"/>
    <w:rsid w:val="392B186E"/>
    <w:rsid w:val="39E669DB"/>
    <w:rsid w:val="3A0D004A"/>
    <w:rsid w:val="3A336649"/>
    <w:rsid w:val="3B6F0495"/>
    <w:rsid w:val="3CBA69AE"/>
    <w:rsid w:val="3D461EDC"/>
    <w:rsid w:val="40054E3A"/>
    <w:rsid w:val="40FC6603"/>
    <w:rsid w:val="432C4745"/>
    <w:rsid w:val="457D4B55"/>
    <w:rsid w:val="480C7045"/>
    <w:rsid w:val="48B35817"/>
    <w:rsid w:val="494E4CF4"/>
    <w:rsid w:val="499926AA"/>
    <w:rsid w:val="49AE08AC"/>
    <w:rsid w:val="49F22E5E"/>
    <w:rsid w:val="4C5C1AE4"/>
    <w:rsid w:val="4FCC33AF"/>
    <w:rsid w:val="50A23F32"/>
    <w:rsid w:val="512B18B7"/>
    <w:rsid w:val="529A02D6"/>
    <w:rsid w:val="52F93F72"/>
    <w:rsid w:val="5363080C"/>
    <w:rsid w:val="543A4888"/>
    <w:rsid w:val="565A265D"/>
    <w:rsid w:val="57005DED"/>
    <w:rsid w:val="5C8473F4"/>
    <w:rsid w:val="5C943C17"/>
    <w:rsid w:val="5F274BAB"/>
    <w:rsid w:val="60AF6124"/>
    <w:rsid w:val="6120636A"/>
    <w:rsid w:val="61A2765B"/>
    <w:rsid w:val="64AA329D"/>
    <w:rsid w:val="659B057B"/>
    <w:rsid w:val="67F8310C"/>
    <w:rsid w:val="69300114"/>
    <w:rsid w:val="6AA70099"/>
    <w:rsid w:val="6CA010CA"/>
    <w:rsid w:val="6D9745DB"/>
    <w:rsid w:val="6FD254B1"/>
    <w:rsid w:val="6FE21CDA"/>
    <w:rsid w:val="710A6EF2"/>
    <w:rsid w:val="71147D94"/>
    <w:rsid w:val="718D0F5A"/>
    <w:rsid w:val="775E6B64"/>
    <w:rsid w:val="77693476"/>
    <w:rsid w:val="78AD24A1"/>
    <w:rsid w:val="795C789C"/>
    <w:rsid w:val="7A514FE2"/>
    <w:rsid w:val="7A73645D"/>
    <w:rsid w:val="7A793CE8"/>
    <w:rsid w:val="7BE8055C"/>
    <w:rsid w:val="7C2C2F45"/>
    <w:rsid w:val="7CA755FE"/>
    <w:rsid w:val="7D051356"/>
    <w:rsid w:val="7FB7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2709</Words>
  <Characters>2869</Characters>
  <Lines>0</Lines>
  <Paragraphs>0</Paragraphs>
  <TotalTime>4</TotalTime>
  <ScaleCrop>false</ScaleCrop>
  <LinksUpToDate>false</LinksUpToDate>
  <CharactersWithSpaces>2869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FQZ</cp:lastModifiedBy>
  <dcterms:modified xsi:type="dcterms:W3CDTF">2026-03-09T15:09:18Z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1A7582FF88A04AFE968E77E88C35B41A_12</vt:lpwstr>
  </property>
</Properties>
</file>