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28EC4B">
      <w:pPr>
        <w:keepNext w:val="0"/>
        <w:keepLines w:val="0"/>
        <w:pageBreakBefore w:val="0"/>
        <w:widowControl w:val="0"/>
        <w:numPr>
          <w:ilvl w:val="0"/>
          <w:numId w:val="0"/>
        </w:numPr>
        <w:kinsoku/>
        <w:wordWrap/>
        <w:overflowPunct/>
        <w:topLinePunct w:val="0"/>
        <w:autoSpaceDE/>
        <w:autoSpaceDN/>
        <w:bidi w:val="0"/>
        <w:adjustRightInd/>
        <w:snapToGrid/>
        <w:spacing w:after="0" w:line="590" w:lineRule="exact"/>
        <w:jc w:val="center"/>
        <w:textAlignment w:val="auto"/>
        <w:rPr>
          <w:rFonts w:hint="eastAsia" w:ascii="方正小标宋_GBK" w:hAnsi="方正小标宋_GBK" w:eastAsia="方正小标宋_GBK" w:cs="方正小标宋_GBK"/>
          <w:b w:val="0"/>
          <w:bCs w:val="0"/>
          <w:strike w:val="0"/>
          <w:dstrike w:val="0"/>
          <w:color w:val="auto"/>
          <w:sz w:val="44"/>
          <w:szCs w:val="44"/>
          <w:lang w:val="en-US" w:eastAsia="zh-CN"/>
        </w:rPr>
      </w:pPr>
      <w:r>
        <w:rPr>
          <w:rFonts w:hint="eastAsia" w:ascii="方正小标宋_GBK" w:hAnsi="方正小标宋_GBK" w:eastAsia="方正小标宋_GBK" w:cs="方正小标宋_GBK"/>
          <w:b w:val="0"/>
          <w:bCs w:val="0"/>
          <w:strike w:val="0"/>
          <w:dstrike w:val="0"/>
          <w:color w:val="auto"/>
          <w:sz w:val="44"/>
          <w:szCs w:val="44"/>
          <w:lang w:val="en-US" w:eastAsia="zh-CN"/>
        </w:rPr>
        <w:t>行政许可事项实施规范编制说明</w:t>
      </w:r>
    </w:p>
    <w:p w14:paraId="3B45A10D">
      <w:pPr>
        <w:keepNext w:val="0"/>
        <w:keepLines w:val="0"/>
        <w:pageBreakBefore w:val="0"/>
        <w:widowControl w:val="0"/>
        <w:numPr>
          <w:ilvl w:val="0"/>
          <w:numId w:val="0"/>
        </w:numPr>
        <w:kinsoku/>
        <w:wordWrap/>
        <w:overflowPunct/>
        <w:topLinePunct w:val="0"/>
        <w:autoSpaceDE/>
        <w:autoSpaceDN/>
        <w:bidi w:val="0"/>
        <w:adjustRightInd/>
        <w:snapToGrid/>
        <w:spacing w:after="0" w:line="590" w:lineRule="exact"/>
        <w:jc w:val="center"/>
        <w:textAlignment w:val="auto"/>
        <w:rPr>
          <w:rFonts w:hint="eastAsia" w:ascii="方正小标宋_GBK" w:hAnsi="方正小标宋_GBK" w:eastAsia="方正小标宋_GBK" w:cs="方正小标宋_GBK"/>
          <w:b w:val="0"/>
          <w:bCs w:val="0"/>
          <w:strike w:val="0"/>
          <w:dstrike w:val="0"/>
          <w:color w:val="auto"/>
          <w:sz w:val="44"/>
          <w:szCs w:val="44"/>
          <w:lang w:val="en-US" w:eastAsia="zh-CN"/>
        </w:rPr>
      </w:pPr>
      <w:r>
        <w:rPr>
          <w:rFonts w:hint="eastAsia" w:ascii="方正小标宋_GBK" w:hAnsi="方正小标宋_GBK" w:eastAsia="方正小标宋_GBK" w:cs="方正小标宋_GBK"/>
          <w:b w:val="0"/>
          <w:bCs w:val="0"/>
          <w:strike w:val="0"/>
          <w:dstrike w:val="0"/>
          <w:color w:val="auto"/>
          <w:sz w:val="44"/>
          <w:szCs w:val="44"/>
          <w:lang w:val="en-US" w:eastAsia="zh-CN"/>
        </w:rPr>
        <w:t>主项实施规范</w:t>
      </w:r>
    </w:p>
    <w:p w14:paraId="3788BA26">
      <w:pPr>
        <w:keepNext w:val="0"/>
        <w:keepLines w:val="0"/>
        <w:widowControl/>
        <w:suppressLineNumbers w:val="0"/>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color w:val="000000"/>
          <w:kern w:val="0"/>
          <w:sz w:val="44"/>
          <w:szCs w:val="44"/>
          <w:lang w:val="en-US" w:eastAsia="zh-CN" w:bidi="ar"/>
        </w:rPr>
        <w:t>（基本要素）</w:t>
      </w:r>
    </w:p>
    <w:p w14:paraId="3D6EFC7A">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cs="Times New Roman"/>
          <w:sz w:val="32"/>
          <w:szCs w:val="32"/>
        </w:rPr>
      </w:pPr>
      <w:r>
        <w:rPr>
          <w:rFonts w:hint="default" w:ascii="Times New Roman" w:hAnsi="Times New Roman" w:eastAsia="方正黑体_GBK" w:cs="Times New Roman"/>
          <w:color w:val="000000"/>
          <w:kern w:val="0"/>
          <w:sz w:val="32"/>
          <w:szCs w:val="32"/>
          <w:lang w:val="en-US" w:eastAsia="zh-CN" w:bidi="ar"/>
        </w:rPr>
        <w:t xml:space="preserve">一、行政许可事项名称： </w:t>
      </w:r>
    </w:p>
    <w:p w14:paraId="0A1E8DFE">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滇池、阳宗海、抚仙湖、星云湖、杞麓湖生态保护核心区开展科研、考古、影视拍摄和</w:t>
      </w:r>
      <w:r>
        <w:rPr>
          <w:rFonts w:hint="eastAsia" w:ascii="Times New Roman" w:hAnsi="Times New Roman" w:eastAsia="方正仿宋_GBK" w:cs="Times New Roman"/>
          <w:color w:val="000000"/>
          <w:kern w:val="0"/>
          <w:sz w:val="32"/>
          <w:szCs w:val="32"/>
          <w:lang w:val="en-US" w:eastAsia="zh-CN" w:bidi="ar"/>
        </w:rPr>
        <w:t>水上水下</w:t>
      </w:r>
      <w:r>
        <w:rPr>
          <w:rFonts w:hint="default" w:ascii="Times New Roman" w:hAnsi="Times New Roman" w:eastAsia="方正仿宋_GBK" w:cs="Times New Roman"/>
          <w:color w:val="000000"/>
          <w:kern w:val="0"/>
          <w:sz w:val="32"/>
          <w:szCs w:val="32"/>
          <w:lang w:val="en-US" w:eastAsia="zh-CN" w:bidi="ar"/>
        </w:rPr>
        <w:t>活动许可</w:t>
      </w:r>
    </w:p>
    <w:p w14:paraId="5DCB35DC">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cs="Times New Roman"/>
          <w:sz w:val="32"/>
          <w:szCs w:val="32"/>
        </w:rPr>
      </w:pPr>
      <w:r>
        <w:rPr>
          <w:rFonts w:hint="default" w:ascii="Times New Roman" w:hAnsi="Times New Roman" w:eastAsia="方正黑体_GBK" w:cs="Times New Roman"/>
          <w:color w:val="000000"/>
          <w:kern w:val="0"/>
          <w:sz w:val="32"/>
          <w:szCs w:val="32"/>
          <w:lang w:val="en-US" w:eastAsia="zh-CN" w:bidi="ar"/>
        </w:rPr>
        <w:t xml:space="preserve">二、主管部门： </w:t>
      </w:r>
    </w:p>
    <w:p w14:paraId="38DDB6D2">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cs="Times New Roman"/>
          <w:sz w:val="32"/>
          <w:szCs w:val="32"/>
        </w:rPr>
      </w:pPr>
      <w:r>
        <w:rPr>
          <w:rFonts w:hint="default" w:ascii="Times New Roman" w:hAnsi="Times New Roman" w:eastAsia="方正仿宋_GBK" w:cs="Times New Roman"/>
          <w:color w:val="000000"/>
          <w:kern w:val="0"/>
          <w:sz w:val="32"/>
          <w:szCs w:val="32"/>
          <w:lang w:val="en-US" w:eastAsia="zh-CN" w:bidi="ar"/>
        </w:rPr>
        <w:t xml:space="preserve">县湖泊管理局 </w:t>
      </w:r>
    </w:p>
    <w:p w14:paraId="20384B62">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cs="Times New Roman"/>
          <w:sz w:val="32"/>
          <w:szCs w:val="32"/>
          <w:lang w:val="en-US"/>
        </w:rPr>
      </w:pPr>
      <w:r>
        <w:rPr>
          <w:rFonts w:hint="default" w:ascii="Times New Roman" w:hAnsi="Times New Roman" w:eastAsia="方正黑体_GBK" w:cs="Times New Roman"/>
          <w:color w:val="000000"/>
          <w:kern w:val="0"/>
          <w:sz w:val="32"/>
          <w:szCs w:val="32"/>
          <w:lang w:val="en-US" w:eastAsia="zh-CN" w:bidi="ar"/>
        </w:rPr>
        <w:t>三、实施机关：</w:t>
      </w:r>
    </w:p>
    <w:p w14:paraId="3CD340B1">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cs="Times New Roman"/>
          <w:sz w:val="32"/>
          <w:szCs w:val="32"/>
        </w:rPr>
      </w:pPr>
      <w:r>
        <w:rPr>
          <w:rFonts w:hint="default" w:ascii="Times New Roman" w:hAnsi="Times New Roman" w:eastAsia="方正仿宋_GBK" w:cs="Times New Roman"/>
          <w:color w:val="000000"/>
          <w:kern w:val="0"/>
          <w:sz w:val="32"/>
          <w:szCs w:val="32"/>
          <w:lang w:val="en-US" w:eastAsia="zh-CN" w:bidi="ar"/>
        </w:rPr>
        <w:t xml:space="preserve">县湖泊管理局 </w:t>
      </w:r>
    </w:p>
    <w:p w14:paraId="4DC0A70A">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cs="Times New Roman"/>
          <w:sz w:val="32"/>
          <w:szCs w:val="32"/>
        </w:rPr>
      </w:pPr>
      <w:r>
        <w:rPr>
          <w:rFonts w:hint="default" w:ascii="Times New Roman" w:hAnsi="Times New Roman" w:eastAsia="方正黑体_GBK" w:cs="Times New Roman"/>
          <w:color w:val="000000"/>
          <w:kern w:val="0"/>
          <w:sz w:val="32"/>
          <w:szCs w:val="32"/>
          <w:lang w:val="en-US" w:eastAsia="zh-CN" w:bidi="ar"/>
        </w:rPr>
        <w:t xml:space="preserve">四、设定和实施依据： </w:t>
      </w:r>
    </w:p>
    <w:p w14:paraId="120CBA6F">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《云南省杞麓湖保护条例》</w:t>
      </w:r>
    </w:p>
    <w:p w14:paraId="60E823AB">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cs="Times New Roman"/>
          <w:sz w:val="32"/>
          <w:szCs w:val="32"/>
        </w:rPr>
      </w:pPr>
      <w:r>
        <w:rPr>
          <w:rFonts w:hint="default" w:ascii="Times New Roman" w:hAnsi="Times New Roman" w:eastAsia="方正黑体_GBK" w:cs="Times New Roman"/>
          <w:color w:val="000000"/>
          <w:kern w:val="0"/>
          <w:sz w:val="32"/>
          <w:szCs w:val="32"/>
          <w:lang w:val="en-US" w:eastAsia="zh-CN" w:bidi="ar"/>
        </w:rPr>
        <w:t xml:space="preserve">五、子项： </w:t>
      </w:r>
    </w:p>
    <w:p w14:paraId="5415BF1F">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杞麓湖生态保护核心区从事科研、考古、影视拍摄工作，举办体育赛事、文化活动许可（县级权限）</w:t>
      </w:r>
    </w:p>
    <w:p w14:paraId="75134660">
      <w:pPr>
        <w:keepNext w:val="0"/>
        <w:keepLines w:val="0"/>
        <w:pageBreakBefore w:val="0"/>
        <w:widowControl w:val="0"/>
        <w:numPr>
          <w:ilvl w:val="0"/>
          <w:numId w:val="0"/>
        </w:numPr>
        <w:kinsoku/>
        <w:wordWrap/>
        <w:overflowPunct/>
        <w:topLinePunct w:val="0"/>
        <w:autoSpaceDE/>
        <w:autoSpaceDN/>
        <w:bidi w:val="0"/>
        <w:adjustRightInd/>
        <w:snapToGrid/>
        <w:spacing w:after="0" w:line="590" w:lineRule="exact"/>
        <w:jc w:val="center"/>
        <w:textAlignment w:val="auto"/>
        <w:rPr>
          <w:rFonts w:hint="default" w:ascii="Times New Roman" w:hAnsi="Times New Roman" w:eastAsia="方正仿宋_GBK" w:cs="Times New Roman"/>
          <w:b w:val="0"/>
          <w:bCs w:val="0"/>
          <w:strike w:val="0"/>
          <w:dstrike w:val="0"/>
          <w:color w:val="auto"/>
          <w:sz w:val="32"/>
          <w:szCs w:val="32"/>
          <w:lang w:val="en-US" w:eastAsia="zh-CN"/>
        </w:rPr>
      </w:pPr>
    </w:p>
    <w:p w14:paraId="41812489">
      <w:pPr>
        <w:keepNext w:val="0"/>
        <w:keepLines w:val="0"/>
        <w:pageBreakBefore w:val="0"/>
        <w:widowControl w:val="0"/>
        <w:numPr>
          <w:ilvl w:val="0"/>
          <w:numId w:val="0"/>
        </w:numPr>
        <w:kinsoku/>
        <w:wordWrap/>
        <w:overflowPunct/>
        <w:topLinePunct w:val="0"/>
        <w:autoSpaceDE/>
        <w:autoSpaceDN/>
        <w:bidi w:val="0"/>
        <w:adjustRightInd/>
        <w:snapToGrid/>
        <w:spacing w:after="0" w:line="590" w:lineRule="exact"/>
        <w:jc w:val="center"/>
        <w:textAlignment w:val="auto"/>
        <w:rPr>
          <w:rFonts w:hint="eastAsia" w:ascii="方正小标宋_GBK" w:hAnsi="方正小标宋_GBK" w:eastAsia="方正小标宋_GBK" w:cs="方正小标宋_GBK"/>
          <w:b w:val="0"/>
          <w:bCs w:val="0"/>
          <w:strike w:val="0"/>
          <w:dstrike w:val="0"/>
          <w:color w:val="auto"/>
          <w:sz w:val="44"/>
          <w:szCs w:val="44"/>
          <w:lang w:val="en-US" w:eastAsia="zh-CN"/>
        </w:rPr>
      </w:pPr>
      <w:r>
        <w:rPr>
          <w:rFonts w:hint="eastAsia" w:ascii="方正小标宋_GBK" w:hAnsi="方正小标宋_GBK" w:eastAsia="方正小标宋_GBK" w:cs="方正小标宋_GBK"/>
          <w:b w:val="0"/>
          <w:bCs w:val="0"/>
          <w:strike w:val="0"/>
          <w:dstrike w:val="0"/>
          <w:color w:val="auto"/>
          <w:sz w:val="44"/>
          <w:szCs w:val="44"/>
          <w:lang w:val="en-US" w:eastAsia="zh-CN"/>
        </w:rPr>
        <w:t>子项、办理项实施规范</w:t>
      </w:r>
    </w:p>
    <w:p w14:paraId="0B7B567C">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cs="Times New Roman"/>
          <w:sz w:val="32"/>
          <w:szCs w:val="32"/>
        </w:rPr>
      </w:pPr>
      <w:r>
        <w:rPr>
          <w:rFonts w:hint="default" w:ascii="Times New Roman" w:hAnsi="Times New Roman" w:eastAsia="方正黑体_GBK" w:cs="Times New Roman"/>
          <w:color w:val="000000"/>
          <w:kern w:val="0"/>
          <w:sz w:val="32"/>
          <w:szCs w:val="32"/>
          <w:lang w:val="en-US" w:eastAsia="zh-CN" w:bidi="ar"/>
        </w:rPr>
        <w:t xml:space="preserve">一、基本要素 </w:t>
      </w:r>
    </w:p>
    <w:p w14:paraId="2CA1DEE9">
      <w:pPr>
        <w:keepNext w:val="0"/>
        <w:keepLines w:val="0"/>
        <w:pageBreakBefore w:val="0"/>
        <w:widowControl/>
        <w:suppressLineNumbers w:val="0"/>
        <w:kinsoku/>
        <w:wordWrap/>
        <w:overflowPunct/>
        <w:topLinePunct w:val="0"/>
        <w:autoSpaceDE/>
        <w:autoSpaceDN/>
        <w:bidi w:val="0"/>
        <w:adjustRightInd/>
        <w:snapToGrid/>
        <w:spacing w:line="590" w:lineRule="exact"/>
        <w:ind w:firstLine="643" w:firstLineChars="200"/>
        <w:jc w:val="left"/>
        <w:textAlignment w:val="auto"/>
        <w:rPr>
          <w:rFonts w:hint="default" w:ascii="Times New Roman" w:hAnsi="Times New Roman" w:cs="Times New Roman"/>
          <w:sz w:val="32"/>
          <w:szCs w:val="32"/>
        </w:rPr>
      </w:pPr>
      <w:r>
        <w:rPr>
          <w:rFonts w:hint="default" w:ascii="Times New Roman" w:hAnsi="Times New Roman" w:eastAsia="宋体" w:cs="Times New Roman"/>
          <w:b/>
          <w:bCs/>
          <w:color w:val="000000"/>
          <w:kern w:val="0"/>
          <w:sz w:val="32"/>
          <w:szCs w:val="32"/>
          <w:lang w:val="en-US" w:eastAsia="zh-CN" w:bidi="ar"/>
        </w:rPr>
        <w:t>1.</w:t>
      </w:r>
      <w:r>
        <w:rPr>
          <w:rFonts w:hint="default" w:ascii="Times New Roman" w:hAnsi="Times New Roman" w:eastAsia="方正仿宋_GBK" w:cs="Times New Roman"/>
          <w:b/>
          <w:bCs/>
          <w:color w:val="000000"/>
          <w:kern w:val="0"/>
          <w:sz w:val="32"/>
          <w:szCs w:val="32"/>
          <w:lang w:val="en-US" w:eastAsia="zh-CN" w:bidi="ar"/>
        </w:rPr>
        <w:t xml:space="preserve">行政许可事项名称及编码 </w:t>
      </w:r>
    </w:p>
    <w:p w14:paraId="451C6AFF">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滇池、阳宗海、抚仙湖、星云湖、杞麓湖生态保护核心区开展科研、考古、影视拍摄和</w:t>
      </w:r>
      <w:r>
        <w:rPr>
          <w:rFonts w:hint="eastAsia" w:ascii="Times New Roman" w:hAnsi="Times New Roman" w:eastAsia="方正仿宋_GBK" w:cs="Times New Roman"/>
          <w:color w:val="000000"/>
          <w:kern w:val="0"/>
          <w:sz w:val="32"/>
          <w:szCs w:val="32"/>
          <w:lang w:val="en-US" w:eastAsia="zh-CN" w:bidi="ar"/>
        </w:rPr>
        <w:t>水上水下</w:t>
      </w:r>
      <w:r>
        <w:rPr>
          <w:rFonts w:hint="default" w:ascii="Times New Roman" w:hAnsi="Times New Roman" w:eastAsia="方正仿宋_GBK" w:cs="Times New Roman"/>
          <w:color w:val="000000"/>
          <w:kern w:val="0"/>
          <w:sz w:val="32"/>
          <w:szCs w:val="32"/>
          <w:lang w:val="en-US" w:eastAsia="zh-CN" w:bidi="ar"/>
        </w:rPr>
        <w:t>活动许可</w:t>
      </w:r>
      <w:r>
        <w:rPr>
          <w:rFonts w:hint="default" w:ascii="Times New Roman" w:hAnsi="Times New Roman" w:eastAsia="方正仿宋_GBK" w:cs="Times New Roman"/>
          <w:color w:val="000000"/>
          <w:kern w:val="0"/>
          <w:sz w:val="32"/>
          <w:szCs w:val="32"/>
          <w:lang w:val="en" w:eastAsia="zh-CN" w:bidi="ar"/>
        </w:rPr>
        <w:t>【53011900400Y】</w:t>
      </w:r>
    </w:p>
    <w:p w14:paraId="17753FA8">
      <w:pPr>
        <w:keepNext w:val="0"/>
        <w:keepLines w:val="0"/>
        <w:pageBreakBefore w:val="0"/>
        <w:widowControl/>
        <w:suppressLineNumbers w:val="0"/>
        <w:kinsoku/>
        <w:wordWrap/>
        <w:overflowPunct/>
        <w:topLinePunct w:val="0"/>
        <w:autoSpaceDE/>
        <w:autoSpaceDN/>
        <w:bidi w:val="0"/>
        <w:adjustRightInd/>
        <w:snapToGrid/>
        <w:spacing w:line="590" w:lineRule="exact"/>
        <w:ind w:firstLine="643" w:firstLineChars="200"/>
        <w:jc w:val="left"/>
        <w:textAlignment w:val="auto"/>
        <w:rPr>
          <w:rFonts w:hint="default" w:ascii="Times New Roman" w:hAnsi="Times New Roman" w:cs="Times New Roman"/>
          <w:sz w:val="32"/>
          <w:szCs w:val="32"/>
        </w:rPr>
      </w:pPr>
      <w:r>
        <w:rPr>
          <w:rFonts w:hint="default" w:ascii="Times New Roman" w:hAnsi="Times New Roman" w:eastAsia="宋体" w:cs="Times New Roman"/>
          <w:b/>
          <w:bCs/>
          <w:color w:val="000000"/>
          <w:kern w:val="0"/>
          <w:sz w:val="32"/>
          <w:szCs w:val="32"/>
          <w:lang w:val="en-US" w:eastAsia="zh-CN" w:bidi="ar"/>
        </w:rPr>
        <w:t>2.</w:t>
      </w:r>
      <w:r>
        <w:rPr>
          <w:rFonts w:hint="default" w:ascii="Times New Roman" w:hAnsi="Times New Roman" w:eastAsia="方正仿宋_GBK" w:cs="Times New Roman"/>
          <w:b/>
          <w:bCs/>
          <w:color w:val="000000"/>
          <w:kern w:val="0"/>
          <w:sz w:val="32"/>
          <w:szCs w:val="32"/>
          <w:lang w:val="en-US" w:eastAsia="zh-CN" w:bidi="ar"/>
        </w:rPr>
        <w:t xml:space="preserve">行政许可事项子项名称及编码 </w:t>
      </w:r>
    </w:p>
    <w:p w14:paraId="4AB6FDAB">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杞麓湖生态保护核心区从事科研、考古、影视拍摄工作，举办体育赛事、文化活动许可（县级权限）</w:t>
      </w:r>
      <w:r>
        <w:rPr>
          <w:rFonts w:hint="default" w:ascii="Times New Roman" w:hAnsi="Times New Roman" w:eastAsia="方正仿宋_GBK" w:cs="Times New Roman"/>
          <w:color w:val="000000"/>
          <w:kern w:val="0"/>
          <w:sz w:val="32"/>
          <w:szCs w:val="32"/>
          <w:lang w:val="en" w:eastAsia="zh-CN" w:bidi="ar"/>
        </w:rPr>
        <w:t>【53011900400</w:t>
      </w:r>
      <w:r>
        <w:rPr>
          <w:rFonts w:hint="default" w:ascii="Times New Roman" w:hAnsi="Times New Roman" w:eastAsia="方正仿宋_GBK" w:cs="Times New Roman"/>
          <w:color w:val="000000"/>
          <w:kern w:val="0"/>
          <w:sz w:val="32"/>
          <w:szCs w:val="32"/>
          <w:lang w:val="en-US" w:eastAsia="zh-CN" w:bidi="ar"/>
        </w:rPr>
        <w:t>5</w:t>
      </w:r>
      <w:r>
        <w:rPr>
          <w:rFonts w:hint="default" w:ascii="Times New Roman" w:hAnsi="Times New Roman" w:eastAsia="方正仿宋_GBK" w:cs="Times New Roman"/>
          <w:color w:val="000000"/>
          <w:kern w:val="0"/>
          <w:sz w:val="32"/>
          <w:szCs w:val="32"/>
          <w:lang w:val="en" w:eastAsia="zh-CN" w:bidi="ar"/>
        </w:rPr>
        <w:t>】</w:t>
      </w:r>
    </w:p>
    <w:p w14:paraId="3CA27131">
      <w:pPr>
        <w:keepNext w:val="0"/>
        <w:keepLines w:val="0"/>
        <w:pageBreakBefore w:val="0"/>
        <w:widowControl/>
        <w:suppressLineNumbers w:val="0"/>
        <w:kinsoku/>
        <w:wordWrap/>
        <w:overflowPunct/>
        <w:topLinePunct w:val="0"/>
        <w:autoSpaceDE/>
        <w:autoSpaceDN/>
        <w:bidi w:val="0"/>
        <w:adjustRightInd/>
        <w:snapToGrid/>
        <w:spacing w:line="590" w:lineRule="exact"/>
        <w:ind w:firstLine="643" w:firstLineChars="200"/>
        <w:jc w:val="left"/>
        <w:textAlignment w:val="auto"/>
        <w:rPr>
          <w:rFonts w:hint="default" w:ascii="Times New Roman" w:hAnsi="Times New Roman" w:cs="Times New Roman"/>
          <w:sz w:val="32"/>
          <w:szCs w:val="32"/>
        </w:rPr>
      </w:pPr>
      <w:r>
        <w:rPr>
          <w:rFonts w:hint="default" w:ascii="Times New Roman" w:hAnsi="Times New Roman" w:eastAsia="宋体" w:cs="Times New Roman"/>
          <w:b/>
          <w:bCs/>
          <w:color w:val="000000"/>
          <w:kern w:val="0"/>
          <w:sz w:val="32"/>
          <w:szCs w:val="32"/>
          <w:lang w:val="en-US" w:eastAsia="zh-CN" w:bidi="ar"/>
        </w:rPr>
        <w:t>3.</w:t>
      </w:r>
      <w:r>
        <w:rPr>
          <w:rFonts w:hint="default" w:ascii="Times New Roman" w:hAnsi="Times New Roman" w:eastAsia="方正仿宋_GBK" w:cs="Times New Roman"/>
          <w:b/>
          <w:bCs/>
          <w:color w:val="000000"/>
          <w:kern w:val="0"/>
          <w:sz w:val="32"/>
          <w:szCs w:val="32"/>
          <w:lang w:val="en-US" w:eastAsia="zh-CN" w:bidi="ar"/>
        </w:rPr>
        <w:t xml:space="preserve">行政许可事项业务办理项名称及编码 </w:t>
      </w:r>
    </w:p>
    <w:p w14:paraId="6F51C1F4">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杞麓湖生态保护核心区内从事科研、考古、影视拍摄工作，举办体育赛事、文化活动许可（县级权限）</w:t>
      </w:r>
      <w:r>
        <w:rPr>
          <w:rFonts w:hint="default" w:ascii="Times New Roman" w:hAnsi="Times New Roman" w:eastAsia="方正仿宋_GBK" w:cs="Times New Roman"/>
          <w:color w:val="000000"/>
          <w:kern w:val="0"/>
          <w:sz w:val="32"/>
          <w:szCs w:val="32"/>
          <w:lang w:val="en" w:eastAsia="zh-CN" w:bidi="ar"/>
        </w:rPr>
        <w:t>【53011900400</w:t>
      </w:r>
      <w:r>
        <w:rPr>
          <w:rFonts w:hint="default" w:ascii="Times New Roman" w:hAnsi="Times New Roman" w:eastAsia="方正仿宋_GBK" w:cs="Times New Roman"/>
          <w:color w:val="000000"/>
          <w:kern w:val="0"/>
          <w:sz w:val="32"/>
          <w:szCs w:val="32"/>
          <w:lang w:val="en-US" w:eastAsia="zh-CN" w:bidi="ar"/>
        </w:rPr>
        <w:t>5</w:t>
      </w:r>
      <w:r>
        <w:rPr>
          <w:rFonts w:hint="default" w:ascii="Times New Roman" w:hAnsi="Times New Roman" w:eastAsia="方正仿宋_GBK" w:cs="Times New Roman"/>
          <w:color w:val="000000"/>
          <w:kern w:val="0"/>
          <w:sz w:val="32"/>
          <w:szCs w:val="32"/>
          <w:lang w:val="en" w:eastAsia="zh-CN" w:bidi="ar"/>
        </w:rPr>
        <w:t>01】</w:t>
      </w:r>
    </w:p>
    <w:p w14:paraId="771D42CA">
      <w:pPr>
        <w:keepNext w:val="0"/>
        <w:keepLines w:val="0"/>
        <w:pageBreakBefore w:val="0"/>
        <w:widowControl/>
        <w:suppressLineNumbers w:val="0"/>
        <w:kinsoku/>
        <w:wordWrap/>
        <w:overflowPunct/>
        <w:topLinePunct w:val="0"/>
        <w:autoSpaceDE/>
        <w:autoSpaceDN/>
        <w:bidi w:val="0"/>
        <w:adjustRightInd/>
        <w:snapToGrid/>
        <w:spacing w:line="590" w:lineRule="exact"/>
        <w:ind w:firstLine="643" w:firstLineChars="200"/>
        <w:jc w:val="left"/>
        <w:textAlignment w:val="auto"/>
        <w:rPr>
          <w:rFonts w:hint="default" w:ascii="Times New Roman" w:hAnsi="Times New Roman" w:eastAsia="宋体" w:cs="Times New Roman"/>
          <w:b/>
          <w:bCs/>
          <w:color w:val="000000"/>
          <w:kern w:val="0"/>
          <w:sz w:val="32"/>
          <w:szCs w:val="32"/>
          <w:lang w:val="en-US" w:eastAsia="zh-CN" w:bidi="ar"/>
        </w:rPr>
      </w:pPr>
      <w:r>
        <w:rPr>
          <w:rFonts w:hint="default" w:ascii="Times New Roman" w:hAnsi="Times New Roman" w:eastAsia="宋体" w:cs="Times New Roman"/>
          <w:b/>
          <w:bCs/>
          <w:color w:val="000000"/>
          <w:kern w:val="0"/>
          <w:sz w:val="32"/>
          <w:szCs w:val="32"/>
          <w:lang w:val="en-US" w:eastAsia="zh-CN" w:bidi="ar"/>
        </w:rPr>
        <w:t>4.设定依据</w:t>
      </w:r>
    </w:p>
    <w:p w14:paraId="008D0C66">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《云南省杞麓湖保护条例》第二十八条</w:t>
      </w:r>
    </w:p>
    <w:p w14:paraId="7D7AD726">
      <w:pPr>
        <w:keepNext w:val="0"/>
        <w:keepLines w:val="0"/>
        <w:pageBreakBefore w:val="0"/>
        <w:widowControl/>
        <w:suppressLineNumbers w:val="0"/>
        <w:kinsoku/>
        <w:wordWrap/>
        <w:overflowPunct/>
        <w:topLinePunct w:val="0"/>
        <w:autoSpaceDE/>
        <w:autoSpaceDN/>
        <w:bidi w:val="0"/>
        <w:adjustRightInd/>
        <w:snapToGrid/>
        <w:spacing w:line="590" w:lineRule="exact"/>
        <w:ind w:firstLine="643" w:firstLineChars="200"/>
        <w:jc w:val="left"/>
        <w:textAlignment w:val="auto"/>
        <w:rPr>
          <w:rFonts w:hint="default" w:ascii="Times New Roman" w:hAnsi="Times New Roman" w:eastAsia="宋体" w:cs="Times New Roman"/>
          <w:b/>
          <w:bCs/>
          <w:color w:val="000000"/>
          <w:kern w:val="0"/>
          <w:sz w:val="32"/>
          <w:szCs w:val="32"/>
          <w:lang w:val="en-US" w:eastAsia="zh-CN" w:bidi="ar"/>
        </w:rPr>
      </w:pPr>
      <w:r>
        <w:rPr>
          <w:rFonts w:hint="default" w:ascii="Times New Roman" w:hAnsi="Times New Roman" w:eastAsia="宋体" w:cs="Times New Roman"/>
          <w:b/>
          <w:bCs/>
          <w:color w:val="000000"/>
          <w:kern w:val="0"/>
          <w:sz w:val="32"/>
          <w:szCs w:val="32"/>
          <w:lang w:val="en-US" w:eastAsia="zh-CN" w:bidi="ar"/>
        </w:rPr>
        <w:t>5.实施依据</w:t>
      </w:r>
    </w:p>
    <w:p w14:paraId="5399E6D9">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《云南省杞麓湖保护条例》第二十八条</w:t>
      </w:r>
    </w:p>
    <w:p w14:paraId="2210EBD7">
      <w:pPr>
        <w:keepNext w:val="0"/>
        <w:keepLines w:val="0"/>
        <w:pageBreakBefore w:val="0"/>
        <w:widowControl/>
        <w:suppressLineNumbers w:val="0"/>
        <w:kinsoku/>
        <w:wordWrap/>
        <w:overflowPunct/>
        <w:topLinePunct w:val="0"/>
        <w:autoSpaceDE/>
        <w:autoSpaceDN/>
        <w:bidi w:val="0"/>
        <w:adjustRightInd/>
        <w:snapToGrid/>
        <w:spacing w:line="590" w:lineRule="exact"/>
        <w:ind w:firstLine="643" w:firstLineChars="200"/>
        <w:jc w:val="left"/>
        <w:textAlignment w:val="auto"/>
        <w:rPr>
          <w:rFonts w:hint="default" w:ascii="Times New Roman" w:hAnsi="Times New Roman" w:eastAsia="宋体" w:cs="Times New Roman"/>
          <w:b/>
          <w:bCs/>
          <w:color w:val="000000"/>
          <w:kern w:val="0"/>
          <w:sz w:val="32"/>
          <w:szCs w:val="32"/>
          <w:lang w:val="en-US" w:eastAsia="zh-CN" w:bidi="ar"/>
        </w:rPr>
      </w:pPr>
      <w:r>
        <w:rPr>
          <w:rFonts w:hint="default" w:ascii="Times New Roman" w:hAnsi="Times New Roman" w:eastAsia="宋体" w:cs="Times New Roman"/>
          <w:b/>
          <w:bCs/>
          <w:color w:val="000000"/>
          <w:kern w:val="0"/>
          <w:sz w:val="32"/>
          <w:szCs w:val="32"/>
          <w:lang w:val="en-US" w:eastAsia="zh-CN" w:bidi="ar"/>
        </w:rPr>
        <w:t>6.监管依据</w:t>
      </w:r>
    </w:p>
    <w:p w14:paraId="01349A68">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《云南省杞麓湖保护条例》第二十八条、第六十六条十六项</w:t>
      </w:r>
    </w:p>
    <w:p w14:paraId="757C116D">
      <w:pPr>
        <w:keepNext w:val="0"/>
        <w:keepLines w:val="0"/>
        <w:pageBreakBefore w:val="0"/>
        <w:widowControl/>
        <w:suppressLineNumbers w:val="0"/>
        <w:kinsoku/>
        <w:wordWrap/>
        <w:overflowPunct/>
        <w:topLinePunct w:val="0"/>
        <w:autoSpaceDE/>
        <w:autoSpaceDN/>
        <w:bidi w:val="0"/>
        <w:adjustRightInd/>
        <w:snapToGrid/>
        <w:spacing w:line="590" w:lineRule="exact"/>
        <w:ind w:firstLine="643"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宋体" w:cs="Times New Roman"/>
          <w:b/>
          <w:bCs/>
          <w:color w:val="000000"/>
          <w:kern w:val="0"/>
          <w:sz w:val="32"/>
          <w:szCs w:val="32"/>
          <w:lang w:val="en-US" w:eastAsia="zh-CN" w:bidi="ar"/>
        </w:rPr>
        <w:t>7.实施机关：</w:t>
      </w:r>
      <w:r>
        <w:rPr>
          <w:rFonts w:hint="default" w:ascii="Times New Roman" w:hAnsi="Times New Roman" w:eastAsia="方正仿宋_GBK" w:cs="Times New Roman"/>
          <w:color w:val="000000"/>
          <w:kern w:val="0"/>
          <w:sz w:val="32"/>
          <w:szCs w:val="32"/>
          <w:lang w:val="en-US" w:eastAsia="zh-CN" w:bidi="ar"/>
        </w:rPr>
        <w:t>通海县人民政府湖泊管理机构</w:t>
      </w:r>
    </w:p>
    <w:p w14:paraId="5537B992">
      <w:pPr>
        <w:keepNext w:val="0"/>
        <w:keepLines w:val="0"/>
        <w:pageBreakBefore w:val="0"/>
        <w:widowControl/>
        <w:suppressLineNumbers w:val="0"/>
        <w:kinsoku/>
        <w:wordWrap/>
        <w:overflowPunct/>
        <w:topLinePunct w:val="0"/>
        <w:autoSpaceDE/>
        <w:autoSpaceDN/>
        <w:bidi w:val="0"/>
        <w:adjustRightInd/>
        <w:snapToGrid/>
        <w:spacing w:line="590" w:lineRule="exact"/>
        <w:ind w:firstLine="643"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宋体" w:cs="Times New Roman"/>
          <w:b/>
          <w:bCs/>
          <w:color w:val="000000"/>
          <w:kern w:val="0"/>
          <w:sz w:val="32"/>
          <w:szCs w:val="32"/>
          <w:lang w:val="en-US" w:eastAsia="zh-CN" w:bidi="ar"/>
        </w:rPr>
        <w:t>8.审批层级：</w:t>
      </w:r>
      <w:r>
        <w:rPr>
          <w:rFonts w:hint="default" w:ascii="Times New Roman" w:hAnsi="Times New Roman" w:eastAsia="方正仿宋_GBK" w:cs="Times New Roman"/>
          <w:color w:val="000000"/>
          <w:kern w:val="0"/>
          <w:sz w:val="32"/>
          <w:szCs w:val="32"/>
          <w:lang w:val="en-US" w:eastAsia="zh-CN" w:bidi="ar"/>
        </w:rPr>
        <w:t>县级</w:t>
      </w:r>
    </w:p>
    <w:p w14:paraId="6F5ECDBB">
      <w:pPr>
        <w:keepNext w:val="0"/>
        <w:keepLines w:val="0"/>
        <w:pageBreakBefore w:val="0"/>
        <w:widowControl/>
        <w:suppressLineNumbers w:val="0"/>
        <w:kinsoku/>
        <w:wordWrap/>
        <w:overflowPunct/>
        <w:topLinePunct w:val="0"/>
        <w:autoSpaceDE/>
        <w:autoSpaceDN/>
        <w:bidi w:val="0"/>
        <w:adjustRightInd/>
        <w:snapToGrid/>
        <w:spacing w:line="590" w:lineRule="exact"/>
        <w:ind w:firstLine="643"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宋体" w:cs="Times New Roman"/>
          <w:b/>
          <w:bCs/>
          <w:color w:val="000000"/>
          <w:kern w:val="0"/>
          <w:sz w:val="32"/>
          <w:szCs w:val="32"/>
          <w:lang w:val="en-US" w:eastAsia="zh-CN" w:bidi="ar"/>
        </w:rPr>
        <w:t>9.行使层级：</w:t>
      </w:r>
      <w:r>
        <w:rPr>
          <w:rFonts w:hint="default" w:ascii="Times New Roman" w:hAnsi="Times New Roman" w:eastAsia="方正仿宋_GBK" w:cs="Times New Roman"/>
          <w:color w:val="000000"/>
          <w:kern w:val="0"/>
          <w:sz w:val="32"/>
          <w:szCs w:val="32"/>
          <w:lang w:val="en-US" w:eastAsia="zh-CN" w:bidi="ar"/>
        </w:rPr>
        <w:t>县级</w:t>
      </w:r>
    </w:p>
    <w:p w14:paraId="42C81188">
      <w:pPr>
        <w:keepNext w:val="0"/>
        <w:keepLines w:val="0"/>
        <w:pageBreakBefore w:val="0"/>
        <w:widowControl/>
        <w:suppressLineNumbers w:val="0"/>
        <w:kinsoku/>
        <w:wordWrap/>
        <w:overflowPunct/>
        <w:topLinePunct w:val="0"/>
        <w:autoSpaceDE/>
        <w:autoSpaceDN/>
        <w:bidi w:val="0"/>
        <w:adjustRightInd/>
        <w:snapToGrid/>
        <w:spacing w:line="590" w:lineRule="exact"/>
        <w:ind w:firstLine="643"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宋体" w:cs="Times New Roman"/>
          <w:b/>
          <w:bCs/>
          <w:color w:val="000000"/>
          <w:kern w:val="0"/>
          <w:sz w:val="32"/>
          <w:szCs w:val="32"/>
          <w:lang w:val="en-US" w:eastAsia="zh-CN" w:bidi="ar"/>
        </w:rPr>
        <w:t>10.是否由审批机关受理：</w:t>
      </w:r>
      <w:r>
        <w:rPr>
          <w:rFonts w:hint="eastAsia" w:ascii="Times New Roman" w:hAnsi="Times New Roman" w:eastAsia="方正仿宋_GBK" w:cs="Times New Roman"/>
          <w:color w:val="000000"/>
          <w:kern w:val="0"/>
          <w:sz w:val="32"/>
          <w:szCs w:val="32"/>
          <w:lang w:val="en-US" w:eastAsia="zh-CN" w:bidi="ar"/>
        </w:rPr>
        <w:t>是</w:t>
      </w:r>
    </w:p>
    <w:p w14:paraId="5A21010B">
      <w:pPr>
        <w:keepNext w:val="0"/>
        <w:keepLines w:val="0"/>
        <w:pageBreakBefore w:val="0"/>
        <w:widowControl/>
        <w:suppressLineNumbers w:val="0"/>
        <w:kinsoku/>
        <w:wordWrap/>
        <w:overflowPunct/>
        <w:topLinePunct w:val="0"/>
        <w:autoSpaceDE/>
        <w:autoSpaceDN/>
        <w:bidi w:val="0"/>
        <w:adjustRightInd/>
        <w:snapToGrid/>
        <w:spacing w:line="590" w:lineRule="exact"/>
        <w:ind w:firstLine="643"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宋体" w:cs="Times New Roman"/>
          <w:b/>
          <w:bCs/>
          <w:color w:val="000000"/>
          <w:kern w:val="0"/>
          <w:sz w:val="32"/>
          <w:szCs w:val="32"/>
          <w:lang w:val="en-US" w:eastAsia="zh-CN" w:bidi="ar"/>
        </w:rPr>
        <w:t>11.受理层级：</w:t>
      </w:r>
      <w:r>
        <w:rPr>
          <w:rFonts w:hint="default" w:ascii="Times New Roman" w:hAnsi="Times New Roman" w:eastAsia="方正仿宋_GBK" w:cs="Times New Roman"/>
          <w:color w:val="000000"/>
          <w:kern w:val="0"/>
          <w:sz w:val="32"/>
          <w:szCs w:val="32"/>
          <w:lang w:val="en-US" w:eastAsia="zh-CN" w:bidi="ar"/>
        </w:rPr>
        <w:t>县级</w:t>
      </w:r>
    </w:p>
    <w:p w14:paraId="0BB5FF61">
      <w:pPr>
        <w:keepNext w:val="0"/>
        <w:keepLines w:val="0"/>
        <w:pageBreakBefore w:val="0"/>
        <w:widowControl/>
        <w:suppressLineNumbers w:val="0"/>
        <w:kinsoku/>
        <w:wordWrap/>
        <w:overflowPunct/>
        <w:topLinePunct w:val="0"/>
        <w:autoSpaceDE/>
        <w:autoSpaceDN/>
        <w:bidi w:val="0"/>
        <w:adjustRightInd/>
        <w:snapToGrid/>
        <w:spacing w:line="590" w:lineRule="exact"/>
        <w:ind w:firstLine="643"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宋体" w:cs="Times New Roman"/>
          <w:b/>
          <w:bCs/>
          <w:color w:val="000000"/>
          <w:kern w:val="0"/>
          <w:sz w:val="32"/>
          <w:szCs w:val="32"/>
          <w:lang w:val="en-US" w:eastAsia="zh-CN" w:bidi="ar"/>
        </w:rPr>
        <w:t>12.是否存在初审环节：</w:t>
      </w:r>
      <w:r>
        <w:rPr>
          <w:rFonts w:hint="default" w:ascii="Times New Roman" w:hAnsi="Times New Roman" w:eastAsia="方正仿宋_GBK" w:cs="Times New Roman"/>
          <w:color w:val="000000"/>
          <w:kern w:val="0"/>
          <w:sz w:val="32"/>
          <w:szCs w:val="32"/>
          <w:lang w:val="en-US" w:eastAsia="zh-CN" w:bidi="ar"/>
        </w:rPr>
        <w:t>是</w:t>
      </w:r>
    </w:p>
    <w:p w14:paraId="3D89BBC5">
      <w:pPr>
        <w:keepNext w:val="0"/>
        <w:keepLines w:val="0"/>
        <w:pageBreakBefore w:val="0"/>
        <w:widowControl/>
        <w:suppressLineNumbers w:val="0"/>
        <w:kinsoku/>
        <w:wordWrap/>
        <w:overflowPunct/>
        <w:topLinePunct w:val="0"/>
        <w:autoSpaceDE/>
        <w:autoSpaceDN/>
        <w:bidi w:val="0"/>
        <w:adjustRightInd/>
        <w:snapToGrid/>
        <w:spacing w:line="590" w:lineRule="exact"/>
        <w:ind w:firstLine="643"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宋体" w:cs="Times New Roman"/>
          <w:b/>
          <w:bCs/>
          <w:color w:val="000000"/>
          <w:kern w:val="0"/>
          <w:sz w:val="32"/>
          <w:szCs w:val="32"/>
          <w:lang w:val="en-US" w:eastAsia="zh-CN" w:bidi="ar"/>
        </w:rPr>
        <w:t>13.初审层级：</w:t>
      </w:r>
      <w:r>
        <w:rPr>
          <w:rFonts w:hint="default" w:ascii="Times New Roman" w:hAnsi="Times New Roman" w:eastAsia="方正仿宋_GBK" w:cs="Times New Roman"/>
          <w:color w:val="000000"/>
          <w:kern w:val="0"/>
          <w:sz w:val="32"/>
          <w:szCs w:val="32"/>
          <w:lang w:val="en-US" w:eastAsia="zh-CN" w:bidi="ar"/>
        </w:rPr>
        <w:t>县级</w:t>
      </w:r>
    </w:p>
    <w:p w14:paraId="12AAF324">
      <w:pPr>
        <w:keepNext w:val="0"/>
        <w:keepLines w:val="0"/>
        <w:pageBreakBefore w:val="0"/>
        <w:widowControl/>
        <w:suppressLineNumbers w:val="0"/>
        <w:kinsoku/>
        <w:wordWrap/>
        <w:overflowPunct/>
        <w:topLinePunct w:val="0"/>
        <w:autoSpaceDE/>
        <w:autoSpaceDN/>
        <w:bidi w:val="0"/>
        <w:adjustRightInd/>
        <w:snapToGrid/>
        <w:spacing w:line="590" w:lineRule="exact"/>
        <w:ind w:firstLine="643"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宋体" w:cs="Times New Roman"/>
          <w:b/>
          <w:bCs/>
          <w:color w:val="000000"/>
          <w:kern w:val="0"/>
          <w:sz w:val="32"/>
          <w:szCs w:val="32"/>
          <w:lang w:val="en-US" w:eastAsia="zh-CN" w:bidi="ar"/>
        </w:rPr>
        <w:t>14.对应政务服务事项国家级基本目录名称：</w:t>
      </w:r>
      <w:r>
        <w:rPr>
          <w:rFonts w:hint="default" w:ascii="Times New Roman" w:hAnsi="Times New Roman" w:eastAsia="方正仿宋_GBK" w:cs="Times New Roman"/>
          <w:color w:val="000000"/>
          <w:kern w:val="0"/>
          <w:sz w:val="32"/>
          <w:szCs w:val="32"/>
          <w:lang w:val="en-US" w:eastAsia="zh-CN" w:bidi="ar"/>
        </w:rPr>
        <w:t>无</w:t>
      </w:r>
    </w:p>
    <w:p w14:paraId="3A748E0C">
      <w:pPr>
        <w:keepNext w:val="0"/>
        <w:keepLines w:val="0"/>
        <w:pageBreakBefore w:val="0"/>
        <w:widowControl/>
        <w:suppressLineNumbers w:val="0"/>
        <w:kinsoku/>
        <w:wordWrap/>
        <w:overflowPunct/>
        <w:topLinePunct w:val="0"/>
        <w:autoSpaceDE/>
        <w:autoSpaceDN/>
        <w:bidi w:val="0"/>
        <w:adjustRightInd/>
        <w:snapToGrid/>
        <w:spacing w:line="590" w:lineRule="exact"/>
        <w:ind w:firstLine="643"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宋体" w:cs="Times New Roman"/>
          <w:b/>
          <w:bCs/>
          <w:color w:val="000000"/>
          <w:kern w:val="0"/>
          <w:sz w:val="32"/>
          <w:szCs w:val="32"/>
          <w:lang w:val="en-US" w:eastAsia="zh-CN" w:bidi="ar"/>
        </w:rPr>
        <w:t>15.要素统一情况：</w:t>
      </w:r>
      <w:r>
        <w:rPr>
          <w:rFonts w:hint="default" w:ascii="Times New Roman" w:hAnsi="Times New Roman" w:eastAsia="方正仿宋_GBK" w:cs="Times New Roman"/>
          <w:color w:val="000000"/>
          <w:kern w:val="0"/>
          <w:sz w:val="32"/>
          <w:szCs w:val="32"/>
          <w:lang w:val="en-US" w:eastAsia="zh-CN" w:bidi="ar"/>
        </w:rPr>
        <w:t>全省要素统一</w:t>
      </w:r>
    </w:p>
    <w:p w14:paraId="62CE9336">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1"/>
        <w:rPr>
          <w:rFonts w:hint="default" w:ascii="Times New Roman" w:hAnsi="Times New Roman" w:eastAsia="方正黑体_GBK" w:cs="Times New Roman"/>
          <w:b w:val="0"/>
          <w:bCs w:val="0"/>
          <w:strike w:val="0"/>
          <w:dstrike w:val="0"/>
          <w:color w:val="auto"/>
          <w:sz w:val="32"/>
          <w:szCs w:val="32"/>
          <w:lang w:val="en-US" w:eastAsia="zh-CN"/>
        </w:rPr>
      </w:pPr>
      <w:r>
        <w:rPr>
          <w:rFonts w:hint="default" w:ascii="Times New Roman" w:hAnsi="Times New Roman" w:eastAsia="方正黑体_GBK" w:cs="Times New Roman"/>
          <w:b w:val="0"/>
          <w:bCs w:val="0"/>
          <w:strike w:val="0"/>
          <w:dstrike w:val="0"/>
          <w:color w:val="auto"/>
          <w:sz w:val="32"/>
          <w:szCs w:val="32"/>
          <w:lang w:val="en-US" w:eastAsia="zh-CN"/>
        </w:rPr>
        <w:t>二、行政许可事项类型</w:t>
      </w:r>
    </w:p>
    <w:p w14:paraId="7D027074">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条件型</w:t>
      </w:r>
    </w:p>
    <w:p w14:paraId="1CC21D69">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1"/>
        <w:rPr>
          <w:rFonts w:hint="default" w:ascii="Times New Roman" w:hAnsi="Times New Roman" w:eastAsia="方正黑体_GBK" w:cs="Times New Roman"/>
          <w:b w:val="0"/>
          <w:bCs w:val="0"/>
          <w:strike w:val="0"/>
          <w:dstrike w:val="0"/>
          <w:color w:val="auto"/>
          <w:sz w:val="32"/>
          <w:szCs w:val="32"/>
          <w:lang w:val="en-US" w:eastAsia="zh-CN"/>
        </w:rPr>
      </w:pPr>
      <w:r>
        <w:rPr>
          <w:rFonts w:hint="default" w:ascii="Times New Roman" w:hAnsi="Times New Roman" w:eastAsia="方正黑体_GBK" w:cs="Times New Roman"/>
          <w:b w:val="0"/>
          <w:bCs w:val="0"/>
          <w:strike w:val="0"/>
          <w:dstrike w:val="0"/>
          <w:color w:val="auto"/>
          <w:sz w:val="32"/>
          <w:szCs w:val="32"/>
          <w:lang w:val="en-US" w:eastAsia="zh-CN"/>
        </w:rPr>
        <w:t>三、行政许可条件</w:t>
      </w:r>
    </w:p>
    <w:p w14:paraId="0CBA68CF">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3" w:firstLineChars="200"/>
        <w:textAlignment w:val="auto"/>
        <w:outlineLvl w:val="2"/>
        <w:rPr>
          <w:rFonts w:hint="default" w:ascii="Times New Roman" w:hAnsi="Times New Roman" w:eastAsia="仿宋GB2312" w:cs="Times New Roman"/>
          <w:b/>
          <w:bCs/>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1.准予行政许可的条件</w:t>
      </w:r>
    </w:p>
    <w:p w14:paraId="3401F1CC">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（1）开展的活动已依法取得了相关部门的批准文件；</w:t>
      </w:r>
    </w:p>
    <w:p w14:paraId="44905FD4">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（2）开展活动的单位、人员、设施等符合有关安全作业的要求和技术标准；</w:t>
      </w:r>
    </w:p>
    <w:p w14:paraId="560E5B8F">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（3）已制定在杞麓湖生态保护核心区从事科研、考古、影视拍摄工作，举办体育赛事、文化活动方案，包括活动起止时间、地点和范围、进度安排、人员安排等；</w:t>
      </w:r>
    </w:p>
    <w:p w14:paraId="67D561F7">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（4）已建立安全、防污染的责任制，并已制定符合水上交通安全和防污染要求的保障措施和相应的应急预案。</w:t>
      </w:r>
    </w:p>
    <w:p w14:paraId="706425F2">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3" w:firstLineChars="200"/>
        <w:textAlignment w:val="auto"/>
        <w:outlineLvl w:val="2"/>
        <w:rPr>
          <w:rFonts w:hint="default" w:ascii="Times New Roman" w:hAnsi="Times New Roman" w:eastAsia="仿宋GB2312" w:cs="Times New Roman"/>
          <w:b/>
          <w:bCs/>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2.规定行政许可条件的依据</w:t>
      </w:r>
    </w:p>
    <w:p w14:paraId="391022A8">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《云南省杞麓湖保护条例》第二十八条</w:t>
      </w:r>
    </w:p>
    <w:p w14:paraId="64FC4ED6">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1"/>
        <w:rPr>
          <w:rFonts w:hint="default" w:ascii="Times New Roman" w:hAnsi="Times New Roman" w:eastAsia="方正黑体_GBK" w:cs="Times New Roman"/>
          <w:b w:val="0"/>
          <w:bCs w:val="0"/>
          <w:strike w:val="0"/>
          <w:dstrike w:val="0"/>
          <w:color w:val="auto"/>
          <w:sz w:val="32"/>
          <w:szCs w:val="32"/>
          <w:lang w:val="en-US" w:eastAsia="zh-CN"/>
        </w:rPr>
      </w:pPr>
      <w:r>
        <w:rPr>
          <w:rFonts w:hint="default" w:ascii="Times New Roman" w:hAnsi="Times New Roman" w:eastAsia="方正黑体_GBK" w:cs="Times New Roman"/>
          <w:b w:val="0"/>
          <w:bCs w:val="0"/>
          <w:strike w:val="0"/>
          <w:dstrike w:val="0"/>
          <w:color w:val="auto"/>
          <w:sz w:val="32"/>
          <w:szCs w:val="32"/>
          <w:lang w:val="en-US" w:eastAsia="zh-CN"/>
        </w:rPr>
        <w:t>四、行政许可服务对象类型与改革举措</w:t>
      </w:r>
    </w:p>
    <w:p w14:paraId="39BDEFD7">
      <w:pPr>
        <w:keepNext w:val="0"/>
        <w:keepLines w:val="0"/>
        <w:pageBreakBefore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仿宋GB2312" w:cs="Times New Roman"/>
          <w:b/>
          <w:bCs/>
          <w:strike w:val="0"/>
          <w:dstrike w:val="0"/>
          <w:sz w:val="32"/>
          <w:szCs w:val="32"/>
          <w:highlight w:val="none"/>
          <w:lang w:val="en-US" w:eastAsia="zh-CN"/>
        </w:rPr>
        <w:t>1.服务对象类型：</w:t>
      </w:r>
      <w:r>
        <w:rPr>
          <w:rFonts w:hint="default" w:ascii="Times New Roman" w:hAnsi="Times New Roman" w:eastAsia="方正仿宋_GBK" w:cs="Times New Roman"/>
          <w:color w:val="000000"/>
          <w:kern w:val="0"/>
          <w:sz w:val="32"/>
          <w:szCs w:val="32"/>
          <w:lang w:val="en-US" w:eastAsia="zh-CN" w:bidi="ar"/>
        </w:rPr>
        <w:t>自然人</w:t>
      </w:r>
      <w:r>
        <w:rPr>
          <w:rFonts w:hint="eastAsia" w:ascii="Times New Roman" w:hAnsi="Times New Roman" w:eastAsia="方正仿宋_GBK" w:cs="Times New Roman"/>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企业法人</w:t>
      </w:r>
      <w:r>
        <w:rPr>
          <w:rFonts w:hint="eastAsia" w:ascii="Times New Roman" w:hAnsi="Times New Roman" w:eastAsia="方正仿宋_GBK" w:cs="Times New Roman"/>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事业单位法人</w:t>
      </w:r>
      <w:r>
        <w:rPr>
          <w:rFonts w:hint="eastAsia" w:ascii="Times New Roman" w:hAnsi="Times New Roman" w:eastAsia="方正仿宋_GBK" w:cs="Times New Roman"/>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社会组织法人</w:t>
      </w:r>
      <w:r>
        <w:rPr>
          <w:rFonts w:hint="eastAsia" w:ascii="Times New Roman" w:hAnsi="Times New Roman" w:eastAsia="方正仿宋_GBK" w:cs="Times New Roman"/>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非法人企业</w:t>
      </w:r>
      <w:r>
        <w:rPr>
          <w:rFonts w:hint="eastAsia" w:ascii="Times New Roman" w:hAnsi="Times New Roman" w:eastAsia="方正仿宋_GBK" w:cs="Times New Roman"/>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其他组织</w:t>
      </w:r>
    </w:p>
    <w:p w14:paraId="220466A9">
      <w:pPr>
        <w:keepNext w:val="0"/>
        <w:keepLines w:val="0"/>
        <w:pageBreakBefore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仿宋GB2312" w:cs="Times New Roman"/>
          <w:b/>
          <w:bCs/>
          <w:strike w:val="0"/>
          <w:dstrike w:val="0"/>
          <w:sz w:val="32"/>
          <w:szCs w:val="32"/>
          <w:highlight w:val="none"/>
          <w:lang w:val="en-US" w:eastAsia="zh-CN"/>
        </w:rPr>
        <w:t>2.是否为涉企许可事项：</w:t>
      </w:r>
      <w:r>
        <w:rPr>
          <w:rFonts w:hint="default" w:ascii="Times New Roman" w:hAnsi="Times New Roman" w:eastAsia="方正仿宋_GBK" w:cs="Times New Roman"/>
          <w:color w:val="000000"/>
          <w:kern w:val="0"/>
          <w:sz w:val="32"/>
          <w:szCs w:val="32"/>
          <w:lang w:val="en-US" w:eastAsia="zh-CN" w:bidi="ar"/>
        </w:rPr>
        <w:t>是</w:t>
      </w:r>
    </w:p>
    <w:p w14:paraId="36161BB6">
      <w:pPr>
        <w:keepNext w:val="0"/>
        <w:keepLines w:val="0"/>
        <w:pageBreakBefore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仿宋GB2312" w:cs="Times New Roman"/>
          <w:b/>
          <w:bCs/>
          <w:strike w:val="0"/>
          <w:dstrike w:val="0"/>
          <w:sz w:val="32"/>
          <w:szCs w:val="32"/>
          <w:highlight w:val="none"/>
          <w:lang w:val="en-US" w:eastAsia="zh-CN"/>
        </w:rPr>
        <w:t>3.涉企经营许可事项名称：</w:t>
      </w:r>
      <w:r>
        <w:rPr>
          <w:rFonts w:hint="default" w:ascii="Times New Roman" w:hAnsi="Times New Roman" w:eastAsia="方正仿宋_GBK" w:cs="Times New Roman"/>
          <w:color w:val="000000"/>
          <w:kern w:val="0"/>
          <w:sz w:val="32"/>
          <w:szCs w:val="32"/>
          <w:lang w:val="en-US" w:eastAsia="zh-CN" w:bidi="ar"/>
        </w:rPr>
        <w:t>杞麓湖生态保护核心区从事科研、考古、影视拍摄工作，举办体育赛事、文化活动许可</w:t>
      </w:r>
    </w:p>
    <w:p w14:paraId="516CAF7D">
      <w:pPr>
        <w:keepNext w:val="0"/>
        <w:keepLines w:val="0"/>
        <w:pageBreakBefore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仿宋GB2312" w:cs="Times New Roman"/>
          <w:b/>
          <w:bCs/>
          <w:strike w:val="0"/>
          <w:dstrike w:val="0"/>
          <w:sz w:val="32"/>
          <w:szCs w:val="32"/>
          <w:highlight w:val="none"/>
          <w:lang w:val="en-US" w:eastAsia="zh-CN"/>
        </w:rPr>
        <w:t>4.许可证件名称：</w:t>
      </w:r>
      <w:r>
        <w:rPr>
          <w:rFonts w:hint="default" w:ascii="Times New Roman" w:hAnsi="Times New Roman" w:eastAsia="方正仿宋_GBK" w:cs="Times New Roman"/>
          <w:color w:val="000000"/>
          <w:kern w:val="0"/>
          <w:sz w:val="32"/>
          <w:szCs w:val="32"/>
          <w:lang w:val="en-US" w:eastAsia="zh-CN" w:bidi="ar"/>
        </w:rPr>
        <w:t>杞麓湖生态保护核心区从事科研、考古、影视拍摄工作，举办体育赛事、文化活动许可的批复</w:t>
      </w:r>
    </w:p>
    <w:p w14:paraId="16895D0B">
      <w:pPr>
        <w:keepNext w:val="0"/>
        <w:keepLines w:val="0"/>
        <w:pageBreakBefore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仿宋GB2312" w:cs="Times New Roman"/>
          <w:b/>
          <w:bCs/>
          <w:strike w:val="0"/>
          <w:dstrike w:val="0"/>
          <w:sz w:val="32"/>
          <w:szCs w:val="32"/>
          <w:highlight w:val="none"/>
          <w:lang w:val="en-US" w:eastAsia="zh-CN"/>
        </w:rPr>
        <w:t>5.改革方式：</w:t>
      </w:r>
      <w:r>
        <w:rPr>
          <w:rFonts w:hint="default" w:ascii="Times New Roman" w:hAnsi="Times New Roman" w:eastAsia="方正仿宋_GBK" w:cs="Times New Roman"/>
          <w:color w:val="000000"/>
          <w:kern w:val="0"/>
          <w:sz w:val="32"/>
          <w:szCs w:val="32"/>
          <w:lang w:val="en-US" w:eastAsia="zh-CN" w:bidi="ar"/>
        </w:rPr>
        <w:t>优化审批服务</w:t>
      </w:r>
    </w:p>
    <w:p w14:paraId="60DA9F6F">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仿宋GB2312" w:cs="Times New Roman"/>
          <w:b/>
          <w:bCs/>
          <w:strike w:val="0"/>
          <w:dstrike w:val="0"/>
          <w:sz w:val="32"/>
          <w:szCs w:val="32"/>
          <w:highlight w:val="none"/>
          <w:lang w:val="en-US" w:eastAsia="zh-CN"/>
        </w:rPr>
        <w:t>6.具体改革举措：</w:t>
      </w:r>
      <w:r>
        <w:rPr>
          <w:rFonts w:hint="default" w:ascii="Times New Roman" w:hAnsi="Times New Roman" w:eastAsia="方正仿宋_GBK" w:cs="Times New Roman"/>
          <w:color w:val="000000"/>
          <w:kern w:val="0"/>
          <w:sz w:val="32"/>
          <w:szCs w:val="32"/>
          <w:lang w:val="en-US" w:eastAsia="zh-CN" w:bidi="ar"/>
        </w:rPr>
        <w:t>精简审批材料</w:t>
      </w:r>
    </w:p>
    <w:p w14:paraId="305CF9C4">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仿宋GB2312" w:cs="Times New Roman"/>
          <w:b/>
          <w:bCs/>
          <w:strike w:val="0"/>
          <w:dstrike w:val="0"/>
          <w:sz w:val="32"/>
          <w:szCs w:val="32"/>
          <w:highlight w:val="none"/>
          <w:lang w:val="en-US" w:eastAsia="zh-CN"/>
        </w:rPr>
      </w:pPr>
      <w:r>
        <w:rPr>
          <w:rFonts w:hint="default" w:ascii="Times New Roman" w:hAnsi="Times New Roman" w:eastAsia="仿宋GB2312" w:cs="Times New Roman"/>
          <w:b/>
          <w:bCs/>
          <w:strike w:val="0"/>
          <w:dstrike w:val="0"/>
          <w:sz w:val="32"/>
          <w:szCs w:val="32"/>
          <w:highlight w:val="none"/>
          <w:lang w:val="en-US" w:eastAsia="zh-CN"/>
        </w:rPr>
        <w:t>7.加强事中事后监管措施</w:t>
      </w:r>
    </w:p>
    <w:p w14:paraId="340BFD30">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highlight w:val="none"/>
          <w:lang w:val="en-US" w:eastAsia="zh-CN" w:bidi="ar"/>
        </w:rPr>
      </w:pPr>
      <w:r>
        <w:rPr>
          <w:rFonts w:hint="default" w:ascii="Times New Roman" w:hAnsi="Times New Roman" w:eastAsia="方正仿宋_GBK" w:cs="Times New Roman"/>
          <w:color w:val="000000"/>
          <w:kern w:val="0"/>
          <w:sz w:val="32"/>
          <w:szCs w:val="32"/>
          <w:lang w:val="en-US" w:eastAsia="zh-CN" w:bidi="ar"/>
        </w:rPr>
        <w:t>（1）落实杞麓湖生态保护核心区从事科研、考古、影视拍摄工作，举办体育赛事、文化活动的</w:t>
      </w:r>
      <w:r>
        <w:rPr>
          <w:rFonts w:hint="default" w:ascii="Times New Roman" w:hAnsi="Times New Roman" w:eastAsia="方正仿宋_GBK" w:cs="Times New Roman"/>
          <w:color w:val="000000"/>
          <w:kern w:val="0"/>
          <w:sz w:val="32"/>
          <w:szCs w:val="32"/>
          <w:highlight w:val="none"/>
          <w:lang w:val="en-US" w:eastAsia="zh-CN" w:bidi="ar"/>
        </w:rPr>
        <w:t>现场监管和行政执法责任；</w:t>
      </w:r>
    </w:p>
    <w:p w14:paraId="6482CA1F">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（2）开展“四不两直”暗访，加强对活动的监督检查；</w:t>
      </w:r>
    </w:p>
    <w:p w14:paraId="672C0266">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（3）依法及时处理投诉举报。</w:t>
      </w:r>
    </w:p>
    <w:p w14:paraId="1C2924F4">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1"/>
        <w:rPr>
          <w:rFonts w:hint="default" w:ascii="Times New Roman" w:hAnsi="Times New Roman" w:eastAsia="方正黑体_GBK" w:cs="Times New Roman"/>
          <w:b w:val="0"/>
          <w:bCs w:val="0"/>
          <w:strike w:val="0"/>
          <w:dstrike w:val="0"/>
          <w:color w:val="auto"/>
          <w:sz w:val="32"/>
          <w:szCs w:val="32"/>
          <w:lang w:val="en-US" w:eastAsia="zh-CN"/>
        </w:rPr>
      </w:pPr>
      <w:r>
        <w:rPr>
          <w:rFonts w:hint="default" w:ascii="Times New Roman" w:hAnsi="Times New Roman" w:eastAsia="方正黑体_GBK" w:cs="Times New Roman"/>
          <w:b w:val="0"/>
          <w:bCs w:val="0"/>
          <w:strike w:val="0"/>
          <w:dstrike w:val="0"/>
          <w:color w:val="auto"/>
          <w:sz w:val="32"/>
          <w:szCs w:val="32"/>
          <w:lang w:val="en-US" w:eastAsia="zh-CN"/>
        </w:rPr>
        <w:t>五、申请材料</w:t>
      </w:r>
    </w:p>
    <w:p w14:paraId="66E9F542">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3" w:firstLineChars="200"/>
        <w:textAlignment w:val="auto"/>
        <w:outlineLvl w:val="2"/>
        <w:rPr>
          <w:rFonts w:hint="default" w:ascii="Times New Roman" w:hAnsi="Times New Roman" w:eastAsia="仿宋GB2312" w:cs="Times New Roman"/>
          <w:b/>
          <w:bCs/>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（一）申请材料名称</w:t>
      </w:r>
    </w:p>
    <w:p w14:paraId="3544B44C">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1.杞麓湖生态保护核心区从事科研、考古、影视拍摄工作，举办体育赛事、文化活动申报材料清单</w:t>
      </w:r>
    </w:p>
    <w:p w14:paraId="478C8F10">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（1）申请单位的书面申请（包括项目名称、准确的选址地点、具体的规模及内容，需进入杞麓湖作业的船舶数量及动力类型）；</w:t>
      </w:r>
    </w:p>
    <w:p w14:paraId="3F80B0AE">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（2）行业主管部门或属地主管部门的批复；</w:t>
      </w:r>
    </w:p>
    <w:p w14:paraId="1A036258">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（3）项目可行性研究报告或项目方案；</w:t>
      </w:r>
    </w:p>
    <w:p w14:paraId="1019101F">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（4）拟选址地理位置图（明确拟开展水下考古及水面作业范围的矢量坐标图）；</w:t>
      </w:r>
    </w:p>
    <w:p w14:paraId="4EAA4077">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（5）项目《环境影响评价报告》的批复文件；</w:t>
      </w:r>
    </w:p>
    <w:p w14:paraId="6F5A24EE">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（6）营业执照或组织机构代码证；</w:t>
      </w:r>
    </w:p>
    <w:p w14:paraId="405E7D77">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（7）法定代表人证明书原件、法人身份证复印件、授权委托书及授权委托人身份证复印件；</w:t>
      </w:r>
    </w:p>
    <w:p w14:paraId="1B066AA9">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（8）申报资料真实性承诺书。</w:t>
      </w:r>
    </w:p>
    <w:p w14:paraId="6BEB5AB5">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2.杞麓湖生态保护核心区从事科研、考古、影视拍摄工作，举办体育赛事、文化活动需使用船舶的，还需提供《船舶入湖许可证》</w:t>
      </w:r>
    </w:p>
    <w:p w14:paraId="21F5D518">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报件要求：上述清单中的材料均需电子版1份、原件或复印件的纸质版1份，纸质版需加盖申报单位公章或法人签名，并注明“此复印件与原件核对无异”字样。图纸需纸质版需加盖设计单位和申报单位公章。</w:t>
      </w:r>
    </w:p>
    <w:p w14:paraId="18848934">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3" w:firstLineChars="200"/>
        <w:textAlignment w:val="auto"/>
        <w:outlineLvl w:val="2"/>
        <w:rPr>
          <w:rFonts w:hint="default" w:ascii="Times New Roman" w:hAnsi="Times New Roman" w:eastAsia="仿宋GB2312" w:cs="Times New Roman"/>
          <w:b/>
          <w:bCs/>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（二）规定申请材料的依据</w:t>
      </w:r>
    </w:p>
    <w:p w14:paraId="1F59CD36">
      <w:pPr>
        <w:keepNext w:val="0"/>
        <w:keepLines w:val="0"/>
        <w:pageBreakBefore w:val="0"/>
        <w:widowControl/>
        <w:suppressLineNumbers w:val="0"/>
        <w:kinsoku/>
        <w:wordWrap/>
        <w:overflowPunct/>
        <w:topLinePunct w:val="0"/>
        <w:autoSpaceDE/>
        <w:autoSpaceDN/>
        <w:bidi w:val="0"/>
        <w:adjustRightInd/>
        <w:snapToGrid/>
        <w:spacing w:line="590" w:lineRule="exact"/>
        <w:ind w:firstLine="643" w:firstLineChars="200"/>
        <w:jc w:val="left"/>
        <w:textAlignment w:val="auto"/>
        <w:rPr>
          <w:rFonts w:hint="default" w:ascii="Times New Roman" w:hAnsi="Times New Roman" w:eastAsia="方正仿宋_GBK" w:cs="Times New Roman"/>
          <w:b/>
          <w:bCs/>
          <w:color w:val="000000"/>
          <w:kern w:val="0"/>
          <w:sz w:val="32"/>
          <w:szCs w:val="32"/>
          <w:lang w:val="en-US" w:eastAsia="zh-CN" w:bidi="ar"/>
        </w:rPr>
      </w:pPr>
      <w:r>
        <w:rPr>
          <w:rFonts w:hint="default" w:ascii="Times New Roman" w:hAnsi="Times New Roman" w:eastAsia="方正仿宋_GBK" w:cs="Times New Roman"/>
          <w:b/>
          <w:bCs/>
          <w:color w:val="000000"/>
          <w:kern w:val="0"/>
          <w:sz w:val="32"/>
          <w:szCs w:val="32"/>
          <w:lang w:val="en-US" w:eastAsia="zh-CN" w:bidi="ar"/>
        </w:rPr>
        <w:t>《中华人民共和国行政许可法》第29条、第30条、第31条</w:t>
      </w:r>
    </w:p>
    <w:p w14:paraId="281725B8">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第29条  公民、法人或者其他组织从事特定活动，依法需要取得行政许可的，应当向行政机关提出申请。申请书需要采用格式文本的，行政机关应当向申请人提供行政许可申请书格式文本。申请书格式文本中不得包含与申请行政许可事项没有直接关系的内容。</w:t>
      </w:r>
    </w:p>
    <w:p w14:paraId="70FB5FC0">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申请人可以委托代理人提出行政许可申请。但是，依法应当由申请人到行政机关办公场所提出行政许可申请的除外。</w:t>
      </w:r>
    </w:p>
    <w:p w14:paraId="25956E91">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行政许可申请可以通过信函、电报、电传、传真、电子数据交换和电子邮件等方式提出。</w:t>
      </w:r>
    </w:p>
    <w:p w14:paraId="34D0AD68">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第30条  行政机关应当将法律、法规、规章规定的有关行政许可的事项、依据、条件、数量、程序、期限以及需要提交的全部材料的目录和申请书示范文本等在办公场所公示。</w:t>
      </w:r>
    </w:p>
    <w:p w14:paraId="35752011">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申请人要求行政机关对公示内容予以说明、解释的，行政机关应当说明、解释，提供准确、可靠的信息。</w:t>
      </w:r>
    </w:p>
    <w:p w14:paraId="630B20F8">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第31条  申请人申请行政许可，应当如实向行政机关提交有关材料和反映真实情况，并对其申请材料实质内容的真实性负责。行政机关不得要求申请人提交与其申请的行政许可事项无关的技术资料和其他材料。</w:t>
      </w:r>
    </w:p>
    <w:p w14:paraId="5147F846">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行政机关及其工作人员不得以转让技术作为取得行政许可的条件；不得在实施行政许可的过程中，直接或者间接地要求转让技术。</w:t>
      </w:r>
    </w:p>
    <w:p w14:paraId="574ACE40">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1"/>
        <w:rPr>
          <w:rFonts w:hint="default" w:ascii="Times New Roman" w:hAnsi="Times New Roman" w:eastAsia="方正黑体_GBK" w:cs="Times New Roman"/>
          <w:b w:val="0"/>
          <w:bCs w:val="0"/>
          <w:strike w:val="0"/>
          <w:dstrike w:val="0"/>
          <w:color w:val="auto"/>
          <w:sz w:val="32"/>
          <w:szCs w:val="32"/>
          <w:lang w:val="en-US" w:eastAsia="zh-CN"/>
        </w:rPr>
      </w:pPr>
      <w:r>
        <w:rPr>
          <w:rFonts w:hint="default" w:ascii="Times New Roman" w:hAnsi="Times New Roman" w:eastAsia="方正黑体_GBK" w:cs="Times New Roman"/>
          <w:b w:val="0"/>
          <w:bCs w:val="0"/>
          <w:strike w:val="0"/>
          <w:dstrike w:val="0"/>
          <w:color w:val="auto"/>
          <w:sz w:val="32"/>
          <w:szCs w:val="32"/>
          <w:lang w:val="en-US" w:eastAsia="zh-CN"/>
        </w:rPr>
        <w:t>六、中介服务</w:t>
      </w:r>
    </w:p>
    <w:p w14:paraId="3F1FECA1">
      <w:pPr>
        <w:keepNext w:val="0"/>
        <w:keepLines w:val="0"/>
        <w:pageBreakBefore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仿宋GB2312" w:cs="Times New Roman"/>
          <w:b/>
          <w:bCs/>
          <w:strike w:val="0"/>
          <w:dstrike w:val="0"/>
          <w:color w:val="auto"/>
          <w:sz w:val="32"/>
          <w:szCs w:val="32"/>
          <w:lang w:val="en-US" w:eastAsia="zh-CN"/>
        </w:rPr>
        <w:t>1.有无法定中介服务事项：</w:t>
      </w:r>
      <w:r>
        <w:rPr>
          <w:rFonts w:hint="default" w:ascii="Times New Roman" w:hAnsi="Times New Roman" w:eastAsia="方正仿宋_GBK" w:cs="Times New Roman"/>
          <w:color w:val="000000"/>
          <w:kern w:val="0"/>
          <w:sz w:val="32"/>
          <w:szCs w:val="32"/>
          <w:lang w:val="en-US" w:eastAsia="zh-CN" w:bidi="ar"/>
        </w:rPr>
        <w:t>无</w:t>
      </w:r>
    </w:p>
    <w:p w14:paraId="7AF1030D">
      <w:pPr>
        <w:keepNext w:val="0"/>
        <w:keepLines w:val="0"/>
        <w:pageBreakBefore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仿宋GB2312" w:cs="Times New Roman"/>
          <w:b/>
          <w:bCs/>
          <w:strike w:val="0"/>
          <w:dstrike w:val="0"/>
          <w:color w:val="auto"/>
          <w:sz w:val="32"/>
          <w:szCs w:val="32"/>
          <w:lang w:val="en-US" w:eastAsia="zh-CN"/>
        </w:rPr>
        <w:t>2.中介服务事项名称：</w:t>
      </w:r>
      <w:r>
        <w:rPr>
          <w:rFonts w:hint="default" w:ascii="Times New Roman" w:hAnsi="Times New Roman" w:eastAsia="方正仿宋_GBK" w:cs="Times New Roman"/>
          <w:color w:val="000000"/>
          <w:kern w:val="0"/>
          <w:sz w:val="32"/>
          <w:szCs w:val="32"/>
          <w:lang w:val="en-US" w:eastAsia="zh-CN" w:bidi="ar"/>
        </w:rPr>
        <w:t>无</w:t>
      </w:r>
    </w:p>
    <w:p w14:paraId="6EA0FD0B">
      <w:pPr>
        <w:keepNext w:val="0"/>
        <w:keepLines w:val="0"/>
        <w:pageBreakBefore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仿宋GB2312" w:cs="Times New Roman"/>
          <w:b/>
          <w:bCs/>
          <w:strike w:val="0"/>
          <w:dstrike w:val="0"/>
          <w:color w:val="auto"/>
          <w:sz w:val="32"/>
          <w:szCs w:val="32"/>
          <w:lang w:val="en-US" w:eastAsia="zh-CN"/>
        </w:rPr>
        <w:t>3.设定中介服务事项的依据：</w:t>
      </w:r>
      <w:r>
        <w:rPr>
          <w:rFonts w:hint="default" w:ascii="Times New Roman" w:hAnsi="Times New Roman" w:eastAsia="方正仿宋_GBK" w:cs="Times New Roman"/>
          <w:color w:val="000000"/>
          <w:kern w:val="0"/>
          <w:sz w:val="32"/>
          <w:szCs w:val="32"/>
          <w:lang w:val="en-US" w:eastAsia="zh-CN" w:bidi="ar"/>
        </w:rPr>
        <w:t>无</w:t>
      </w:r>
    </w:p>
    <w:p w14:paraId="3E66DCD1">
      <w:pPr>
        <w:keepNext w:val="0"/>
        <w:keepLines w:val="0"/>
        <w:pageBreakBefore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仿宋GB2312" w:cs="Times New Roman"/>
          <w:b/>
          <w:bCs/>
          <w:strike w:val="0"/>
          <w:dstrike w:val="0"/>
          <w:color w:val="auto"/>
          <w:sz w:val="32"/>
          <w:szCs w:val="32"/>
          <w:lang w:val="en-US" w:eastAsia="zh-CN"/>
        </w:rPr>
        <w:t>4.提供中介服务的机构：</w:t>
      </w:r>
      <w:r>
        <w:rPr>
          <w:rFonts w:hint="default" w:ascii="Times New Roman" w:hAnsi="Times New Roman" w:eastAsia="方正仿宋_GBK" w:cs="Times New Roman"/>
          <w:color w:val="000000"/>
          <w:kern w:val="0"/>
          <w:sz w:val="32"/>
          <w:szCs w:val="32"/>
          <w:lang w:val="en-US" w:eastAsia="zh-CN" w:bidi="ar"/>
        </w:rPr>
        <w:t>无</w:t>
      </w:r>
    </w:p>
    <w:p w14:paraId="531C4E57">
      <w:pPr>
        <w:keepNext w:val="0"/>
        <w:keepLines w:val="0"/>
        <w:pageBreakBefore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仿宋GB2312" w:cs="Times New Roman"/>
          <w:b/>
          <w:bCs/>
          <w:strike w:val="0"/>
          <w:dstrike w:val="0"/>
          <w:color w:val="auto"/>
          <w:sz w:val="32"/>
          <w:szCs w:val="32"/>
          <w:lang w:val="en-US" w:eastAsia="zh-CN"/>
        </w:rPr>
        <w:t>5.中介服务事项的收费性质：</w:t>
      </w:r>
      <w:r>
        <w:rPr>
          <w:rFonts w:hint="default" w:ascii="Times New Roman" w:hAnsi="Times New Roman" w:eastAsia="方正仿宋_GBK" w:cs="Times New Roman"/>
          <w:color w:val="000000"/>
          <w:kern w:val="0"/>
          <w:sz w:val="32"/>
          <w:szCs w:val="32"/>
          <w:lang w:val="en-US" w:eastAsia="zh-CN" w:bidi="ar"/>
        </w:rPr>
        <w:t>无</w:t>
      </w:r>
    </w:p>
    <w:p w14:paraId="5752B08F">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1"/>
        <w:rPr>
          <w:rFonts w:hint="default" w:ascii="Times New Roman" w:hAnsi="Times New Roman" w:eastAsia="方正黑体_GBK" w:cs="Times New Roman"/>
          <w:b w:val="0"/>
          <w:bCs w:val="0"/>
          <w:strike w:val="0"/>
          <w:dstrike w:val="0"/>
          <w:color w:val="auto"/>
          <w:sz w:val="32"/>
          <w:szCs w:val="32"/>
          <w:lang w:val="en-US" w:eastAsia="zh-CN"/>
        </w:rPr>
      </w:pPr>
      <w:r>
        <w:rPr>
          <w:rFonts w:hint="default" w:ascii="Times New Roman" w:hAnsi="Times New Roman" w:eastAsia="方正黑体_GBK" w:cs="Times New Roman"/>
          <w:b w:val="0"/>
          <w:bCs w:val="0"/>
          <w:strike w:val="0"/>
          <w:dstrike w:val="0"/>
          <w:color w:val="auto"/>
          <w:sz w:val="32"/>
          <w:szCs w:val="32"/>
          <w:lang w:val="en-US" w:eastAsia="zh-CN"/>
        </w:rPr>
        <w:t>七、审批程序</w:t>
      </w:r>
    </w:p>
    <w:p w14:paraId="5C3AE3D1">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3" w:firstLineChars="200"/>
        <w:textAlignment w:val="auto"/>
        <w:outlineLvl w:val="2"/>
        <w:rPr>
          <w:rFonts w:hint="default" w:ascii="Times New Roman" w:hAnsi="Times New Roman" w:eastAsia="仿宋GB2312" w:cs="Times New Roman"/>
          <w:b/>
          <w:bCs/>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1.办理行政许可的程序环节</w:t>
      </w:r>
    </w:p>
    <w:p w14:paraId="3A51AAAA">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（1）申请；（2）受理；（3）审查；（4）许可决定；（5）许可送达。</w:t>
      </w:r>
    </w:p>
    <w:p w14:paraId="1021F1A6">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3" w:firstLineChars="200"/>
        <w:textAlignment w:val="auto"/>
        <w:outlineLvl w:val="2"/>
        <w:rPr>
          <w:rFonts w:hint="default" w:ascii="Times New Roman" w:hAnsi="Times New Roman" w:eastAsia="仿宋GB2312" w:cs="Times New Roman"/>
          <w:b/>
          <w:bCs/>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2.规定行政许可程序的依据</w:t>
      </w:r>
    </w:p>
    <w:p w14:paraId="14BB9B91">
      <w:pPr>
        <w:keepNext w:val="0"/>
        <w:keepLines w:val="0"/>
        <w:pageBreakBefore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b/>
          <w:bCs/>
          <w:strike w:val="0"/>
          <w:dstrike w:val="0"/>
          <w:color w:val="auto"/>
          <w:sz w:val="32"/>
          <w:szCs w:val="32"/>
          <w:lang w:val="en-US" w:eastAsia="zh-CN"/>
        </w:rPr>
      </w:pPr>
      <w:r>
        <w:rPr>
          <w:rFonts w:hint="default" w:ascii="Times New Roman" w:hAnsi="Times New Roman" w:eastAsia="方正仿宋_GBK" w:cs="Times New Roman"/>
          <w:b/>
          <w:bCs/>
          <w:strike w:val="0"/>
          <w:dstrike w:val="0"/>
          <w:color w:val="auto"/>
          <w:sz w:val="32"/>
          <w:szCs w:val="32"/>
          <w:lang w:val="en-US" w:eastAsia="zh-CN"/>
        </w:rPr>
        <w:t>（1）《中华人民共和国行政许可法》第29条、第32条、第34条、第37条、第38条、第39条、第45条</w:t>
      </w:r>
    </w:p>
    <w:p w14:paraId="52702975">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第29条  公民、法人或者其他组织从事特定活动，依法需要取得行政许可的，应当向行政机关提出申请。申请书需要采用格式文本的，行政机关应当向申请人提供行政许可申请书格式文本。申请书格式文本中不得包含与申请行政许可事项没有直接关系的内容。</w:t>
      </w:r>
    </w:p>
    <w:p w14:paraId="07146257">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申请人可以委托代理人提出行政许可申请。但是，依法应当由申请人到行政机关办公场所提出行政许可申请的除外。</w:t>
      </w:r>
    </w:p>
    <w:p w14:paraId="0B11A90A">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行政许可申请可以通过信函、电报、电传、传真、电子数据交换和电子邮件等方式提出。</w:t>
      </w:r>
    </w:p>
    <w:p w14:paraId="2B19E867">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第32条  行政机关对申请人提出的行政许可申请，应当根据下列情况分别作出处理：</w:t>
      </w:r>
    </w:p>
    <w:p w14:paraId="0F72696D">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（一）申请事项依法不需要取得行政许可的，应当即时告知申请人不受理；</w:t>
      </w:r>
    </w:p>
    <w:p w14:paraId="3762E677">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（二）申请事项依法不属于本行政机关职权范围的，应当即时作出不予受理的决定，并告知申请人向有关行政机关申请；</w:t>
      </w:r>
    </w:p>
    <w:p w14:paraId="616590B6">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（三）申请材料存在可以当场更正的错误的，应当允许申请人当场更正；</w:t>
      </w:r>
    </w:p>
    <w:p w14:paraId="3FC7D0E9">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（四）申请材料不齐全或者不符合法定形式的，应当当场或者在5日内一次告知申请人需要补正的全部内容，逾期不告知的，自收到申请材料之日起即为受理；</w:t>
      </w:r>
    </w:p>
    <w:p w14:paraId="6EA6FDA0">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（五）申请事项属于本行政机关职权范围，申请材料齐全、符合法定形式，或者申请人按照本行政机关的要求提交全部补正申请材料的，应当受理行政许可申请。</w:t>
      </w:r>
    </w:p>
    <w:p w14:paraId="1AD4D1F0">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行政机关受理或者不予受理行政许可申请，应当出具加盖本行政机关专用印章和注明日期的书面凭证。</w:t>
      </w:r>
    </w:p>
    <w:p w14:paraId="1E300CD5">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第34条  行政机关应当对申请人提交的申请材料进行审查。</w:t>
      </w:r>
    </w:p>
    <w:p w14:paraId="2362D99C">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申请人提交的申请材料齐全、符合法定形式，行政机关能够当场作出决定的，应当当场作出书面的行政许可决定。</w:t>
      </w:r>
    </w:p>
    <w:p w14:paraId="685F7673">
      <w:pPr>
        <w:keepNext w:val="0"/>
        <w:keepLines w:val="0"/>
        <w:pageBreakBefore w:val="0"/>
        <w:widowControl/>
        <w:suppressLineNumbers w:val="0"/>
        <w:kinsoku/>
        <w:wordWrap/>
        <w:overflowPunct/>
        <w:topLinePunct w:val="0"/>
        <w:autoSpaceDE/>
        <w:autoSpaceDN/>
        <w:bidi w:val="0"/>
        <w:adjustRightInd/>
        <w:snapToGrid/>
        <w:spacing w:line="590" w:lineRule="exact"/>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根据法定条件和程序，需要对申请材料的实质内容进行核实的，行政机关应当指派两名以上工作人员进行核查。</w:t>
      </w:r>
    </w:p>
    <w:p w14:paraId="687C800C">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第37条  行政机关对行政许可申请进行审查后，除当场作出行政许可决定的外，应当在法定期限内按照规定程序作出行政许可决定。</w:t>
      </w:r>
    </w:p>
    <w:p w14:paraId="53767038">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第38条  申请人的申请符合法定条件、标准的，行政机关应当依法作出准予行政许可的书面决定。</w:t>
      </w:r>
    </w:p>
    <w:p w14:paraId="2F2C8BD2">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行政机关依法作出不予行政许可的书面决定的，应当说明理由，并告知申请人享有依法申请行政复议或者提起行政诉讼的权利。</w:t>
      </w:r>
    </w:p>
    <w:p w14:paraId="7EBCECA0">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第39条  行政机关作出准予行政许可的决定，需要颁发行政许可证件的，应当向申请人颁发加盖本行政机关印章的下列行政许可证件：</w:t>
      </w:r>
    </w:p>
    <w:p w14:paraId="08B13BD2">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（一）许可证、执照或者其他许可证书；</w:t>
      </w:r>
    </w:p>
    <w:p w14:paraId="1637D090">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（二）资格证、资质证或者其他合格证书；</w:t>
      </w:r>
    </w:p>
    <w:p w14:paraId="2AC10D78">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（三）行政机关的批准文件或者证明文件；</w:t>
      </w:r>
    </w:p>
    <w:p w14:paraId="57DFED88">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（四）法律、法规规定的其他行政许可证件。</w:t>
      </w:r>
    </w:p>
    <w:p w14:paraId="62A89F3B">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行政机关实施检验、检测、检疫的，可以在检验、检测、检疫合格的设备、设施、产品、物品上加贴标签或者加盖检验、检测、检疫印章。</w:t>
      </w:r>
    </w:p>
    <w:p w14:paraId="7F1FBD2A">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第45条　行政机关作出行政许可决定，依法需要听证、招标、拍卖、检验、检测、检疫、鉴定和专家评审的，所需时间不计算在本节规定的期限内。行政机关应当将所需时间书面告知申请人。</w:t>
      </w:r>
    </w:p>
    <w:p w14:paraId="580062F6">
      <w:pPr>
        <w:keepNext w:val="0"/>
        <w:keepLines w:val="0"/>
        <w:pageBreakBefore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仿宋GB2312" w:cs="Times New Roman"/>
          <w:b/>
          <w:bCs/>
          <w:strike w:val="0"/>
          <w:dstrike w:val="0"/>
          <w:color w:val="auto"/>
          <w:sz w:val="32"/>
          <w:szCs w:val="32"/>
          <w:lang w:val="en-US" w:eastAsia="zh-CN"/>
        </w:rPr>
        <w:t>3.是否需要现场勘验：</w:t>
      </w:r>
      <w:r>
        <w:rPr>
          <w:rFonts w:hint="default" w:ascii="Times New Roman" w:hAnsi="Times New Roman" w:eastAsia="方正仿宋_GBK" w:cs="Times New Roman"/>
          <w:color w:val="000000"/>
          <w:kern w:val="0"/>
          <w:sz w:val="32"/>
          <w:szCs w:val="32"/>
          <w:lang w:val="en-US" w:eastAsia="zh-CN" w:bidi="ar"/>
        </w:rPr>
        <w:t>否</w:t>
      </w:r>
    </w:p>
    <w:p w14:paraId="1970849E">
      <w:pPr>
        <w:keepNext w:val="0"/>
        <w:keepLines w:val="0"/>
        <w:pageBreakBefore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仿宋GB2312" w:cs="Times New Roman"/>
          <w:b/>
          <w:bCs/>
          <w:strike w:val="0"/>
          <w:dstrike w:val="0"/>
          <w:color w:val="auto"/>
          <w:sz w:val="32"/>
          <w:szCs w:val="32"/>
          <w:lang w:val="en-US" w:eastAsia="zh-CN"/>
        </w:rPr>
        <w:t>4.是否需要组织听证：</w:t>
      </w:r>
      <w:r>
        <w:rPr>
          <w:rFonts w:hint="default" w:ascii="Times New Roman" w:hAnsi="Times New Roman" w:eastAsia="方正仿宋_GBK" w:cs="Times New Roman"/>
          <w:color w:val="000000"/>
          <w:kern w:val="0"/>
          <w:sz w:val="32"/>
          <w:szCs w:val="32"/>
          <w:lang w:val="en-US" w:eastAsia="zh-CN" w:bidi="ar"/>
        </w:rPr>
        <w:t>部分情况下开展</w:t>
      </w:r>
    </w:p>
    <w:p w14:paraId="0C556197">
      <w:pPr>
        <w:keepNext w:val="0"/>
        <w:keepLines w:val="0"/>
        <w:pageBreakBefore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仿宋GB2312" w:cs="Times New Roman"/>
          <w:b/>
          <w:bCs/>
          <w:strike w:val="0"/>
          <w:dstrike w:val="0"/>
          <w:color w:val="auto"/>
          <w:sz w:val="32"/>
          <w:szCs w:val="32"/>
          <w:lang w:val="en-US" w:eastAsia="zh-CN"/>
        </w:rPr>
        <w:t>5.是否需要招标、拍卖、挂牌交易：</w:t>
      </w:r>
      <w:r>
        <w:rPr>
          <w:rFonts w:hint="default" w:ascii="Times New Roman" w:hAnsi="Times New Roman" w:eastAsia="方正仿宋_GBK" w:cs="Times New Roman"/>
          <w:color w:val="000000"/>
          <w:kern w:val="0"/>
          <w:sz w:val="32"/>
          <w:szCs w:val="32"/>
          <w:lang w:val="en-US" w:eastAsia="zh-CN" w:bidi="ar"/>
        </w:rPr>
        <w:t>否</w:t>
      </w:r>
    </w:p>
    <w:p w14:paraId="307A8C10">
      <w:pPr>
        <w:keepNext w:val="0"/>
        <w:keepLines w:val="0"/>
        <w:pageBreakBefore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仿宋GB2312" w:cs="Times New Roman"/>
          <w:b/>
          <w:bCs/>
          <w:strike w:val="0"/>
          <w:dstrike w:val="0"/>
          <w:color w:val="auto"/>
          <w:sz w:val="32"/>
          <w:szCs w:val="32"/>
          <w:lang w:val="en-US" w:eastAsia="zh-CN"/>
        </w:rPr>
        <w:t>6.是否需要检验、检测、检疫：</w:t>
      </w:r>
      <w:r>
        <w:rPr>
          <w:rFonts w:hint="default" w:ascii="Times New Roman" w:hAnsi="Times New Roman" w:eastAsia="方正仿宋_GBK" w:cs="Times New Roman"/>
          <w:color w:val="000000"/>
          <w:kern w:val="0"/>
          <w:sz w:val="32"/>
          <w:szCs w:val="32"/>
          <w:lang w:val="en-US" w:eastAsia="zh-CN" w:bidi="ar"/>
        </w:rPr>
        <w:t>否</w:t>
      </w:r>
    </w:p>
    <w:p w14:paraId="7C0862B9">
      <w:pPr>
        <w:keepNext w:val="0"/>
        <w:keepLines w:val="0"/>
        <w:pageBreakBefore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仿宋GB2312" w:cs="Times New Roman"/>
          <w:b/>
          <w:bCs/>
          <w:strike w:val="0"/>
          <w:dstrike w:val="0"/>
          <w:color w:val="auto"/>
          <w:sz w:val="32"/>
          <w:szCs w:val="32"/>
          <w:lang w:val="en-US" w:eastAsia="zh-CN"/>
        </w:rPr>
        <w:t>7.是否需要鉴定：</w:t>
      </w:r>
      <w:r>
        <w:rPr>
          <w:rFonts w:hint="default" w:ascii="Times New Roman" w:hAnsi="Times New Roman" w:eastAsia="方正仿宋_GBK" w:cs="Times New Roman"/>
          <w:color w:val="000000"/>
          <w:kern w:val="0"/>
          <w:sz w:val="32"/>
          <w:szCs w:val="32"/>
          <w:lang w:val="en-US" w:eastAsia="zh-CN" w:bidi="ar"/>
        </w:rPr>
        <w:t>否</w:t>
      </w:r>
    </w:p>
    <w:p w14:paraId="7F60D60E">
      <w:pPr>
        <w:keepNext w:val="0"/>
        <w:keepLines w:val="0"/>
        <w:pageBreakBefore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仿宋GB2312" w:cs="Times New Roman"/>
          <w:b/>
          <w:bCs/>
          <w:strike w:val="0"/>
          <w:dstrike w:val="0"/>
          <w:color w:val="auto"/>
          <w:sz w:val="32"/>
          <w:szCs w:val="32"/>
          <w:lang w:val="en-US" w:eastAsia="zh-CN"/>
        </w:rPr>
        <w:t>8.是否需要专家评审：</w:t>
      </w:r>
      <w:r>
        <w:rPr>
          <w:rFonts w:hint="default" w:ascii="Times New Roman" w:hAnsi="Times New Roman" w:eastAsia="方正仿宋_GBK" w:cs="Times New Roman"/>
          <w:color w:val="000000"/>
          <w:kern w:val="0"/>
          <w:sz w:val="32"/>
          <w:szCs w:val="32"/>
          <w:lang w:val="en-US" w:eastAsia="zh-CN" w:bidi="ar"/>
        </w:rPr>
        <w:t>部分情况下开展</w:t>
      </w:r>
    </w:p>
    <w:p w14:paraId="102112CA">
      <w:pPr>
        <w:keepNext w:val="0"/>
        <w:keepLines w:val="0"/>
        <w:pageBreakBefore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仿宋GB2312" w:cs="Times New Roman"/>
          <w:b/>
          <w:bCs/>
          <w:strike w:val="0"/>
          <w:dstrike w:val="0"/>
          <w:color w:val="auto"/>
          <w:sz w:val="32"/>
          <w:szCs w:val="32"/>
          <w:lang w:val="en-US" w:eastAsia="zh-CN"/>
        </w:rPr>
        <w:t>9.是否需要向社会公示</w:t>
      </w:r>
      <w:r>
        <w:rPr>
          <w:rFonts w:hint="default" w:ascii="Times New Roman" w:hAnsi="Times New Roman" w:eastAsia="方正仿宋_GBK" w:cs="Times New Roman"/>
          <w:color w:val="000000"/>
          <w:kern w:val="0"/>
          <w:sz w:val="32"/>
          <w:szCs w:val="32"/>
          <w:lang w:val="en-US" w:eastAsia="zh-CN" w:bidi="ar"/>
        </w:rPr>
        <w:t>：否</w:t>
      </w:r>
    </w:p>
    <w:p w14:paraId="747D58B0">
      <w:pPr>
        <w:keepNext w:val="0"/>
        <w:keepLines w:val="0"/>
        <w:pageBreakBefore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仿宋GB2312" w:cs="Times New Roman"/>
          <w:b/>
          <w:bCs/>
          <w:strike w:val="0"/>
          <w:dstrike w:val="0"/>
          <w:color w:val="auto"/>
          <w:sz w:val="32"/>
          <w:szCs w:val="32"/>
          <w:lang w:val="en-US" w:eastAsia="zh-CN"/>
        </w:rPr>
        <w:t>10.是否实行告知承诺办理：</w:t>
      </w:r>
      <w:r>
        <w:rPr>
          <w:rFonts w:hint="default" w:ascii="Times New Roman" w:hAnsi="Times New Roman" w:eastAsia="方正仿宋_GBK" w:cs="Times New Roman"/>
          <w:color w:val="000000"/>
          <w:kern w:val="0"/>
          <w:sz w:val="32"/>
          <w:szCs w:val="32"/>
          <w:lang w:val="en-US" w:eastAsia="zh-CN" w:bidi="ar"/>
        </w:rPr>
        <w:t>否</w:t>
      </w:r>
    </w:p>
    <w:p w14:paraId="777CFC48">
      <w:pPr>
        <w:keepNext w:val="0"/>
        <w:keepLines w:val="0"/>
        <w:pageBreakBefore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仿宋GB2312" w:cs="Times New Roman"/>
          <w:b/>
          <w:bCs/>
          <w:strike w:val="0"/>
          <w:dstrike w:val="0"/>
          <w:color w:val="auto"/>
          <w:sz w:val="32"/>
          <w:szCs w:val="32"/>
          <w:lang w:val="en-US" w:eastAsia="zh-CN"/>
        </w:rPr>
        <w:t>11.审批机关是否委托服务机构开展技术性服务：</w:t>
      </w:r>
      <w:r>
        <w:rPr>
          <w:rFonts w:hint="default" w:ascii="Times New Roman" w:hAnsi="Times New Roman" w:eastAsia="方正仿宋_GBK" w:cs="Times New Roman"/>
          <w:color w:val="000000"/>
          <w:kern w:val="0"/>
          <w:sz w:val="32"/>
          <w:szCs w:val="32"/>
          <w:lang w:val="en-US" w:eastAsia="zh-CN" w:bidi="ar"/>
        </w:rPr>
        <w:t>否</w:t>
      </w:r>
    </w:p>
    <w:p w14:paraId="721FE82D">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1"/>
        <w:rPr>
          <w:rFonts w:hint="default" w:ascii="Times New Roman" w:hAnsi="Times New Roman" w:eastAsia="方正黑体_GBK" w:cs="Times New Roman"/>
          <w:b w:val="0"/>
          <w:bCs w:val="0"/>
          <w:strike w:val="0"/>
          <w:dstrike w:val="0"/>
          <w:color w:val="auto"/>
          <w:sz w:val="32"/>
          <w:szCs w:val="32"/>
          <w:lang w:val="en-US" w:eastAsia="zh-CN"/>
        </w:rPr>
      </w:pPr>
      <w:r>
        <w:rPr>
          <w:rFonts w:hint="default" w:ascii="Times New Roman" w:hAnsi="Times New Roman" w:eastAsia="方正黑体_GBK" w:cs="Times New Roman"/>
          <w:b w:val="0"/>
          <w:bCs w:val="0"/>
          <w:strike w:val="0"/>
          <w:dstrike w:val="0"/>
          <w:color w:val="auto"/>
          <w:sz w:val="32"/>
          <w:szCs w:val="32"/>
          <w:lang w:val="en-US" w:eastAsia="zh-CN"/>
        </w:rPr>
        <w:t>八、受理和审批时限</w:t>
      </w:r>
    </w:p>
    <w:p w14:paraId="1CD4E919">
      <w:pPr>
        <w:keepNext w:val="0"/>
        <w:keepLines w:val="0"/>
        <w:pageBreakBefore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仿宋GB2312" w:cs="Times New Roman"/>
          <w:b/>
          <w:bCs/>
          <w:strike w:val="0"/>
          <w:dstrike w:val="0"/>
          <w:color w:val="auto"/>
          <w:sz w:val="32"/>
          <w:szCs w:val="32"/>
          <w:lang w:val="en-US" w:eastAsia="zh-CN"/>
        </w:rPr>
        <w:t>1.承诺受理时限</w:t>
      </w:r>
      <w:r>
        <w:rPr>
          <w:rFonts w:hint="default" w:ascii="Times New Roman" w:hAnsi="Times New Roman" w:eastAsia="方正仿宋_GBK" w:cs="Times New Roman"/>
          <w:color w:val="000000"/>
          <w:kern w:val="0"/>
          <w:sz w:val="32"/>
          <w:szCs w:val="32"/>
          <w:lang w:val="en-US" w:eastAsia="zh-CN" w:bidi="ar"/>
        </w:rPr>
        <w:t>：5个工作日</w:t>
      </w:r>
    </w:p>
    <w:p w14:paraId="14202C2F">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3" w:firstLineChars="200"/>
        <w:textAlignment w:val="auto"/>
        <w:outlineLvl w:val="2"/>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仿宋GB2312" w:cs="Times New Roman"/>
          <w:b/>
          <w:bCs/>
          <w:strike w:val="0"/>
          <w:dstrike w:val="0"/>
          <w:color w:val="auto"/>
          <w:sz w:val="32"/>
          <w:szCs w:val="32"/>
          <w:lang w:val="en-US" w:eastAsia="zh-CN"/>
        </w:rPr>
        <w:t>2.法定审批时限：</w:t>
      </w:r>
      <w:r>
        <w:rPr>
          <w:rFonts w:hint="default" w:ascii="Times New Roman" w:hAnsi="Times New Roman" w:eastAsia="方正仿宋_GBK" w:cs="Times New Roman"/>
          <w:color w:val="000000"/>
          <w:kern w:val="0"/>
          <w:sz w:val="32"/>
          <w:szCs w:val="32"/>
          <w:lang w:val="en-US" w:eastAsia="zh-CN" w:bidi="ar"/>
        </w:rPr>
        <w:t>20个工作日</w:t>
      </w:r>
    </w:p>
    <w:p w14:paraId="07822E28">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3" w:firstLineChars="200"/>
        <w:textAlignment w:val="auto"/>
        <w:outlineLvl w:val="2"/>
        <w:rPr>
          <w:rFonts w:hint="default" w:ascii="Times New Roman" w:hAnsi="Times New Roman" w:eastAsia="仿宋GB2312" w:cs="Times New Roman"/>
          <w:b/>
          <w:bCs/>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3.规定法定审批时限依据</w:t>
      </w:r>
    </w:p>
    <w:p w14:paraId="5A9B5F6C">
      <w:pPr>
        <w:keepNext w:val="0"/>
        <w:keepLines w:val="0"/>
        <w:pageBreakBefore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b/>
          <w:bCs/>
          <w:strike w:val="0"/>
          <w:dstrike w:val="0"/>
          <w:color w:val="auto"/>
          <w:sz w:val="32"/>
          <w:szCs w:val="32"/>
          <w:lang w:val="en-US" w:eastAsia="zh-CN"/>
        </w:rPr>
      </w:pPr>
      <w:r>
        <w:rPr>
          <w:rFonts w:hint="default" w:ascii="Times New Roman" w:hAnsi="Times New Roman" w:eastAsia="方正仿宋_GBK" w:cs="Times New Roman"/>
          <w:b/>
          <w:bCs/>
          <w:strike w:val="0"/>
          <w:dstrike w:val="0"/>
          <w:color w:val="auto"/>
          <w:sz w:val="32"/>
          <w:szCs w:val="32"/>
          <w:lang w:val="en-US" w:eastAsia="zh-CN"/>
        </w:rPr>
        <w:t>《中华人民共和国行政许可法》</w:t>
      </w:r>
    </w:p>
    <w:p w14:paraId="3A1D15AA">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第42条 除可以当场作出行政许可决定的外，行政机关应当自受理行政许可申请之日起</w:t>
      </w:r>
      <w:r>
        <w:rPr>
          <w:rFonts w:hint="default" w:ascii="Times New Roman" w:hAnsi="Times New Roman" w:eastAsia="方正仿宋_GBK" w:cs="Times New Roman"/>
          <w:color w:val="000000"/>
          <w:kern w:val="0"/>
          <w:sz w:val="32"/>
          <w:szCs w:val="32"/>
          <w:lang w:val="en" w:eastAsia="zh-CN" w:bidi="ar"/>
        </w:rPr>
        <w:t>20</w:t>
      </w:r>
      <w:r>
        <w:rPr>
          <w:rFonts w:hint="default" w:ascii="Times New Roman" w:hAnsi="Times New Roman" w:eastAsia="方正仿宋_GBK" w:cs="Times New Roman"/>
          <w:color w:val="000000"/>
          <w:kern w:val="0"/>
          <w:sz w:val="32"/>
          <w:szCs w:val="32"/>
          <w:lang w:val="en-US" w:eastAsia="zh-CN" w:bidi="ar"/>
        </w:rPr>
        <w:t>日内作出行政许可决定。</w:t>
      </w:r>
      <w:r>
        <w:rPr>
          <w:rFonts w:hint="default" w:ascii="Times New Roman" w:hAnsi="Times New Roman" w:eastAsia="方正仿宋_GBK" w:cs="Times New Roman"/>
          <w:color w:val="000000"/>
          <w:kern w:val="0"/>
          <w:sz w:val="32"/>
          <w:szCs w:val="32"/>
          <w:lang w:val="en" w:eastAsia="zh-CN" w:bidi="ar"/>
        </w:rPr>
        <w:t>20</w:t>
      </w:r>
      <w:r>
        <w:rPr>
          <w:rFonts w:hint="default" w:ascii="Times New Roman" w:hAnsi="Times New Roman" w:eastAsia="方正仿宋_GBK" w:cs="Times New Roman"/>
          <w:color w:val="000000"/>
          <w:kern w:val="0"/>
          <w:sz w:val="32"/>
          <w:szCs w:val="32"/>
          <w:lang w:val="en-US" w:eastAsia="zh-CN" w:bidi="ar"/>
        </w:rPr>
        <w:t>日内不能作出决定的，经本行政机关负责人批准，可以延长</w:t>
      </w:r>
      <w:r>
        <w:rPr>
          <w:rFonts w:hint="default" w:ascii="Times New Roman" w:hAnsi="Times New Roman" w:eastAsia="方正仿宋_GBK" w:cs="Times New Roman"/>
          <w:color w:val="000000"/>
          <w:kern w:val="0"/>
          <w:sz w:val="32"/>
          <w:szCs w:val="32"/>
          <w:lang w:val="en" w:eastAsia="zh-CN" w:bidi="ar"/>
        </w:rPr>
        <w:t>10</w:t>
      </w:r>
      <w:r>
        <w:rPr>
          <w:rFonts w:hint="default" w:ascii="Times New Roman" w:hAnsi="Times New Roman" w:eastAsia="方正仿宋_GBK" w:cs="Times New Roman"/>
          <w:color w:val="000000"/>
          <w:kern w:val="0"/>
          <w:sz w:val="32"/>
          <w:szCs w:val="32"/>
          <w:lang w:val="en-US" w:eastAsia="zh-CN" w:bidi="ar"/>
        </w:rPr>
        <w:t>日，并应当将延长期限的理由告知申请人。但是，法律、法规另有规定的，依照其规定。</w:t>
      </w:r>
    </w:p>
    <w:p w14:paraId="69712C3C">
      <w:pPr>
        <w:keepNext w:val="0"/>
        <w:keepLines w:val="0"/>
        <w:pageBreakBefore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仿宋GB2312" w:cs="Times New Roman"/>
          <w:b/>
          <w:bCs/>
          <w:strike w:val="0"/>
          <w:dstrike w:val="0"/>
          <w:color w:val="auto"/>
          <w:sz w:val="32"/>
          <w:szCs w:val="32"/>
          <w:lang w:val="en-US" w:eastAsia="zh-CN"/>
        </w:rPr>
        <w:t>4.承诺审批时限：</w:t>
      </w:r>
      <w:r>
        <w:rPr>
          <w:rFonts w:hint="default" w:ascii="Times New Roman" w:hAnsi="Times New Roman" w:eastAsia="方正仿宋_GBK" w:cs="Times New Roman"/>
          <w:color w:val="000000"/>
          <w:kern w:val="0"/>
          <w:sz w:val="32"/>
          <w:szCs w:val="32"/>
          <w:lang w:val="en-US" w:eastAsia="zh-CN" w:bidi="ar"/>
        </w:rPr>
        <w:t>20个工作日</w:t>
      </w:r>
    </w:p>
    <w:p w14:paraId="57220EAB">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依法进行专家评审另需时间不超过30个工作日</w:t>
      </w:r>
    </w:p>
    <w:p w14:paraId="3C59D718">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依法进行听证、专家评审的工作，另需时间不计算在该时限</w:t>
      </w:r>
      <w:r>
        <w:rPr>
          <w:rFonts w:hint="eastAsia" w:ascii="Times New Roman" w:hAnsi="Times New Roman" w:eastAsia="方正仿宋_GBK" w:cs="Times New Roman"/>
          <w:color w:val="000000"/>
          <w:kern w:val="0"/>
          <w:sz w:val="32"/>
          <w:szCs w:val="32"/>
          <w:lang w:val="en-US" w:eastAsia="zh-CN" w:bidi="ar"/>
        </w:rPr>
        <w:t>。</w:t>
      </w:r>
    </w:p>
    <w:p w14:paraId="27BAC80E">
      <w:pPr>
        <w:keepNext w:val="0"/>
        <w:keepLines w:val="0"/>
        <w:pageBreakBefore w:val="0"/>
        <w:widowControl w:val="0"/>
        <w:numPr>
          <w:ilvl w:val="0"/>
          <w:numId w:val="0"/>
        </w:numPr>
        <w:kinsoku/>
        <w:wordWrap/>
        <w:overflowPunct/>
        <w:topLinePunct w:val="0"/>
        <w:autoSpaceDE/>
        <w:autoSpaceDN/>
        <w:bidi w:val="0"/>
        <w:adjustRightInd/>
        <w:snapToGrid/>
        <w:spacing w:line="590" w:lineRule="exact"/>
        <w:textAlignment w:val="auto"/>
        <w:outlineLvl w:val="1"/>
        <w:rPr>
          <w:rFonts w:hint="default" w:ascii="Times New Roman" w:hAnsi="Times New Roman" w:eastAsia="方正黑体_GBK" w:cs="Times New Roman"/>
          <w:b w:val="0"/>
          <w:bCs w:val="0"/>
          <w:strike w:val="0"/>
          <w:dstrike w:val="0"/>
          <w:color w:val="auto"/>
          <w:sz w:val="32"/>
          <w:szCs w:val="32"/>
          <w:lang w:val="en-US" w:eastAsia="zh-CN"/>
        </w:rPr>
      </w:pPr>
      <w:r>
        <w:rPr>
          <w:rFonts w:hint="default" w:ascii="Times New Roman" w:hAnsi="Times New Roman" w:eastAsia="方正黑体_GBK" w:cs="Times New Roman"/>
          <w:b w:val="0"/>
          <w:bCs w:val="0"/>
          <w:strike w:val="0"/>
          <w:dstrike w:val="0"/>
          <w:color w:val="auto"/>
          <w:sz w:val="32"/>
          <w:szCs w:val="32"/>
          <w:lang w:val="en-US" w:eastAsia="zh-CN"/>
        </w:rPr>
        <w:t>九、收费</w:t>
      </w:r>
    </w:p>
    <w:p w14:paraId="03D58065">
      <w:pPr>
        <w:keepNext w:val="0"/>
        <w:keepLines w:val="0"/>
        <w:pageBreakBefore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仿宋GB2312" w:cs="Times New Roman"/>
          <w:b/>
          <w:bCs/>
          <w:strike w:val="0"/>
          <w:dstrike w:val="0"/>
          <w:color w:val="auto"/>
          <w:sz w:val="32"/>
          <w:szCs w:val="32"/>
          <w:lang w:val="en-US" w:eastAsia="zh-CN"/>
        </w:rPr>
        <w:t>1.办理行政许可是否收费：</w:t>
      </w:r>
      <w:r>
        <w:rPr>
          <w:rFonts w:hint="default" w:ascii="Times New Roman" w:hAnsi="Times New Roman" w:eastAsia="方正仿宋_GBK" w:cs="Times New Roman"/>
          <w:color w:val="000000"/>
          <w:kern w:val="0"/>
          <w:sz w:val="32"/>
          <w:szCs w:val="32"/>
          <w:lang w:val="en-US" w:eastAsia="zh-CN" w:bidi="ar"/>
        </w:rPr>
        <w:t>否</w:t>
      </w:r>
    </w:p>
    <w:p w14:paraId="4DD57721">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3" w:firstLineChars="200"/>
        <w:textAlignment w:val="auto"/>
        <w:outlineLvl w:val="2"/>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仿宋GB2312" w:cs="Times New Roman"/>
          <w:b/>
          <w:bCs/>
          <w:strike w:val="0"/>
          <w:dstrike w:val="0"/>
          <w:color w:val="auto"/>
          <w:sz w:val="32"/>
          <w:szCs w:val="32"/>
          <w:lang w:val="en-US" w:eastAsia="zh-CN"/>
        </w:rPr>
        <w:t>2.收费项目的名称、收费项目的标准、设定收费项目的依据、规定收费标准的依据</w:t>
      </w:r>
      <w:r>
        <w:rPr>
          <w:rFonts w:hint="eastAsia" w:ascii="Times New Roman" w:hAnsi="Times New Roman" w:eastAsia="仿宋GB2312" w:cs="Times New Roman"/>
          <w:b/>
          <w:bCs/>
          <w:strike w:val="0"/>
          <w:dstrike w:val="0"/>
          <w:color w:val="auto"/>
          <w:sz w:val="32"/>
          <w:szCs w:val="32"/>
          <w:lang w:val="en-US" w:eastAsia="zh-CN"/>
        </w:rPr>
        <w:t>：</w:t>
      </w:r>
      <w:r>
        <w:rPr>
          <w:rFonts w:hint="default" w:ascii="Times New Roman" w:hAnsi="Times New Roman" w:eastAsia="方正仿宋_GBK" w:cs="Times New Roman"/>
          <w:color w:val="000000"/>
          <w:kern w:val="0"/>
          <w:sz w:val="32"/>
          <w:szCs w:val="32"/>
          <w:lang w:val="en-US" w:eastAsia="zh-CN" w:bidi="ar"/>
        </w:rPr>
        <w:t>无</w:t>
      </w:r>
    </w:p>
    <w:p w14:paraId="4C77E2E6">
      <w:pPr>
        <w:keepNext w:val="0"/>
        <w:keepLines w:val="0"/>
        <w:pageBreakBefore w:val="0"/>
        <w:widowControl w:val="0"/>
        <w:numPr>
          <w:ilvl w:val="0"/>
          <w:numId w:val="0"/>
        </w:numPr>
        <w:kinsoku/>
        <w:wordWrap/>
        <w:overflowPunct/>
        <w:topLinePunct w:val="0"/>
        <w:autoSpaceDE/>
        <w:autoSpaceDN/>
        <w:bidi w:val="0"/>
        <w:adjustRightInd/>
        <w:snapToGrid/>
        <w:spacing w:line="590" w:lineRule="exact"/>
        <w:textAlignment w:val="auto"/>
        <w:outlineLvl w:val="1"/>
        <w:rPr>
          <w:rFonts w:hint="default" w:ascii="Times New Roman" w:hAnsi="Times New Roman" w:eastAsia="方正黑体_GBK" w:cs="Times New Roman"/>
          <w:b w:val="0"/>
          <w:bCs w:val="0"/>
          <w:strike w:val="0"/>
          <w:dstrike w:val="0"/>
          <w:color w:val="auto"/>
          <w:sz w:val="32"/>
          <w:szCs w:val="32"/>
          <w:lang w:val="en-US" w:eastAsia="zh-CN"/>
        </w:rPr>
      </w:pPr>
      <w:r>
        <w:rPr>
          <w:rFonts w:hint="default" w:ascii="Times New Roman" w:hAnsi="Times New Roman" w:eastAsia="方正黑体_GBK" w:cs="Times New Roman"/>
          <w:b w:val="0"/>
          <w:bCs w:val="0"/>
          <w:strike w:val="0"/>
          <w:dstrike w:val="0"/>
          <w:color w:val="auto"/>
          <w:sz w:val="32"/>
          <w:szCs w:val="32"/>
          <w:lang w:val="en-US" w:eastAsia="zh-CN"/>
        </w:rPr>
        <w:t>十、行政许可证件</w:t>
      </w:r>
    </w:p>
    <w:p w14:paraId="4C0DE303">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3" w:firstLineChars="200"/>
        <w:textAlignment w:val="auto"/>
        <w:outlineLvl w:val="2"/>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仿宋GB2312" w:cs="Times New Roman"/>
          <w:b/>
          <w:bCs/>
          <w:strike w:val="0"/>
          <w:dstrike w:val="0"/>
          <w:color w:val="auto"/>
          <w:sz w:val="32"/>
          <w:szCs w:val="32"/>
          <w:lang w:val="en-US" w:eastAsia="zh-CN"/>
        </w:rPr>
        <w:t>1.审批结果类型：</w:t>
      </w:r>
      <w:r>
        <w:rPr>
          <w:rFonts w:hint="default" w:ascii="Times New Roman" w:hAnsi="Times New Roman" w:eastAsia="方正仿宋_GBK" w:cs="Times New Roman"/>
          <w:color w:val="000000"/>
          <w:kern w:val="0"/>
          <w:sz w:val="32"/>
          <w:szCs w:val="32"/>
          <w:lang w:val="en-US" w:eastAsia="zh-CN" w:bidi="ar"/>
        </w:rPr>
        <w:t>批文</w:t>
      </w:r>
    </w:p>
    <w:p w14:paraId="3CC506FA">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3" w:firstLineChars="200"/>
        <w:textAlignment w:val="auto"/>
        <w:outlineLvl w:val="9"/>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仿宋GB2312" w:cs="Times New Roman"/>
          <w:b/>
          <w:bCs/>
          <w:strike w:val="0"/>
          <w:dstrike w:val="0"/>
          <w:color w:val="auto"/>
          <w:sz w:val="32"/>
          <w:szCs w:val="32"/>
          <w:lang w:val="en-US" w:eastAsia="zh-CN"/>
        </w:rPr>
        <w:t>2.审批结果名称：</w:t>
      </w:r>
      <w:r>
        <w:rPr>
          <w:rFonts w:hint="default" w:ascii="Times New Roman" w:hAnsi="Times New Roman" w:eastAsia="方正仿宋_GBK" w:cs="Times New Roman"/>
          <w:color w:val="000000"/>
          <w:kern w:val="0"/>
          <w:sz w:val="32"/>
          <w:szCs w:val="32"/>
          <w:lang w:val="en-US" w:eastAsia="zh-CN" w:bidi="ar"/>
        </w:rPr>
        <w:t>行政许可决定书，杞麓湖生态保护核心区从事科研、考古、影视拍摄工作，举办体育赛事、文化活动许可的批复</w:t>
      </w:r>
    </w:p>
    <w:p w14:paraId="0D2DF8DA">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3" w:firstLineChars="200"/>
        <w:textAlignment w:val="auto"/>
        <w:outlineLvl w:val="9"/>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仿宋GB2312" w:cs="Times New Roman"/>
          <w:b/>
          <w:bCs/>
          <w:strike w:val="0"/>
          <w:dstrike w:val="0"/>
          <w:color w:val="auto"/>
          <w:sz w:val="32"/>
          <w:szCs w:val="32"/>
          <w:lang w:val="en-US" w:eastAsia="zh-CN"/>
        </w:rPr>
        <w:t>3.审批结果的有效期限：</w:t>
      </w:r>
      <w:r>
        <w:rPr>
          <w:rFonts w:hint="default" w:ascii="Times New Roman" w:hAnsi="Times New Roman" w:eastAsia="方正仿宋_GBK" w:cs="Times New Roman"/>
          <w:b w:val="0"/>
          <w:bCs w:val="0"/>
          <w:strike w:val="0"/>
          <w:dstrike w:val="0"/>
          <w:color w:val="auto"/>
          <w:sz w:val="32"/>
          <w:szCs w:val="32"/>
          <w:lang w:val="en-US" w:eastAsia="zh-CN"/>
        </w:rPr>
        <w:t>不</w:t>
      </w:r>
      <w:r>
        <w:rPr>
          <w:rFonts w:hint="default" w:ascii="Times New Roman" w:hAnsi="Times New Roman" w:eastAsia="方正仿宋_GBK" w:cs="Times New Roman"/>
          <w:color w:val="000000"/>
          <w:kern w:val="0"/>
          <w:sz w:val="32"/>
          <w:szCs w:val="32"/>
          <w:lang w:val="en-US" w:eastAsia="zh-CN" w:bidi="ar"/>
        </w:rPr>
        <w:t>超过1年或暂由地方依据有关规定确定的有效期限</w:t>
      </w:r>
    </w:p>
    <w:p w14:paraId="2AB244BD">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3" w:firstLineChars="200"/>
        <w:textAlignment w:val="auto"/>
        <w:outlineLvl w:val="2"/>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仿宋GB2312" w:cs="Times New Roman"/>
          <w:b/>
          <w:bCs/>
          <w:strike w:val="0"/>
          <w:dstrike w:val="0"/>
          <w:color w:val="auto"/>
          <w:sz w:val="32"/>
          <w:szCs w:val="32"/>
          <w:lang w:val="en-US" w:eastAsia="zh-CN"/>
        </w:rPr>
        <w:t>4.规定审批结果有效期限的依据：</w:t>
      </w:r>
      <w:r>
        <w:rPr>
          <w:rFonts w:hint="default" w:ascii="Times New Roman" w:hAnsi="Times New Roman" w:eastAsia="方正仿宋_GBK" w:cs="Times New Roman"/>
          <w:color w:val="000000"/>
          <w:kern w:val="0"/>
          <w:sz w:val="32"/>
          <w:szCs w:val="32"/>
          <w:lang w:val="en-US" w:eastAsia="zh-CN" w:bidi="ar"/>
        </w:rPr>
        <w:t>无</w:t>
      </w:r>
    </w:p>
    <w:p w14:paraId="0CB63F09">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3" w:firstLineChars="200"/>
        <w:textAlignment w:val="auto"/>
        <w:outlineLvl w:val="9"/>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仿宋GB2312" w:cs="Times New Roman"/>
          <w:b/>
          <w:bCs/>
          <w:strike w:val="0"/>
          <w:dstrike w:val="0"/>
          <w:color w:val="auto"/>
          <w:sz w:val="32"/>
          <w:szCs w:val="32"/>
          <w:lang w:val="en-US" w:eastAsia="zh-CN"/>
        </w:rPr>
        <w:t>5.是否需要办理审批结果变更手续：</w:t>
      </w:r>
      <w:r>
        <w:rPr>
          <w:rFonts w:hint="default" w:ascii="Times New Roman" w:hAnsi="Times New Roman" w:eastAsia="方正仿宋_GBK" w:cs="Times New Roman"/>
          <w:color w:val="000000"/>
          <w:kern w:val="0"/>
          <w:sz w:val="32"/>
          <w:szCs w:val="32"/>
          <w:lang w:val="en-US" w:eastAsia="zh-CN" w:bidi="ar"/>
        </w:rPr>
        <w:t>否</w:t>
      </w:r>
    </w:p>
    <w:p w14:paraId="4EDD4686">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3" w:firstLineChars="200"/>
        <w:textAlignment w:val="auto"/>
        <w:outlineLvl w:val="2"/>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仿宋GB2312" w:cs="Times New Roman"/>
          <w:b/>
          <w:bCs/>
          <w:strike w:val="0"/>
          <w:dstrike w:val="0"/>
          <w:color w:val="auto"/>
          <w:sz w:val="32"/>
          <w:szCs w:val="32"/>
          <w:lang w:val="en-US" w:eastAsia="zh-CN"/>
        </w:rPr>
        <w:t>6.办理审批结果变更手续的要求：</w:t>
      </w:r>
      <w:r>
        <w:rPr>
          <w:rFonts w:hint="default" w:ascii="Times New Roman" w:hAnsi="Times New Roman" w:eastAsia="方正仿宋_GBK" w:cs="Times New Roman"/>
          <w:color w:val="000000"/>
          <w:kern w:val="0"/>
          <w:sz w:val="32"/>
          <w:szCs w:val="32"/>
          <w:lang w:val="en-US" w:eastAsia="zh-CN" w:bidi="ar"/>
        </w:rPr>
        <w:t>无</w:t>
      </w:r>
    </w:p>
    <w:p w14:paraId="4029BC52">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3" w:firstLineChars="200"/>
        <w:textAlignment w:val="auto"/>
        <w:outlineLvl w:val="9"/>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仿宋GB2312" w:cs="Times New Roman"/>
          <w:b/>
          <w:bCs/>
          <w:strike w:val="0"/>
          <w:dstrike w:val="0"/>
          <w:color w:val="auto"/>
          <w:sz w:val="32"/>
          <w:szCs w:val="32"/>
          <w:lang w:val="en-US" w:eastAsia="zh-CN"/>
        </w:rPr>
        <w:t>7.是否需要办理审批结果延续手续：</w:t>
      </w:r>
      <w:r>
        <w:rPr>
          <w:rFonts w:hint="default" w:ascii="Times New Roman" w:hAnsi="Times New Roman" w:eastAsia="方正仿宋_GBK" w:cs="Times New Roman"/>
          <w:color w:val="000000"/>
          <w:kern w:val="0"/>
          <w:sz w:val="32"/>
          <w:szCs w:val="32"/>
          <w:lang w:val="en-US" w:eastAsia="zh-CN" w:bidi="ar"/>
        </w:rPr>
        <w:t>否</w:t>
      </w:r>
    </w:p>
    <w:p w14:paraId="7D5D5306">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3" w:firstLineChars="200"/>
        <w:textAlignment w:val="auto"/>
        <w:outlineLvl w:val="9"/>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仿宋GB2312" w:cs="Times New Roman"/>
          <w:b/>
          <w:bCs/>
          <w:strike w:val="0"/>
          <w:dstrike w:val="0"/>
          <w:color w:val="auto"/>
          <w:sz w:val="32"/>
          <w:szCs w:val="32"/>
          <w:lang w:val="en-US" w:eastAsia="zh-CN"/>
        </w:rPr>
        <w:t>8.是否需要办理审批结果延续手续：</w:t>
      </w:r>
      <w:r>
        <w:rPr>
          <w:rFonts w:hint="default" w:ascii="Times New Roman" w:hAnsi="Times New Roman" w:eastAsia="方正仿宋_GBK" w:cs="Times New Roman"/>
          <w:color w:val="000000"/>
          <w:kern w:val="0"/>
          <w:sz w:val="32"/>
          <w:szCs w:val="32"/>
          <w:lang w:val="en-US" w:eastAsia="zh-CN" w:bidi="ar"/>
        </w:rPr>
        <w:t>否</w:t>
      </w:r>
    </w:p>
    <w:p w14:paraId="0004D2AD">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3" w:firstLineChars="200"/>
        <w:textAlignment w:val="auto"/>
        <w:outlineLvl w:val="2"/>
        <w:rPr>
          <w:rFonts w:hint="default" w:ascii="Times New Roman" w:hAnsi="Times New Roman" w:eastAsia="仿宋GB2312" w:cs="Times New Roman"/>
          <w:b/>
          <w:bCs/>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9.审批结果的有效地域范围</w:t>
      </w:r>
    </w:p>
    <w:p w14:paraId="10235582">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与批文上标注区域一致</w:t>
      </w:r>
    </w:p>
    <w:p w14:paraId="4CCDDAB6">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1"/>
        <w:rPr>
          <w:rFonts w:hint="default" w:ascii="Times New Roman" w:hAnsi="Times New Roman" w:eastAsia="方正黑体_GBK" w:cs="Times New Roman"/>
          <w:b w:val="0"/>
          <w:bCs w:val="0"/>
          <w:strike w:val="0"/>
          <w:dstrike w:val="0"/>
          <w:color w:val="auto"/>
          <w:sz w:val="32"/>
          <w:szCs w:val="32"/>
          <w:lang w:val="en-US" w:eastAsia="zh-CN"/>
        </w:rPr>
      </w:pPr>
      <w:r>
        <w:rPr>
          <w:rFonts w:hint="default" w:ascii="Times New Roman" w:hAnsi="Times New Roman" w:eastAsia="方正黑体_GBK" w:cs="Times New Roman"/>
          <w:b w:val="0"/>
          <w:bCs w:val="0"/>
          <w:strike w:val="0"/>
          <w:dstrike w:val="0"/>
          <w:color w:val="auto"/>
          <w:sz w:val="32"/>
          <w:szCs w:val="32"/>
          <w:lang w:val="en-US" w:eastAsia="zh-CN"/>
        </w:rPr>
        <w:t>十一、行政许可数量限制</w:t>
      </w:r>
    </w:p>
    <w:p w14:paraId="5CDE06B2">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3" w:firstLineChars="200"/>
        <w:textAlignment w:val="auto"/>
        <w:outlineLvl w:val="9"/>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仿宋GB2312" w:cs="Times New Roman"/>
          <w:b/>
          <w:bCs/>
          <w:strike w:val="0"/>
          <w:dstrike w:val="0"/>
          <w:color w:val="auto"/>
          <w:sz w:val="32"/>
          <w:szCs w:val="32"/>
          <w:lang w:val="en-US" w:eastAsia="zh-CN"/>
        </w:rPr>
        <w:t>1.有无行政许可数量限制：</w:t>
      </w:r>
      <w:r>
        <w:rPr>
          <w:rFonts w:hint="default" w:ascii="Times New Roman" w:hAnsi="Times New Roman" w:eastAsia="方正仿宋_GBK" w:cs="Times New Roman"/>
          <w:color w:val="000000"/>
          <w:kern w:val="0"/>
          <w:sz w:val="32"/>
          <w:szCs w:val="32"/>
          <w:lang w:val="en-US" w:eastAsia="zh-CN" w:bidi="ar"/>
        </w:rPr>
        <w:t>无</w:t>
      </w:r>
    </w:p>
    <w:p w14:paraId="1A644D45">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3" w:firstLineChars="200"/>
        <w:jc w:val="left"/>
        <w:textAlignment w:val="auto"/>
        <w:outlineLvl w:val="9"/>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仿宋GB2312" w:cs="Times New Roman"/>
          <w:b/>
          <w:bCs/>
          <w:strike w:val="0"/>
          <w:dstrike w:val="0"/>
          <w:color w:val="auto"/>
          <w:sz w:val="32"/>
          <w:szCs w:val="32"/>
          <w:lang w:val="en-US" w:eastAsia="zh-CN"/>
        </w:rPr>
        <w:t>2.规定在数量限制条件下实施行政许可方式的依据：</w:t>
      </w:r>
      <w:r>
        <w:rPr>
          <w:rFonts w:hint="default" w:ascii="Times New Roman" w:hAnsi="Times New Roman" w:eastAsia="方正仿宋_GBK" w:cs="Times New Roman"/>
          <w:color w:val="000000"/>
          <w:kern w:val="0"/>
          <w:sz w:val="32"/>
          <w:szCs w:val="32"/>
          <w:lang w:val="en-US" w:eastAsia="zh-CN" w:bidi="ar"/>
        </w:rPr>
        <w:t>无</w:t>
      </w:r>
    </w:p>
    <w:p w14:paraId="59948E64">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1"/>
        <w:rPr>
          <w:rFonts w:hint="default" w:ascii="Times New Roman" w:hAnsi="Times New Roman" w:eastAsia="方正黑体_GBK" w:cs="Times New Roman"/>
          <w:b w:val="0"/>
          <w:bCs w:val="0"/>
          <w:strike w:val="0"/>
          <w:dstrike w:val="0"/>
          <w:color w:val="auto"/>
          <w:sz w:val="32"/>
          <w:szCs w:val="32"/>
          <w:lang w:val="en-US" w:eastAsia="zh-CN"/>
        </w:rPr>
      </w:pPr>
      <w:r>
        <w:rPr>
          <w:rFonts w:hint="default" w:ascii="Times New Roman" w:hAnsi="Times New Roman" w:eastAsia="方正黑体_GBK" w:cs="Times New Roman"/>
          <w:b w:val="0"/>
          <w:bCs w:val="0"/>
          <w:strike w:val="0"/>
          <w:dstrike w:val="0"/>
          <w:color w:val="auto"/>
          <w:sz w:val="32"/>
          <w:szCs w:val="32"/>
          <w:lang w:val="en-US" w:eastAsia="zh-CN"/>
        </w:rPr>
        <w:t>十二、行政许可后年检</w:t>
      </w:r>
    </w:p>
    <w:p w14:paraId="071BA98D">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3" w:firstLineChars="200"/>
        <w:textAlignment w:val="auto"/>
        <w:outlineLvl w:val="9"/>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仿宋GB2312" w:cs="Times New Roman"/>
          <w:b/>
          <w:bCs/>
          <w:strike w:val="0"/>
          <w:dstrike w:val="0"/>
          <w:color w:val="auto"/>
          <w:sz w:val="32"/>
          <w:szCs w:val="32"/>
          <w:lang w:val="en-US" w:eastAsia="zh-CN"/>
        </w:rPr>
        <w:t>1.有无年检要求：</w:t>
      </w:r>
      <w:r>
        <w:rPr>
          <w:rFonts w:hint="default" w:ascii="Times New Roman" w:hAnsi="Times New Roman" w:eastAsia="方正仿宋_GBK" w:cs="Times New Roman"/>
          <w:color w:val="000000"/>
          <w:kern w:val="0"/>
          <w:sz w:val="32"/>
          <w:szCs w:val="32"/>
          <w:lang w:val="en-US" w:eastAsia="zh-CN" w:bidi="ar"/>
        </w:rPr>
        <w:t>无</w:t>
      </w:r>
    </w:p>
    <w:p w14:paraId="7B1DD54B">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3" w:firstLineChars="200"/>
        <w:textAlignment w:val="auto"/>
        <w:outlineLvl w:val="2"/>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仿宋GB2312" w:cs="Times New Roman"/>
          <w:b/>
          <w:bCs/>
          <w:strike w:val="0"/>
          <w:dstrike w:val="0"/>
          <w:color w:val="auto"/>
          <w:sz w:val="32"/>
          <w:szCs w:val="32"/>
          <w:lang w:val="en-US" w:eastAsia="zh-CN"/>
        </w:rPr>
        <w:t>2.设定年检要求的依据：</w:t>
      </w:r>
      <w:r>
        <w:rPr>
          <w:rFonts w:hint="default" w:ascii="Times New Roman" w:hAnsi="Times New Roman" w:eastAsia="方正仿宋_GBK" w:cs="Times New Roman"/>
          <w:color w:val="000000"/>
          <w:kern w:val="0"/>
          <w:sz w:val="32"/>
          <w:szCs w:val="32"/>
          <w:lang w:val="en-US" w:eastAsia="zh-CN" w:bidi="ar"/>
        </w:rPr>
        <w:t>无</w:t>
      </w:r>
    </w:p>
    <w:p w14:paraId="247C2CA2">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3" w:firstLineChars="200"/>
        <w:textAlignment w:val="auto"/>
        <w:outlineLvl w:val="2"/>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仿宋GB2312" w:cs="Times New Roman"/>
          <w:b/>
          <w:bCs/>
          <w:strike w:val="0"/>
          <w:dstrike w:val="0"/>
          <w:color w:val="auto"/>
          <w:sz w:val="32"/>
          <w:szCs w:val="32"/>
          <w:lang w:val="en-US" w:eastAsia="zh-CN"/>
        </w:rPr>
        <w:t>3.年检周期：</w:t>
      </w:r>
      <w:r>
        <w:rPr>
          <w:rFonts w:hint="default" w:ascii="Times New Roman" w:hAnsi="Times New Roman" w:eastAsia="方正仿宋_GBK" w:cs="Times New Roman"/>
          <w:color w:val="000000"/>
          <w:kern w:val="0"/>
          <w:sz w:val="32"/>
          <w:szCs w:val="32"/>
          <w:lang w:val="en-US" w:eastAsia="zh-CN" w:bidi="ar"/>
        </w:rPr>
        <w:t>无</w:t>
      </w:r>
    </w:p>
    <w:p w14:paraId="5C0654EA">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3" w:firstLineChars="200"/>
        <w:textAlignment w:val="auto"/>
        <w:outlineLvl w:val="9"/>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仿宋GB2312" w:cs="Times New Roman"/>
          <w:b/>
          <w:bCs/>
          <w:strike w:val="0"/>
          <w:dstrike w:val="0"/>
          <w:color w:val="auto"/>
          <w:sz w:val="32"/>
          <w:szCs w:val="32"/>
          <w:lang w:val="en-US" w:eastAsia="zh-CN"/>
        </w:rPr>
        <w:t>4.年检是否要求报送材料：</w:t>
      </w:r>
      <w:r>
        <w:rPr>
          <w:rFonts w:hint="default" w:ascii="Times New Roman" w:hAnsi="Times New Roman" w:eastAsia="方正仿宋_GBK" w:cs="Times New Roman"/>
          <w:color w:val="000000"/>
          <w:kern w:val="0"/>
          <w:sz w:val="32"/>
          <w:szCs w:val="32"/>
          <w:lang w:val="en-US" w:eastAsia="zh-CN" w:bidi="ar"/>
        </w:rPr>
        <w:t>无</w:t>
      </w:r>
    </w:p>
    <w:p w14:paraId="4E77DB91">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3" w:firstLineChars="200"/>
        <w:textAlignment w:val="auto"/>
        <w:outlineLvl w:val="9"/>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仿宋GB2312" w:cs="Times New Roman"/>
          <w:b/>
          <w:bCs/>
          <w:strike w:val="0"/>
          <w:dstrike w:val="0"/>
          <w:color w:val="auto"/>
          <w:sz w:val="32"/>
          <w:szCs w:val="32"/>
          <w:lang w:val="en-US" w:eastAsia="zh-CN"/>
        </w:rPr>
        <w:t>5.年检报送材料名称：</w:t>
      </w:r>
      <w:r>
        <w:rPr>
          <w:rFonts w:hint="default" w:ascii="Times New Roman" w:hAnsi="Times New Roman" w:eastAsia="方正仿宋_GBK" w:cs="Times New Roman"/>
          <w:color w:val="000000"/>
          <w:kern w:val="0"/>
          <w:sz w:val="32"/>
          <w:szCs w:val="32"/>
          <w:lang w:val="en-US" w:eastAsia="zh-CN" w:bidi="ar"/>
        </w:rPr>
        <w:t>无</w:t>
      </w:r>
    </w:p>
    <w:p w14:paraId="02AB0FB9">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3" w:firstLineChars="200"/>
        <w:textAlignment w:val="auto"/>
        <w:outlineLvl w:val="9"/>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仿宋GB2312" w:cs="Times New Roman"/>
          <w:b/>
          <w:bCs/>
          <w:strike w:val="0"/>
          <w:dstrike w:val="0"/>
          <w:color w:val="auto"/>
          <w:sz w:val="32"/>
          <w:szCs w:val="32"/>
          <w:lang w:val="en-US" w:eastAsia="zh-CN"/>
        </w:rPr>
        <w:t>6.年检是否收费：</w:t>
      </w:r>
      <w:r>
        <w:rPr>
          <w:rFonts w:hint="default" w:ascii="Times New Roman" w:hAnsi="Times New Roman" w:eastAsia="方正仿宋_GBK" w:cs="Times New Roman"/>
          <w:color w:val="000000"/>
          <w:kern w:val="0"/>
          <w:sz w:val="32"/>
          <w:szCs w:val="32"/>
          <w:lang w:val="en-US" w:eastAsia="zh-CN" w:bidi="ar"/>
        </w:rPr>
        <w:t>无</w:t>
      </w:r>
    </w:p>
    <w:p w14:paraId="4E057D87">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3" w:firstLineChars="200"/>
        <w:textAlignment w:val="auto"/>
        <w:outlineLvl w:val="9"/>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仿宋GB2312" w:cs="Times New Roman"/>
          <w:b/>
          <w:bCs/>
          <w:strike w:val="0"/>
          <w:dstrike w:val="0"/>
          <w:color w:val="auto"/>
          <w:sz w:val="32"/>
          <w:szCs w:val="32"/>
          <w:lang w:val="en-US" w:eastAsia="zh-CN"/>
        </w:rPr>
        <w:t>7.年检收费项目的名称、年检收费项目的标准、设定年检收费项目的依据、规定年检项目收费标准的依据</w:t>
      </w:r>
      <w:r>
        <w:rPr>
          <w:rFonts w:hint="default" w:ascii="Times New Roman" w:hAnsi="Times New Roman" w:eastAsia="方正仿宋_GBK" w:cs="Times New Roman"/>
          <w:b w:val="0"/>
          <w:bCs w:val="0"/>
          <w:strike w:val="0"/>
          <w:dstrike w:val="0"/>
          <w:color w:val="auto"/>
          <w:sz w:val="32"/>
          <w:szCs w:val="32"/>
          <w:lang w:val="en-US" w:eastAsia="zh-CN"/>
        </w:rPr>
        <w:t>：</w:t>
      </w:r>
      <w:r>
        <w:rPr>
          <w:rFonts w:hint="default" w:ascii="Times New Roman" w:hAnsi="Times New Roman" w:eastAsia="方正仿宋_GBK" w:cs="Times New Roman"/>
          <w:color w:val="000000"/>
          <w:kern w:val="0"/>
          <w:sz w:val="32"/>
          <w:szCs w:val="32"/>
          <w:lang w:val="en-US" w:eastAsia="zh-CN" w:bidi="ar"/>
        </w:rPr>
        <w:t>无</w:t>
      </w:r>
    </w:p>
    <w:p w14:paraId="391B6BCE">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3" w:firstLineChars="200"/>
        <w:textAlignment w:val="auto"/>
        <w:outlineLvl w:val="2"/>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仿宋GB2312" w:cs="Times New Roman"/>
          <w:b/>
          <w:bCs/>
          <w:strike w:val="0"/>
          <w:dstrike w:val="0"/>
          <w:color w:val="auto"/>
          <w:sz w:val="32"/>
          <w:szCs w:val="32"/>
          <w:lang w:val="en-US" w:eastAsia="zh-CN"/>
        </w:rPr>
        <w:t>8.通过年检的证明或者标志：</w:t>
      </w:r>
      <w:r>
        <w:rPr>
          <w:rFonts w:hint="default" w:ascii="Times New Roman" w:hAnsi="Times New Roman" w:eastAsia="方正仿宋_GBK" w:cs="Times New Roman"/>
          <w:color w:val="000000"/>
          <w:kern w:val="0"/>
          <w:sz w:val="32"/>
          <w:szCs w:val="32"/>
          <w:lang w:val="en-US" w:eastAsia="zh-CN" w:bidi="ar"/>
        </w:rPr>
        <w:t>无</w:t>
      </w:r>
    </w:p>
    <w:p w14:paraId="5542D9A2">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1"/>
        <w:rPr>
          <w:rFonts w:hint="default" w:ascii="Times New Roman" w:hAnsi="Times New Roman" w:eastAsia="方正黑体_GBK" w:cs="Times New Roman"/>
          <w:b w:val="0"/>
          <w:bCs w:val="0"/>
          <w:strike w:val="0"/>
          <w:dstrike w:val="0"/>
          <w:color w:val="auto"/>
          <w:sz w:val="32"/>
          <w:szCs w:val="32"/>
          <w:lang w:val="en-US" w:eastAsia="zh-CN"/>
        </w:rPr>
      </w:pPr>
      <w:r>
        <w:rPr>
          <w:rFonts w:hint="default" w:ascii="Times New Roman" w:hAnsi="Times New Roman" w:eastAsia="方正黑体_GBK" w:cs="Times New Roman"/>
          <w:b w:val="0"/>
          <w:bCs w:val="0"/>
          <w:strike w:val="0"/>
          <w:dstrike w:val="0"/>
          <w:color w:val="auto"/>
          <w:sz w:val="32"/>
          <w:szCs w:val="32"/>
          <w:lang w:val="en-US" w:eastAsia="zh-CN"/>
        </w:rPr>
        <w:t>十三、行政许可后年报</w:t>
      </w:r>
    </w:p>
    <w:p w14:paraId="1E3DD61F">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3" w:firstLineChars="200"/>
        <w:textAlignment w:val="auto"/>
        <w:outlineLvl w:val="9"/>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仿宋GB2312" w:cs="Times New Roman"/>
          <w:b/>
          <w:bCs/>
          <w:strike w:val="0"/>
          <w:dstrike w:val="0"/>
          <w:color w:val="auto"/>
          <w:sz w:val="32"/>
          <w:szCs w:val="32"/>
          <w:lang w:val="en-US" w:eastAsia="zh-CN"/>
        </w:rPr>
        <w:t>1.有无年报要求：</w:t>
      </w:r>
      <w:r>
        <w:rPr>
          <w:rFonts w:hint="default" w:ascii="Times New Roman" w:hAnsi="Times New Roman" w:eastAsia="方正仿宋_GBK" w:cs="Times New Roman"/>
          <w:color w:val="000000"/>
          <w:kern w:val="0"/>
          <w:sz w:val="32"/>
          <w:szCs w:val="32"/>
          <w:lang w:val="en-US" w:eastAsia="zh-CN" w:bidi="ar"/>
        </w:rPr>
        <w:t>无</w:t>
      </w:r>
    </w:p>
    <w:p w14:paraId="11373151">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3" w:firstLineChars="200"/>
        <w:textAlignment w:val="auto"/>
        <w:outlineLvl w:val="9"/>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仿宋GB2312" w:cs="Times New Roman"/>
          <w:b/>
          <w:bCs/>
          <w:strike w:val="0"/>
          <w:dstrike w:val="0"/>
          <w:color w:val="auto"/>
          <w:sz w:val="32"/>
          <w:szCs w:val="32"/>
          <w:lang w:val="en-US" w:eastAsia="zh-CN"/>
        </w:rPr>
        <w:t>2.年报报送材料名称：</w:t>
      </w:r>
      <w:r>
        <w:rPr>
          <w:rFonts w:hint="default" w:ascii="Times New Roman" w:hAnsi="Times New Roman" w:eastAsia="方正仿宋_GBK" w:cs="Times New Roman"/>
          <w:color w:val="000000"/>
          <w:kern w:val="0"/>
          <w:sz w:val="32"/>
          <w:szCs w:val="32"/>
          <w:lang w:val="en-US" w:eastAsia="zh-CN" w:bidi="ar"/>
        </w:rPr>
        <w:t>无</w:t>
      </w:r>
    </w:p>
    <w:p w14:paraId="2974D1A2">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3" w:firstLineChars="200"/>
        <w:textAlignment w:val="auto"/>
        <w:outlineLvl w:val="2"/>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仿宋GB2312" w:cs="Times New Roman"/>
          <w:b/>
          <w:bCs/>
          <w:strike w:val="0"/>
          <w:dstrike w:val="0"/>
          <w:color w:val="auto"/>
          <w:sz w:val="32"/>
          <w:szCs w:val="32"/>
          <w:lang w:val="en-US" w:eastAsia="zh-CN"/>
        </w:rPr>
        <w:t>3.设定年报要求的依据：</w:t>
      </w:r>
      <w:r>
        <w:rPr>
          <w:rFonts w:hint="default" w:ascii="Times New Roman" w:hAnsi="Times New Roman" w:eastAsia="方正仿宋_GBK" w:cs="Times New Roman"/>
          <w:color w:val="000000"/>
          <w:kern w:val="0"/>
          <w:sz w:val="32"/>
          <w:szCs w:val="32"/>
          <w:lang w:val="en-US" w:eastAsia="zh-CN" w:bidi="ar"/>
        </w:rPr>
        <w:t>无</w:t>
      </w:r>
    </w:p>
    <w:p w14:paraId="3F74CEEA">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3" w:firstLineChars="200"/>
        <w:textAlignment w:val="auto"/>
        <w:outlineLvl w:val="9"/>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仿宋GB2312" w:cs="Times New Roman"/>
          <w:b/>
          <w:bCs/>
          <w:strike w:val="0"/>
          <w:dstrike w:val="0"/>
          <w:color w:val="auto"/>
          <w:sz w:val="32"/>
          <w:szCs w:val="32"/>
          <w:lang w:val="en-US" w:eastAsia="zh-CN"/>
        </w:rPr>
        <w:t>4.年报周期：</w:t>
      </w:r>
      <w:r>
        <w:rPr>
          <w:rFonts w:hint="default" w:ascii="Times New Roman" w:hAnsi="Times New Roman" w:eastAsia="方正仿宋_GBK" w:cs="Times New Roman"/>
          <w:color w:val="000000"/>
          <w:kern w:val="0"/>
          <w:sz w:val="32"/>
          <w:szCs w:val="32"/>
          <w:lang w:val="en-US" w:eastAsia="zh-CN" w:bidi="ar"/>
        </w:rPr>
        <w:t>无</w:t>
      </w:r>
    </w:p>
    <w:p w14:paraId="00872EAB">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1"/>
        <w:rPr>
          <w:rFonts w:hint="default" w:ascii="Times New Roman" w:hAnsi="Times New Roman" w:eastAsia="方正黑体_GBK" w:cs="Times New Roman"/>
          <w:b w:val="0"/>
          <w:bCs w:val="0"/>
          <w:strike w:val="0"/>
          <w:dstrike w:val="0"/>
          <w:color w:val="auto"/>
          <w:sz w:val="32"/>
          <w:szCs w:val="32"/>
          <w:lang w:val="en-US" w:eastAsia="zh-CN"/>
        </w:rPr>
      </w:pPr>
      <w:r>
        <w:rPr>
          <w:rFonts w:hint="default" w:ascii="Times New Roman" w:hAnsi="Times New Roman" w:eastAsia="方正黑体_GBK" w:cs="Times New Roman"/>
          <w:b w:val="0"/>
          <w:bCs w:val="0"/>
          <w:strike w:val="0"/>
          <w:dstrike w:val="0"/>
          <w:color w:val="auto"/>
          <w:sz w:val="32"/>
          <w:szCs w:val="32"/>
          <w:lang w:val="en-US" w:eastAsia="zh-CN"/>
        </w:rPr>
        <w:t>十四、监管主体</w:t>
      </w:r>
    </w:p>
    <w:p w14:paraId="6C41C292">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通海县人民政府湖泊管理机构</w:t>
      </w:r>
    </w:p>
    <w:p w14:paraId="0E0927C4">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1"/>
        <w:rPr>
          <w:rFonts w:hint="default" w:ascii="Times New Roman" w:hAnsi="Times New Roman" w:eastAsia="方正黑体_GBK" w:cs="Times New Roman"/>
          <w:b w:val="0"/>
          <w:bCs w:val="0"/>
          <w:strike w:val="0"/>
          <w:dstrike w:val="0"/>
          <w:color w:val="auto"/>
          <w:sz w:val="32"/>
          <w:szCs w:val="32"/>
          <w:lang w:val="en-US" w:eastAsia="zh-CN"/>
        </w:rPr>
      </w:pPr>
      <w:r>
        <w:rPr>
          <w:rFonts w:hint="default" w:ascii="Times New Roman" w:hAnsi="Times New Roman" w:eastAsia="方正黑体_GBK" w:cs="Times New Roman"/>
          <w:b w:val="0"/>
          <w:bCs w:val="0"/>
          <w:strike w:val="0"/>
          <w:dstrike w:val="0"/>
          <w:color w:val="auto"/>
          <w:sz w:val="32"/>
          <w:szCs w:val="32"/>
          <w:lang w:val="en-US" w:eastAsia="zh-CN"/>
        </w:rPr>
        <w:t>十五、备注</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GB2312">
    <w:altName w:val="方正仿宋_GBK"/>
    <w:panose1 w:val="00000000000000000000"/>
    <w:charset w:val="00"/>
    <w:family w:val="roman"/>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zZmM4MGFlOTJlMzEyZjcwYjc0OTZhYzI0ZWEzYWQifQ=="/>
  </w:docVars>
  <w:rsids>
    <w:rsidRoot w:val="00000000"/>
    <w:rsid w:val="00047197"/>
    <w:rsid w:val="1D6A271A"/>
    <w:rsid w:val="1EB05BAB"/>
    <w:rsid w:val="24637B8A"/>
    <w:rsid w:val="3508284F"/>
    <w:rsid w:val="3E344C06"/>
    <w:rsid w:val="4FCC3584"/>
    <w:rsid w:val="50E163C7"/>
    <w:rsid w:val="52F93F72"/>
    <w:rsid w:val="55986DE4"/>
    <w:rsid w:val="75B72E5F"/>
    <w:rsid w:val="7A9302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4215</Words>
  <Characters>4356</Characters>
  <Lines>0</Lines>
  <Paragraphs>0</Paragraphs>
  <TotalTime>7</TotalTime>
  <ScaleCrop>false</ScaleCrop>
  <LinksUpToDate>false</LinksUpToDate>
  <CharactersWithSpaces>4386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2023-10-23T02:50:00Z</dcterms:created>
  <dc:creator>稳稳</dc:creator>
  <cp:lastModifiedBy>汪增飞</cp:lastModifiedBy>
  <dcterms:modified xsi:type="dcterms:W3CDTF">2026-03-11T09:38:18Z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1A7582FF88A04AFE968E77E88C35B41A_12</vt:lpwstr>
  </property>
  <property fmtid="{D5CDD505-2E9C-101B-9397-08002B2CF9AE}" pid="4" name="KSOTemplateDocerSaveRecord">
    <vt:lpwstr>eyJoZGlkIjoiNWQ2YzAzMzJjYTRlODk4ODM1ZjRkZmM0MzA1ODYxNTAiLCJ1c2VySWQiOiIxNTEyNjUwODY2In0=</vt:lpwstr>
  </property>
</Properties>
</file>