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E440">
      <w:pPr>
        <w:pStyle w:val="4"/>
        <w:spacing w:before="3"/>
        <w:ind w:left="0"/>
        <w:rPr>
          <w:rFonts w:ascii="Times New Roman"/>
          <w:sz w:val="9"/>
        </w:rPr>
      </w:pPr>
    </w:p>
    <w:p w14:paraId="3F1D46AF">
      <w:pPr>
        <w:pStyle w:val="3"/>
        <w:spacing w:before="173" w:line="180" w:lineRule="auto"/>
        <w:rPr>
          <w:rFonts w:hint="eastAsia" w:ascii="方正小标宋简体" w:hAnsi="华文中宋" w:eastAsia="方正小标宋简体" w:cs="Times New Roman"/>
          <w:color w:val="auto"/>
          <w:spacing w:val="14"/>
          <w:kern w:val="2"/>
          <w:sz w:val="44"/>
          <w:szCs w:val="44"/>
          <w:highlight w:val="none"/>
          <w:lang w:val="en-US" w:eastAsia="zh-CN" w:bidi="ar-SA"/>
        </w:rPr>
      </w:pPr>
      <w:r>
        <w:rPr>
          <w:rFonts w:hint="eastAsia" w:ascii="方正小标宋简体" w:hAnsi="华文中宋" w:eastAsia="方正小标宋简体" w:cs="Times New Roman"/>
          <w:color w:val="auto"/>
          <w:spacing w:val="14"/>
          <w:kern w:val="2"/>
          <w:sz w:val="44"/>
          <w:szCs w:val="44"/>
          <w:highlight w:val="none"/>
          <w:lang w:val="en-US" w:eastAsia="zh-CN" w:bidi="ar-SA"/>
        </w:rPr>
        <w:t>通海县职业高级中学（玉溪烹饪学校）2026年预算重点领域财政项目</w:t>
      </w:r>
    </w:p>
    <w:p w14:paraId="106D4843">
      <w:pPr>
        <w:spacing w:before="0" w:line="489" w:lineRule="exact"/>
        <w:ind w:left="114" w:right="304" w:firstLine="0"/>
        <w:jc w:val="center"/>
        <w:rPr>
          <w:rFonts w:hint="eastAsia" w:ascii="方正小标宋简体" w:hAnsi="华文中宋" w:eastAsia="方正小标宋简体" w:cs="Times New Roman"/>
          <w:color w:val="auto"/>
          <w:spacing w:val="14"/>
          <w:kern w:val="2"/>
          <w:sz w:val="44"/>
          <w:szCs w:val="44"/>
          <w:highlight w:val="none"/>
          <w:lang w:val="en-US" w:eastAsia="zh-CN" w:bidi="ar-SA"/>
        </w:rPr>
      </w:pPr>
      <w:r>
        <w:rPr>
          <w:rFonts w:hint="eastAsia" w:ascii="方正小标宋简体" w:hAnsi="华文中宋" w:eastAsia="方正小标宋简体" w:cs="Times New Roman"/>
          <w:color w:val="auto"/>
          <w:spacing w:val="14"/>
          <w:kern w:val="2"/>
          <w:sz w:val="44"/>
          <w:szCs w:val="44"/>
          <w:highlight w:val="none"/>
          <w:lang w:val="en-US" w:eastAsia="zh-CN" w:bidi="ar-SA"/>
        </w:rPr>
        <w:t>文本公开</w:t>
      </w:r>
    </w:p>
    <w:p w14:paraId="31C82996">
      <w:pPr>
        <w:pStyle w:val="2"/>
        <w:rPr>
          <w:rFonts w:hint="eastAsia"/>
          <w:lang w:val="en-US" w:eastAsia="zh-CN"/>
        </w:rPr>
      </w:pPr>
    </w:p>
    <w:p w14:paraId="2479039C">
      <w:pPr>
        <w:autoSpaceDE/>
        <w:autoSpaceDN/>
        <w:snapToGrid w:val="0"/>
        <w:spacing w:before="0" w:after="0" w:line="570" w:lineRule="exact"/>
        <w:ind w:left="0" w:right="0"/>
        <w:jc w:val="center"/>
        <w:rPr>
          <w:rFonts w:hint="eastAsia" w:ascii="方正小标宋简体" w:hAnsi="方正小标宋简体" w:eastAsia="方正小标宋简体" w:cs="方正小标宋简体"/>
          <w:b w:val="0"/>
          <w:bCs w:val="0"/>
          <w:color w:val="auto"/>
          <w:spacing w:val="14"/>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spacing w:val="14"/>
          <w:kern w:val="2"/>
          <w:sz w:val="44"/>
          <w:szCs w:val="44"/>
          <w:highlight w:val="none"/>
          <w:lang w:val="en-US" w:eastAsia="zh-CN" w:bidi="ar-SA"/>
        </w:rPr>
        <w:t>项目一</w:t>
      </w:r>
      <w:bookmarkStart w:id="0" w:name="_GoBack"/>
      <w:bookmarkEnd w:id="0"/>
    </w:p>
    <w:p w14:paraId="731FCA5F">
      <w:pPr>
        <w:pStyle w:val="4"/>
        <w:spacing w:before="0" w:line="401" w:lineRule="exact"/>
        <w:ind w:left="756"/>
        <w:rPr>
          <w:rFonts w:hint="eastAsia" w:ascii="黑体" w:eastAsia="黑体"/>
        </w:rPr>
      </w:pPr>
      <w:r>
        <w:rPr>
          <w:rFonts w:hint="eastAsia" w:ascii="黑体" w:eastAsia="黑体"/>
        </w:rPr>
        <w:t>一、项目名称</w:t>
      </w:r>
    </w:p>
    <w:p w14:paraId="250131F8">
      <w:pPr>
        <w:pStyle w:val="4"/>
        <w:tabs>
          <w:tab w:val="left" w:pos="1715"/>
          <w:tab w:val="left" w:pos="4595"/>
        </w:tabs>
        <w:spacing w:line="364" w:lineRule="auto"/>
        <w:ind w:right="275" w:firstLine="638"/>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通海县职业高级中学（玉溪烹饪学校）中等职业教育免学费专项资金</w:t>
      </w:r>
    </w:p>
    <w:p w14:paraId="45754879">
      <w:pPr>
        <w:pStyle w:val="4"/>
        <w:numPr>
          <w:ilvl w:val="0"/>
          <w:numId w:val="1"/>
        </w:numPr>
        <w:ind w:left="756"/>
        <w:rPr>
          <w:rFonts w:hint="eastAsia" w:ascii="黑体" w:eastAsia="黑体"/>
        </w:rPr>
      </w:pPr>
      <w:r>
        <w:rPr>
          <w:rFonts w:hint="eastAsia" w:ascii="黑体" w:eastAsia="黑体"/>
        </w:rPr>
        <w:t>立项依据</w:t>
      </w:r>
    </w:p>
    <w:p w14:paraId="7E23F3FF">
      <w:pPr>
        <w:pStyle w:val="4"/>
        <w:tabs>
          <w:tab w:val="left" w:pos="1715"/>
          <w:tab w:val="left" w:pos="4595"/>
        </w:tabs>
        <w:spacing w:line="364" w:lineRule="auto"/>
        <w:ind w:right="275" w:firstLine="638"/>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根据云南省财政厅 云南省教育厅 云南省人力资源和社会保障厅关于转发《中等职业教育免学费补助资金管理办法》的通知（云财教〔2017〕81号）。免学费的实施范围及对象：对中等职业学校全日制正式学籍一 、二 、三年级在校生中所有农村 （含县镇〉 学 生 、城市涉农专业学生和家庭经济困难学生免除学费 （ 艺术类相关表 演专业学生除外） 。建档立卡贫困户学生全部纳入免学费范围。中等 职业学校经批准的 ，学费标准高于补助的部分，学校可以按规定继续 向学生收取。实施标准：免学费标准按2000 .00 元／生／年的标准执行 。我单位根据文件及历年学校受助情况，预计2026年享受免学费学生人数为827人，补助标准2000.00元/人/学年，补助比例为：中央80.00%，省14.00%，市3.60%，县2.40%。县级补助资金为827人*2000.00元/人*2.40%，小计：39,696.00元。</w:t>
      </w:r>
    </w:p>
    <w:p w14:paraId="21186D2E">
      <w:pPr>
        <w:pStyle w:val="4"/>
        <w:tabs>
          <w:tab w:val="left" w:pos="1715"/>
          <w:tab w:val="left" w:pos="4595"/>
        </w:tabs>
        <w:spacing w:line="364" w:lineRule="auto"/>
        <w:ind w:right="275" w:firstLine="640" w:firstLineChars="200"/>
        <w:jc w:val="left"/>
        <w:rPr>
          <w:rFonts w:hint="eastAsia" w:ascii="黑体" w:eastAsia="黑体"/>
        </w:rPr>
      </w:pPr>
      <w:r>
        <w:rPr>
          <w:rFonts w:hint="eastAsia" w:ascii="黑体" w:eastAsia="黑体"/>
          <w:lang w:eastAsia="zh-CN"/>
        </w:rPr>
        <w:t>三、</w:t>
      </w:r>
      <w:r>
        <w:rPr>
          <w:rFonts w:hint="eastAsia" w:ascii="黑体" w:eastAsia="黑体"/>
        </w:rPr>
        <w:t>项目实施单位</w:t>
      </w:r>
    </w:p>
    <w:p w14:paraId="0EAFBD3F">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8" w:line="365" w:lineRule="auto"/>
        <w:ind w:left="638" w:leftChars="290" w:right="2835" w:rightChars="0" w:firstLine="0" w:firstLineChars="0"/>
        <w:jc w:val="left"/>
        <w:textAlignment w:val="auto"/>
        <w:rPr>
          <w:rFonts w:hint="eastAsia" w:ascii="黑体" w:eastAsia="黑体"/>
        </w:rPr>
      </w:pPr>
      <w:r>
        <w:rPr>
          <w:rFonts w:hint="eastAsia" w:ascii="Times New Roman" w:hAnsi="Times New Roman" w:eastAsia="仿宋_GB2312" w:cs="Times New Roman"/>
          <w:kern w:val="0"/>
          <w:sz w:val="32"/>
          <w:szCs w:val="32"/>
          <w:lang w:val="en-US" w:eastAsia="zh-CN" w:bidi="ar-SA"/>
        </w:rPr>
        <w:t>通海县职业高级中学（玉溪烹饪学校）</w:t>
      </w:r>
      <w:r>
        <w:rPr>
          <w:rFonts w:hint="eastAsia"/>
          <w:lang w:val="en-US" w:eastAsia="zh-CN"/>
        </w:rPr>
        <w:t xml:space="preserve">   </w:t>
      </w:r>
      <w:r>
        <w:rPr>
          <w:rFonts w:hint="eastAsia" w:ascii="黑体" w:eastAsia="黑体"/>
        </w:rPr>
        <w:t>四、项目基本概况</w:t>
      </w:r>
    </w:p>
    <w:p w14:paraId="6F587323">
      <w:pPr>
        <w:pStyle w:val="4"/>
        <w:tabs>
          <w:tab w:val="left" w:pos="1715"/>
          <w:tab w:val="left" w:pos="4595"/>
        </w:tabs>
        <w:spacing w:line="364" w:lineRule="auto"/>
        <w:ind w:left="0" w:leftChars="0" w:right="275"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我单位根据文件及历年学校受助情况，预计2026年享受免学费学生人数为827人，补助标准2000.00元/人/学年，补助比例为：中央80.00%，省14.00%，市3.60%，县2.40%。县级补助资金为827人*2000.00元/人*2.40%，小计：39,696.00元。</w:t>
      </w:r>
    </w:p>
    <w:p w14:paraId="0D02CA76">
      <w:pPr>
        <w:pStyle w:val="4"/>
        <w:spacing w:before="2"/>
        <w:ind w:left="0" w:leftChars="0" w:firstLine="640" w:firstLineChars="200"/>
        <w:rPr>
          <w:rFonts w:hint="eastAsia" w:ascii="黑体" w:eastAsia="黑体"/>
        </w:rPr>
      </w:pPr>
      <w:r>
        <w:rPr>
          <w:rFonts w:hint="eastAsia" w:ascii="黑体" w:eastAsia="黑体"/>
        </w:rPr>
        <w:t>五、项目实施内容</w:t>
      </w:r>
    </w:p>
    <w:p w14:paraId="43D56FF3">
      <w:pPr>
        <w:pStyle w:val="4"/>
        <w:tabs>
          <w:tab w:val="left" w:pos="1715"/>
          <w:tab w:val="left" w:pos="4595"/>
        </w:tabs>
        <w:spacing w:line="364" w:lineRule="auto"/>
        <w:ind w:left="0" w:leftChars="0" w:right="275"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根据《财政部关于全面加强脱贫攻坚期内各级各类扶资金管理的意见》 （财办〔2018〕24 号） 精神，学生资助补助资金已纳入扶贫资金台账 目录中。资金下达后依据学生资助相关管理办法规范使用 ，防止资金挤占 、挪用 、虚列 、套取补助资金的行为 ，确保资助政策不打折扣落 实到位 。同时，落实好扶贺资金监管主休责任，全面实施扶项目资金绩效管理 。学校将严格按照文件要求 ，成立以校长为组长的贫困学生资助领导小组 ，做好学校宣传工作 ：通过开设专题讲座 、召开班会 、 张贴海报 、印发宣传资料及播放宣传片 、利用班级 QQ 群 、班级微信群等方式使学生全面了解国家助学金资助政策 ，确保政策宣传到班到人，家喻户晓。严格把关资助对象审批关，受资助学生名单 、资助项目和金额在学校校务公开栏公布，并建立专门档案，确保工作“公开、公正、公平”。我校国家助学金的资助工作将严格按照国家和省有关规定，采取动态管理。确保让所有符合条件的学生都能及时享受到国家的资助。对于资助对象变动或学生变化的各班要写情况说明。学校将及时将情况逐级上报，并做好助学金的发放工作。</w:t>
      </w:r>
    </w:p>
    <w:p w14:paraId="6C6BEB40">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8" w:line="365" w:lineRule="auto"/>
        <w:ind w:left="638" w:leftChars="290" w:right="2835" w:rightChars="0" w:firstLine="0" w:firstLineChars="0"/>
        <w:jc w:val="left"/>
        <w:textAlignment w:val="auto"/>
        <w:rPr>
          <w:rFonts w:hint="eastAsia" w:ascii="黑体" w:eastAsia="黑体"/>
          <w:lang w:val="en-US" w:eastAsia="zh-CN"/>
        </w:rPr>
      </w:pPr>
      <w:r>
        <w:rPr>
          <w:rFonts w:hint="eastAsia" w:ascii="黑体" w:eastAsia="黑体"/>
          <w:lang w:val="en-US" w:eastAsia="zh-CN"/>
        </w:rPr>
        <w:t>六、资金安排情况</w:t>
      </w:r>
    </w:p>
    <w:p w14:paraId="78BDFAC8">
      <w:pPr>
        <w:pStyle w:val="4"/>
        <w:tabs>
          <w:tab w:val="left" w:pos="1715"/>
          <w:tab w:val="left" w:pos="4595"/>
        </w:tabs>
        <w:spacing w:line="364" w:lineRule="auto"/>
        <w:ind w:left="0" w:leftChars="0" w:right="275"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经费目标免学费安排 ：我单位根据文件及历年学校受助情况 ，预 计 2026年享受免学费学生人数为 827 人，补助标准 2000.00 元／人／学年， 补助比例为 ：中央 80.00%，省14.00%，市3. 60%，县 2. 40%。县级补助资金为827人＊2000.00 元／人＊2. 40%，小计：39,696.00元；根据承担比例本次预计 县级部分应承担资金39,696.00 元。</w:t>
      </w:r>
    </w:p>
    <w:p w14:paraId="7BFDBE3A">
      <w:pPr>
        <w:pStyle w:val="4"/>
        <w:tabs>
          <w:tab w:val="left" w:pos="1715"/>
          <w:tab w:val="left" w:pos="4595"/>
        </w:tabs>
        <w:spacing w:line="364" w:lineRule="auto"/>
        <w:ind w:left="0" w:leftChars="0" w:right="275" w:firstLine="640" w:firstLineChars="200"/>
        <w:jc w:val="left"/>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七、项目实施计划</w:t>
      </w:r>
    </w:p>
    <w:p w14:paraId="4B161485">
      <w:pPr>
        <w:pStyle w:val="4"/>
        <w:tabs>
          <w:tab w:val="left" w:pos="1715"/>
          <w:tab w:val="left" w:pos="4595"/>
        </w:tabs>
        <w:spacing w:line="364" w:lineRule="auto"/>
        <w:ind w:left="0" w:leftChars="0" w:right="275"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项目资金合计39,696.00元，预测项目经费分别于春季、秋季两学期弥补学校运转经费 。通过下达免学费 ，弥补学校运转经费 ，比较有效的缓解 了 贫困家庭职中 生的经济压力 ，为贫困家庭学 生接 受教育提供 了必要的物质基础 。</w:t>
      </w:r>
    </w:p>
    <w:p w14:paraId="205E4BFE">
      <w:pPr>
        <w:pStyle w:val="4"/>
        <w:tabs>
          <w:tab w:val="left" w:pos="1715"/>
          <w:tab w:val="left" w:pos="4595"/>
        </w:tabs>
        <w:spacing w:line="364" w:lineRule="auto"/>
        <w:ind w:left="0" w:leftChars="0" w:right="275" w:firstLine="640" w:firstLineChars="200"/>
        <w:jc w:val="left"/>
        <w:rPr>
          <w:rFonts w:hint="eastAsia" w:ascii="黑体" w:eastAsia="黑体"/>
          <w:color w:val="000000" w:themeColor="text1"/>
          <w:lang w:val="en-US" w:eastAsia="zh-CN"/>
          <w14:textFill>
            <w14:solidFill>
              <w14:schemeClr w14:val="tx1"/>
            </w14:solidFill>
          </w14:textFill>
        </w:rPr>
      </w:pPr>
      <w:r>
        <w:rPr>
          <w:rFonts w:hint="eastAsia" w:ascii="黑体" w:eastAsia="黑体"/>
          <w:color w:val="000000" w:themeColor="text1"/>
          <w:lang w:val="en-US" w:eastAsia="zh-CN"/>
          <w14:textFill>
            <w14:solidFill>
              <w14:schemeClr w14:val="tx1"/>
            </w14:solidFill>
          </w14:textFill>
        </w:rPr>
        <w:t xml:space="preserve">八、项目实施成效 </w:t>
      </w:r>
    </w:p>
    <w:p w14:paraId="4841AE75">
      <w:pPr>
        <w:pStyle w:val="4"/>
        <w:numPr>
          <w:ilvl w:val="0"/>
          <w:numId w:val="0"/>
        </w:numPr>
        <w:tabs>
          <w:tab w:val="left" w:pos="1715"/>
          <w:tab w:val="left" w:pos="4595"/>
        </w:tabs>
        <w:spacing w:line="364" w:lineRule="auto"/>
        <w:ind w:right="275" w:rightChars="0"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落实政策 ，提高 资助水平 ；从制度上基本解决家庭经济困难 学生的就学问题 ；保障贫困家庭子女都能接受公平有质量的教育，不让一个学生因家庭困难而失学 ，保障学 生就学权利 。</w:t>
      </w:r>
    </w:p>
    <w:p w14:paraId="4185009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项目二</w:t>
      </w:r>
    </w:p>
    <w:p w14:paraId="099C8A76">
      <w:pPr>
        <w:keepNext w:val="0"/>
        <w:keepLines w:val="0"/>
        <w:pageBreakBefore w:val="0"/>
        <w:widowControl/>
        <w:numPr>
          <w:ilvl w:val="0"/>
          <w:numId w:val="2"/>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项目名称</w:t>
      </w:r>
    </w:p>
    <w:p w14:paraId="5005EF7F">
      <w:pPr>
        <w:pStyle w:val="4"/>
        <w:numPr>
          <w:ilvl w:val="0"/>
          <w:numId w:val="0"/>
        </w:numPr>
        <w:tabs>
          <w:tab w:val="left" w:pos="1715"/>
          <w:tab w:val="left" w:pos="4595"/>
        </w:tabs>
        <w:spacing w:line="364" w:lineRule="auto"/>
        <w:ind w:right="275" w:rightChars="0"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2026年遗属生活补助经费</w:t>
      </w:r>
    </w:p>
    <w:p w14:paraId="01A195BE">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立项依据</w:t>
      </w:r>
    </w:p>
    <w:p w14:paraId="27649E9B">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宋体" w:hAnsi="宋体" w:eastAsia="宋体" w:cs="宋体"/>
          <w:b w:val="0"/>
          <w:bCs w:val="0"/>
          <w:color w:val="auto"/>
          <w:kern w:val="0"/>
          <w:sz w:val="32"/>
          <w:szCs w:val="32"/>
          <w:highlight w:val="none"/>
          <w:lang w:val="en-US" w:eastAsia="zh-CN"/>
        </w:rPr>
      </w:pPr>
      <w:r>
        <w:rPr>
          <w:rFonts w:hint="eastAsia" w:ascii="Times New Roman" w:hAnsi="Times New Roman" w:eastAsia="仿宋_GB2312" w:cs="Times New Roman"/>
          <w:kern w:val="0"/>
          <w:sz w:val="32"/>
          <w:szCs w:val="32"/>
          <w:lang w:val="en-US" w:eastAsia="zh-CN" w:bidi="ar-SA"/>
        </w:rPr>
        <w:t>玉民发〔2022〕16号文件，玉溪市民政局玉溪市财政局关于提高2023年城乡居民最低生活保障特困人员救助供养孤儿基本生活保障标准的通知。</w:t>
      </w:r>
      <w:r>
        <w:rPr>
          <w:rFonts w:hint="eastAsia" w:ascii="宋体" w:hAnsi="宋体" w:eastAsia="宋体" w:cs="宋体"/>
          <w:b w:val="0"/>
          <w:bCs w:val="0"/>
          <w:color w:val="auto"/>
          <w:kern w:val="0"/>
          <w:sz w:val="32"/>
          <w:szCs w:val="32"/>
          <w:highlight w:val="none"/>
          <w:lang w:val="en-US" w:eastAsia="zh-CN"/>
        </w:rPr>
        <w:t xml:space="preserve">                                  </w:t>
      </w:r>
    </w:p>
    <w:p w14:paraId="2C453742">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项目实施单位</w:t>
      </w:r>
    </w:p>
    <w:p w14:paraId="063820D8">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bidi="ar-SA"/>
        </w:rPr>
        <w:t>通海县职业高级中学（玉溪烹饪学校）</w:t>
      </w:r>
    </w:p>
    <w:p w14:paraId="5E907056">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四、</w:t>
      </w:r>
      <w:r>
        <w:rPr>
          <w:rFonts w:hint="eastAsia" w:ascii="黑体" w:hAnsi="黑体" w:eastAsia="黑体" w:cs="黑体"/>
          <w:b w:val="0"/>
          <w:bCs w:val="0"/>
          <w:color w:val="auto"/>
          <w:kern w:val="0"/>
          <w:sz w:val="32"/>
          <w:szCs w:val="32"/>
          <w:highlight w:val="none"/>
          <w:lang w:eastAsia="zh-CN"/>
        </w:rPr>
        <w:t>项目基本概况</w:t>
      </w:r>
    </w:p>
    <w:p w14:paraId="12126B9C">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我单位现有领取遗属困难补助人员</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人，全年补助金额</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632</w:t>
      </w:r>
      <w:r>
        <w:rPr>
          <w:rFonts w:hint="eastAsia" w:ascii="仿宋_GB2312" w:hAnsi="仿宋_GB2312" w:eastAsia="仿宋_GB2312" w:cs="仿宋_GB2312"/>
          <w:kern w:val="0"/>
          <w:sz w:val="32"/>
          <w:szCs w:val="32"/>
        </w:rPr>
        <w:t>.00元。其中农村户口</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人，农村户口每人每月补助</w:t>
      </w:r>
      <w:r>
        <w:rPr>
          <w:rFonts w:hint="eastAsia" w:ascii="仿宋_GB2312" w:hAnsi="仿宋_GB2312" w:eastAsia="仿宋_GB2312" w:cs="仿宋_GB2312"/>
          <w:kern w:val="0"/>
          <w:sz w:val="32"/>
          <w:szCs w:val="32"/>
          <w:lang w:val="en-US" w:eastAsia="zh-CN"/>
        </w:rPr>
        <w:t>693</w:t>
      </w:r>
      <w:r>
        <w:rPr>
          <w:rFonts w:hint="eastAsia" w:ascii="仿宋_GB2312" w:hAnsi="仿宋_GB2312" w:eastAsia="仿宋_GB2312" w:cs="仿宋_GB2312"/>
          <w:kern w:val="0"/>
          <w:sz w:val="32"/>
          <w:szCs w:val="32"/>
        </w:rPr>
        <w:t>.00元，全年补助</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632</w:t>
      </w:r>
      <w:r>
        <w:rPr>
          <w:rFonts w:hint="eastAsia" w:ascii="仿宋_GB2312" w:hAnsi="仿宋_GB2312" w:eastAsia="仿宋_GB2312" w:cs="仿宋_GB2312"/>
          <w:kern w:val="0"/>
          <w:sz w:val="32"/>
          <w:szCs w:val="32"/>
        </w:rPr>
        <w:t>.00元。</w:t>
      </w:r>
    </w:p>
    <w:p w14:paraId="23A0995F">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五、</w:t>
      </w:r>
      <w:r>
        <w:rPr>
          <w:rFonts w:hint="eastAsia" w:ascii="黑体" w:hAnsi="黑体" w:eastAsia="黑体" w:cs="黑体"/>
          <w:b w:val="0"/>
          <w:bCs w:val="0"/>
          <w:color w:val="auto"/>
          <w:kern w:val="0"/>
          <w:sz w:val="32"/>
          <w:szCs w:val="32"/>
          <w:highlight w:val="none"/>
          <w:lang w:eastAsia="zh-CN"/>
        </w:rPr>
        <w:t>项目实施内容</w:t>
      </w:r>
    </w:p>
    <w:p w14:paraId="7E4984DE">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根据我单位202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年通海县事业单位人员死亡遗属生活补助审核表，现有领取遗属困难补助人员</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w:t>
      </w:r>
    </w:p>
    <w:p w14:paraId="03C0CB54">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lang w:eastAsia="zh-CN"/>
        </w:rPr>
        <w:t>资金安排情况</w:t>
      </w:r>
    </w:p>
    <w:p w14:paraId="1358D2BE">
      <w:pPr>
        <w:keepNext w:val="0"/>
        <w:keepLines w:val="0"/>
        <w:pageBreakBefore w:val="0"/>
        <w:widowControl/>
        <w:numPr>
          <w:ilvl w:val="0"/>
          <w:numId w:val="0"/>
        </w:numPr>
        <w:kinsoku/>
        <w:wordWrap/>
        <w:overflowPunct/>
        <w:topLinePunct w:val="0"/>
        <w:autoSpaceDE/>
        <w:autoSpaceDN/>
        <w:bidi w:val="0"/>
        <w:adjustRightInd/>
        <w:snapToGrid/>
        <w:spacing w:line="346" w:lineRule="auto"/>
        <w:ind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农村户口每人每月补助</w:t>
      </w:r>
      <w:r>
        <w:rPr>
          <w:rFonts w:hint="eastAsia" w:ascii="仿宋_GB2312" w:hAnsi="仿宋_GB2312" w:eastAsia="仿宋_GB2312" w:cs="仿宋_GB2312"/>
          <w:kern w:val="0"/>
          <w:sz w:val="32"/>
          <w:szCs w:val="32"/>
          <w:lang w:val="en-US" w:eastAsia="zh-CN"/>
        </w:rPr>
        <w:t>693</w:t>
      </w:r>
      <w:r>
        <w:rPr>
          <w:rFonts w:hint="eastAsia" w:ascii="仿宋_GB2312" w:hAnsi="仿宋_GB2312" w:eastAsia="仿宋_GB2312" w:cs="仿宋_GB2312"/>
          <w:kern w:val="0"/>
          <w:sz w:val="32"/>
          <w:szCs w:val="32"/>
        </w:rPr>
        <w:t>.00元，我单位</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人，全年</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632</w:t>
      </w:r>
      <w:r>
        <w:rPr>
          <w:rFonts w:hint="eastAsia" w:ascii="仿宋_GB2312" w:hAnsi="仿宋_GB2312" w:eastAsia="仿宋_GB2312" w:cs="仿宋_GB2312"/>
          <w:kern w:val="0"/>
          <w:sz w:val="32"/>
          <w:szCs w:val="32"/>
        </w:rPr>
        <w:t>.00元；全年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人补助总金额合计</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632</w:t>
      </w:r>
      <w:r>
        <w:rPr>
          <w:rFonts w:hint="eastAsia" w:ascii="仿宋_GB2312" w:hAnsi="仿宋_GB2312" w:eastAsia="仿宋_GB2312" w:cs="仿宋_GB2312"/>
          <w:kern w:val="0"/>
          <w:sz w:val="32"/>
          <w:szCs w:val="32"/>
        </w:rPr>
        <w:t>.00元。每月按时足额通过银行代发方式，把遗属困难补助金发放到每一位遗属银行卡上。</w:t>
      </w:r>
      <w:r>
        <w:rPr>
          <w:rFonts w:hint="eastAsia" w:ascii="仿宋_GB2312" w:hAnsi="仿宋_GB2312" w:eastAsia="仿宋_GB2312" w:cs="仿宋_GB2312"/>
          <w:kern w:val="0"/>
          <w:sz w:val="32"/>
          <w:szCs w:val="32"/>
          <w:lang w:val="en-US" w:eastAsia="zh-CN"/>
        </w:rPr>
        <w:t xml:space="preserve">  </w:t>
      </w:r>
    </w:p>
    <w:p w14:paraId="5FECB17F">
      <w:pPr>
        <w:keepNext w:val="0"/>
        <w:keepLines w:val="0"/>
        <w:pageBreakBefore w:val="0"/>
        <w:widowControl/>
        <w:numPr>
          <w:ilvl w:val="0"/>
          <w:numId w:val="0"/>
        </w:numPr>
        <w:kinsoku/>
        <w:wordWrap/>
        <w:overflowPunct/>
        <w:topLinePunct w:val="0"/>
        <w:autoSpaceDE/>
        <w:autoSpaceDN/>
        <w:bidi w:val="0"/>
        <w:adjustRightInd/>
        <w:snapToGrid/>
        <w:spacing w:line="346" w:lineRule="auto"/>
        <w:ind w:leftChars="0"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七、</w:t>
      </w:r>
      <w:r>
        <w:rPr>
          <w:rFonts w:hint="eastAsia" w:ascii="黑体" w:hAnsi="黑体" w:eastAsia="黑体" w:cs="黑体"/>
          <w:b w:val="0"/>
          <w:bCs w:val="0"/>
          <w:color w:val="auto"/>
          <w:kern w:val="0"/>
          <w:sz w:val="32"/>
          <w:szCs w:val="32"/>
          <w:highlight w:val="none"/>
          <w:lang w:eastAsia="zh-CN"/>
        </w:rPr>
        <w:t>项目实施计划</w:t>
      </w:r>
    </w:p>
    <w:p w14:paraId="52EB593D">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待当月该项目资金一到位就及时足额发放到受助对象。</w:t>
      </w:r>
    </w:p>
    <w:p w14:paraId="13CDC368">
      <w:pPr>
        <w:keepNext w:val="0"/>
        <w:keepLines w:val="0"/>
        <w:pageBreakBefore w:val="0"/>
        <w:widowControl/>
        <w:numPr>
          <w:ilvl w:val="0"/>
          <w:numId w:val="0"/>
        </w:numPr>
        <w:kinsoku/>
        <w:wordWrap/>
        <w:overflowPunct/>
        <w:topLinePunct w:val="0"/>
        <w:autoSpaceDE/>
        <w:autoSpaceDN/>
        <w:bidi w:val="0"/>
        <w:adjustRightInd/>
        <w:snapToGrid/>
        <w:spacing w:line="346"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八、</w:t>
      </w:r>
      <w:r>
        <w:rPr>
          <w:rFonts w:hint="eastAsia" w:ascii="黑体" w:hAnsi="黑体" w:eastAsia="黑体" w:cs="黑体"/>
          <w:b w:val="0"/>
          <w:bCs w:val="0"/>
          <w:color w:val="auto"/>
          <w:kern w:val="0"/>
          <w:sz w:val="32"/>
          <w:szCs w:val="32"/>
          <w:highlight w:val="none"/>
          <w:lang w:eastAsia="zh-CN"/>
        </w:rPr>
        <w:t>项目实施成效</w:t>
      </w:r>
    </w:p>
    <w:p w14:paraId="32C50CBD">
      <w:pPr>
        <w:keepNext w:val="0"/>
        <w:keepLines w:val="0"/>
        <w:pageBreakBefore w:val="0"/>
        <w:widowControl/>
        <w:kinsoku/>
        <w:wordWrap/>
        <w:overflowPunct/>
        <w:topLinePunct w:val="0"/>
        <w:autoSpaceDE/>
        <w:autoSpaceDN/>
        <w:bidi w:val="0"/>
        <w:adjustRightInd/>
        <w:snapToGrid/>
        <w:spacing w:line="346"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项目的实施改善了困难遗属的生活，使他们的晚年生活有了保障。受益对象满意度达到或超过95</w:t>
      </w:r>
      <w:r>
        <w:rPr>
          <w:rFonts w:hint="default" w:ascii="仿宋_GB2312" w:hAnsi="仿宋_GB2312" w:eastAsia="仿宋_GB2312" w:cs="仿宋_GB2312"/>
          <w:kern w:val="0"/>
          <w:sz w:val="32"/>
          <w:szCs w:val="32"/>
          <w:lang w:val="en-US"/>
        </w:rPr>
        <w:t>.00</w:t>
      </w:r>
      <w:r>
        <w:rPr>
          <w:rFonts w:hint="eastAsia" w:ascii="仿宋_GB2312" w:hAnsi="仿宋_GB2312" w:eastAsia="仿宋_GB2312" w:cs="仿宋_GB2312"/>
          <w:kern w:val="0"/>
          <w:sz w:val="32"/>
          <w:szCs w:val="32"/>
        </w:rPr>
        <w:t>%。</w:t>
      </w:r>
    </w:p>
    <w:p w14:paraId="4D2D69D1">
      <w:pPr>
        <w:pStyle w:val="2"/>
        <w:rPr>
          <w:rFonts w:hint="eastAsia"/>
        </w:rPr>
      </w:pPr>
    </w:p>
    <w:p w14:paraId="1927AE7F">
      <w:pPr>
        <w:pStyle w:val="2"/>
        <w:rPr>
          <w:rFonts w:hint="eastAsia"/>
          <w:lang w:val="zh-CN" w:eastAsia="zh-CN"/>
        </w:rPr>
      </w:pPr>
    </w:p>
    <w:sectPr>
      <w:pgSz w:w="11910" w:h="16840"/>
      <w:pgMar w:top="130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5D7BC"/>
    <w:multiLevelType w:val="singleLevel"/>
    <w:tmpl w:val="D875D7BC"/>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34D95"/>
    <w:rsid w:val="0AD26CB8"/>
    <w:rsid w:val="106D2501"/>
    <w:rsid w:val="134F109C"/>
    <w:rsid w:val="30236B16"/>
    <w:rsid w:val="46B30993"/>
    <w:rsid w:val="4A6B7DA4"/>
    <w:rsid w:val="4E3E4E3D"/>
    <w:rsid w:val="5A252BC5"/>
    <w:rsid w:val="636A1414"/>
    <w:rsid w:val="64950F6A"/>
    <w:rsid w:val="65597939"/>
    <w:rsid w:val="73E05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117" w:right="304"/>
      <w:jc w:val="center"/>
      <w:outlineLvl w:val="1"/>
    </w:pPr>
    <w:rPr>
      <w:rFonts w:ascii="Arial Unicode MS" w:hAnsi="Arial Unicode MS" w:eastAsia="Arial Unicode MS" w:cs="Arial Unicode MS"/>
      <w:sz w:val="44"/>
      <w:szCs w:val="44"/>
      <w:lang w:val="zh-CN" w:eastAsia="zh-CN" w:bidi="zh-CN"/>
    </w:rPr>
  </w:style>
  <w:style w:type="character" w:default="1" w:styleId="7">
    <w:name w:val="Default Paragraph Font"/>
    <w:qFormat/>
    <w:uiPriority w:val="1"/>
  </w:style>
  <w:style w:type="table" w:default="1" w:styleId="6">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qFormat/>
    <w:uiPriority w:val="1"/>
    <w:pPr>
      <w:spacing w:before="214"/>
      <w:ind w:left="117"/>
    </w:pPr>
    <w:rPr>
      <w:rFonts w:ascii="仿宋" w:hAnsi="仿宋" w:eastAsia="仿宋" w:cs="仿宋"/>
      <w:sz w:val="32"/>
      <w:szCs w:val="32"/>
      <w:lang w:val="zh-CN" w:eastAsia="zh-CN" w:bidi="zh-CN"/>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qFormat/>
    <w:uiPriority w:val="2"/>
    <w:tblPr>
      <w:tblCellMar>
        <w:top w:w="0" w:type="dxa"/>
        <w:left w:w="0" w:type="dxa"/>
        <w:bottom w:w="0" w:type="dxa"/>
        <w:right w:w="0" w:type="dxa"/>
      </w:tblCellMar>
    </w:tblPr>
  </w:style>
  <w:style w:type="paragraph" w:styleId="9">
    <w:name w:val="List Paragraph"/>
    <w:basedOn w:val="1"/>
    <w:qFormat/>
    <w:uiPriority w:val="1"/>
    <w:pPr>
      <w:spacing w:before="2"/>
      <w:ind w:left="117" w:firstLine="638"/>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1672</Words>
  <Characters>1913</Characters>
  <Paragraphs>39</Paragraphs>
  <TotalTime>5</TotalTime>
  <ScaleCrop>false</ScaleCrop>
  <LinksUpToDate>false</LinksUpToDate>
  <CharactersWithSpaces>2033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2022-02-17T09:18:00Z</dcterms:created>
  <dc:creator>lx</dc:creator>
  <cp:lastModifiedBy>杨瑜</cp:lastModifiedBy>
  <dcterms:modified xsi:type="dcterms:W3CDTF">2026-03-20T08:39:47Z</dcterms:modified>
  <dc:title>年部门预算编制说明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WPS 文字</vt:lpwstr>
  </property>
  <property fmtid="{D5CDD505-2E9C-101B-9397-08002B2CF9AE}" pid="4" name="LastSaved">
    <vt:filetime>2022-02-17T00:00:00Z</vt:filetime>
  </property>
  <property fmtid="{D5CDD505-2E9C-101B-9397-08002B2CF9AE}" pid="5" name="KSOProductBuildVer">
    <vt:lpwstr>2052-12.1.0.23542</vt:lpwstr>
  </property>
  <property fmtid="{D5CDD505-2E9C-101B-9397-08002B2CF9AE}" pid="6" name="ICV">
    <vt:lpwstr>7E259608CBC84FBE9458A9FC1D553192_13</vt:lpwstr>
  </property>
  <property fmtid="{D5CDD505-2E9C-101B-9397-08002B2CF9AE}" pid="7" name="KSOTemplateDocerSaveRecord">
    <vt:lpwstr>eyJoZGlkIjoiZGFlM2Y0NGZjMDgxMzMyYmJjMDRhNmY3MDRkOGEyMmYiLCJ1c2VySWQiOiIxNTI3ODQ0Mzg3In0=</vt:lpwstr>
  </property>
</Properties>
</file>