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DDF64">
      <w:pP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黑体_GBK" w:hAnsi="方正黑体_GBK" w:eastAsia="方正黑体_GBK" w:cs="方正黑体_GBK"/>
          <w:b w:val="0"/>
          <w:bCs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附表：</w:t>
      </w:r>
      <w:bookmarkStart w:id="0" w:name="_GoBack"/>
      <w:bookmarkEnd w:id="0"/>
    </w:p>
    <w:p w14:paraId="21EEE8DD">
      <w:pPr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通海县县城水资源费改税价格表</w:t>
      </w:r>
    </w:p>
    <w:tbl>
      <w:tblPr>
        <w:tblStyle w:val="8"/>
        <w:tblW w:w="86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1"/>
        <w:gridCol w:w="1372"/>
        <w:gridCol w:w="1402"/>
        <w:gridCol w:w="1078"/>
        <w:gridCol w:w="1338"/>
        <w:gridCol w:w="1090"/>
        <w:gridCol w:w="1049"/>
      </w:tblGrid>
      <w:tr w14:paraId="08A678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8680" w:type="dxa"/>
            <w:gridSpan w:val="7"/>
            <w:noWrap w:val="0"/>
            <w:vAlign w:val="center"/>
          </w:tcPr>
          <w:p w14:paraId="3A1A0EF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right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单位：立方米、元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/立方米</w:t>
            </w:r>
          </w:p>
        </w:tc>
      </w:tr>
      <w:tr w14:paraId="7CCEB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  <w:jc w:val="center"/>
        </w:trPr>
        <w:tc>
          <w:tcPr>
            <w:tcW w:w="1351" w:type="dxa"/>
            <w:vMerge w:val="restart"/>
            <w:noWrap w:val="0"/>
            <w:vAlign w:val="center"/>
          </w:tcPr>
          <w:p w14:paraId="53FB293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  <w:t>用户类别</w:t>
            </w:r>
          </w:p>
        </w:tc>
        <w:tc>
          <w:tcPr>
            <w:tcW w:w="1372" w:type="dxa"/>
            <w:vMerge w:val="restart"/>
            <w:noWrap w:val="0"/>
            <w:vAlign w:val="center"/>
          </w:tcPr>
          <w:p w14:paraId="1831319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  <w:t>阶梯</w:t>
            </w: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val="en-US" w:eastAsia="zh-CN"/>
              </w:rPr>
              <w:t>/定额</w:t>
            </w:r>
          </w:p>
        </w:tc>
        <w:tc>
          <w:tcPr>
            <w:tcW w:w="1402" w:type="dxa"/>
            <w:vMerge w:val="restart"/>
            <w:noWrap w:val="0"/>
            <w:vAlign w:val="center"/>
          </w:tcPr>
          <w:p w14:paraId="6879C0D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  <w:t>户年</w:t>
            </w:r>
          </w:p>
          <w:p w14:paraId="45FAEC3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  <w:t>用水量</w:t>
            </w:r>
          </w:p>
        </w:tc>
        <w:tc>
          <w:tcPr>
            <w:tcW w:w="3506" w:type="dxa"/>
            <w:gridSpan w:val="3"/>
            <w:noWrap w:val="0"/>
            <w:vAlign w:val="center"/>
          </w:tcPr>
          <w:p w14:paraId="643C971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  <w:t>其中</w:t>
            </w:r>
          </w:p>
        </w:tc>
        <w:tc>
          <w:tcPr>
            <w:tcW w:w="1049" w:type="dxa"/>
            <w:vMerge w:val="restart"/>
            <w:noWrap w:val="0"/>
            <w:vAlign w:val="center"/>
          </w:tcPr>
          <w:p w14:paraId="1644132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  <w:t>终端价格</w:t>
            </w:r>
          </w:p>
        </w:tc>
      </w:tr>
      <w:tr w14:paraId="0657DD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1351" w:type="dxa"/>
            <w:vMerge w:val="continue"/>
            <w:noWrap w:val="0"/>
            <w:vAlign w:val="center"/>
          </w:tcPr>
          <w:p w14:paraId="28550B5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372" w:type="dxa"/>
            <w:vMerge w:val="continue"/>
            <w:noWrap w:val="0"/>
            <w:vAlign w:val="center"/>
          </w:tcPr>
          <w:p w14:paraId="45D347B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402" w:type="dxa"/>
            <w:vMerge w:val="continue"/>
            <w:noWrap w:val="0"/>
            <w:vAlign w:val="center"/>
          </w:tcPr>
          <w:p w14:paraId="5C7B728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</w:rPr>
            </w:pPr>
          </w:p>
        </w:tc>
        <w:tc>
          <w:tcPr>
            <w:tcW w:w="1078" w:type="dxa"/>
            <w:noWrap w:val="0"/>
            <w:vAlign w:val="center"/>
          </w:tcPr>
          <w:p w14:paraId="78451EE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  <w:t>自来水价格</w:t>
            </w:r>
          </w:p>
        </w:tc>
        <w:tc>
          <w:tcPr>
            <w:tcW w:w="1338" w:type="dxa"/>
            <w:noWrap w:val="0"/>
            <w:vAlign w:val="center"/>
          </w:tcPr>
          <w:p w14:paraId="2C3ED98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  <w:t>水资源</w:t>
            </w:r>
          </w:p>
          <w:p w14:paraId="1D6262D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  <w:t>费改税</w:t>
            </w:r>
          </w:p>
        </w:tc>
        <w:tc>
          <w:tcPr>
            <w:tcW w:w="1090" w:type="dxa"/>
            <w:noWrap w:val="0"/>
            <w:vAlign w:val="center"/>
          </w:tcPr>
          <w:p w14:paraId="570260D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  <w:t>污水</w:t>
            </w:r>
          </w:p>
          <w:p w14:paraId="482DCE6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bCs/>
                <w:sz w:val="28"/>
                <w:szCs w:val="28"/>
                <w:vertAlign w:val="baseline"/>
                <w:lang w:eastAsia="zh-CN"/>
              </w:rPr>
              <w:t>处理费</w:t>
            </w:r>
          </w:p>
        </w:tc>
        <w:tc>
          <w:tcPr>
            <w:tcW w:w="1049" w:type="dxa"/>
            <w:vMerge w:val="continue"/>
            <w:noWrap w:val="0"/>
            <w:vAlign w:val="center"/>
          </w:tcPr>
          <w:p w14:paraId="2D3AC38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</w:tc>
      </w:tr>
      <w:tr w14:paraId="30E68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1351" w:type="dxa"/>
            <w:vMerge w:val="restart"/>
            <w:noWrap w:val="0"/>
            <w:vAlign w:val="center"/>
          </w:tcPr>
          <w:p w14:paraId="5D42762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居民生活用水</w:t>
            </w:r>
          </w:p>
        </w:tc>
        <w:tc>
          <w:tcPr>
            <w:tcW w:w="1372" w:type="dxa"/>
            <w:noWrap w:val="0"/>
            <w:vAlign w:val="center"/>
          </w:tcPr>
          <w:p w14:paraId="56DEBE8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第一阶段</w:t>
            </w:r>
          </w:p>
        </w:tc>
        <w:tc>
          <w:tcPr>
            <w:tcW w:w="1402" w:type="dxa"/>
            <w:noWrap w:val="0"/>
            <w:vAlign w:val="center"/>
          </w:tcPr>
          <w:p w14:paraId="152C066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0-120</w:t>
            </w:r>
          </w:p>
        </w:tc>
        <w:tc>
          <w:tcPr>
            <w:tcW w:w="1078" w:type="dxa"/>
            <w:noWrap w:val="0"/>
            <w:vAlign w:val="center"/>
          </w:tcPr>
          <w:p w14:paraId="1025F3F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3.10</w:t>
            </w:r>
          </w:p>
        </w:tc>
        <w:tc>
          <w:tcPr>
            <w:tcW w:w="1338" w:type="dxa"/>
            <w:vMerge w:val="restart"/>
            <w:noWrap w:val="0"/>
            <w:vAlign w:val="center"/>
          </w:tcPr>
          <w:p w14:paraId="19117600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0.20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eastAsia="zh-CN"/>
              </w:rPr>
              <w:t>元</w:t>
            </w:r>
            <w:r>
              <w:rPr>
                <w:rFonts w:hint="default" w:ascii="Times New Roman" w:hAnsi="Times New Roman" w:eastAsia="方正仿宋_GBK" w:cs="Times New Roman"/>
                <w:sz w:val="28"/>
                <w:szCs w:val="28"/>
                <w:vertAlign w:val="baseline"/>
                <w:lang w:val="en-US" w:eastAsia="zh-CN"/>
              </w:rPr>
              <w:t>/立方米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。</w:t>
            </w:r>
            <w:r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lang w:val="en-US" w:eastAsia="zh-CN" w:bidi="ar-SA"/>
              </w:rPr>
              <w:t>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照《关于云南省水资源税改革额试点有关事项的公告》</w:t>
            </w:r>
          </w:p>
          <w:p w14:paraId="35AC3A0A">
            <w:pPr>
              <w:pStyle w:val="6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9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（云财规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〔2024〕18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val="en-US" w:eastAsia="zh-CN"/>
              </w:rPr>
              <w:t>号）相关规定执行。</w:t>
            </w:r>
          </w:p>
        </w:tc>
        <w:tc>
          <w:tcPr>
            <w:tcW w:w="1090" w:type="dxa"/>
            <w:noWrap w:val="0"/>
            <w:vAlign w:val="center"/>
          </w:tcPr>
          <w:p w14:paraId="4FB1B20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1.20</w:t>
            </w:r>
          </w:p>
        </w:tc>
        <w:tc>
          <w:tcPr>
            <w:tcW w:w="1049" w:type="dxa"/>
            <w:noWrap w:val="0"/>
            <w:vAlign w:val="center"/>
          </w:tcPr>
          <w:p w14:paraId="2ABA58B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4.50</w:t>
            </w:r>
          </w:p>
        </w:tc>
      </w:tr>
      <w:tr w14:paraId="2CAD3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  <w:jc w:val="center"/>
        </w:trPr>
        <w:tc>
          <w:tcPr>
            <w:tcW w:w="1351" w:type="dxa"/>
            <w:vMerge w:val="continue"/>
            <w:noWrap w:val="0"/>
            <w:vAlign w:val="center"/>
          </w:tcPr>
          <w:p w14:paraId="1785F04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510D2B4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第二阶段</w:t>
            </w:r>
          </w:p>
        </w:tc>
        <w:tc>
          <w:tcPr>
            <w:tcW w:w="1402" w:type="dxa"/>
            <w:noWrap w:val="0"/>
            <w:vAlign w:val="center"/>
          </w:tcPr>
          <w:p w14:paraId="09EED72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120-180</w:t>
            </w:r>
          </w:p>
        </w:tc>
        <w:tc>
          <w:tcPr>
            <w:tcW w:w="1078" w:type="dxa"/>
            <w:noWrap w:val="0"/>
            <w:vAlign w:val="center"/>
          </w:tcPr>
          <w:p w14:paraId="58767E9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4.70</w:t>
            </w:r>
          </w:p>
        </w:tc>
        <w:tc>
          <w:tcPr>
            <w:tcW w:w="1338" w:type="dxa"/>
            <w:vMerge w:val="continue"/>
            <w:noWrap w:val="0"/>
            <w:vAlign w:val="center"/>
          </w:tcPr>
          <w:p w14:paraId="5A93B5B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6081B0C5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1.20</w:t>
            </w:r>
          </w:p>
        </w:tc>
        <w:tc>
          <w:tcPr>
            <w:tcW w:w="1049" w:type="dxa"/>
            <w:noWrap w:val="0"/>
            <w:vAlign w:val="center"/>
          </w:tcPr>
          <w:p w14:paraId="50ED847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6.10</w:t>
            </w:r>
          </w:p>
        </w:tc>
      </w:tr>
      <w:tr w14:paraId="2CB47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1351" w:type="dxa"/>
            <w:vMerge w:val="continue"/>
            <w:noWrap w:val="0"/>
            <w:vAlign w:val="center"/>
          </w:tcPr>
          <w:p w14:paraId="12AAFE5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2C1DEB8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第三阶段</w:t>
            </w:r>
          </w:p>
        </w:tc>
        <w:tc>
          <w:tcPr>
            <w:tcW w:w="1402" w:type="dxa"/>
            <w:noWrap w:val="0"/>
            <w:vAlign w:val="center"/>
          </w:tcPr>
          <w:p w14:paraId="197751C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180以上</w:t>
            </w:r>
          </w:p>
        </w:tc>
        <w:tc>
          <w:tcPr>
            <w:tcW w:w="1078" w:type="dxa"/>
            <w:noWrap w:val="0"/>
            <w:vAlign w:val="center"/>
          </w:tcPr>
          <w:p w14:paraId="48D159D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9.70</w:t>
            </w:r>
          </w:p>
        </w:tc>
        <w:tc>
          <w:tcPr>
            <w:tcW w:w="1338" w:type="dxa"/>
            <w:vMerge w:val="continue"/>
            <w:noWrap w:val="0"/>
            <w:vAlign w:val="center"/>
          </w:tcPr>
          <w:p w14:paraId="2948167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3EAA29C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1.20</w:t>
            </w:r>
          </w:p>
        </w:tc>
        <w:tc>
          <w:tcPr>
            <w:tcW w:w="1049" w:type="dxa"/>
            <w:noWrap w:val="0"/>
            <w:vAlign w:val="center"/>
          </w:tcPr>
          <w:p w14:paraId="3C123B5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11.10</w:t>
            </w:r>
          </w:p>
        </w:tc>
      </w:tr>
      <w:tr w14:paraId="609B1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1351" w:type="dxa"/>
            <w:vMerge w:val="restart"/>
            <w:noWrap w:val="0"/>
            <w:vAlign w:val="center"/>
          </w:tcPr>
          <w:p w14:paraId="78221AC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非居民</w:t>
            </w:r>
          </w:p>
          <w:p w14:paraId="16E7ADE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用水</w:t>
            </w:r>
          </w:p>
        </w:tc>
        <w:tc>
          <w:tcPr>
            <w:tcW w:w="1372" w:type="dxa"/>
            <w:noWrap w:val="0"/>
            <w:vAlign w:val="center"/>
          </w:tcPr>
          <w:p w14:paraId="6A59F1D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定额以内用水量</w:t>
            </w:r>
          </w:p>
        </w:tc>
        <w:tc>
          <w:tcPr>
            <w:tcW w:w="1402" w:type="dxa"/>
            <w:shd w:val="clear" w:color="auto" w:fill="auto"/>
            <w:noWrap w:val="0"/>
            <w:vAlign w:val="center"/>
          </w:tcPr>
          <w:p w14:paraId="52ABBB9C">
            <w:pPr>
              <w:widowControl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不加价</w:t>
            </w:r>
          </w:p>
        </w:tc>
        <w:tc>
          <w:tcPr>
            <w:tcW w:w="1078" w:type="dxa"/>
            <w:noWrap w:val="0"/>
            <w:vAlign w:val="center"/>
          </w:tcPr>
          <w:p w14:paraId="03A0BDF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3.80</w:t>
            </w:r>
          </w:p>
        </w:tc>
        <w:tc>
          <w:tcPr>
            <w:tcW w:w="1338" w:type="dxa"/>
            <w:vMerge w:val="continue"/>
            <w:noWrap w:val="0"/>
            <w:vAlign w:val="center"/>
          </w:tcPr>
          <w:p w14:paraId="6781609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1EA67DA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2.00</w:t>
            </w:r>
          </w:p>
        </w:tc>
        <w:tc>
          <w:tcPr>
            <w:tcW w:w="1049" w:type="dxa"/>
            <w:noWrap w:val="0"/>
            <w:vAlign w:val="center"/>
          </w:tcPr>
          <w:p w14:paraId="23084C1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6.00</w:t>
            </w:r>
          </w:p>
        </w:tc>
      </w:tr>
      <w:tr w14:paraId="4BA10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  <w:jc w:val="center"/>
        </w:trPr>
        <w:tc>
          <w:tcPr>
            <w:tcW w:w="1351" w:type="dxa"/>
            <w:vMerge w:val="continue"/>
            <w:noWrap w:val="0"/>
            <w:vAlign w:val="center"/>
          </w:tcPr>
          <w:p w14:paraId="75BD783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7F86337F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超定额在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0%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以内的水量</w:t>
            </w:r>
          </w:p>
        </w:tc>
        <w:tc>
          <w:tcPr>
            <w:tcW w:w="1402" w:type="dxa"/>
            <w:shd w:val="clear" w:color="auto" w:fill="auto"/>
            <w:noWrap w:val="0"/>
            <w:vAlign w:val="center"/>
          </w:tcPr>
          <w:p w14:paraId="64956FE0">
            <w:pPr>
              <w:widowControl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50%</w:t>
            </w:r>
          </w:p>
        </w:tc>
        <w:tc>
          <w:tcPr>
            <w:tcW w:w="1078" w:type="dxa"/>
            <w:noWrap w:val="0"/>
            <w:vAlign w:val="center"/>
          </w:tcPr>
          <w:p w14:paraId="03FA934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5.80</w:t>
            </w:r>
          </w:p>
        </w:tc>
        <w:tc>
          <w:tcPr>
            <w:tcW w:w="1338" w:type="dxa"/>
            <w:vMerge w:val="continue"/>
            <w:noWrap w:val="0"/>
            <w:vAlign w:val="center"/>
          </w:tcPr>
          <w:p w14:paraId="7BDE470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2B88F7AC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2.00</w:t>
            </w:r>
          </w:p>
        </w:tc>
        <w:tc>
          <w:tcPr>
            <w:tcW w:w="1049" w:type="dxa"/>
            <w:noWrap w:val="0"/>
            <w:vAlign w:val="center"/>
          </w:tcPr>
          <w:p w14:paraId="0F689E9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.00</w:t>
            </w:r>
          </w:p>
        </w:tc>
      </w:tr>
      <w:tr w14:paraId="6D1AD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  <w:jc w:val="center"/>
        </w:trPr>
        <w:tc>
          <w:tcPr>
            <w:tcW w:w="1351" w:type="dxa"/>
            <w:vMerge w:val="continue"/>
            <w:noWrap w:val="0"/>
            <w:vAlign w:val="center"/>
          </w:tcPr>
          <w:p w14:paraId="5DC28261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72" w:type="dxa"/>
            <w:noWrap w:val="0"/>
            <w:vAlign w:val="center"/>
          </w:tcPr>
          <w:p w14:paraId="7776961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超定额在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0%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以上的水量</w:t>
            </w:r>
          </w:p>
        </w:tc>
        <w:tc>
          <w:tcPr>
            <w:tcW w:w="1402" w:type="dxa"/>
            <w:shd w:val="clear" w:color="auto" w:fill="auto"/>
            <w:noWrap w:val="0"/>
            <w:vAlign w:val="center"/>
          </w:tcPr>
          <w:p w14:paraId="1C294C15">
            <w:pPr>
              <w:widowControl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  <w:tc>
          <w:tcPr>
            <w:tcW w:w="1078" w:type="dxa"/>
            <w:noWrap w:val="0"/>
            <w:vAlign w:val="center"/>
          </w:tcPr>
          <w:p w14:paraId="643F53B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7.80</w:t>
            </w:r>
          </w:p>
        </w:tc>
        <w:tc>
          <w:tcPr>
            <w:tcW w:w="1338" w:type="dxa"/>
            <w:vMerge w:val="continue"/>
            <w:noWrap w:val="0"/>
            <w:vAlign w:val="center"/>
          </w:tcPr>
          <w:p w14:paraId="46F8AF4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5EF0B6BD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2.00</w:t>
            </w:r>
          </w:p>
        </w:tc>
        <w:tc>
          <w:tcPr>
            <w:tcW w:w="1049" w:type="dxa"/>
            <w:noWrap w:val="0"/>
            <w:vAlign w:val="center"/>
          </w:tcPr>
          <w:p w14:paraId="5BA162A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10.00</w:t>
            </w:r>
          </w:p>
        </w:tc>
      </w:tr>
      <w:tr w14:paraId="7C118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7" w:hRule="atLeast"/>
          <w:jc w:val="center"/>
        </w:trPr>
        <w:tc>
          <w:tcPr>
            <w:tcW w:w="1351" w:type="dxa"/>
            <w:vMerge w:val="restart"/>
            <w:noWrap w:val="0"/>
            <w:vAlign w:val="center"/>
          </w:tcPr>
          <w:p w14:paraId="6DE52298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  <w:t>特种用水</w:t>
            </w:r>
          </w:p>
        </w:tc>
        <w:tc>
          <w:tcPr>
            <w:tcW w:w="1372" w:type="dxa"/>
            <w:shd w:val="clear" w:color="auto" w:fill="auto"/>
            <w:noWrap w:val="0"/>
            <w:vAlign w:val="center"/>
          </w:tcPr>
          <w:p w14:paraId="71ECC020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定额以内用水量</w:t>
            </w:r>
          </w:p>
        </w:tc>
        <w:tc>
          <w:tcPr>
            <w:tcW w:w="1402" w:type="dxa"/>
            <w:shd w:val="clear" w:color="auto" w:fill="auto"/>
            <w:noWrap w:val="0"/>
            <w:vAlign w:val="center"/>
          </w:tcPr>
          <w:p w14:paraId="5AE49BD9">
            <w:pPr>
              <w:widowControl w:val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不加价</w:t>
            </w:r>
          </w:p>
        </w:tc>
        <w:tc>
          <w:tcPr>
            <w:tcW w:w="1078" w:type="dxa"/>
            <w:noWrap w:val="0"/>
            <w:vAlign w:val="center"/>
          </w:tcPr>
          <w:p w14:paraId="692CB8D7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  <w:t>14.90</w:t>
            </w:r>
          </w:p>
        </w:tc>
        <w:tc>
          <w:tcPr>
            <w:tcW w:w="1338" w:type="dxa"/>
            <w:vMerge w:val="continue"/>
            <w:noWrap w:val="0"/>
            <w:vAlign w:val="center"/>
          </w:tcPr>
          <w:p w14:paraId="37F8AAB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0F2E5BF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3.00</w:t>
            </w:r>
          </w:p>
        </w:tc>
        <w:tc>
          <w:tcPr>
            <w:tcW w:w="1049" w:type="dxa"/>
            <w:noWrap w:val="0"/>
            <w:vAlign w:val="center"/>
          </w:tcPr>
          <w:p w14:paraId="48C4394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18.1</w:t>
            </w: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0</w:t>
            </w:r>
          </w:p>
        </w:tc>
      </w:tr>
      <w:tr w14:paraId="11887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51" w:hRule="atLeast"/>
          <w:jc w:val="center"/>
        </w:trPr>
        <w:tc>
          <w:tcPr>
            <w:tcW w:w="1351" w:type="dxa"/>
            <w:vMerge w:val="continue"/>
            <w:noWrap w:val="0"/>
            <w:vAlign w:val="center"/>
          </w:tcPr>
          <w:p w14:paraId="62E446C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72" w:type="dxa"/>
            <w:shd w:val="clear" w:color="auto" w:fill="auto"/>
            <w:noWrap w:val="0"/>
            <w:vAlign w:val="center"/>
          </w:tcPr>
          <w:p w14:paraId="3EA865B9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超定额在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0%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以内的水量</w:t>
            </w:r>
          </w:p>
        </w:tc>
        <w:tc>
          <w:tcPr>
            <w:tcW w:w="1402" w:type="dxa"/>
            <w:shd w:val="clear" w:color="auto" w:fill="auto"/>
            <w:noWrap w:val="0"/>
            <w:vAlign w:val="center"/>
          </w:tcPr>
          <w:p w14:paraId="316700EB">
            <w:pPr>
              <w:widowControl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50%</w:t>
            </w:r>
          </w:p>
        </w:tc>
        <w:tc>
          <w:tcPr>
            <w:tcW w:w="1078" w:type="dxa"/>
            <w:noWrap w:val="0"/>
            <w:vAlign w:val="center"/>
          </w:tcPr>
          <w:p w14:paraId="3B524CFA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22.40</w:t>
            </w:r>
          </w:p>
        </w:tc>
        <w:tc>
          <w:tcPr>
            <w:tcW w:w="1338" w:type="dxa"/>
            <w:vMerge w:val="continue"/>
            <w:noWrap w:val="0"/>
            <w:vAlign w:val="center"/>
          </w:tcPr>
          <w:p w14:paraId="2ABD695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1AB20786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3.00</w:t>
            </w:r>
          </w:p>
        </w:tc>
        <w:tc>
          <w:tcPr>
            <w:tcW w:w="1049" w:type="dxa"/>
            <w:noWrap w:val="0"/>
            <w:vAlign w:val="center"/>
          </w:tcPr>
          <w:p w14:paraId="11DC5EA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25.60</w:t>
            </w:r>
          </w:p>
        </w:tc>
      </w:tr>
      <w:tr w14:paraId="67078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  <w:jc w:val="center"/>
        </w:trPr>
        <w:tc>
          <w:tcPr>
            <w:tcW w:w="1351" w:type="dxa"/>
            <w:vMerge w:val="continue"/>
            <w:noWrap w:val="0"/>
            <w:vAlign w:val="center"/>
          </w:tcPr>
          <w:p w14:paraId="0C46FC9B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vertAlign w:val="baseline"/>
                <w:lang w:eastAsia="zh-CN"/>
              </w:rPr>
            </w:pPr>
          </w:p>
        </w:tc>
        <w:tc>
          <w:tcPr>
            <w:tcW w:w="1372" w:type="dxa"/>
            <w:shd w:val="clear" w:color="auto" w:fill="auto"/>
            <w:noWrap w:val="0"/>
            <w:vAlign w:val="center"/>
          </w:tcPr>
          <w:p w14:paraId="6A4D114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超定额在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8"/>
                <w:szCs w:val="28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0%</w:t>
            </w:r>
            <w:r>
              <w:rPr>
                <w:rFonts w:hint="eastAsia" w:ascii="方正仿宋_GBK" w:hAnsi="方正仿宋_GBK" w:eastAsia="方正仿宋_GBK" w:cs="方正仿宋_GBK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以上的水量</w:t>
            </w:r>
          </w:p>
        </w:tc>
        <w:tc>
          <w:tcPr>
            <w:tcW w:w="1402" w:type="dxa"/>
            <w:shd w:val="clear" w:color="auto" w:fill="auto"/>
            <w:noWrap w:val="0"/>
            <w:vAlign w:val="center"/>
          </w:tcPr>
          <w:p w14:paraId="28299649">
            <w:pPr>
              <w:widowControl w:val="0"/>
              <w:jc w:val="center"/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/>
                <w:color w:val="000000" w:themeColor="text1"/>
                <w:sz w:val="28"/>
                <w:szCs w:val="28"/>
                <w:vertAlign w:val="baseline"/>
                <w:lang w:eastAsia="zh-CN"/>
                <w14:textFill>
                  <w14:solidFill>
                    <w14:schemeClr w14:val="tx1"/>
                  </w14:solidFill>
                </w14:textFill>
              </w:rPr>
              <w:t>100%</w:t>
            </w:r>
          </w:p>
        </w:tc>
        <w:tc>
          <w:tcPr>
            <w:tcW w:w="1078" w:type="dxa"/>
            <w:noWrap w:val="0"/>
            <w:vAlign w:val="center"/>
          </w:tcPr>
          <w:p w14:paraId="48032672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30.00</w:t>
            </w:r>
          </w:p>
        </w:tc>
        <w:tc>
          <w:tcPr>
            <w:tcW w:w="1338" w:type="dxa"/>
            <w:vMerge w:val="continue"/>
            <w:noWrap w:val="0"/>
            <w:vAlign w:val="center"/>
          </w:tcPr>
          <w:p w14:paraId="0413CAC3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eastAsia" w:ascii="方正仿宋_GBK" w:hAnsi="方正仿宋_GBK" w:eastAsia="方正仿宋_GBK" w:cs="方正仿宋_GBK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090" w:type="dxa"/>
            <w:noWrap w:val="0"/>
            <w:vAlign w:val="center"/>
          </w:tcPr>
          <w:p w14:paraId="7F6CBACE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3.00</w:t>
            </w:r>
          </w:p>
        </w:tc>
        <w:tc>
          <w:tcPr>
            <w:tcW w:w="1049" w:type="dxa"/>
            <w:noWrap w:val="0"/>
            <w:vAlign w:val="center"/>
          </w:tcPr>
          <w:p w14:paraId="268F6744">
            <w:pPr>
              <w:pStyle w:val="6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8"/>
                <w:szCs w:val="28"/>
                <w:lang w:val="en-US" w:eastAsia="zh-CN" w:bidi="ar-SA"/>
              </w:rPr>
              <w:t>33.20</w:t>
            </w:r>
          </w:p>
        </w:tc>
      </w:tr>
      <w:tr w14:paraId="6F96CC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  <w:jc w:val="center"/>
        </w:trPr>
        <w:tc>
          <w:tcPr>
            <w:tcW w:w="8453" w:type="dxa"/>
            <w:gridSpan w:val="7"/>
            <w:noWrap w:val="0"/>
            <w:vAlign w:val="center"/>
          </w:tcPr>
          <w:p w14:paraId="589CFD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5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 w:val="0"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注：</w:t>
            </w:r>
            <w:r>
              <w:rPr>
                <w:rFonts w:hint="eastAsia" w:ascii="Times New Roman" w:hAnsi="Times New Roman" w:eastAsia="方正仿宋_GBK" w:cs="Times New Roman"/>
                <w:b w:val="0"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表中终端水价由供水基本水费、水资源税、污水处理费三部分构成，结算周期为按月结算。2、表中加价标准是以通海县发展和改革局通发改价格〔2013〕10号文件为基价。若今后居民生活用水基价、非居民用水基价调整则按调整后的价格进行相应调整计算执行。3、居民生活用水主要指城镇居民住宅家庭的日常生活用水；部队生活用水、学校教育和学生生活用水、养老机构、残疾人托养机构和婴幼儿照护服务机构等社会福利场所生活用水、宗教场所生活用水、社区组织工作用房和居民公益性服务设施用水等，按照居民生活用水类别价格执行。非居民用水主要指工业、经营服务用水和行政事业单位用水、市政用水（环卫、绿化）、生态用水、消防用水、建筑施工用水。特种用水主要包括洗车、洗浴、以自来水为原料的纯净水生产、高尔夫球场、人工滑雪场等。</w:t>
            </w:r>
          </w:p>
        </w:tc>
      </w:tr>
    </w:tbl>
    <w:p w14:paraId="3A62CC62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0" w:lineRule="exact"/>
        <w:ind w:left="0" w:leftChars="0" w:firstLine="0" w:firstLineChars="0"/>
        <w:textAlignment w:val="auto"/>
        <w:rPr>
          <w:rFonts w:hint="eastAsia"/>
        </w:rPr>
      </w:pPr>
    </w:p>
    <w:p w14:paraId="6A95FC58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2041" w:right="1474" w:bottom="130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楷体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3BB25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3EBD85A"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eastAsia="zh-CN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30"/>
                              <w:szCs w:val="30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3EBD85A"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t>—</w:t>
                    </w:r>
                    <w:r>
                      <w:rPr>
                        <w:rFonts w:hint="eastAsia"/>
                        <w:sz w:val="30"/>
                        <w:szCs w:val="30"/>
                        <w:lang w:eastAsia="zh-CN"/>
                      </w:rPr>
                      <w:t xml:space="preserve"> </w:t>
                    </w:r>
                    <w:r>
                      <w:rPr>
                        <w:rFonts w:hint="eastAsia"/>
                        <w:sz w:val="30"/>
                        <w:szCs w:val="3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30"/>
                        <w:szCs w:val="3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30"/>
                        <w:szCs w:val="30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30"/>
                        <w:szCs w:val="30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30"/>
                        <w:szCs w:val="30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NlMGY5NGE3NjBiMjU2MmMwZGIxOGI3OWYxZDMyNzUifQ=="/>
  </w:docVars>
  <w:rsids>
    <w:rsidRoot w:val="5CEC553F"/>
    <w:rsid w:val="00093180"/>
    <w:rsid w:val="02CF2790"/>
    <w:rsid w:val="02F23D47"/>
    <w:rsid w:val="04186146"/>
    <w:rsid w:val="044832AF"/>
    <w:rsid w:val="053338D7"/>
    <w:rsid w:val="05C57B97"/>
    <w:rsid w:val="06861FA7"/>
    <w:rsid w:val="0691277C"/>
    <w:rsid w:val="0E352F85"/>
    <w:rsid w:val="0E83423F"/>
    <w:rsid w:val="10637110"/>
    <w:rsid w:val="10CF087D"/>
    <w:rsid w:val="16C05990"/>
    <w:rsid w:val="17DF308F"/>
    <w:rsid w:val="1B367535"/>
    <w:rsid w:val="213D4E75"/>
    <w:rsid w:val="2140270F"/>
    <w:rsid w:val="21C26ED2"/>
    <w:rsid w:val="21C71694"/>
    <w:rsid w:val="24D4176B"/>
    <w:rsid w:val="267972C2"/>
    <w:rsid w:val="277A117F"/>
    <w:rsid w:val="291C73B4"/>
    <w:rsid w:val="2C4B4516"/>
    <w:rsid w:val="2DD57A69"/>
    <w:rsid w:val="2E351182"/>
    <w:rsid w:val="2E5B147D"/>
    <w:rsid w:val="2E983D62"/>
    <w:rsid w:val="2F2B391D"/>
    <w:rsid w:val="30AC2CD6"/>
    <w:rsid w:val="314F4D91"/>
    <w:rsid w:val="33953FBF"/>
    <w:rsid w:val="34BB56D0"/>
    <w:rsid w:val="365E0EE4"/>
    <w:rsid w:val="36F24B7E"/>
    <w:rsid w:val="386C1D03"/>
    <w:rsid w:val="38F22949"/>
    <w:rsid w:val="3BEA7DFB"/>
    <w:rsid w:val="3D5D7711"/>
    <w:rsid w:val="3EDC6F01"/>
    <w:rsid w:val="3F1D2A4A"/>
    <w:rsid w:val="41595E53"/>
    <w:rsid w:val="42493BBF"/>
    <w:rsid w:val="428B45F6"/>
    <w:rsid w:val="431A6A69"/>
    <w:rsid w:val="43A944F5"/>
    <w:rsid w:val="444C5488"/>
    <w:rsid w:val="449A6185"/>
    <w:rsid w:val="45C86F67"/>
    <w:rsid w:val="47762D60"/>
    <w:rsid w:val="499E1A97"/>
    <w:rsid w:val="4AF5442F"/>
    <w:rsid w:val="4BD91C74"/>
    <w:rsid w:val="4DDA4972"/>
    <w:rsid w:val="52733616"/>
    <w:rsid w:val="52812B5B"/>
    <w:rsid w:val="54E86FA5"/>
    <w:rsid w:val="551D7536"/>
    <w:rsid w:val="55316E2C"/>
    <w:rsid w:val="58D54883"/>
    <w:rsid w:val="59FBB88C"/>
    <w:rsid w:val="5ABA7B0F"/>
    <w:rsid w:val="5BA76632"/>
    <w:rsid w:val="5C37117D"/>
    <w:rsid w:val="5C715756"/>
    <w:rsid w:val="5CEC553F"/>
    <w:rsid w:val="60097BF3"/>
    <w:rsid w:val="61370BAF"/>
    <w:rsid w:val="627A1108"/>
    <w:rsid w:val="628566AE"/>
    <w:rsid w:val="631B4EB5"/>
    <w:rsid w:val="64620428"/>
    <w:rsid w:val="662038E2"/>
    <w:rsid w:val="664F577B"/>
    <w:rsid w:val="67551F4F"/>
    <w:rsid w:val="67AF0B8B"/>
    <w:rsid w:val="67D46E08"/>
    <w:rsid w:val="68035CB8"/>
    <w:rsid w:val="68817DB4"/>
    <w:rsid w:val="68D11655"/>
    <w:rsid w:val="69AB69F6"/>
    <w:rsid w:val="6A112C81"/>
    <w:rsid w:val="6A2206F6"/>
    <w:rsid w:val="6A38763F"/>
    <w:rsid w:val="6AB57956"/>
    <w:rsid w:val="6AFF6E75"/>
    <w:rsid w:val="6D072E9D"/>
    <w:rsid w:val="6FF174A1"/>
    <w:rsid w:val="704C3622"/>
    <w:rsid w:val="71AC1A9E"/>
    <w:rsid w:val="75B71373"/>
    <w:rsid w:val="79727040"/>
    <w:rsid w:val="7A5B2222"/>
    <w:rsid w:val="7C7B5539"/>
    <w:rsid w:val="7D825B4F"/>
    <w:rsid w:val="7DE346E1"/>
    <w:rsid w:val="7F137113"/>
    <w:rsid w:val="7F5E74E7"/>
    <w:rsid w:val="9EFFE55A"/>
    <w:rsid w:val="AD4ABB64"/>
    <w:rsid w:val="D6565618"/>
    <w:rsid w:val="FB2F88A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1"/>
    <w:next w:val="1"/>
    <w:qFormat/>
    <w:uiPriority w:val="0"/>
    <w:pPr>
      <w:ind w:firstLine="420" w:firstLineChars="200"/>
    </w:p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Times New Roman" w:hAnsi="Times New Roman" w:eastAsia="方正仿宋_GBK" w:cs="Times New Roman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 w:line="336" w:lineRule="auto"/>
      <w:jc w:val="left"/>
    </w:pPr>
    <w:rPr>
      <w:rFonts w:ascii="宋体" w:hAnsi="宋体"/>
      <w:kern w:val="0"/>
      <w:sz w:val="24"/>
    </w:rPr>
  </w:style>
  <w:style w:type="table" w:styleId="8">
    <w:name w:val="Table Grid"/>
    <w:basedOn w:val="7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玉溪市通海县党政机关单位</Company>
  <Pages>2</Pages>
  <Words>0</Words>
  <Characters>0</Characters>
  <Lines>0</Lines>
  <Paragraphs>0</Paragraphs>
  <TotalTime>12</TotalTime>
  <ScaleCrop>false</ScaleCrop>
  <LinksUpToDate>false</LinksUpToDate>
  <CharactersWithSpaces>0</CharactersWithSpaces>
  <Application>WPS Office_12.8.2.17863_F1E327BC-269C-435d-A152-05C5408002CA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2022-02-19T02:36:00Z</dcterms:created>
  <dc:creator>通海发改局</dc:creator>
  <cp:lastModifiedBy>kylin</cp:lastModifiedBy>
  <dcterms:modified xsi:type="dcterms:W3CDTF">2026-08-17T11:32:04Z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2052-12.8.2.17863</vt:lpwstr>
  </property>
  <property fmtid="{D5CDD505-2E9C-101B-9397-08002B2CF9AE}" pid="3" name="ICV">
    <vt:lpwstr>D9338017255609B3A180826A96F29764_43</vt:lpwstr>
  </property>
</Properties>
</file>