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C9B12">
      <w:pPr>
        <w:pStyle w:val="5"/>
        <w:keepNext w:val="0"/>
        <w:keepLines w:val="0"/>
        <w:widowControl/>
        <w:suppressLineNumbers w:val="0"/>
        <w:spacing w:before="75" w:beforeAutospacing="0" w:after="75" w:afterAutospacing="0"/>
        <w:ind w:left="0" w:right="0"/>
        <w:jc w:val="center"/>
      </w:pPr>
      <w:r>
        <w:rPr>
          <w:rFonts w:ascii="方正小标宋简体" w:hAnsi="方正小标宋简体" w:eastAsia="方正小标宋简体" w:cs="方正小标宋简体"/>
          <w:sz w:val="36"/>
          <w:szCs w:val="36"/>
        </w:rPr>
        <w:t>通海县教育体育局</w:t>
      </w:r>
      <w:r>
        <w:rPr>
          <w:rFonts w:hint="default" w:ascii="方正小标宋简体" w:hAnsi="方正小标宋简体" w:eastAsia="方正小标宋简体" w:cs="方正小标宋简体"/>
          <w:sz w:val="36"/>
          <w:szCs w:val="36"/>
        </w:rPr>
        <w:t>2025年度部门决算</w:t>
      </w:r>
    </w:p>
    <w:p w14:paraId="04FDB8DD">
      <w:pPr>
        <w:pStyle w:val="5"/>
        <w:keepNext w:val="0"/>
        <w:keepLines w:val="0"/>
        <w:widowControl/>
        <w:suppressLineNumbers w:val="0"/>
        <w:spacing w:before="75" w:beforeAutospacing="0" w:after="75" w:afterAutospacing="0"/>
        <w:ind w:left="0" w:right="0"/>
        <w:jc w:val="center"/>
      </w:pPr>
      <w:r>
        <w:rPr>
          <w:rFonts w:hint="default" w:ascii="方正小标宋简体" w:hAnsi="方正小标宋简体" w:eastAsia="方正小标宋简体" w:cs="方正小标宋简体"/>
          <w:sz w:val="36"/>
          <w:szCs w:val="36"/>
        </w:rPr>
        <w:t> </w:t>
      </w:r>
    </w:p>
    <w:p w14:paraId="77BF8CB4">
      <w:pPr>
        <w:pStyle w:val="5"/>
        <w:keepNext w:val="0"/>
        <w:keepLines w:val="0"/>
        <w:widowControl/>
        <w:suppressLineNumbers w:val="0"/>
        <w:spacing w:before="75" w:beforeAutospacing="0" w:after="75" w:afterAutospacing="0"/>
        <w:ind w:left="0" w:right="0"/>
        <w:jc w:val="center"/>
      </w:pPr>
      <w:r>
        <w:rPr>
          <w:rFonts w:hint="default" w:ascii="方正小标宋简体" w:hAnsi="方正小标宋简体" w:eastAsia="方正小标宋简体" w:cs="方正小标宋简体"/>
          <w:sz w:val="36"/>
          <w:szCs w:val="36"/>
        </w:rPr>
        <w:t>目录</w:t>
      </w:r>
    </w:p>
    <w:p w14:paraId="1A9C0FC7">
      <w:pPr>
        <w:pStyle w:val="5"/>
        <w:keepNext w:val="0"/>
        <w:keepLines w:val="0"/>
        <w:widowControl/>
        <w:suppressLineNumbers w:val="0"/>
        <w:spacing w:before="75" w:beforeAutospacing="0" w:after="75" w:afterAutospacing="0"/>
        <w:ind w:left="0" w:right="0"/>
      </w:pPr>
      <w:r>
        <w:rPr>
          <w:rFonts w:ascii="黑体" w:hAnsi="宋体" w:eastAsia="黑体" w:cs="黑体"/>
          <w:sz w:val="30"/>
          <w:szCs w:val="30"/>
        </w:rPr>
        <w:t> </w:t>
      </w:r>
    </w:p>
    <w:p w14:paraId="6924DCDF">
      <w:pPr>
        <w:pStyle w:val="5"/>
        <w:keepNext w:val="0"/>
        <w:keepLines w:val="0"/>
        <w:widowControl/>
        <w:suppressLineNumbers w:val="0"/>
        <w:spacing w:before="75" w:beforeAutospacing="0" w:after="75" w:afterAutospacing="0"/>
        <w:ind w:left="0" w:right="0"/>
      </w:pPr>
      <w:r>
        <w:rPr>
          <w:rFonts w:hint="eastAsia" w:ascii="黑体" w:hAnsi="宋体" w:eastAsia="黑体" w:cs="黑体"/>
          <w:sz w:val="30"/>
          <w:szCs w:val="30"/>
        </w:rPr>
        <w:t>第一部分  部门概况</w:t>
      </w:r>
    </w:p>
    <w:p w14:paraId="0FF86875">
      <w:pPr>
        <w:pStyle w:val="5"/>
        <w:keepNext w:val="0"/>
        <w:keepLines w:val="0"/>
        <w:widowControl/>
        <w:suppressLineNumbers w:val="0"/>
        <w:spacing w:before="75" w:beforeAutospacing="0" w:after="75" w:afterAutospacing="0" w:line="240" w:lineRule="atLeast"/>
        <w:ind w:left="0" w:right="0"/>
      </w:pPr>
      <w:r>
        <w:rPr>
          <w:rFonts w:ascii="楷体" w:hAnsi="楷体" w:eastAsia="楷体" w:cs="楷体"/>
          <w:sz w:val="30"/>
          <w:szCs w:val="30"/>
        </w:rPr>
        <w:t>一、主要职</w:t>
      </w:r>
      <w:r>
        <w:rPr>
          <w:rFonts w:hint="eastAsia" w:ascii="楷体" w:hAnsi="楷体" w:eastAsia="楷体" w:cs="楷体"/>
          <w:sz w:val="30"/>
          <w:szCs w:val="30"/>
        </w:rPr>
        <w:t>责</w:t>
      </w:r>
    </w:p>
    <w:p w14:paraId="65CA392C">
      <w:pPr>
        <w:pStyle w:val="5"/>
        <w:keepNext w:val="0"/>
        <w:keepLines w:val="0"/>
        <w:widowControl/>
        <w:suppressLineNumbers w:val="0"/>
        <w:spacing w:before="75" w:beforeAutospacing="0" w:after="75" w:afterAutospacing="0" w:line="240" w:lineRule="atLeast"/>
        <w:ind w:left="0" w:right="0"/>
      </w:pPr>
      <w:r>
        <w:rPr>
          <w:rFonts w:hint="eastAsia" w:ascii="楷体" w:hAnsi="楷体" w:eastAsia="楷体" w:cs="楷体"/>
          <w:sz w:val="30"/>
          <w:szCs w:val="30"/>
        </w:rPr>
        <w:t>二、基本情况</w:t>
      </w:r>
    </w:p>
    <w:p w14:paraId="14BD949A">
      <w:pPr>
        <w:pStyle w:val="5"/>
        <w:keepNext w:val="0"/>
        <w:keepLines w:val="0"/>
        <w:widowControl/>
        <w:suppressLineNumbers w:val="0"/>
        <w:spacing w:before="75" w:beforeAutospacing="0" w:after="75" w:afterAutospacing="0" w:line="240" w:lineRule="atLeast"/>
        <w:ind w:left="0" w:right="0"/>
      </w:pPr>
      <w:r>
        <w:rPr>
          <w:rFonts w:hint="eastAsia" w:ascii="楷体" w:hAnsi="楷体" w:eastAsia="楷体" w:cs="楷体"/>
          <w:sz w:val="30"/>
          <w:szCs w:val="30"/>
        </w:rPr>
        <w:t>三、重点工作概述</w:t>
      </w:r>
    </w:p>
    <w:p w14:paraId="325D8C56">
      <w:pPr>
        <w:pStyle w:val="5"/>
        <w:keepNext w:val="0"/>
        <w:keepLines w:val="0"/>
        <w:widowControl/>
        <w:suppressLineNumbers w:val="0"/>
        <w:spacing w:before="75" w:beforeAutospacing="0" w:after="75" w:afterAutospacing="0"/>
        <w:ind w:left="0" w:right="0"/>
      </w:pPr>
      <w:r>
        <w:rPr>
          <w:rFonts w:hint="eastAsia" w:ascii="黑体" w:hAnsi="宋体" w:eastAsia="黑体" w:cs="黑体"/>
          <w:sz w:val="30"/>
          <w:szCs w:val="30"/>
        </w:rPr>
        <w:t>第二部分  2025年度部门决算表</w:t>
      </w:r>
    </w:p>
    <w:p w14:paraId="3F825B21">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一、收入支出决算表</w:t>
      </w:r>
    </w:p>
    <w:p w14:paraId="55B2CF22">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二、收入决算表</w:t>
      </w:r>
    </w:p>
    <w:p w14:paraId="7318276C">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三、支出决算表</w:t>
      </w:r>
    </w:p>
    <w:p w14:paraId="326F8876">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四、财政拨款收入支出决算表</w:t>
      </w:r>
    </w:p>
    <w:p w14:paraId="464C7863">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五、一般公共预算财政拨款收入支出决算表</w:t>
      </w:r>
    </w:p>
    <w:p w14:paraId="725B0926">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六、一般公共预算财政拨款基本支出决算表</w:t>
      </w:r>
    </w:p>
    <w:p w14:paraId="3E66676D">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七、一般公共预算财政拨款项目支出决算表</w:t>
      </w:r>
    </w:p>
    <w:p w14:paraId="5BDCA12D">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八、政府性基金预算财政拨款收入支出决算表</w:t>
      </w:r>
    </w:p>
    <w:p w14:paraId="16C2BE1E">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九、国有资本经营预算财政拨款收入支出决算表</w:t>
      </w:r>
    </w:p>
    <w:p w14:paraId="6A7A18A9">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十、财政拨款“三公”经费、行政参公单位机关运行经费情况表</w:t>
      </w:r>
    </w:p>
    <w:p w14:paraId="301F93D9">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十一、一般公共预算财政拨款“三公”经费情况表</w:t>
      </w:r>
    </w:p>
    <w:p w14:paraId="6FE67D09">
      <w:pPr>
        <w:pStyle w:val="5"/>
        <w:keepNext w:val="0"/>
        <w:keepLines w:val="0"/>
        <w:widowControl/>
        <w:suppressLineNumbers w:val="0"/>
        <w:spacing w:before="75" w:beforeAutospacing="0" w:after="75" w:afterAutospacing="0"/>
        <w:ind w:left="0" w:right="0"/>
      </w:pPr>
      <w:r>
        <w:rPr>
          <w:rFonts w:hint="eastAsia" w:ascii="黑体" w:hAnsi="宋体" w:eastAsia="黑体" w:cs="黑体"/>
          <w:sz w:val="30"/>
          <w:szCs w:val="30"/>
        </w:rPr>
        <w:t>第三部分  2025年度部门决算情况说明</w:t>
      </w:r>
    </w:p>
    <w:p w14:paraId="5BC03C81">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一、收入决算情况说明</w:t>
      </w:r>
    </w:p>
    <w:p w14:paraId="3FA10032">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二、支出决算情况说明</w:t>
      </w:r>
    </w:p>
    <w:p w14:paraId="53F18A89">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三、一般公共预算财政拨款支出决算情况说明</w:t>
      </w:r>
    </w:p>
    <w:p w14:paraId="1C8DD4DE">
      <w:pPr>
        <w:pStyle w:val="5"/>
        <w:keepNext w:val="0"/>
        <w:keepLines w:val="0"/>
        <w:widowControl/>
        <w:suppressLineNumbers w:val="0"/>
        <w:spacing w:before="105" w:beforeAutospacing="0" w:after="105" w:afterAutospacing="0" w:line="360" w:lineRule="atLeast"/>
        <w:ind w:left="0" w:right="0"/>
      </w:pPr>
      <w:r>
        <w:rPr>
          <w:rFonts w:hint="eastAsia" w:ascii="楷体" w:hAnsi="楷体" w:eastAsia="楷体" w:cs="楷体"/>
          <w:sz w:val="30"/>
          <w:szCs w:val="30"/>
        </w:rPr>
        <w:t>四、财政拨款“三公”经费支出决算情况说明</w:t>
      </w:r>
    </w:p>
    <w:p w14:paraId="42F6F0A4">
      <w:pPr>
        <w:pStyle w:val="5"/>
        <w:keepNext w:val="0"/>
        <w:keepLines w:val="0"/>
        <w:widowControl/>
        <w:suppressLineNumbers w:val="0"/>
        <w:spacing w:before="105" w:beforeAutospacing="0" w:after="105" w:afterAutospacing="0" w:line="360" w:lineRule="atLeast"/>
        <w:ind w:left="0" w:right="0"/>
      </w:pPr>
      <w:r>
        <w:rPr>
          <w:rFonts w:hint="eastAsia" w:ascii="黑体" w:hAnsi="宋体" w:eastAsia="黑体" w:cs="黑体"/>
          <w:sz w:val="30"/>
          <w:szCs w:val="30"/>
        </w:rPr>
        <w:t>第四部分</w:t>
      </w:r>
      <w:r>
        <w:rPr>
          <w:rFonts w:hint="eastAsia" w:ascii="楷体" w:hAnsi="楷体" w:eastAsia="楷体" w:cs="楷体"/>
          <w:sz w:val="30"/>
          <w:szCs w:val="30"/>
        </w:rPr>
        <w:t>  </w:t>
      </w:r>
      <w:r>
        <w:rPr>
          <w:rFonts w:hint="eastAsia" w:ascii="黑体" w:hAnsi="宋体" w:eastAsia="黑体" w:cs="黑体"/>
          <w:sz w:val="30"/>
          <w:szCs w:val="30"/>
        </w:rPr>
        <w:t>其他重要事项及相关口径情况说明</w:t>
      </w:r>
    </w:p>
    <w:p w14:paraId="73DC1205">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一、机关运行经费支出情况</w:t>
      </w:r>
    </w:p>
    <w:p w14:paraId="713A80FE">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二、国有资产占用情况</w:t>
      </w:r>
    </w:p>
    <w:p w14:paraId="7B4D749A">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三、政府采购支出情况</w:t>
      </w:r>
    </w:p>
    <w:p w14:paraId="66003089">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四、部门绩效自评情况</w:t>
      </w:r>
    </w:p>
    <w:p w14:paraId="4874D5AB">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五、其他重要事项情况说明</w:t>
      </w:r>
    </w:p>
    <w:p w14:paraId="523AF5F8">
      <w:pPr>
        <w:pStyle w:val="5"/>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六、相关口径说明</w:t>
      </w:r>
    </w:p>
    <w:p w14:paraId="484737C5">
      <w:pPr>
        <w:pStyle w:val="5"/>
        <w:keepNext w:val="0"/>
        <w:keepLines w:val="0"/>
        <w:widowControl/>
        <w:suppressLineNumbers w:val="0"/>
        <w:spacing w:before="105" w:beforeAutospacing="0" w:after="105" w:afterAutospacing="0" w:line="360" w:lineRule="atLeast"/>
        <w:ind w:left="0" w:right="0"/>
      </w:pPr>
      <w:r>
        <w:rPr>
          <w:rFonts w:hint="eastAsia" w:ascii="黑体" w:hAnsi="宋体" w:eastAsia="黑体" w:cs="黑体"/>
          <w:sz w:val="30"/>
          <w:szCs w:val="30"/>
        </w:rPr>
        <w:t>第五部分  名词解释</w:t>
      </w:r>
      <w:r>
        <w:rPr>
          <w:rFonts w:hint="eastAsia" w:ascii="黑体" w:hAnsi="宋体" w:eastAsia="黑体" w:cs="黑体"/>
          <w:sz w:val="31"/>
          <w:szCs w:val="31"/>
        </w:rPr>
        <w:t> </w:t>
      </w:r>
    </w:p>
    <w:p w14:paraId="22CB8AE9">
      <w:pPr>
        <w:pStyle w:val="5"/>
        <w:keepNext w:val="0"/>
        <w:keepLines w:val="0"/>
        <w:widowControl/>
        <w:suppressLineNumbers w:val="0"/>
        <w:spacing w:before="75" w:beforeAutospacing="0" w:after="75" w:afterAutospacing="0"/>
        <w:ind w:left="0" w:right="0"/>
        <w:jc w:val="both"/>
      </w:pPr>
      <w:r>
        <w:rPr>
          <w:rFonts w:hint="eastAsia" w:ascii="黑体" w:hAnsi="宋体" w:eastAsia="黑体" w:cs="黑体"/>
          <w:sz w:val="31"/>
          <w:szCs w:val="31"/>
        </w:rPr>
        <w:t> </w:t>
      </w:r>
    </w:p>
    <w:p w14:paraId="3A0EA65F">
      <w:pPr>
        <w:pStyle w:val="5"/>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第一部分  部门概况</w:t>
      </w:r>
    </w:p>
    <w:p w14:paraId="427E912C">
      <w:pPr>
        <w:pStyle w:val="5"/>
        <w:keepNext w:val="0"/>
        <w:keepLines w:val="0"/>
        <w:widowControl/>
        <w:suppressLineNumbers w:val="0"/>
        <w:spacing w:before="75" w:beforeAutospacing="0" w:after="75" w:afterAutospacing="0" w:line="600" w:lineRule="atLeast"/>
        <w:ind w:left="0" w:right="0" w:firstLine="600"/>
      </w:pPr>
      <w:r>
        <w:rPr>
          <w:rFonts w:hint="eastAsia" w:ascii="黑体" w:hAnsi="宋体" w:eastAsia="黑体" w:cs="黑体"/>
          <w:sz w:val="30"/>
          <w:szCs w:val="30"/>
        </w:rPr>
        <w:t>一、主要职责</w:t>
      </w:r>
    </w:p>
    <w:p w14:paraId="5154D785">
      <w:pPr>
        <w:pStyle w:val="5"/>
        <w:keepNext w:val="0"/>
        <w:keepLines w:val="0"/>
        <w:widowControl/>
        <w:suppressLineNumbers w:val="0"/>
        <w:spacing w:before="75" w:beforeAutospacing="0" w:after="75" w:afterAutospacing="0" w:line="600" w:lineRule="atLeast"/>
        <w:ind w:left="0" w:right="0" w:firstLine="630"/>
      </w:pPr>
      <w:r>
        <w:rPr>
          <w:rFonts w:ascii="仿宋_GB2312" w:eastAsia="仿宋_GB2312" w:cs="仿宋_GB2312"/>
          <w:sz w:val="30"/>
          <w:szCs w:val="30"/>
        </w:rPr>
        <w:t>1.贯彻执行党和国家教育体育工作方针政策和法律法规，拟订全县教育体育工作的规章草案和规范性文件，并组织实施。</w:t>
      </w:r>
    </w:p>
    <w:p w14:paraId="1691EFA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拟订全县教育体育体制改革方案、中长期发展规划和年度计划；指导全县各学校布局建设规划；指导和管理教育体育系统基本建设工作；指导县直单位和各学校体育场馆等体育基础设施的布局建设规划；统筹全县群众体育、竞技体育、青少年体育和教育体育产业发展规划；拟订全县教育体育系统人才队伍建设规划；统筹规划和指导全县各级各类学校校长、教师培训和继续教育工作。</w:t>
      </w:r>
    </w:p>
    <w:p w14:paraId="009D3802">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3.管理县本级教育体育经费，会同有关部门拟订教育体育经费筹措、拨款、基建投资的意见和管理办法；加强体育彩票公益金使用管理；统筹安排全县教育经费附加、教育体育专项经费；会同有关部门检查、指导各乡镇（街道）、各学校教育体育事业经费的安排和使用情况；指导和监督县教育体育系统内部审计工作；负责各学校和所属事业单位的国有资产管理，会同有关部门监督教育收费标准的执行；实施家庭困难学生资助工作。</w:t>
      </w:r>
    </w:p>
    <w:p w14:paraId="794AEBBD">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4.管理和指导全县学前教育、义务教育、普通高中教育、特殊教育、职业教育和成人教育工作；统筹管理民办教育和社会培训机构，拟订民办教育发展规划和政策；指导、协调少数民族教育工作；指导各级各类学校开展教育教学、办学体制、激励机制改革；负责全县各级各类学校的建立、调整、撤销及其发展规模、学制、专业设置等审核、报批、审批工作。</w:t>
      </w:r>
    </w:p>
    <w:p w14:paraId="0DFA81E3">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5.贯彻《全民健身条例》，负责推行全民健身计划，广泛开展全民健身活动；指导全民健身基础设施建设；开展国民体质监测。</w:t>
      </w:r>
    </w:p>
    <w:p w14:paraId="653F04D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6.统筹全县竞技体育改革发展，管理业余训练和设置竞技运动项目；指导运动队伍建设，协调运动员社会保障工作；统筹全县青少年体育改革发展，指导和推进青少年体育工作；负责全县体育竞赛管理，组织参加和举办各级体育赛事。</w:t>
      </w:r>
    </w:p>
    <w:p w14:paraId="2B6577B2">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7.制定全县各级各类学校招生计划和招生政策；负责各类高等学历教育招生考试，高、初中学业水平考试以及教师资格等其它社会考试工作；指导和管理全县中小学、学前学生学籍。</w:t>
      </w:r>
    </w:p>
    <w:p w14:paraId="7A3BC606">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8.指导和协调全县教育体育系统的科研、科普工作；组织和指导教研机构和学校开展教育教学研究；负责教育体育领域科技研究、技术攻关和成果推广工作。</w:t>
      </w:r>
    </w:p>
    <w:p w14:paraId="7E586E2D">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9.指导教育督导和评估，对乡镇政府、街道办事处的教育职责和学校的工作进行监督、检查、评估。</w:t>
      </w:r>
    </w:p>
    <w:p w14:paraId="437584E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10.指导全县各级各类学校的思想政治工作、德育工作、精神文明建设工作；统筹管理和指导学校体育、卫生健康、艺术教育、法治教育、安全教育、国防教育和禁毒防艾教育；指导全县青少年科技活动和校外教育工作。</w:t>
      </w:r>
    </w:p>
    <w:p w14:paraId="2F35E03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11.统筹全县教育体育系统安全稳定工作；负责协调全县教育体育系统治安综合治理和安全管理工作；指导并做好各类应急预案及安全演练工作；指导、检查、督促全县教育体育系统信访稳定工作。</w:t>
      </w:r>
    </w:p>
    <w:p w14:paraId="74DAB8C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12.负责教育体育人才队伍建设工作，指导各级各类学校加强师德师风建设和教职工管理；负责教师资格认定和教师、教练员专业技术职务评审工作；负责各义务教育学校校长教师交流轮岗工作，推进义务教育教师</w:t>
      </w:r>
      <w:r>
        <w:rPr>
          <w:rFonts w:hint="default" w:ascii="Times New Roman" w:hAnsi="Times New Roman" w:eastAsia="仿宋_GB2312" w:cs="Times New Roman"/>
          <w:sz w:val="30"/>
          <w:szCs w:val="30"/>
        </w:rPr>
        <w:t>“</w:t>
      </w:r>
      <w:r>
        <w:rPr>
          <w:rFonts w:hint="default" w:ascii="仿宋_GB2312" w:eastAsia="仿宋_GB2312" w:cs="仿宋_GB2312"/>
          <w:sz w:val="30"/>
          <w:szCs w:val="30"/>
        </w:rPr>
        <w:t>县管校用</w:t>
      </w:r>
      <w:r>
        <w:rPr>
          <w:rFonts w:hint="default" w:ascii="Times New Roman" w:hAnsi="Times New Roman" w:eastAsia="仿宋_GB2312" w:cs="Times New Roman"/>
          <w:sz w:val="30"/>
          <w:szCs w:val="30"/>
        </w:rPr>
        <w:t>”</w:t>
      </w:r>
      <w:r>
        <w:rPr>
          <w:rFonts w:hint="default" w:ascii="仿宋_GB2312" w:eastAsia="仿宋_GB2312" w:cs="仿宋_GB2312"/>
          <w:sz w:val="30"/>
          <w:szCs w:val="30"/>
        </w:rPr>
        <w:t>管理体制改革；负责全县教练员、裁判员及社会体育指导员的培训工作。</w:t>
      </w:r>
    </w:p>
    <w:p w14:paraId="3F14DF00">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13.管理全县教育体育系统对外交流与合作；管理全县语言文字规范化工作，负责和指导推广普通话、普通话师资培训和普通话水平测试工作；管理和指导本系统社团、协会组织。</w:t>
      </w:r>
    </w:p>
    <w:p w14:paraId="2B930B95">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14.发展体育产业，促进体育消费；监督管理公共体育设施使用；推进体育公共服务体系建设；负责管理监督体育运动中的赛风赛纪和反兴奋剂工作。</w:t>
      </w:r>
    </w:p>
    <w:p w14:paraId="476CE9DC">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15.完成县委、县政府交办的其他任务。</w:t>
      </w:r>
    </w:p>
    <w:p w14:paraId="13978401">
      <w:pPr>
        <w:pStyle w:val="5"/>
        <w:keepNext w:val="0"/>
        <w:keepLines w:val="0"/>
        <w:widowControl/>
        <w:suppressLineNumbers w:val="0"/>
        <w:spacing w:before="75" w:beforeAutospacing="0" w:after="75" w:afterAutospacing="0" w:line="600" w:lineRule="atLeast"/>
        <w:ind w:left="0" w:right="0" w:firstLine="600"/>
      </w:pPr>
      <w:r>
        <w:rPr>
          <w:rFonts w:hint="eastAsia" w:ascii="黑体" w:hAnsi="宋体" w:eastAsia="黑体" w:cs="黑体"/>
          <w:sz w:val="30"/>
          <w:szCs w:val="30"/>
        </w:rPr>
        <w:t>二、基本情况</w:t>
      </w:r>
    </w:p>
    <w:p w14:paraId="0557A969">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（一）机构设置情况</w:t>
      </w:r>
    </w:p>
    <w:p w14:paraId="7CDA5CDB">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我部门共设置6个内设机构，包括：办公室（行政审批股）、计划财务股（校财局管会计核算中心）、人事股、教育股（德育股）、体育股和党建办公室。</w:t>
      </w:r>
    </w:p>
    <w:p w14:paraId="25A279F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所属单位25个，分别是：</w:t>
      </w:r>
    </w:p>
    <w:p w14:paraId="675AE9D0">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1.通海县教育体育局</w:t>
      </w:r>
    </w:p>
    <w:p w14:paraId="65CE738C">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2.通海县第一幼儿园</w:t>
      </w:r>
    </w:p>
    <w:p w14:paraId="0655911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3.通海县秀山幼儿园</w:t>
      </w:r>
    </w:p>
    <w:p w14:paraId="03563F5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4.通海县少年儿童业余体育学校</w:t>
      </w:r>
    </w:p>
    <w:p w14:paraId="75E35706">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5.通海县职业高级中学</w:t>
      </w:r>
    </w:p>
    <w:p w14:paraId="03F84373">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6.云南省通海县第一中学</w:t>
      </w:r>
    </w:p>
    <w:p w14:paraId="657A6ED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7.云南省通海县第二中学</w:t>
      </w:r>
    </w:p>
    <w:p w14:paraId="1762BE37">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8.云南省通海县第三中学</w:t>
      </w:r>
    </w:p>
    <w:p w14:paraId="7F97D0C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9.通海县河西中心小学</w:t>
      </w:r>
    </w:p>
    <w:p w14:paraId="1198183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10.通海县九龙中心小学</w:t>
      </w:r>
    </w:p>
    <w:p w14:paraId="0CBD7740">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11.通海县秀山中心小学</w:t>
      </w:r>
    </w:p>
    <w:p w14:paraId="02783797">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12.通海县兴蒙中心小学</w:t>
      </w:r>
    </w:p>
    <w:p w14:paraId="1697998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13.通海县里山中心小学</w:t>
      </w:r>
    </w:p>
    <w:p w14:paraId="711993D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14.通海县四街中心小学</w:t>
      </w:r>
    </w:p>
    <w:p w14:paraId="42AFBF1D">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15.通海县杨广中心小学</w:t>
      </w:r>
    </w:p>
    <w:p w14:paraId="380C39AA">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16.通海县高大中心小学</w:t>
      </w:r>
    </w:p>
    <w:p w14:paraId="54B16B5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17.通海县秀山中学</w:t>
      </w:r>
    </w:p>
    <w:p w14:paraId="05A822E3">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18.通海县九龙中学</w:t>
      </w:r>
    </w:p>
    <w:p w14:paraId="7E64DE3E">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19.通海县朝阳中学</w:t>
      </w:r>
    </w:p>
    <w:p w14:paraId="525F043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20.通海县桑园中学</w:t>
      </w:r>
    </w:p>
    <w:p w14:paraId="6E9EB97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21.通海县杨广中学</w:t>
      </w:r>
    </w:p>
    <w:p w14:paraId="7CDDF38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22.通海县东麓中学</w:t>
      </w:r>
    </w:p>
    <w:p w14:paraId="41475437">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23.通海县河西中学</w:t>
      </w:r>
    </w:p>
    <w:p w14:paraId="3AF7871D">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24.通海县纳古中心小学</w:t>
      </w:r>
    </w:p>
    <w:p w14:paraId="112B66CD">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25.通海县特殊教育学校</w:t>
      </w:r>
    </w:p>
    <w:p w14:paraId="3A71ECD0">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（二）决算单位构成情况</w:t>
      </w:r>
    </w:p>
    <w:p w14:paraId="00495563">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纳入我部门2025年度部门决算编报的单位共25个。分别是：</w:t>
      </w:r>
    </w:p>
    <w:p w14:paraId="59E2503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1.通海县教育体育局</w:t>
      </w:r>
    </w:p>
    <w:p w14:paraId="31A1778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2.通海县第一幼儿园</w:t>
      </w:r>
    </w:p>
    <w:p w14:paraId="376875DC">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3.通海县秀山幼儿园</w:t>
      </w:r>
    </w:p>
    <w:p w14:paraId="1333F3E9">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4.通海县少年儿童业余体育学校</w:t>
      </w:r>
    </w:p>
    <w:p w14:paraId="72F2020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5.通海县职业高级中学</w:t>
      </w:r>
    </w:p>
    <w:p w14:paraId="214FCA1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6.云南省通海县第一中学</w:t>
      </w:r>
    </w:p>
    <w:p w14:paraId="769A553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7.云南省通海县第二中学</w:t>
      </w:r>
    </w:p>
    <w:p w14:paraId="671F5726">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8.云南省通海县第三中学</w:t>
      </w:r>
    </w:p>
    <w:p w14:paraId="06620C6D">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9.通海县河西中心小学</w:t>
      </w:r>
    </w:p>
    <w:p w14:paraId="24AA9DD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10.通海县九龙中心小学</w:t>
      </w:r>
    </w:p>
    <w:p w14:paraId="4C0DE505">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11.通海县秀山中心小学</w:t>
      </w:r>
    </w:p>
    <w:p w14:paraId="3B7E8212">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12.通海县兴蒙中心小学</w:t>
      </w:r>
    </w:p>
    <w:p w14:paraId="05F3B063">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13.通海县里山中心小学</w:t>
      </w:r>
    </w:p>
    <w:p w14:paraId="385AABA7">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14.通海县四街中心小学</w:t>
      </w:r>
    </w:p>
    <w:p w14:paraId="249A069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15.通海县杨广中心小学</w:t>
      </w:r>
    </w:p>
    <w:p w14:paraId="79B4A2F8">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16.通海县高大中心小学</w:t>
      </w:r>
    </w:p>
    <w:p w14:paraId="2812D9FE">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17.通海县秀山中学</w:t>
      </w:r>
    </w:p>
    <w:p w14:paraId="1F7BC22F">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18.通海县九龙中学</w:t>
      </w:r>
    </w:p>
    <w:p w14:paraId="72076C5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19.通海县朝阳中学</w:t>
      </w:r>
    </w:p>
    <w:p w14:paraId="43598EDB">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20.通海县桑园中学</w:t>
      </w:r>
    </w:p>
    <w:p w14:paraId="05591E0A">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21.通海县杨广中学</w:t>
      </w:r>
    </w:p>
    <w:p w14:paraId="501E361E">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22.通海县东麓中学</w:t>
      </w:r>
    </w:p>
    <w:p w14:paraId="65AFBD0C">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23.通海县河西中学</w:t>
      </w:r>
    </w:p>
    <w:p w14:paraId="2A99D1AA">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24.通海县纳古中心小学</w:t>
      </w:r>
    </w:p>
    <w:p w14:paraId="07ADEA52">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25.通海县特殊教育学校</w:t>
      </w:r>
    </w:p>
    <w:p w14:paraId="22551679">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纳入我部门2025年度部门决算编报的单位与我部门所属单位范围保持一致。</w:t>
      </w:r>
    </w:p>
    <w:p w14:paraId="0D4463BD">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（三）部门人员和车辆的编制及实有情况</w:t>
      </w:r>
    </w:p>
    <w:p w14:paraId="2B32A15C">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我部门2025年末编制内实有人员2576人。包括财政拨款开支经费的：公务员10人，参照公务员法管理人员0人，事业管理人员和专业技术人员2524人，机关和事业工人42人；经费自理人员0人。</w:t>
      </w:r>
    </w:p>
    <w:p w14:paraId="62AE192C">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我部门2025年末其他人员403人。包括财政拨款开支经费的人员360人；经费自理人员43人。</w:t>
      </w:r>
    </w:p>
    <w:p w14:paraId="3128C222">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年末单位发放离退休费的离退休人员共计0人（离休0人，退休0人）。年末由养老保险基金发放养老金的离退休人员1508人（离休0人，退休1508人）。年末学生34082人。年末遗属120人。</w:t>
      </w:r>
    </w:p>
    <w:p w14:paraId="4847F17F">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车辆编制1辆，在编实有车辆1辆，超编0辆。</w:t>
      </w:r>
    </w:p>
    <w:p w14:paraId="13CC445B">
      <w:pPr>
        <w:pStyle w:val="5"/>
        <w:keepNext w:val="0"/>
        <w:keepLines w:val="0"/>
        <w:widowControl/>
        <w:suppressLineNumbers w:val="0"/>
        <w:spacing w:before="75" w:beforeAutospacing="0" w:after="75" w:afterAutospacing="0" w:line="600" w:lineRule="atLeast"/>
        <w:ind w:left="0" w:right="0" w:firstLine="600"/>
      </w:pPr>
      <w:r>
        <w:rPr>
          <w:rFonts w:hint="eastAsia" w:ascii="黑体" w:hAnsi="宋体" w:eastAsia="黑体" w:cs="黑体"/>
          <w:sz w:val="30"/>
          <w:szCs w:val="30"/>
        </w:rPr>
        <w:t>三、重点工作概述</w:t>
      </w:r>
    </w:p>
    <w:p w14:paraId="5D2C984D">
      <w:pPr>
        <w:pStyle w:val="5"/>
        <w:keepNext w:val="0"/>
        <w:keepLines w:val="0"/>
        <w:widowControl/>
        <w:suppressLineNumbers w:val="0"/>
        <w:spacing w:before="75" w:beforeAutospacing="0" w:after="75" w:afterAutospacing="0" w:line="600" w:lineRule="atLeast"/>
        <w:ind w:left="0" w:right="0"/>
      </w:pPr>
      <w:r>
        <w:rPr>
          <w:rFonts w:hint="eastAsia" w:ascii="楷体" w:hAnsi="楷体" w:eastAsia="楷体" w:cs="楷体"/>
          <w:sz w:val="30"/>
          <w:szCs w:val="30"/>
        </w:rPr>
        <w:t>   （一）党建引领，高位统筹强基固本</w:t>
      </w:r>
    </w:p>
    <w:p w14:paraId="641A1B16">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1.把舵定向，扛牢主体责任。深入学习中国共产党第二十次全国代表大会及历次全会精神，以及习近平总书记考察云南重要讲话精神等，持续巩固拓展深入贯彻深入贯彻深入贯彻中央八项规定精神学习教育成果。</w:t>
      </w:r>
    </w:p>
    <w:p w14:paraId="32418D61">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2.固本培元，建强基层组织。持续巩固中小学校党组织领导的校长负责制工作成果，调整校级领导46人次，认定党务工作者10人。健全学校党组织决策和监督机制，督促各学校参照中组部、教育部印发的示范文本对本校章程、相关议事规则进行了修改完善。推进基层党建工作规范化，加强民办幼儿园党组织建设，“两个覆盖”工作稳步推进。</w:t>
      </w:r>
    </w:p>
    <w:p w14:paraId="77F06C0B">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3.守正创新，筑牢思想防线。将意识形态工作纳入党建工作责任制，定期开展会商研判，持续开展风险隐患排查、突出问题整治、阵地管理提升“三大行动”。开展开学第一课、法制讲座、青少年爱国主义读书教育活动、演讲和征文比赛等活动，融入时政时事热点，结合“六个一”扎实开展好假期班、少年宫系列活动。加大国家通用语言文字推广力度，开展全县中小学生合唱比赛，促进铸牢中华民族共同体意识。</w:t>
      </w:r>
    </w:p>
    <w:p w14:paraId="09B42AD4">
      <w:pPr>
        <w:pStyle w:val="5"/>
        <w:keepNext w:val="0"/>
        <w:keepLines w:val="0"/>
        <w:widowControl/>
        <w:suppressLineNumbers w:val="0"/>
        <w:spacing w:before="75" w:beforeAutospacing="0" w:after="75" w:afterAutospacing="0" w:line="600" w:lineRule="atLeast"/>
        <w:ind w:left="0" w:right="0" w:firstLine="615"/>
      </w:pPr>
      <w:r>
        <w:rPr>
          <w:rFonts w:hint="default" w:ascii="仿宋_GB2312" w:eastAsia="仿宋_GB2312" w:cs="仿宋_GB2312"/>
          <w:sz w:val="30"/>
          <w:szCs w:val="30"/>
        </w:rPr>
        <w:t>4.风纪强体，握紧管治戒尺。把全面从严治党作为推动通海教育事业发展的根本保证，加强对党员干部和公职人员的廉政风险防控、警示教育、日常监督提醒。全力推动深入贯彻深入贯彻中央八项规定精神学习教育走深走实，结合违规饮酒和干部作风突出问题集中整治工作。开展通海县“玉师清风”专项行动，靶向发力整治师德师风突出问题。有效维护了师生的合法权益，同时促使党员干部增强了纪律意识、廉洁意识和责任意识，自觉遵守党纪国法，转变工作作风。</w:t>
      </w:r>
    </w:p>
    <w:p w14:paraId="578C9564">
      <w:pPr>
        <w:pStyle w:val="5"/>
        <w:keepNext w:val="0"/>
        <w:keepLines w:val="0"/>
        <w:widowControl/>
        <w:suppressLineNumbers w:val="0"/>
        <w:spacing w:before="75" w:beforeAutospacing="0" w:after="75" w:afterAutospacing="0" w:line="600" w:lineRule="atLeast"/>
        <w:ind w:left="0" w:right="0" w:firstLine="600"/>
      </w:pPr>
      <w:r>
        <w:rPr>
          <w:rFonts w:hint="eastAsia" w:ascii="楷体" w:hAnsi="楷体" w:eastAsia="楷体" w:cs="楷体"/>
          <w:sz w:val="30"/>
          <w:szCs w:val="30"/>
        </w:rPr>
        <w:t>（二）专项整治，净化教育政治生态</w:t>
      </w:r>
    </w:p>
    <w:p w14:paraId="656AF111">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1.加强领导，高位推动。扎实做好教育领域不正之风和腐败问题集中整治工作和中央督导组反馈问题整改工作，成立工作专班7个，市县两级多次进行研究安排和工作指导。</w:t>
      </w:r>
    </w:p>
    <w:p w14:paraId="45E0D272">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2.建立健全工作机制，层层压实责任。制发整治实施方案和各专项整治实施方案，形成《教育领域集中整治群众身边不正之风和腐败问题工作有关文件汇编》，建立局专班周调度、县级半月调度的工作机制，市内首家推出专项整治工作在校外公开公示制度。健全完善了《通海县教育体育局集中整治群众身边不正之风和腐败问题工作机制》《2025年集中整治群众身边不正之风和腐败问题任务清单》以及相关管理制度40余个。通过层层压实责任，做到任务落地见效。</w:t>
      </w:r>
    </w:p>
    <w:p w14:paraId="46445C7F">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3.加强督导，推动问题整改出实效。聚焦“校园餐”、征订教辅、购买校服和体育领域风腐问题，多轮次、全覆盖排查，打好“攻坚战”、“突击战”用心用力推进整改。强化协同联动，邀请县财政局、县检察院有关人员，抽调部分学校专业会计人员参与检查，并主动邀请审计部门进驻教体局开展专项审计，目前已抽取50.00%的义务教育学校进行“校园餐”、教辅征订、购买校服专项审计，已召开审计调查征求意见会，相关工作正持续推进。</w:t>
      </w:r>
    </w:p>
    <w:p w14:paraId="6D30752A">
      <w:pPr>
        <w:pStyle w:val="5"/>
        <w:keepNext w:val="0"/>
        <w:keepLines w:val="0"/>
        <w:widowControl/>
        <w:suppressLineNumbers w:val="0"/>
        <w:spacing w:before="75" w:beforeAutospacing="0" w:after="75" w:afterAutospacing="0" w:line="585" w:lineRule="atLeast"/>
        <w:ind w:left="0" w:right="0" w:firstLine="615"/>
        <w:jc w:val="both"/>
      </w:pPr>
      <w:r>
        <w:rPr>
          <w:rFonts w:hint="eastAsia" w:ascii="楷体" w:hAnsi="楷体" w:eastAsia="楷体" w:cs="楷体"/>
          <w:sz w:val="30"/>
          <w:szCs w:val="30"/>
        </w:rPr>
        <w:t>（三）多元齐进，提升教育教学质量</w:t>
      </w:r>
    </w:p>
    <w:p w14:paraId="14E558A4">
      <w:pPr>
        <w:pStyle w:val="5"/>
        <w:keepNext w:val="0"/>
        <w:keepLines w:val="0"/>
        <w:widowControl/>
        <w:suppressLineNumbers w:val="0"/>
        <w:spacing w:before="75" w:beforeAutospacing="0" w:after="75" w:afterAutospacing="0" w:line="585" w:lineRule="atLeast"/>
        <w:ind w:left="0" w:right="0" w:firstLine="615"/>
      </w:pPr>
      <w:r>
        <w:rPr>
          <w:rFonts w:hint="default" w:ascii="仿宋_GB2312" w:eastAsia="仿宋_GB2312" w:cs="仿宋_GB2312"/>
          <w:sz w:val="30"/>
          <w:szCs w:val="30"/>
        </w:rPr>
        <w:t>1.学前教育普惠发展实现“量质双升”。资源供给持续扩容，完成公办幼儿园改扩建项目；规范普惠性民办园认定，修订《通海县普惠性民办幼儿园管理办法》，认定普惠性民办园，全县普惠园覆盖率达100.00%；建立“城乡幼儿园结对帮扶”机制，优质园结对帮扶农村园，开展送教下乡，农村园教师专业能力显著提升；继续推进全县幼儿园园区集团化办学，促进学前教育城乡一体化发展；学前教育课程“游戏化”水平进一步提升，保教质量得到全面发展。</w:t>
      </w:r>
    </w:p>
    <w:p w14:paraId="0344831C">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2.积极推进义务教育优质均衡发展。创建国家义务教育优质均衡发展县通过省级评估。严格落实控辍保学工作措施，实现动态清零转向常态清零。抓实“双减”促“双升”，开展课后延时服务、五项管理和壮苗行动。全力推动校点布局融合，推进学区建设、集团化办学，组建学前教育集团，辐射帮带全县所有乡镇、民办幼儿园。按照优质均衡标准，通过撤并、改建、扩建和新建相结合的方式，推进教育资源整合，高中阶段撤并通海三中高中部，并入通海二中，进一步优化教育资源。</w:t>
      </w:r>
    </w:p>
    <w:p w14:paraId="4209642D">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3.积极破解高中教育“县中困境”。围绕“补齐办学条件短板、稳定县域生源、高考综合改革”这三个核心任务，把振兴县域普通高中目标落到实处。实现多级帮扶机制，市民族中学与通海一中结对帮扶，通海一中与通海二中结对帮扶。通海三中于2025年6月撤并高中办学，进一步整合高中办学资源。</w:t>
      </w:r>
    </w:p>
    <w:p w14:paraId="6459B8A7">
      <w:pPr>
        <w:pStyle w:val="5"/>
        <w:keepNext w:val="0"/>
        <w:keepLines w:val="0"/>
        <w:widowControl/>
        <w:suppressLineNumbers w:val="0"/>
        <w:spacing w:before="75" w:beforeAutospacing="0" w:after="75" w:afterAutospacing="0" w:line="585" w:lineRule="atLeast"/>
        <w:ind w:left="0" w:right="0" w:firstLine="615"/>
      </w:pPr>
      <w:r>
        <w:rPr>
          <w:rFonts w:hint="default" w:ascii="仿宋_GB2312" w:eastAsia="仿宋_GB2312" w:cs="仿宋_GB2312"/>
          <w:sz w:val="30"/>
          <w:szCs w:val="30"/>
        </w:rPr>
        <w:t>4.特殊教育短板加速补齐。办学条件显著改善，完成县特殊教育学校标准化改造，新建康复训练室、感统训练室，配备听力检测、语言训练等专业设备，学校办学规模从3个班扩展至9个班，可容纳残疾学生150人，较改造前提升50.00%。针对送教上门儿童，制定“一人一案”个性化教学计划，组建由特教教师、康复师、普通教师组成的送教团队，使学生认知、生活自理能力平均提升30.00%以上。</w:t>
      </w:r>
    </w:p>
    <w:p w14:paraId="5698B658">
      <w:pPr>
        <w:pStyle w:val="5"/>
        <w:keepNext w:val="0"/>
        <w:keepLines w:val="0"/>
        <w:widowControl/>
        <w:suppressLineNumbers w:val="0"/>
        <w:spacing w:before="75" w:beforeAutospacing="0" w:after="75" w:afterAutospacing="0" w:line="585" w:lineRule="atLeast"/>
        <w:ind w:left="0" w:right="0" w:firstLine="615"/>
      </w:pPr>
      <w:r>
        <w:rPr>
          <w:rFonts w:hint="default" w:ascii="仿宋_GB2312" w:eastAsia="仿宋_GB2312" w:cs="仿宋_GB2312"/>
          <w:sz w:val="30"/>
          <w:szCs w:val="30"/>
        </w:rPr>
        <w:t>5.职普融通与产教融合创新特色。通海职中以烹饪为核心特色，深耕云南餐饮文化传承，立足区域产业特色，以产教融合为突破口推动职业教育提质升级。并采用“3+2”中高贯通、校企合作模式，搭建升学与就业双通道，完善人才成长通道。现学校烹饪专业建设水平位列云南省中职学校前列，成为对接地方产业的标杆专业，累计培养万余名烹饪人才，成为区域职教特色标杆。</w:t>
      </w:r>
    </w:p>
    <w:p w14:paraId="7100413A">
      <w:pPr>
        <w:pStyle w:val="5"/>
        <w:keepNext w:val="0"/>
        <w:keepLines w:val="0"/>
        <w:widowControl/>
        <w:suppressLineNumbers w:val="0"/>
        <w:spacing w:before="75" w:beforeAutospacing="0" w:after="75" w:afterAutospacing="0" w:line="600" w:lineRule="atLeast"/>
        <w:ind w:left="0" w:right="0" w:firstLine="600"/>
      </w:pPr>
      <w:r>
        <w:rPr>
          <w:rFonts w:hint="eastAsia" w:ascii="楷体" w:hAnsi="楷体" w:eastAsia="楷体" w:cs="楷体"/>
          <w:sz w:val="30"/>
          <w:szCs w:val="30"/>
        </w:rPr>
        <w:t>（四）服务保障，助力教育崭新风貌</w:t>
      </w:r>
    </w:p>
    <w:p w14:paraId="6AE09E82">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1.加快重点项目建设，助力教育高质量发展。通海县第一中学学生宿舍、食堂项目，目前主体已竣工并移交学校，学生用床和柜子已购置安装完毕，2025年12月14日学生已入住。项目完工极大的改善了通海一中学生住宿条件，提升学校整体教学配套水平；通海县第二中学新建教学楼项目，于2025年8月20日开工建设，目前已完成承台土方开挖、工程桩破桩头及地块边界围挡，正进入基础施工阶段。项目顺利完工后将有效缓解二中大班额问题；有序开展能力提升项目1个（通海县桑园中学改扩建项目）、中小学校舍维修改造长效机制项目12个、改善普通高中办学条件项目2个、支持学前教育发展项目1个（通海县杨广中心幼儿园建设项目）。制定《通海县“十五五”学校布局专项规划方案（2025—2030）》《通海县“十五五”教育事业发展规划（初稿）》。</w:t>
      </w:r>
    </w:p>
    <w:p w14:paraId="7F254CAB">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2.生均公用经费有序拨付，积极化解欠拨教育专项资金问题。严格落实“两个只增不减”要求，扎实做好学生资金资助和营养改善计划工作。</w:t>
      </w:r>
    </w:p>
    <w:p w14:paraId="5625B44E">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3.推进教师管理体制改革。通海县认真贯彻落实国家和省市县关于深化教育改革发展的决策部署，重点推进“县管校聘”管理改革，狠抓教师交流轮岗制度落实。引导优质师资向农村校、薄弱校有序流动，全县义务教育阶段学校师资结构得以优化，骨干教师分布更趋均衡，有力支撑了县域教育优质均衡发展目标的推进。</w:t>
      </w:r>
    </w:p>
    <w:p w14:paraId="584DCAB9">
      <w:pPr>
        <w:pStyle w:val="5"/>
        <w:keepNext w:val="0"/>
        <w:keepLines w:val="0"/>
        <w:widowControl/>
        <w:suppressLineNumbers w:val="0"/>
        <w:spacing w:before="75" w:beforeAutospacing="0" w:after="75" w:afterAutospacing="0" w:line="600" w:lineRule="atLeast"/>
        <w:ind w:left="0" w:right="0" w:firstLine="600"/>
      </w:pPr>
      <w:r>
        <w:rPr>
          <w:rFonts w:hint="eastAsia" w:ascii="楷体" w:hAnsi="楷体" w:eastAsia="楷体" w:cs="楷体"/>
          <w:sz w:val="30"/>
          <w:szCs w:val="30"/>
        </w:rPr>
        <w:t>（五）强化管理，筑牢校园安全防线</w:t>
      </w:r>
    </w:p>
    <w:p w14:paraId="57F4E433">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1.压实安全主体责任，筑牢安防硬件体系。以《通海县教育体育系统安全生产治本攻坚三年行动实施方案（2024－2026 年）》为纲领，健全事故应对机制，强化督导评估，压实岗位责任；提升校园安全“三防建设”水平，封闭化管理、保安人员配置、视频监控、一键式报警，以及防冲撞设施安装率均达100.00%。</w:t>
      </w:r>
    </w:p>
    <w:p w14:paraId="4FA27B69">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2.聚焦五大领域，推进重点攻坚整治。开展防溺水培训、检查，整改隐患，部分学校组织游泳社团并联动部门村组强化预防宣传；交通安全摸排出行方式，联合交警开展安全教育及“违规骑行”专项整治；消防安全联合消防救援大队开展专题讲座，整改重大消防安全隐患；食品安全开展排查；防灾减灾开展应急演练、提升应急疏散能力。</w:t>
      </w:r>
    </w:p>
    <w:p w14:paraId="4885A113">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3.强化培训宣传，提升安全意识能力。组织专家培训，培训防震减灾传播师；结合开学安全第一课、国家安全生产日、119消防日、交通安全日等节点开展系列主题安全教育活动；发放安全告知书，实现安全责任书全覆盖。</w:t>
      </w:r>
    </w:p>
    <w:p w14:paraId="1F0F8214">
      <w:pPr>
        <w:pStyle w:val="5"/>
        <w:keepNext w:val="0"/>
        <w:keepLines w:val="0"/>
        <w:widowControl/>
        <w:suppressLineNumbers w:val="0"/>
        <w:spacing w:before="75" w:beforeAutospacing="0" w:after="75" w:afterAutospacing="0" w:line="585" w:lineRule="atLeast"/>
        <w:ind w:left="0" w:right="0" w:firstLine="615"/>
        <w:jc w:val="both"/>
      </w:pPr>
      <w:r>
        <w:rPr>
          <w:rFonts w:hint="eastAsia" w:ascii="楷体" w:hAnsi="楷体" w:eastAsia="楷体" w:cs="楷体"/>
          <w:sz w:val="30"/>
          <w:szCs w:val="30"/>
        </w:rPr>
        <w:t>（六）成效显著，体育事业蓬勃发展</w:t>
      </w:r>
    </w:p>
    <w:p w14:paraId="5A26872F">
      <w:pPr>
        <w:pStyle w:val="5"/>
        <w:keepNext w:val="0"/>
        <w:keepLines w:val="0"/>
        <w:widowControl/>
        <w:suppressLineNumbers w:val="0"/>
        <w:spacing w:before="75" w:beforeAutospacing="0" w:after="75" w:afterAutospacing="0"/>
        <w:ind w:left="0" w:right="0" w:firstLine="615"/>
      </w:pPr>
      <w:r>
        <w:rPr>
          <w:rFonts w:hint="default" w:ascii="仿宋_GB2312" w:eastAsia="仿宋_GB2312" w:cs="仿宋_GB2312"/>
          <w:sz w:val="30"/>
          <w:szCs w:val="30"/>
        </w:rPr>
        <w:t>1.完善体育设施，推进全民健身。截至目前，全县共有体育场地1007个，田径场地（跑道30个），篮球场331块，足球场47块；77个行政村（社区）体育健身设施已经全部覆盖；登山步道5条（未挂步道标识牌）、健身步行道4条，综合骑行道1条长度76,626.00公里。2025年培训131名社会体育指导员，落实学生校内1小时体育活动，开放学校体育设施，开展多样健身活动。</w:t>
      </w:r>
    </w:p>
    <w:p w14:paraId="4A2DCC9B">
      <w:pPr>
        <w:pStyle w:val="5"/>
        <w:keepNext w:val="0"/>
        <w:keepLines w:val="0"/>
        <w:widowControl/>
        <w:suppressLineNumbers w:val="0"/>
        <w:spacing w:before="75" w:beforeAutospacing="0" w:after="75" w:afterAutospacing="0" w:line="585" w:lineRule="atLeast"/>
        <w:ind w:left="0" w:right="0" w:firstLine="615"/>
        <w:jc w:val="both"/>
      </w:pPr>
      <w:r>
        <w:rPr>
          <w:rFonts w:hint="default" w:ascii="仿宋_GB2312" w:eastAsia="仿宋_GB2312" w:cs="仿宋_GB2312"/>
          <w:sz w:val="30"/>
          <w:szCs w:val="30"/>
        </w:rPr>
        <w:t>2.体育事业整体呈蓬勃发展态势。赛事活动亮点突出，五一期间“通海有约·山水联赛”吸引4500余名选手参与，推动文体旅融合，举办“百马行动·杞麓湖站”及中小学生跆拳道等赛事，营造浓厚体育氛围。青少年体育工作稳步推进，校园活动丰富且构建后备人才体系；竞技体育斩获佳绩，解涵获全国自行车联赛冠军及全运会首金，钱可定、钱传俊在铁人三项赛事多次夺冠，李诗洋获全国皮划艇静水冠军赛金牌，充分彰显通海体育实力。</w:t>
      </w:r>
    </w:p>
    <w:p w14:paraId="5435992C">
      <w:pPr>
        <w:pStyle w:val="5"/>
        <w:keepNext w:val="0"/>
        <w:keepLines w:val="0"/>
        <w:widowControl/>
        <w:suppressLineNumbers w:val="0"/>
        <w:spacing w:before="0" w:beforeAutospacing="0" w:after="0" w:afterAutospacing="0" w:line="585" w:lineRule="atLeast"/>
        <w:ind w:left="0" w:right="0" w:firstLine="615"/>
        <w:jc w:val="both"/>
      </w:pPr>
      <w:r>
        <w:rPr>
          <w:rFonts w:hint="default" w:ascii="仿宋_GB2312" w:eastAsia="仿宋_GB2312" w:cs="仿宋_GB2312"/>
          <w:sz w:val="30"/>
          <w:szCs w:val="30"/>
        </w:rPr>
        <w:t>3.通海县教育体育局统筹推进森林防火、河长制及爱国卫生七个专项行动等工作落地见效，通过校园宣传筑牢防火防线，组织河道整治、开展生态教育，常态化清理网格卫生、优化健康服务，将各项工作融入教育教学，持续健全长效落实机制。</w:t>
      </w:r>
    </w:p>
    <w:p w14:paraId="00EF1952">
      <w:pPr>
        <w:pStyle w:val="5"/>
        <w:keepNext w:val="0"/>
        <w:keepLines w:val="0"/>
        <w:widowControl/>
        <w:suppressLineNumbers w:val="0"/>
        <w:spacing w:before="75" w:beforeAutospacing="0" w:after="75" w:afterAutospacing="0" w:line="600" w:lineRule="atLeast"/>
        <w:ind w:left="0" w:right="0"/>
      </w:pPr>
      <w:r>
        <w:rPr>
          <w:rFonts w:hint="default" w:ascii="仿宋_GB2312" w:eastAsia="仿宋_GB2312" w:cs="仿宋_GB2312"/>
          <w:sz w:val="30"/>
          <w:szCs w:val="30"/>
        </w:rPr>
        <w:t> </w:t>
      </w:r>
    </w:p>
    <w:p w14:paraId="63278D2B">
      <w:pPr>
        <w:pStyle w:val="5"/>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第二部分  2025年度部门决算表</w:t>
      </w:r>
    </w:p>
    <w:p w14:paraId="4EDFB61B">
      <w:pPr>
        <w:pStyle w:val="5"/>
        <w:keepNext w:val="0"/>
        <w:keepLines w:val="0"/>
        <w:widowControl/>
        <w:suppressLineNumbers w:val="0"/>
        <w:spacing w:before="75" w:beforeAutospacing="0" w:after="75" w:afterAutospacing="0" w:line="600" w:lineRule="atLeast"/>
        <w:ind w:left="0" w:right="0" w:firstLine="600"/>
        <w:jc w:val="center"/>
      </w:pPr>
      <w:r>
        <w:rPr>
          <w:rFonts w:hint="default" w:ascii="仿宋_GB2312" w:eastAsia="仿宋_GB2312" w:cs="仿宋_GB2312"/>
          <w:sz w:val="30"/>
          <w:szCs w:val="30"/>
        </w:rPr>
        <w:t>（详见附件）</w:t>
      </w:r>
    </w:p>
    <w:p w14:paraId="66914992">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本部门2025年度无国有资本经营预算财政拨款收入，《国有资本经营预算财政拨款收入支出决算表》为空表。</w:t>
      </w:r>
    </w:p>
    <w:p w14:paraId="566F1DA4">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 </w:t>
      </w:r>
    </w:p>
    <w:p w14:paraId="65DB40B1">
      <w:pPr>
        <w:pStyle w:val="5"/>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第三部分  2025年度部门决算情况说明</w:t>
      </w:r>
    </w:p>
    <w:p w14:paraId="68BCDC4D">
      <w:pPr>
        <w:pStyle w:val="5"/>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一、收入决算情况说明</w:t>
      </w:r>
    </w:p>
    <w:p w14:paraId="2BBE1A77">
      <w:pPr>
        <w:pStyle w:val="5"/>
        <w:keepNext w:val="0"/>
        <w:keepLines w:val="0"/>
        <w:widowControl/>
        <w:suppressLineNumbers w:val="0"/>
        <w:spacing w:before="105" w:beforeAutospacing="0" w:after="105" w:afterAutospacing="0" w:line="600" w:lineRule="atLeast"/>
        <w:ind w:left="0" w:right="0" w:firstLine="540"/>
      </w:pPr>
      <w:r>
        <w:rPr>
          <w:rFonts w:hint="default" w:ascii="仿宋_GB2312" w:eastAsia="仿宋_GB2312" w:cs="仿宋_GB2312"/>
          <w:sz w:val="30"/>
          <w:szCs w:val="30"/>
        </w:rPr>
        <w:t>通海县教育体育局2025年度收入合计698,401,940.43元。其中：财政拨款收入67,0161,209.41元，占总收入的95.96%；上级补助收入0.00元，占总收入的0.00%；事业收入2,770,087.98元（含教育收费2,770,087.98元），占总收入的0.40%；经营收入0.00元，占总收入的0.00%；附属单位上缴收入0.00元，占总收入的0.00%；其他收入25,470,643.04元，占总收入的3.65%。</w:t>
      </w:r>
    </w:p>
    <w:p w14:paraId="74B5A9EC">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与上年相比，收入合计增加139,975,109.14元，增长25.07%。其中：财政拨款收入增加135,389,122.82元，增长25.32%；无上级补助收入；事业收入增加225,890.37元，增长8.88%；无经营收入；无附属单位上缴收入；其他收入增加4,360,095.95元，增长20.65%。主要原因是化债项目增加收入，财政返还的事业收入增加，课后延时服务费资金增加。</w:t>
      </w:r>
    </w:p>
    <w:p w14:paraId="3BF6BE8C">
      <w:pPr>
        <w:pStyle w:val="5"/>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二、支出决算情况说明</w:t>
      </w:r>
    </w:p>
    <w:p w14:paraId="43CD24CA">
      <w:pPr>
        <w:pStyle w:val="5"/>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通海县教育体育局2025年度支出合计696,381,808.35元。其中：基本支出568,380,999.75元，占总支出的81.62％；项目支出128,000,808.60元，占总支出的18.38％；上缴上级支出0.00元，占总支出的0.00％；经营支出0.00元，占总支出的0.00％；对附属单位补助支出0.00元，占总支出的0.00％。</w:t>
      </w:r>
    </w:p>
    <w:p w14:paraId="2D3C8D29">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与上年相比，支出合计增加13,6601,326.65元，增长24.40%。其中：基本支出增加85,703,094.72元，增长17.76%；项目支出增加50,898,231.93元，增长66.01%；无上缴上级支出；无经营支出；无对附属单位补助支出，主要原因是化债项目增加支出，财政返还的事业收入支出增加，课后延时服务费资金支出增加。</w:t>
      </w:r>
    </w:p>
    <w:p w14:paraId="3495EE50">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（一）基本支出情况</w:t>
      </w:r>
    </w:p>
    <w:p w14:paraId="10E05EA6">
      <w:pPr>
        <w:pStyle w:val="5"/>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2025年度用于保障通海县教育体育局机关、下属事业单位等机构正常运转的日常支出568,380,999.75元。其中：基本工资、津贴补贴等人员经费支出559,579,607.61元，占基本支出的98.45％；办公费、印刷费、水电费、办公设备购置等公用经费8,801,392.14元，占基本支出的1.55％。</w:t>
      </w:r>
    </w:p>
    <w:p w14:paraId="723957AE">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（二）项目支出情况</w:t>
      </w:r>
    </w:p>
    <w:p w14:paraId="4B4CD430">
      <w:pPr>
        <w:pStyle w:val="5"/>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2025年度用于保障通海县教育体育局机关、下属事业单位等机构为完成特定的行政工作任务或事业发展目标，用于专项业务工作的经费支出128,000,808.60元。其中：基本建设类项目支出13,721,235.64元。</w:t>
      </w:r>
    </w:p>
    <w:p w14:paraId="0E2F715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农村义务教育学生营养改善计划项目经费24,845,554.00元，主要用于实施营养改善计划，为农村学生提供营养膳食补助，改善农村义务教育阶段在校学生的营养状况，提高农村学生健康水平。减轻受助学生家庭经济负担，使学生安心学习，顺利完成学业。按精准识别、精准资助的要求，强化学生资助动态管理，实现“应助尽助”的目标，确保不让一名学生因贫失学，一户脱贫户因学返贫。</w:t>
      </w:r>
    </w:p>
    <w:p w14:paraId="1A522373">
      <w:pPr>
        <w:pStyle w:val="5"/>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2.通海二中、杨广中心幼儿园征地项目6,382,248.00元，主要用于支付通海二中及通海县杨广中心幼儿园征地款。</w:t>
      </w:r>
    </w:p>
    <w:p w14:paraId="46767E70">
      <w:pPr>
        <w:pStyle w:val="5"/>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3.其他国有土地使用权出让收入安排的支出8,000,000.00元，主要用于支付通海一中新建学生宿舍食堂项目。项目实施，促进学校教育教学质量的提高，为进一步打造学校优美、舒适、健康的学习、教育环境。</w:t>
      </w:r>
    </w:p>
    <w:p w14:paraId="4F8FF282">
      <w:pPr>
        <w:pStyle w:val="5"/>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4.其他政府性基金及对应专项债务收入安排的支出16,985,741.00元，主要用于支付教育信息化，职业高级中学线路及实训楼改造工程，东麓中学操场建设工程等拖欠企业账款项目。进一步保障教育事业的有序发展。</w:t>
      </w:r>
    </w:p>
    <w:p w14:paraId="4CCB8538">
      <w:pPr>
        <w:pStyle w:val="5"/>
        <w:keepNext w:val="0"/>
        <w:keepLines w:val="0"/>
        <w:widowControl/>
        <w:suppressLineNumbers w:val="0"/>
        <w:spacing w:before="105" w:beforeAutospacing="0" w:after="105" w:afterAutospacing="0" w:line="600" w:lineRule="atLeast"/>
        <w:ind w:left="0" w:right="0" w:firstLine="600"/>
      </w:pPr>
      <w:r>
        <w:rPr>
          <w:rFonts w:hint="eastAsia" w:ascii="黑体" w:hAnsi="宋体" w:eastAsia="黑体" w:cs="黑体"/>
          <w:sz w:val="30"/>
          <w:szCs w:val="30"/>
        </w:rPr>
        <w:t>三、一般公共预算财政拨款支出决算情况说明</w:t>
      </w:r>
    </w:p>
    <w:p w14:paraId="7795D216">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（一）一般公共预算财政拨款支出决算总体情况</w:t>
      </w:r>
    </w:p>
    <w:p w14:paraId="6D0BECBD">
      <w:pPr>
        <w:pStyle w:val="5"/>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通海县教育体育局2025年度一般公共预算财政拨款支出637,601,381.03元,占本年支出合计的91.56%。与上年相比增加105,238,883.80元，增长19.77%,完成年初预算的112.82%。</w:t>
      </w:r>
    </w:p>
    <w:p w14:paraId="7C64124C">
      <w:pPr>
        <w:pStyle w:val="5"/>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（二）一般公共预算财政拨款支出决算分功能分类科目情况</w:t>
      </w:r>
    </w:p>
    <w:p w14:paraId="61D12912">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1.一般公共服务（类）支出380,000.00元，占一般公共预算财政拨款总支出的0.06%,年初无此项预算。主要用于爱国卫生“七个专项行动”补助，通海一中建设项目；造成预决算差异的主要原因是此项目年初无预算。</w:t>
      </w:r>
    </w:p>
    <w:p w14:paraId="4EEF88D1">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2.外交（类）无支出，年初无此项预算。</w:t>
      </w:r>
    </w:p>
    <w:p w14:paraId="690270ED">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3.国防（类）无支出，年初无此项预算。</w:t>
      </w:r>
    </w:p>
    <w:p w14:paraId="581CA805">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4.公共安全（类）无支出，年初无此项预算。</w:t>
      </w:r>
    </w:p>
    <w:p w14:paraId="03FA8FCF">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5.教育（类）支出437,930,194.49元，占一般公共预算财政拨款总支出的68.68%,完成年初预算的108.63%。主要用于人员工资福利费，学生资助项目（包括学前教育家庭经济困难资助，营养改善计划，普通高中学生资助等）；造成预决算差异的主要原因是项目年初金额比例小。</w:t>
      </w:r>
    </w:p>
    <w:p w14:paraId="3526EA1B">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6.科学技术（类）支出25,533,934.74元，占一般公共预算财政拨款总支出的4.00%,年初无此项预算。主要用于营养改善计划项目等补助项目；造成预决算差异的主要原因是项目年初无预算。</w:t>
      </w:r>
    </w:p>
    <w:p w14:paraId="7CD6EE40">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7.文化旅游体育与传媒（类）支出1,744,228.12元，占一般公共预算财政拨款总支出的0.27%,完成年初预算的90.85%。主要用于公共体育场馆向社会免费或低收费开放补助；造成预决算差异的主要原因是财政运转困难，项目经费未全额支付。</w:t>
      </w:r>
    </w:p>
    <w:p w14:paraId="0A74EBF0">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8.社会保障和就业（类）支出56,818,688.76元，占一般公共预算财政拨款总支出的8.91%,完成年初预算的76.06%。主要用于职工养老保险、职业年金缴费；造成预决算差异的主要原因是人员变动，未完成预算。</w:t>
      </w:r>
    </w:p>
    <w:p w14:paraId="5748220C">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9.卫生健康（类）支出46,281,855.92元，占一般公共预算财政拨款总支出的7.26%,完成年初预算的98.38%。主要用于行政事业单位医疗及医疗补助；造成预决算差异的主要原因是人员变动。</w:t>
      </w:r>
    </w:p>
    <w:p w14:paraId="088BC83C">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10.节能环保（类）无支出,年初无此项预算。</w:t>
      </w:r>
    </w:p>
    <w:p w14:paraId="4DFE8607">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11.城乡社区（类）无支出,年初无此项预算。</w:t>
      </w:r>
    </w:p>
    <w:p w14:paraId="5F0CDB0A">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12.农林水（类）无支出,年初无此项预算。</w:t>
      </w:r>
    </w:p>
    <w:p w14:paraId="23702B62">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13.交通运输（类）无支出,年初无此项预算。</w:t>
      </w:r>
    </w:p>
    <w:p w14:paraId="4B4C0849">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14.资源勘探工业信息等（类）无支出,年初无此项预算。</w:t>
      </w:r>
    </w:p>
    <w:p w14:paraId="0D973C8D">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15.商业服务业等（类）无支出,年初无此项预算。</w:t>
      </w:r>
    </w:p>
    <w:p w14:paraId="0407C1C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16.金融（类）无支出,年初无此项预算。</w:t>
      </w:r>
    </w:p>
    <w:p w14:paraId="7B6CB519">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17.援助其他地区（类）无支出,年初无此项预算。</w:t>
      </w:r>
    </w:p>
    <w:p w14:paraId="1EB4BF5A">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18.自然资源海洋气象等（类）无支出,年初无此项预算。</w:t>
      </w:r>
    </w:p>
    <w:p w14:paraId="48C22EB1">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19.住房保障（类）支出68,912,479.00元，占一般公共预算财政拨款总支出的10.81%,完成年初预算的179.69%。主要用于住房公积金及住房补贴支出。造成预决算差异的主要原因是补发撒花姑娘年欠拨资金和人员变动。</w:t>
      </w:r>
    </w:p>
    <w:p w14:paraId="248024E2">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20.粮油物资储备（类）无支出,年初无此项预算。</w:t>
      </w:r>
    </w:p>
    <w:p w14:paraId="7BF66781">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21.国有资本经营预算（类）无支出,年初无此项预算。</w:t>
      </w:r>
    </w:p>
    <w:p w14:paraId="4B77CE71">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22.灾害防治及应急管理（类）无支出,年初无此项预算。</w:t>
      </w:r>
    </w:p>
    <w:p w14:paraId="3A0AD5CD">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23.其他（类）无支出,年初无此项预算。</w:t>
      </w:r>
    </w:p>
    <w:p w14:paraId="0A303EB0">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24.债务还本（类）无支出,年初无此项预算。</w:t>
      </w:r>
    </w:p>
    <w:p w14:paraId="11409892">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25.债务付息（类）无支出,年初无此项预算。</w:t>
      </w:r>
    </w:p>
    <w:p w14:paraId="0A5984D3">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26.抗疫特别国债安排（类）无支出,年初无此项预算。</w:t>
      </w:r>
    </w:p>
    <w:p w14:paraId="505242D1">
      <w:pPr>
        <w:pStyle w:val="5"/>
        <w:keepNext w:val="0"/>
        <w:keepLines w:val="0"/>
        <w:widowControl/>
        <w:suppressLineNumbers w:val="0"/>
        <w:spacing w:before="105" w:beforeAutospacing="0" w:after="105" w:afterAutospacing="0" w:line="360" w:lineRule="atLeast"/>
        <w:ind w:left="0" w:right="0" w:firstLine="600"/>
      </w:pPr>
      <w:r>
        <w:rPr>
          <w:rFonts w:hint="eastAsia" w:ascii="黑体" w:hAnsi="宋体" w:eastAsia="黑体" w:cs="黑体"/>
          <w:sz w:val="30"/>
          <w:szCs w:val="30"/>
        </w:rPr>
        <w:t>四、财政拨款“三公”经费支出决算情况说明</w:t>
      </w:r>
    </w:p>
    <w:p w14:paraId="32B6108F">
      <w:pPr>
        <w:pStyle w:val="5"/>
        <w:keepNext w:val="0"/>
        <w:keepLines w:val="0"/>
        <w:widowControl/>
        <w:suppressLineNumbers w:val="0"/>
        <w:spacing w:before="105" w:beforeAutospacing="0" w:after="105" w:afterAutospacing="0" w:line="360" w:lineRule="atLeast"/>
        <w:ind w:left="0" w:right="0" w:firstLine="600"/>
      </w:pPr>
      <w:r>
        <w:rPr>
          <w:rFonts w:ascii="楷体_GB2312" w:eastAsia="楷体_GB2312" w:cs="楷体_GB2312"/>
          <w:sz w:val="30"/>
          <w:szCs w:val="30"/>
        </w:rPr>
        <w:t>（一）总体情况</w:t>
      </w:r>
    </w:p>
    <w:p w14:paraId="625FE206">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2025年度财政拨款“三公”经费支出决算中，财政拨款“三公”经费支出年初预算为72,276.00元，决算为28,002.75元，完成年初预算的38.74%；支出决算较上年增加9,941.94元，增长55.05%。</w:t>
      </w:r>
    </w:p>
    <w:p w14:paraId="36ADD9D9">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因公出国（境）费用用支出年初预算为0.00元，决算为0.00元，占财政拨款“三公”经费总支出决算的0.00%；公务用车购置费支出年初预算为0.00元，决算为0.00元，占财政拨款“三公”经费总支出决算的0.00%；公务用车运行维护费支出年初预算为25,000.00元，决算为21,582.75元，占财政拨款“三公”经费总支出决算的77.07%，完成年初预算的86.33%；公务接待费支出年初预算为47,276.00元，决算为6,420.00元，占财政拨款“三公”经费总支出决算的22.93%，完成年初预算的13.58%。</w:t>
      </w:r>
    </w:p>
    <w:p w14:paraId="2ABB5617">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因公出国（境）费用支出决算较上年增加0.00元，上年无此项支出；公务用车购置费支出决算较上年增加0.00元，上年无此项支出；公务用车运行维护费支出决算较上年增加6,737.94元，增长降45.39%；公务接待费支出决算较上年增加3,204.00元，增长99.63%；具体是国内接待费支出决算6,420.00元（其中：外事接待费支出决算0.00元），较上年增加3,204.00元，增长99.63%；国（境）外接待费支出决算0.00元，较上年增加0.00元，上年无此项支出。</w:t>
      </w:r>
    </w:p>
    <w:p w14:paraId="0BB86F8B">
      <w:pPr>
        <w:pStyle w:val="5"/>
        <w:keepNext w:val="0"/>
        <w:keepLines w:val="0"/>
        <w:widowControl/>
        <w:suppressLineNumbers w:val="0"/>
        <w:spacing w:before="105" w:beforeAutospacing="0" w:after="105" w:afterAutospacing="0" w:line="360" w:lineRule="atLeast"/>
        <w:ind w:left="0" w:right="0" w:firstLine="600"/>
      </w:pPr>
      <w:r>
        <w:rPr>
          <w:rFonts w:hint="default" w:ascii="楷体_GB2312" w:eastAsia="楷体_GB2312" w:cs="楷体_GB2312"/>
          <w:sz w:val="30"/>
          <w:szCs w:val="30"/>
        </w:rPr>
        <w:t>（二）一般公共预算财政拨款“三公”经费支出决算情况说明</w:t>
      </w:r>
    </w:p>
    <w:p w14:paraId="440C594C">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2025年度一般公共预算财政拨款“三公”经费支出年初预算为72,276.00元，支出决算为28,002.75元，完成年初预算的38.74%，支出决算较上年增加9,941.94元，增长55.05%。</w:t>
      </w:r>
    </w:p>
    <w:p w14:paraId="3A92B589">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一般公共预算财政拨款“三公”经费支出中：因公出国（境）费用支出年初预算为0.00元，决算为0.00元；公务用车购置费支出年初预算为0.00元，决算为0.00元；公务用车运行维护费支出年初预算为25,000.00元，决算为21,582.75元，完成年初预算的86.33%；公务接待费支出年初预算为47,276.00元，决算为6,420.00元，完成年初预算的13.58%。2025年度一般公共预算财政拨款“三公”经费支出决算数小于年初预算数的主要原因是执行厉行节约。</w:t>
      </w:r>
    </w:p>
    <w:p w14:paraId="699355F5">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一般公共预算财政拨款“三公”经费支出中：因公出国（境）费用支出决算增加0.00元，上年无此项支出；公务用车购置费支出决算增加，上年无此项支出；公务用车运行维护费支出决算增加6,737.94元，增长45.39%；公务接待费支出决算增加3,204.00元，增长99.63%，具体是国内接待费支出决算6,420.00元（其中：外事接待费支出决算0.00元），较上年增加3,204.00元，增长49.91%；国（境）外接待费支出决算0.00元较上年增加0.00元，上年无此项支出。2025年度一般公共预算财政拨款“三公”经费支出决算增加的主要原因是支付了上年未支付维修费。</w:t>
      </w:r>
    </w:p>
    <w:p w14:paraId="667A91C0">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一般公共预算财政拨款“三公”经费支出实物量的具体情况：</w:t>
      </w:r>
    </w:p>
    <w:p w14:paraId="380DC4E1">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1.安排因公出国（境）团组0个，累计0人次。开展内容包括：无出国开支及开展工作情况。</w:t>
      </w:r>
    </w:p>
    <w:p w14:paraId="1E303AA0">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2.购置车辆0辆。开支一般公共预算财政拨款的公务用车保有量为1辆。主要用于教育教学所需车辆燃料费、维修费、过路过桥费、保险费等。</w:t>
      </w:r>
    </w:p>
    <w:p w14:paraId="7010CBC1">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3.安排国内公务接待8批次（其中：外事接待0批次），接待人次88人（其中：外事接待人次0人）。主要用于县区交叉检查、中高考巡视等发生的接待支出。安排国（境）外公务接待0批次，接待人次0人。</w:t>
      </w:r>
    </w:p>
    <w:p w14:paraId="128AC5F5">
      <w:pPr>
        <w:pStyle w:val="5"/>
        <w:keepNext w:val="0"/>
        <w:keepLines w:val="0"/>
        <w:widowControl/>
        <w:suppressLineNumbers w:val="0"/>
        <w:spacing w:before="105" w:beforeAutospacing="0" w:after="105" w:afterAutospacing="0" w:line="360" w:lineRule="atLeast"/>
        <w:ind w:left="0" w:right="0" w:firstLine="600"/>
      </w:pPr>
      <w:r>
        <w:rPr>
          <w:rFonts w:hint="eastAsia" w:ascii="楷体" w:hAnsi="楷体" w:eastAsia="楷体" w:cs="楷体"/>
          <w:sz w:val="30"/>
          <w:szCs w:val="30"/>
        </w:rPr>
        <w:t>（三）需要说明的事项</w:t>
      </w:r>
    </w:p>
    <w:p w14:paraId="4AAE2F92">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不存在需要说明的事项</w:t>
      </w:r>
    </w:p>
    <w:p w14:paraId="12EA777A">
      <w:pPr>
        <w:pStyle w:val="5"/>
        <w:keepNext w:val="0"/>
        <w:keepLines w:val="0"/>
        <w:widowControl/>
        <w:suppressLineNumbers w:val="0"/>
        <w:spacing w:before="105" w:beforeAutospacing="0" w:after="105" w:afterAutospacing="0" w:line="360" w:lineRule="atLeast"/>
        <w:ind w:left="0" w:right="0" w:firstLine="600"/>
        <w:jc w:val="center"/>
      </w:pPr>
      <w:r>
        <w:rPr>
          <w:rFonts w:hint="default" w:ascii="仿宋_GB2312" w:eastAsia="仿宋_GB2312" w:cs="仿宋_GB2312"/>
          <w:sz w:val="30"/>
          <w:szCs w:val="30"/>
        </w:rPr>
        <w:t> </w:t>
      </w:r>
    </w:p>
    <w:p w14:paraId="099E7908">
      <w:pPr>
        <w:pStyle w:val="5"/>
        <w:keepNext w:val="0"/>
        <w:keepLines w:val="0"/>
        <w:widowControl/>
        <w:suppressLineNumbers w:val="0"/>
        <w:spacing w:before="105" w:beforeAutospacing="0" w:after="105" w:afterAutospacing="0" w:line="360" w:lineRule="atLeast"/>
        <w:ind w:left="0" w:right="0" w:firstLine="645"/>
        <w:jc w:val="center"/>
      </w:pPr>
      <w:r>
        <w:rPr>
          <w:rFonts w:hint="eastAsia" w:ascii="黑体" w:hAnsi="宋体" w:eastAsia="黑体" w:cs="黑体"/>
          <w:sz w:val="31"/>
          <w:szCs w:val="31"/>
        </w:rPr>
        <w:t>第四部分  其他重要事项及相关口径情况说明</w:t>
      </w:r>
    </w:p>
    <w:p w14:paraId="10403271">
      <w:pPr>
        <w:pStyle w:val="5"/>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一、机关运行经费支出情况</w:t>
      </w:r>
    </w:p>
    <w:p w14:paraId="1CF4AF35">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通海县教育体育局（本级）2025年机关运行经费支出560,327.09元，比上年增加135,123.62元，增长31.78%,主要原因是工会经费支出增加，劳务费支出增加。单位机关运行经费主要用于办公费20,215.60 元，比上年减少27,523.23 元，下降57.65%；水费4,640.50 元，比上年减少1,926.66 元，下降29.30%；电费13,478.21 元，比上年增加 720.43 元，增长5.65%；邮电费20,934.27 元，比上年减少4,846.18 元，下降18.80%；差旅费24,936.00 元，比上年增加 12,772.00 元，增长105.00%；维修（护）费5,604.96 元，比上年减少3,877.34 元，下降40.89%；会议费3,526.00 元，比上年增加 1,846.00 元，增长109.88%；培训费38,406.00 元，比上年增加38,076.00 元，增长11538.18%；公务接待费6,420.00元，比上年增加3,204.00 元，增长99.63%；公务用车运行维护费21,582.75 元，比上年增加6,737.94 元，增长45.39%；劳务费157,130.00 元，比上年增加 85,102.00 元，增长118.15%；其他交通费用121,950.00 元，比上年减少12,632.50 元，下降9.39%；其他商品和服务支出90,302.80 元，比上年增加18,684.16 元，增长26.09%；工会经费31,200.00 元，比上年增加31,200.00元，增长100.00%。</w:t>
      </w:r>
    </w:p>
    <w:p w14:paraId="1D9E7662">
      <w:pPr>
        <w:pStyle w:val="5"/>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二、国有资产占用情况</w:t>
      </w:r>
    </w:p>
    <w:p w14:paraId="247D6BC2">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截至2025年末，通海县教育体育局资产总额646,060,137.74</w:t>
      </w:r>
    </w:p>
    <w:p w14:paraId="27FB71EE">
      <w:pPr>
        <w:pStyle w:val="5"/>
        <w:keepNext w:val="0"/>
        <w:keepLines w:val="0"/>
        <w:widowControl/>
        <w:suppressLineNumbers w:val="0"/>
        <w:spacing w:before="75" w:beforeAutospacing="0" w:after="75" w:afterAutospacing="0"/>
        <w:ind w:left="0" w:right="0"/>
      </w:pPr>
      <w:r>
        <w:rPr>
          <w:rFonts w:hint="default" w:ascii="仿宋_GB2312" w:eastAsia="仿宋_GB2312" w:cs="仿宋_GB2312"/>
          <w:sz w:val="30"/>
          <w:szCs w:val="30"/>
        </w:rPr>
        <w:t>元，其中，流动资产76,840,893.15元，固定资产476,823,865.38</w:t>
      </w:r>
    </w:p>
    <w:p w14:paraId="251CF65B">
      <w:pPr>
        <w:pStyle w:val="5"/>
        <w:keepNext w:val="0"/>
        <w:keepLines w:val="0"/>
        <w:widowControl/>
        <w:suppressLineNumbers w:val="0"/>
        <w:spacing w:before="75" w:beforeAutospacing="0" w:after="75" w:afterAutospacing="0"/>
        <w:ind w:left="0" w:right="0"/>
      </w:pPr>
      <w:r>
        <w:rPr>
          <w:rFonts w:hint="default" w:ascii="仿宋_GB2312" w:eastAsia="仿宋_GB2312" w:cs="仿宋_GB2312"/>
          <w:sz w:val="30"/>
          <w:szCs w:val="30"/>
        </w:rPr>
        <w:t>元（净值），对外投资及有价证券0.00元，在建工程78,552,736.88</w:t>
      </w:r>
    </w:p>
    <w:p w14:paraId="28C84D33">
      <w:pPr>
        <w:pStyle w:val="5"/>
        <w:keepNext w:val="0"/>
        <w:keepLines w:val="0"/>
        <w:widowControl/>
        <w:suppressLineNumbers w:val="0"/>
        <w:spacing w:before="75" w:beforeAutospacing="0" w:after="75" w:afterAutospacing="0"/>
        <w:ind w:left="0" w:right="0"/>
      </w:pPr>
      <w:r>
        <w:rPr>
          <w:rFonts w:hint="default" w:ascii="仿宋_GB2312" w:eastAsia="仿宋_GB2312" w:cs="仿宋_GB2312"/>
          <w:sz w:val="30"/>
          <w:szCs w:val="30"/>
        </w:rPr>
        <w:t>元，无形资产9,988,085.13元（净值），其他资产3,854,557.20元（净值）（具体内容详见附表）。与上年相比，本年资产总额增加32374165.42元，其中固定资产增加17354877.18元。处置房屋建筑物20.00平方米，账面原值36,860.00元；处置车辆3辆，账面原值162,050.00元；报废报损资产6211项，账面原值4678451.93元，实现资产处置收入114,633.01元；出租房屋16,001.17平方米，账面原值24,165,191.02元，实现资产使用收入367,400.01元。</w:t>
      </w:r>
    </w:p>
    <w:p w14:paraId="7B3F9665">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（国有资产占有使用情况表详见附表）</w:t>
      </w:r>
    </w:p>
    <w:p w14:paraId="0815FBE1">
      <w:pPr>
        <w:pStyle w:val="5"/>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三、政府采购支出情况</w:t>
      </w:r>
    </w:p>
    <w:p w14:paraId="6E38E8D2">
      <w:pPr>
        <w:pStyle w:val="5"/>
        <w:keepNext w:val="0"/>
        <w:keepLines w:val="0"/>
        <w:widowControl/>
        <w:suppressLineNumbers w:val="0"/>
        <w:spacing w:before="75" w:beforeAutospacing="0" w:after="75" w:afterAutospacing="0" w:line="585" w:lineRule="atLeast"/>
        <w:ind w:left="0" w:right="0" w:firstLine="600"/>
      </w:pPr>
      <w:r>
        <w:rPr>
          <w:rFonts w:hint="default" w:ascii="仿宋_GB2312" w:eastAsia="仿宋_GB2312" w:cs="仿宋_GB2312"/>
          <w:sz w:val="30"/>
          <w:szCs w:val="30"/>
        </w:rPr>
        <w:t>2025年度，部门政府采购支出总额3,044,649.97元，其中：政府采购货物支出2,165,256.18元；政府采购工程支出253,600.00元；政府采购服务支出625,793.79元。授予中小企业合同金额1,335,353.14元，其中：授予小微企业合同金额1,333,897.63元。</w:t>
      </w:r>
    </w:p>
    <w:p w14:paraId="62D5B862">
      <w:pPr>
        <w:pStyle w:val="5"/>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四、部门绩效自评情况</w:t>
      </w:r>
    </w:p>
    <w:p w14:paraId="7F484DE7">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部门绩效自评情况详见附表。</w:t>
      </w:r>
    </w:p>
    <w:p w14:paraId="68202F0C">
      <w:pPr>
        <w:pStyle w:val="5"/>
        <w:keepNext w:val="0"/>
        <w:keepLines w:val="0"/>
        <w:widowControl/>
        <w:suppressLineNumbers w:val="0"/>
        <w:spacing w:before="105" w:beforeAutospacing="0" w:after="105" w:afterAutospacing="0" w:line="360" w:lineRule="atLeast"/>
        <w:ind w:left="0" w:right="0" w:firstLine="600"/>
      </w:pPr>
      <w:r>
        <w:rPr>
          <w:rFonts w:hint="eastAsia" w:ascii="黑体" w:hAnsi="宋体" w:eastAsia="黑体" w:cs="黑体"/>
          <w:sz w:val="30"/>
          <w:szCs w:val="30"/>
        </w:rPr>
        <w:t>五、其他重要事项情况说明</w:t>
      </w:r>
    </w:p>
    <w:p w14:paraId="63E0905B">
      <w:pPr>
        <w:pStyle w:val="5"/>
        <w:keepNext w:val="0"/>
        <w:keepLines w:val="0"/>
        <w:widowControl/>
        <w:suppressLineNumbers w:val="0"/>
        <w:spacing w:before="105" w:beforeAutospacing="0" w:after="105" w:afterAutospacing="0" w:line="360" w:lineRule="atLeast"/>
        <w:ind w:left="0" w:right="0" w:firstLine="600"/>
      </w:pPr>
      <w:r>
        <w:rPr>
          <w:rFonts w:hint="default" w:ascii="仿宋_GB2312" w:eastAsia="仿宋_GB2312" w:cs="仿宋_GB2312"/>
          <w:sz w:val="30"/>
          <w:szCs w:val="30"/>
        </w:rPr>
        <w:t>无。</w:t>
      </w:r>
    </w:p>
    <w:p w14:paraId="744BCE11">
      <w:pPr>
        <w:pStyle w:val="5"/>
        <w:keepNext w:val="0"/>
        <w:keepLines w:val="0"/>
        <w:widowControl/>
        <w:suppressLineNumbers w:val="0"/>
        <w:spacing w:before="105" w:beforeAutospacing="0" w:after="105" w:afterAutospacing="0" w:line="360" w:lineRule="atLeast"/>
        <w:ind w:left="0" w:right="0" w:firstLine="600"/>
      </w:pPr>
      <w:r>
        <w:rPr>
          <w:rFonts w:hint="eastAsia" w:ascii="黑体" w:hAnsi="宋体" w:eastAsia="黑体" w:cs="黑体"/>
          <w:sz w:val="30"/>
          <w:szCs w:val="30"/>
        </w:rPr>
        <w:t>六、相关口径说明</w:t>
      </w:r>
    </w:p>
    <w:p w14:paraId="14AA323F">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（一）基本支出中人员经费包括工资福利支出和对个人和家庭的补助，公用经费包括商品和服务支出、资本性支出等人员经费以外的支出。</w:t>
      </w:r>
    </w:p>
    <w:p w14:paraId="155A84EC">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（二）机关运行经费指行政单位和参照公务员法管理的事业单位使用一般公共预算财政拨款安排的基本支出中的公用经费支出。</w:t>
      </w:r>
    </w:p>
    <w:p w14:paraId="6EDD226F">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3B03EC6B">
      <w:pPr>
        <w:pStyle w:val="5"/>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四）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44965EDF">
      <w:pPr>
        <w:pStyle w:val="5"/>
        <w:keepNext w:val="0"/>
        <w:keepLines w:val="0"/>
        <w:widowControl/>
        <w:suppressLineNumbers w:val="0"/>
        <w:spacing w:before="75" w:beforeAutospacing="0" w:after="75" w:afterAutospacing="0"/>
        <w:ind w:left="0" w:right="0" w:firstLine="600"/>
      </w:pPr>
    </w:p>
    <w:p w14:paraId="274B08AC">
      <w:pPr>
        <w:pStyle w:val="5"/>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第五部分  名词解释</w:t>
      </w:r>
    </w:p>
    <w:p w14:paraId="087D1C1A">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一）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7E0883F9">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(二）政府采购：是指各级国家机关、事业单位和团体组织，使用财政性资金采购依法制定的集中采购目录以内的或者采购限额标准以上的货物、工程和服务的行为。</w:t>
      </w:r>
    </w:p>
    <w:p w14:paraId="62392741">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三）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49360659">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四）一般公共预算支出：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物、住房保障支出等。</w:t>
      </w:r>
    </w:p>
    <w:p w14:paraId="2DA58474">
      <w:pPr>
        <w:pStyle w:val="5"/>
        <w:keepNext w:val="0"/>
        <w:keepLines w:val="0"/>
        <w:widowControl/>
        <w:suppressLineNumbers w:val="0"/>
        <w:spacing w:before="75" w:beforeAutospacing="0" w:after="75" w:afterAutospacing="0" w:line="600" w:lineRule="atLeast"/>
        <w:ind w:left="0" w:right="0" w:firstLine="630"/>
      </w:pPr>
      <w:r>
        <w:rPr>
          <w:rFonts w:hint="default" w:ascii="仿宋_GB2312" w:eastAsia="仿宋_GB2312" w:cs="仿宋_GB2312"/>
          <w:sz w:val="30"/>
          <w:szCs w:val="30"/>
        </w:rPr>
        <w:t>(五）</w:t>
      </w:r>
      <w:r>
        <w:rPr>
          <w:rFonts w:hint="default" w:ascii="Times New Roman" w:hAnsi="Times New Roman" w:eastAsia="仿宋_GB2312" w:cs="Times New Roman"/>
          <w:sz w:val="30"/>
          <w:szCs w:val="30"/>
        </w:rPr>
        <w:t>“</w:t>
      </w:r>
      <w:r>
        <w:rPr>
          <w:rFonts w:hint="default" w:ascii="仿宋_GB2312" w:eastAsia="仿宋_GB2312" w:cs="仿宋_GB2312"/>
          <w:sz w:val="30"/>
          <w:szCs w:val="30"/>
        </w:rPr>
        <w:t>三公</w:t>
      </w:r>
      <w:r>
        <w:rPr>
          <w:rFonts w:hint="default" w:ascii="Times New Roman" w:hAnsi="Times New Roman" w:eastAsia="仿宋_GB2312" w:cs="Times New Roman"/>
          <w:sz w:val="30"/>
          <w:szCs w:val="30"/>
        </w:rPr>
        <w:t>”</w:t>
      </w:r>
      <w:r>
        <w:rPr>
          <w:rFonts w:hint="default" w:ascii="仿宋_GB2312" w:eastAsia="仿宋_GB2312" w:cs="仿宋_GB2312"/>
          <w:sz w:val="30"/>
          <w:szCs w:val="30"/>
        </w:rPr>
        <w:t>经费：</w:t>
      </w:r>
      <w:r>
        <w:rPr>
          <w:rFonts w:hint="default" w:ascii="Times New Roman" w:hAnsi="Times New Roman" w:eastAsia="仿宋_GB2312" w:cs="Times New Roman"/>
          <w:sz w:val="30"/>
          <w:szCs w:val="30"/>
        </w:rPr>
        <w:t>“</w:t>
      </w:r>
      <w:r>
        <w:rPr>
          <w:rFonts w:hint="default" w:ascii="仿宋_GB2312" w:eastAsia="仿宋_GB2312" w:cs="仿宋_GB2312"/>
          <w:sz w:val="30"/>
          <w:szCs w:val="30"/>
        </w:rPr>
        <w:t>三公</w:t>
      </w:r>
      <w:r>
        <w:rPr>
          <w:rFonts w:hint="default" w:ascii="Times New Roman" w:hAnsi="Times New Roman" w:eastAsia="仿宋_GB2312" w:cs="Times New Roman"/>
          <w:sz w:val="30"/>
          <w:szCs w:val="30"/>
        </w:rPr>
        <w:t>”</w:t>
      </w:r>
      <w:r>
        <w:rPr>
          <w:rFonts w:hint="default" w:ascii="仿宋_GB2312" w:eastAsia="仿宋_GB2312" w:cs="仿宋_GB2312"/>
          <w:sz w:val="30"/>
          <w:szCs w:val="30"/>
        </w:rPr>
        <w:t>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199A423A">
      <w:pPr>
        <w:pStyle w:val="5"/>
        <w:keepNext w:val="0"/>
        <w:keepLines w:val="0"/>
        <w:widowControl/>
        <w:suppressLineNumbers w:val="0"/>
        <w:spacing w:before="75" w:beforeAutospacing="0" w:after="75" w:afterAutospacing="0" w:line="585" w:lineRule="atLeast"/>
        <w:ind w:left="0" w:right="0"/>
      </w:pPr>
      <w:r>
        <w:rPr>
          <w:rFonts w:hint="default" w:ascii="Times New Roman" w:hAnsi="Times New Roman" w:cs="Times New Roman"/>
          <w:sz w:val="21"/>
          <w:szCs w:val="21"/>
        </w:rPr>
        <w:t> </w:t>
      </w:r>
    </w:p>
    <w:p w14:paraId="792F286F">
      <w:pPr>
        <w:pStyle w:val="5"/>
        <w:keepNext w:val="0"/>
        <w:keepLines w:val="0"/>
        <w:widowControl/>
        <w:suppressLineNumbers w:val="0"/>
        <w:spacing w:before="75" w:beforeAutospacing="0" w:after="75" w:afterAutospacing="0"/>
        <w:ind w:left="0" w:right="0"/>
      </w:pPr>
    </w:p>
    <w:p w14:paraId="26FDFFF5">
      <w:bookmarkStart w:id="0" w:name="_GoBack"/>
      <w:bookmarkEnd w:id="0"/>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8ACB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4B7BFBC">
                          <w:pPr>
                            <w:pStyle w:val="3"/>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64B7BFBC">
                    <w:pPr>
                      <w:pStyle w:val="3"/>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18829">
    <w:pPr>
      <w:pStyle w:val="3"/>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44EEE7D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AE36">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B09E8"/>
    <w:rsid w:val="0E3E3CC5"/>
    <w:rsid w:val="0EE14D54"/>
    <w:rsid w:val="1DAF4298"/>
    <w:rsid w:val="200932D7"/>
    <w:rsid w:val="264C7D2E"/>
    <w:rsid w:val="29982084"/>
    <w:rsid w:val="2FB83480"/>
    <w:rsid w:val="3E1F0B6E"/>
    <w:rsid w:val="46D1611D"/>
    <w:rsid w:val="4DC94652"/>
    <w:rsid w:val="514A5AAA"/>
    <w:rsid w:val="541859EC"/>
    <w:rsid w:val="5B4B48F9"/>
    <w:rsid w:val="65640A91"/>
    <w:rsid w:val="67341D91"/>
    <w:rsid w:val="71481A12"/>
    <w:rsid w:val="7BF77613"/>
    <w:rsid w:val="7E1F4BD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2"/>
    <w:basedOn w:val="1"/>
    <w:next w:val="1"/>
    <w:qFormat/>
    <w:uiPriority w:val="0"/>
    <w:pPr>
      <w:ind w:firstLine="420" w:firstLineChars="200"/>
    </w:p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48bf38-d71c-4abb-89e9-1be368120892}">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11641</Words>
  <Characters>13423</Characters>
  <Lines>0</Lines>
  <Paragraphs>0</Paragraphs>
  <TotalTime>9</TotalTime>
  <ScaleCrop>false</ScaleCrop>
  <LinksUpToDate>false</LinksUpToDate>
  <CharactersWithSpaces>13475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会飞的鱼</cp:lastModifiedBy>
  <dcterms:modified xsi:type="dcterms:W3CDTF">2026-09-23T10:38:40Z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B04F57D4017C4AAC94730B3D75CAABE9</vt:lpwstr>
  </property>
  <property fmtid="{D5CDD505-2E9C-101B-9397-08002B2CF9AE}" pid="4" name="KSOTemplateDocerSaveRecord">
    <vt:lpwstr>eyJoZGlkIjoiOTMwZjBhOGU4ZGY1YmEwNzU2ZTZhZGYxODExMWY4MTYiLCJ1c2VySWQiOiIxMTQ4MzEyMDA4In0=</vt:lpwstr>
  </property>
</Properties>
</file>