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42D61">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通海县疾病预防控制中心2025年度部门决算</w:t>
      </w:r>
    </w:p>
    <w:p w14:paraId="117E92F6">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小标宋_GBK" w:hAnsi="方正小标宋_GBK" w:eastAsia="方正小标宋_GBK" w:cs="方正小标宋_GBK"/>
          <w:sz w:val="44"/>
          <w:szCs w:val="44"/>
          <w:lang w:val="en-US" w:eastAsia="zh-CN"/>
        </w:rPr>
      </w:pPr>
    </w:p>
    <w:p w14:paraId="50582A25">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目录</w:t>
      </w:r>
    </w:p>
    <w:p w14:paraId="11A6BDC9">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1CF8A430">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第一部分  单位概况</w:t>
      </w:r>
    </w:p>
    <w:p w14:paraId="51301E45">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一、主要职责</w:t>
      </w:r>
    </w:p>
    <w:p w14:paraId="78957EFA">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二、基本情况</w:t>
      </w:r>
    </w:p>
    <w:p w14:paraId="2915F75E">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三、重点工作概述</w:t>
      </w:r>
    </w:p>
    <w:p w14:paraId="4CEFB14D">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第二部分  2025年度部门决算表</w:t>
      </w:r>
    </w:p>
    <w:p w14:paraId="6F6076DB">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一、收入支出决算表</w:t>
      </w:r>
    </w:p>
    <w:p w14:paraId="205BD669">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二、收入决算表</w:t>
      </w:r>
    </w:p>
    <w:p w14:paraId="2C635CD0">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三、支出决算表</w:t>
      </w:r>
    </w:p>
    <w:p w14:paraId="40AA03EE">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四、财政拨款收入支出决算表</w:t>
      </w:r>
    </w:p>
    <w:p w14:paraId="777B1826">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五、一般公共预算财政拨款收入支出决算表</w:t>
      </w:r>
    </w:p>
    <w:p w14:paraId="279520CE">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六、一般公共预算财政拨款基本支出决算表</w:t>
      </w:r>
    </w:p>
    <w:p w14:paraId="25069CE7">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七、一般公共预算财政拨款项目支出决算表</w:t>
      </w:r>
    </w:p>
    <w:p w14:paraId="7C3D0248">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八、政府性基金预算财政拨款收入支出决算表</w:t>
      </w:r>
    </w:p>
    <w:p w14:paraId="47C2F0C2">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九、国有资本经营预算财政拨款收入支出决算表</w:t>
      </w:r>
    </w:p>
    <w:p w14:paraId="3F489989">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十、财政拨款“三公”经费、行政参公单位机关运行经费情况表</w:t>
      </w:r>
    </w:p>
    <w:p w14:paraId="7498AD92">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十一、一般公共预算财政拨款“三公”经费情况表</w:t>
      </w:r>
    </w:p>
    <w:p w14:paraId="7556CA1F">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第三部分  2025年度部门决算情况说明</w:t>
      </w:r>
    </w:p>
    <w:p w14:paraId="3BD36C8D">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一、收入决算情况说明</w:t>
      </w:r>
    </w:p>
    <w:p w14:paraId="061A0E54">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二、支出决算情况说明</w:t>
      </w:r>
    </w:p>
    <w:p w14:paraId="2C8C0578">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三、一般公共预算财政拨款支出决算情况说明</w:t>
      </w:r>
    </w:p>
    <w:p w14:paraId="7132522C">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四、财政拨款“三公”经费支出决算情况说明</w:t>
      </w:r>
    </w:p>
    <w:p w14:paraId="54D197D4">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第四部分  其他重要事项及相关口径情况说明</w:t>
      </w:r>
    </w:p>
    <w:p w14:paraId="2C559BCF">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一、机关运行经费支出情况</w:t>
      </w:r>
    </w:p>
    <w:p w14:paraId="6209FB81">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二、国有资产占用情况</w:t>
      </w:r>
    </w:p>
    <w:p w14:paraId="0B810378">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三、政府采购支出情况</w:t>
      </w:r>
    </w:p>
    <w:p w14:paraId="40FD43E5">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四、单位绩效自评情况</w:t>
      </w:r>
    </w:p>
    <w:p w14:paraId="0EB794FA">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五、其他重要事项情况说明</w:t>
      </w:r>
    </w:p>
    <w:p w14:paraId="2BA6D895">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六、相关口径说明</w:t>
      </w:r>
    </w:p>
    <w:p w14:paraId="2E8A8426">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第五部分  名词解释</w:t>
      </w:r>
    </w:p>
    <w:p w14:paraId="52B2B26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09EEC70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606BE22F">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54CC94D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4116BDC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3998A32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37C271A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047E96E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081E659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702367A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bookmarkStart w:id="0" w:name="_GoBack"/>
      <w:bookmarkEnd w:id="0"/>
    </w:p>
    <w:p w14:paraId="7571BBF0">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第一部分  单位概况</w:t>
      </w:r>
    </w:p>
    <w:p w14:paraId="29230A0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一、主要职责</w:t>
      </w:r>
    </w:p>
    <w:p w14:paraId="1BB6A6C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疾病预防控制中心是政府举办的社会公益性事业单位。工作职责主要是：1.负责全县辖区疾病预防与控制。2.负责全县辖区突发公共卫生事件应急处置。3.负责全县辖区疫情及健康相关因素信息管理。4.负责全县健康危害因素监测与干预。5.负责实验室检测检验与评价。6.负责健康教育与健康促进。7.技术管理与应用研究指导。</w:t>
      </w:r>
    </w:p>
    <w:p w14:paraId="0313CB59">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二、基本情况</w:t>
      </w:r>
    </w:p>
    <w:p w14:paraId="164755E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（一）机构设置情况</w:t>
      </w:r>
    </w:p>
    <w:p w14:paraId="6A41774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我单位共设置8个内设机构，包括：艾滋病性病及麻风病防治科，传染病与地方病控制科，卫生监测检验科，健康教育，公共卫生科，慢性病防治科，免疫规划科，办公室。</w:t>
      </w:r>
    </w:p>
    <w:p w14:paraId="7072286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我单位为基层预算单位，无下属单位。</w:t>
      </w:r>
    </w:p>
    <w:p w14:paraId="4B006DD9">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（二）决算单位构成</w:t>
      </w:r>
    </w:p>
    <w:p w14:paraId="55A8616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我单位作为通海县卫生健康局的二级预算单位纳入2025年度部门决算编报范围。</w:t>
      </w:r>
    </w:p>
    <w:p w14:paraId="61F69DA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（三）单位人员和车辆的编制及实有情况</w:t>
      </w:r>
    </w:p>
    <w:p w14:paraId="63448EF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我单位2025年末编制内实有人员42人。包括财政拨款开支经费的：公务员0人，参照公务员法管理人员0人，事业管理人员和专业技术人员42人，机关和事业工人0人；经费自理人员0人。</w:t>
      </w:r>
    </w:p>
    <w:p w14:paraId="352BCA3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我单位2025年末其他人员4人。包括财政拨款开支经费的人员4人；经费自理人员0人。</w:t>
      </w:r>
    </w:p>
    <w:p w14:paraId="53853F4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年末单位发放离退休费的离退休人员共计0人（离休0人，退休0人）。年末由养老保险基金发放养老金的离退休人员27人（离休0人，退休27人），年末遗属1人。车辆编制4辆，在编实有车辆4辆，超编0辆。</w:t>
      </w:r>
    </w:p>
    <w:p w14:paraId="777F5FD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三、重点工作概述</w:t>
      </w:r>
    </w:p>
    <w:p w14:paraId="26A5B983">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通海县疾病预防控制中心2025年度的主要工作任务是在上级主管部门、业务部门的领导下，积极推进疾病预防控制工作。</w:t>
      </w:r>
    </w:p>
    <w:p w14:paraId="7773633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全面加强疾病防控。按周、月、季度定期进行疫情分析，并对辖区内选定的三个重点传染病开展专题分析，根据疾病流行规律及波动情况，发布疾病监测预警信息并进行风险评估，及时对手足口等重点传染病开展调查、随访及处置，地方病、结核病等防治工作稳步推进。</w:t>
      </w:r>
    </w:p>
    <w:p w14:paraId="173D179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2.有序推进慢性病预防控制工作。启用管理系统对老年人、高血压、糖尿病及居民健康档案管理，开展儿童口腔疾病综合干预项目、死因监测、心脑血管事件、肿瘤监测及慢性呼吸系统疾病监测工作。</w:t>
      </w:r>
    </w:p>
    <w:p w14:paraId="548B909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免疫规划常抓不懈。安全有效进行疫苗储运及接种工作，开展针对IPV疫苗查漏补种工作。组织实施通海县双价人乳头瘤病毒（HPV2）疫苗“健康惠民工程”，对玉溪市户籍适种女性开展HPV2疫苗惠民接种工作。开展疫苗针对疾病主动监测报告，继续维持无脊灰状态，无麻疹确诊病例报告，开展疑似预防接种异常反应监测报告，做好儿童预防接种信息报告管理工作。</w:t>
      </w:r>
    </w:p>
    <w:p w14:paraId="62894EC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积极开展五大卫生工作。按照五大卫生的目标任务，积极开展饮用水、学校卫生、食品卫生、职业卫生、放射卫生监测工作。加强食源性疾病及有害因素监测，及时发布预警信息，对食源性疾病暴发事件进行处置。</w:t>
      </w:r>
    </w:p>
    <w:p w14:paraId="0752A4E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5.强力推进艾滋病及麻风病防治工作。加强艾滋病病人管理及艾滋病检测工作，继续巩固消麻成果，完成消除麻风危害规划（2011</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2020年）中期评估工作，加强对麻风院留院病人的管理，指导麻风畸残康复；积极寻找可疑线索开展麻风病调查。</w:t>
      </w:r>
    </w:p>
    <w:p w14:paraId="7D8AD51F">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6.全面开展健康教育。积极开展健康教育五进活动（机关、学校、厂矿、社区、流动人口聚集地），通海县电视台在黄金时段播放相关公益广告，扎实开展基本公共卫生服务项目宣传工作。全县建设无烟卫生医疗单位20家，无烟党政机关43家，无烟学校76家，无烟党政机关、无烟医疗卫生计生机构和无烟学校覆盖率均达100%。完成全县健康素养监测、成人烟草流行扩样调查监测及一般人群合理膳食相关知识知晓率调查。</w:t>
      </w:r>
    </w:p>
    <w:p w14:paraId="6908865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7.扎实开展检验检测工作。2025年按质按量完成各项检验检测工作，完成多项能力考核及能力验证工作。配合完成玉溪市2025年卫生健康国家随机监督抽查检测工作。对全县辖区艾滋病检测点、检测实验室进行人员培训、督导、考核、验收备案11家艾滋病检测点。</w:t>
      </w:r>
    </w:p>
    <w:p w14:paraId="7010EAA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2F37AE28">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第二部分2025年度部门决算表</w:t>
      </w:r>
    </w:p>
    <w:p w14:paraId="6B64349E">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（详见附件）</w:t>
      </w:r>
    </w:p>
    <w:p w14:paraId="04F5E04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通海县疾病预防控制中心2025年没有政府性基金预算财政拨款收入，也没有使用政府性基金预算财政拨款安排的支出，《政府性基金预算财政拨款收入支出决算表》为空表。</w:t>
      </w:r>
    </w:p>
    <w:p w14:paraId="368F4D1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通海县疾病预防控制中心2025年没有国有资本经营预算财政拨款收入，也没有使用国有资本经营预算财政拨款安排的支出，《国有资本经营预算财政拨款收入支出决算表》为空表。</w:t>
      </w:r>
    </w:p>
    <w:p w14:paraId="56A68BC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疾病预防控制中心2025年没有一般公共预算财政拨款安排的“三公”经费、行政参公单位机关运行经费的收入，也没有使用一般公共预算财政拨款安排的“三公”经费、行政参公单位机关运行经费支出，《“三公”经费、行政参公单位机关运行经费情况表</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一般公共预算财政拨款“三公”经费情况表》为空表。</w:t>
      </w:r>
    </w:p>
    <w:p w14:paraId="3E4BEDAE">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p>
    <w:p w14:paraId="0CE25273">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第三部分  2025年度部门决算情况说明</w:t>
      </w:r>
    </w:p>
    <w:p w14:paraId="415E3C8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一、收入决算情况说明</w:t>
      </w:r>
    </w:p>
    <w:p w14:paraId="2A4FDCFE">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疾病预防控制中心2025年度收入合计11541825.03元。其中：财政拨款收入9218764.03元，占总收入的79.87%；无上级补助收入；事业收入2082281.00元（含教育收费0.00元），占总收入的18.04%；无经营收入；无附属单位上缴收入；其他收入240780.00元，占总收入的2.09%。</w:t>
      </w:r>
    </w:p>
    <w:p w14:paraId="4F6515BF">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与上年相比，收入合计减少2688394.23元，下降18.89%。其中：财政拨款收入增加1231835.77元，增长15.42%；无上级补助收入；无经营收入；无附属单位上缴收入；事业收入减少3999580.00元，下降65.76%；其他收入增加79350.00元，增长49.15%。主要原因是本年的二类疫苗款收入减少。</w:t>
      </w:r>
    </w:p>
    <w:p w14:paraId="20FF664E">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二、支出决算情况说明</w:t>
      </w:r>
    </w:p>
    <w:p w14:paraId="0F3F6E0F">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通海县疾病预防控制中心2025年度支出合计11446568.63元。其中：基本支出8131438.42元，占总支出的71.04％；项目支出3315130.21元，占总支出的28.96％；无上缴上级支出；无经营支出；无对附属单位补助支出。</w:t>
      </w:r>
    </w:p>
    <w:p w14:paraId="44F02D4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与上年相比，支出合计减少1357707.38元，下降10.60%。其中：基本支出增加657798.29元，增长8.80%；项目支出减少20155056.67元，下降37.81%；无上缴上级支出；无经营支出；无对附属单位补助支出。主要原因是本年二类疫苗款支出减少，项目支出减少。</w:t>
      </w:r>
    </w:p>
    <w:p w14:paraId="58B2CBE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（一）基本支出情况</w:t>
      </w:r>
    </w:p>
    <w:p w14:paraId="0818FED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用于通海县疾病预防控制中心正常运转的日常支出XX元。其中：基本工资、津贴补贴等人员经费支出7949309.14元，占基本支出的97.76％；办公费、印刷费、水电费、办公设备购置等公用经费182129.28元，占基本支出的2.24％。</w:t>
      </w:r>
    </w:p>
    <w:p w14:paraId="5C63AF1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（二）项目支出情况</w:t>
      </w:r>
    </w:p>
    <w:p w14:paraId="36123DE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2025年度用于保障通海县疾病预防控制中心为完成特定的行政工作任务或事业发展目标，用于专项业务工作的经费支出3315130.21元。其中：基本建设类项目支出0.00元。</w:t>
      </w:r>
    </w:p>
    <w:p w14:paraId="60F9406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1.遗属生活困难补助项目经费11538.00元。主要用于支付通海县疾病预防控制中心退休职工遗属生活困难补助。</w:t>
      </w:r>
    </w:p>
    <w:p w14:paraId="24561FD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2.疾病预防控制项目经费。疾病预防控制项目支出2227804.6元，主要用于支付非免疫规划二类疫苗款费用。</w:t>
      </w:r>
    </w:p>
    <w:p w14:paraId="142ADFB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3.基本公共卫生服务项目经费358967.61元，主要用于单位开展老年人健康管理、居民健康档案管理、预防接种、慢性病管理、健康教育宣传等十余项基本公共卫生工作所需的商品和服务费用。</w:t>
      </w:r>
    </w:p>
    <w:p w14:paraId="6461A65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4.重大公共卫生服务项目经费160.00元，主要用于单位开展艾滋病防治、结核病防治、重点传染病及危害因素监测等重大传染病项目所需要的商品和服务费用。</w:t>
      </w:r>
    </w:p>
    <w:p w14:paraId="2CCDD58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5.麻风病人生活费项目经费21960.00元，主要用于按季度发放老黑山麻风病院健在的麻风病人生活费。</w:t>
      </w:r>
    </w:p>
    <w:p w14:paraId="0AF6A1C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6.其他政府性基金债务收入安排支出654700.00元，主要用于化解以前年度债务。</w:t>
      </w:r>
    </w:p>
    <w:p w14:paraId="4B21B31F">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三、一般公共预算财政拨款支出决算情况说明</w:t>
      </w:r>
    </w:p>
    <w:p w14:paraId="2561277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（一）一般公共预算财政拨款支出决算总体情况</w:t>
      </w:r>
    </w:p>
    <w:p w14:paraId="4DFE40E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通海县疾病预防控制中心2025年度一般公共预算财政拨款支出8564064.03元</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占本年支出合计的74.82%。与上年相比增加577135.77元，增长7.23%</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完成年初预算的90.93%。</w:t>
      </w:r>
    </w:p>
    <w:p w14:paraId="02BA824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（二）一般公共预算财政拨款支出决算分功能分类科目情况</w:t>
      </w:r>
    </w:p>
    <w:p w14:paraId="1DF4ED8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1.一般公共服务（类）无支出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7240F65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2.外交（类）无支出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4EB3CE4F">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3.国防（类）无支出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5448325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4.公共安全（类）无支出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101EBE6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5.教育（类）无支出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7FF598F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6.科学技术（类）无支出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493E82A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7.文化旅游体育与传媒（类）无支出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5248E43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8.社会保障和就业（类）支出767579.28元，占一般公共预算财政拨款总支出的8.96%</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完成年初预算的63.96%。主要用于职工基本养老保险及职业年金的缴纳；造成预决算差异的主要原因是人员退休，社保费缴纳减少。</w:t>
      </w:r>
    </w:p>
    <w:p w14:paraId="19EA363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9.卫生健康（类）支出6707051.75元，占一般公共预算财政拨款总支出的78.32%</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完成年初预算的87.90%。主要用于基本公共卫生服务及重大传染病防治的项目支出；造成预决算差异的主要原因是本年基本公共卫生服务及重大传染病防治项目绩效目标已完成，但因财政资金困难，部分已达到支付条件的款项未能在当年内按时支付。</w:t>
      </w:r>
    </w:p>
    <w:p w14:paraId="002DB2F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10.节能环保（类）无支出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0AA78943">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11.城乡社区（类）无支出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3E1C1FA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12.农林水（类）无支出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173E1D5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13.交通运输（类）无支出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1B1FCB4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14.资源勘探工业信息等（类）支无支出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46B750E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15.商业服务业等（类）无支出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32454B7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16.金融（类）支出无支出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7C289BA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17.援助其他地区（类）无支出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4CF733C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18.自然资源海洋气象等（类）无支出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5666B86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19.住房保障（类）支出1049433.00元，占一般公共预算财政拨款总支出的12.25%</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完成年初预算的178.40%。主要用于在职在编职工的住房公积金和住房补贴的支出；造成预决算差异的主要原因是2025年补缴了以前年度欠发的公积金。</w:t>
      </w:r>
    </w:p>
    <w:p w14:paraId="5134E39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20.粮油物资储备（类）无支出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2DC856C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21.国有资本经营预算（类）无支出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249EC95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22.灾害防治及应急管理（类）无支出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313769B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23.其他（类）无支出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7C0197D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24.债务还本（类）无支出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7DC42B8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25.债务付息（类）无支出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07711E4E">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26.抗疫特别国债安排（类）无支出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50A7420F">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四、财政拨款“三公”经费支出决算情况说明</w:t>
      </w:r>
    </w:p>
    <w:p w14:paraId="055B545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（一）总体情况</w:t>
      </w:r>
    </w:p>
    <w:p w14:paraId="6920E9E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2025年度财政拨款“三公”经费支出决算中，财政拨款“三公”经费支出年初预算为0.00元，决算为0.00元；支出决算较上年增加0.00元，上年无此项支出。</w:t>
      </w:r>
    </w:p>
    <w:p w14:paraId="14FA626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因公出国（境）费支出年初预算为0.00元，决算为0.00元，占财政拨款“三公”经费总支出决算的0.00%；公务用车购置费支出年初预算为0.00元，决算为0.00元，占财政拨款“三公”经费总支出决算的0.00%；公务用车运行维护费支出年初预算为0.00元，决算为0.00元，占财政拨款“三公”经费总支出决算的0.00%；公务接待费支出年初预算为0.00元，决算为0.00元，占财政拨款“三公”经费总支出决算的0.00%。</w:t>
      </w:r>
    </w:p>
    <w:p w14:paraId="7850303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因公出国（境）费支出决算较上年增加0.00元，上年无此项支出；公务用车购置费支出决算较上年增加0.00元，上年无此项支出；公务用车运行维护费支出决算较上年增加0.00元，上年无此项支出；公务接待费支出决算较上年增加0.00元，上年无此项支出；具体是国内接待费支出决算0.00元（其中：外事接待费支出决算0.00元），较上年增加0.00元，上年无此项支出；国（境）外接待费支出决算0.00元较上年增加0.00元，上年无此项支出。</w:t>
      </w:r>
    </w:p>
    <w:p w14:paraId="42D89D6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（二）一般公共预算财政拨款“三公”经费支出决算情况说明</w:t>
      </w:r>
    </w:p>
    <w:p w14:paraId="1820EDCF">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2025年度一般公共预算财政拨款“三公”经费支出年初预算为0.00元，支出决算为0.00元，支出决算较上年增加0.00元，上年无此项支出。</w:t>
      </w:r>
    </w:p>
    <w:p w14:paraId="06AE870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般公共预算财政拨款“三公”经费支出中：因公出国（境）费支出年初预算为0.00元，决算为0.00元；公务用车购置费支出年初预算为0.00元，决算为0.00元；公务用车运行维护费支出年初预算为0.00元，决算为0.00元；公务接待费支出年初预算为0.00元，决算为0.00元。2025年度一般公共预算财政拨款“三公”经费支出决算数等于年初预算数的主要原因是本单位无一般公共预算财政拨款“三公”经费。</w:t>
      </w:r>
    </w:p>
    <w:p w14:paraId="19DE352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般公共预算财政拨款“三公”经费支出中：因公出国（境）费支出决算增加0.00元，上年无此项支出；公务用车购置费支出决算增加0.00元，上年无此项支出；公务用车运行维护费支出决算增加0.00元，上年无此项支出；公务接待费支出决算增加0.00元，上年无此项支出，具体是国内接待费支出决算0.00元（其中：外事接待费支出决算0.00元），较上年增加0.00元，上年无此项支出；国（境）外接待费支出决算0.00元较上年增加0.00元，上年无此项支出。2025年度一般公共预算财政拨款“三公”经费支出决算无变化。</w:t>
      </w:r>
    </w:p>
    <w:p w14:paraId="6F834F53">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一般公共预算财政拨款“三公”经费支出实物量的具体情况：</w:t>
      </w:r>
    </w:p>
    <w:p w14:paraId="60A2AEE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1.安排因公出国（境）团组0.0个，累计0.0人次。</w:t>
      </w:r>
    </w:p>
    <w:p w14:paraId="23D6FFF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2.购置车辆0.0辆。</w:t>
      </w:r>
    </w:p>
    <w:p w14:paraId="54C37C8F">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3.安排国内公务接待0.0批次（其中：外事接待0.0批次），接待人次0.0人（其中：外事接待人次0.0人）。安排国（境）外公务接待0.0批次，接待人次0.0人。</w:t>
      </w:r>
    </w:p>
    <w:p w14:paraId="4950929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（三）需要说明的事项</w:t>
      </w:r>
    </w:p>
    <w:p w14:paraId="7B5F023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不存在需要说明的事项。</w:t>
      </w:r>
    </w:p>
    <w:p w14:paraId="71B60D02">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p>
    <w:p w14:paraId="0F17F199">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第四部分  其他重要事项及相关口径情况说明</w:t>
      </w:r>
    </w:p>
    <w:p w14:paraId="3A98D79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一、机关运行经费支出情况</w:t>
      </w:r>
    </w:p>
    <w:p w14:paraId="79B6544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通海县疾病预防控制中心2025年机关运行经费支出0.00元，比上年增加0.00元，增长0.00%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主要原因是通海县疾病预防控制中心是全额拨款事业单位，无机关运行经费。</w:t>
      </w:r>
    </w:p>
    <w:p w14:paraId="4DD618D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二、国有资产占用情况</w:t>
      </w:r>
    </w:p>
    <w:p w14:paraId="07AEF50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截至2025年末，通海县疾病预防控制中心资产总额14669022.98元，其中，流动资产6811935.27元，固定资产7857085.71元（净值），对外投资及有价证券0.00元，在建工程0.00元，无形资产2.00元（净值），其他资产0.00元（净值）（具体内容详见附表）。与上年相比，本年资产总额减少1284563.78元，其中固定资产减少1412900.67元。处置房屋建筑物0.00平方米，账面原值0.00元；处置车辆0.00辆，账面原值0.00元；报废报损资产64.00项，账面原值512984.70元，实现资产处置收入3097.00元；出租房屋0.00平方米，账面原值0.00元，实现资产使用收入0.00元。</w:t>
      </w:r>
    </w:p>
    <w:p w14:paraId="7D6DFB4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（国有资产占有使用情况表详见附表）</w:t>
      </w:r>
    </w:p>
    <w:p w14:paraId="371605F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三、政府采购支出情况</w:t>
      </w:r>
    </w:p>
    <w:p w14:paraId="5981450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2025年度，单位政府采购支出总额38386.21元，其中：政府采购货物支出4587.18元；政府采购工程支出0.00元；政府采购服务支出33799.03元。授予中小企业合同金额38386.21元，其中：授予小微企业合同金额38386.21元。</w:t>
      </w:r>
    </w:p>
    <w:p w14:paraId="65ABD8B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四、单位绩效自评情况</w:t>
      </w:r>
    </w:p>
    <w:p w14:paraId="473F881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单位绩效自评情况详见附表。</w:t>
      </w:r>
    </w:p>
    <w:p w14:paraId="2CFC92A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五、其他重要事项情况说明</w:t>
      </w:r>
    </w:p>
    <w:p w14:paraId="784CD0F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无。</w:t>
      </w:r>
    </w:p>
    <w:p w14:paraId="58761DF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六、相关口径说明</w:t>
      </w:r>
    </w:p>
    <w:p w14:paraId="3D62050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（一）基本支出中人员经费包括工资福利支出和对个人和家庭的补助，公用经费包括商品和服务支出、资本性支出等人员经费以外的支出。</w:t>
      </w:r>
    </w:p>
    <w:p w14:paraId="642EC8F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（二）机关运行经费指行政单位和参照公务员法管理的事业单位使用一般公共预算财政拨款安排的基本支出中的公用经费支出。</w:t>
      </w:r>
    </w:p>
    <w:p w14:paraId="7A0400E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三）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2691174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四）本文所称财政拨款“三公”经费决算数是指各部门（含下属单位）或单位当年通过本级财政拨款和以前年度财政拨款结转结余资金安排的因公出国（境）费用、公务用车购置及运行维护费和公务接待费支出数（包括基本支出和项目支出）。</w:t>
      </w:r>
    </w:p>
    <w:p w14:paraId="5A927649">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p>
    <w:p w14:paraId="7A897EBC">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第五部分  名词解释</w:t>
      </w:r>
    </w:p>
    <w:p w14:paraId="52FDC30E">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46BA88A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情况说明</w:t>
      </w:r>
      <w:r>
        <w:rPr>
          <w:rFonts w:hint="eastAsia" w:ascii="Times New Roman" w:hAnsi="Times New Roman" w:eastAsia="方正仿宋_GBK" w:cs="Times New Roman"/>
          <w:sz w:val="32"/>
          <w:szCs w:val="32"/>
          <w:lang w:val="en-US" w:eastAsia="zh-CN"/>
        </w:rPr>
        <w:t>中涉及</w:t>
      </w:r>
      <w:r>
        <w:rPr>
          <w:rFonts w:hint="default" w:ascii="Times New Roman" w:hAnsi="Times New Roman" w:eastAsia="方正仿宋_GBK" w:cs="Times New Roman"/>
          <w:sz w:val="32"/>
          <w:szCs w:val="32"/>
          <w:lang w:val="en-US" w:eastAsia="zh-CN"/>
        </w:rPr>
        <w:t>需要解释说明的决算相关专用名词，在此进行说明解释。若没有涉及专用名词，应至少公开一条与决算相关的财务专业名词解释，或请直接保留模板提供专用名词。</w:t>
      </w:r>
    </w:p>
    <w:p w14:paraId="689B6FF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sectPr>
      <w:footerReference r:id="rId3" w:type="default"/>
      <w:footerReference r:id="rId4" w:type="even"/>
      <w:pgSz w:w="11906" w:h="16838"/>
      <w:pgMar w:top="2041" w:right="1417" w:bottom="1587" w:left="1644" w:header="1361" w:footer="1191"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182D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800100" cy="230505"/>
              <wp:effectExtent l="0" t="0" r="0" b="0"/>
              <wp:wrapNone/>
              <wp:docPr id="1" name="文本框 1"/>
              <wp:cNvGraphicFramePr/>
              <a:graphic xmlns:a="http://schemas.openxmlformats.org/drawingml/2006/main">
                <a:graphicData uri="http://schemas.microsoft.com/office/word/2010/wordprocessingShape">
                  <wps:wsp>
                    <wps:cNvSpPr/>
                    <wps:spPr>
                      <a:xfrm>
                        <a:off x="0" y="0"/>
                        <a:ext cx="800100" cy="230584"/>
                      </a:xfrm>
                      <a:prstGeom prst="rect">
                        <a:avLst/>
                      </a:prstGeom>
                      <a:noFill/>
                      <a:ln w="6350" cap="flat" cmpd="sng">
                        <a:noFill/>
                        <a:prstDash val="solid"/>
                        <a:round/>
                      </a:ln>
                    </wps:spPr>
                    <wps:txbx>
                      <w:txbxContent>
                        <w:p w14:paraId="56B6A75D">
                          <w:pPr>
                            <w:pStyle w:val="5"/>
                            <w:rPr>
                              <w:rFonts w:hint="eastAsia" w:ascii="宋体" w:hAnsi="宋体" w:eastAsia="宋体"/>
                              <w:sz w:val="28"/>
                              <w:szCs w:val="28"/>
                              <w:lang w:val="en-US" w:eastAsia="zh-CN"/>
                            </w:rPr>
                          </w:pPr>
                          <w:r>
                            <w:rPr>
                              <w:rFonts w:hint="eastAsia" w:ascii="宋体" w:hAnsi="宋体" w:eastAsia="宋体"/>
                              <w:sz w:val="28"/>
                              <w:szCs w:val="28"/>
                              <w:lang w:val="en-US" w:eastAsia="zh-CN"/>
                            </w:rPr>
                            <w:t>—</w:t>
                          </w:r>
                          <w:r>
                            <w:rPr>
                              <w:rFonts w:hint="eastAsia" w:ascii="宋体" w:hAnsi="宋体" w:eastAsia="宋体"/>
                              <w:sz w:val="24"/>
                              <w:szCs w:val="28"/>
                              <w:lang w:val="en-US" w:eastAsia="zh-CN"/>
                            </w:rPr>
                            <w:t>　</w:t>
                          </w:r>
                          <w:r>
                            <w:rPr>
                              <w:rFonts w:hint="eastAsia" w:ascii="宋体" w:hAnsi="宋体" w:eastAsia="宋体"/>
                              <w:sz w:val="28"/>
                              <w:szCs w:val="28"/>
                              <w:lang w:val="en-US" w:eastAsia="zh-CN"/>
                            </w:rPr>
                            <w:fldChar w:fldCharType="begin"/>
                          </w:r>
                          <w:r>
                            <w:rPr>
                              <w:rFonts w:hint="eastAsia" w:ascii="宋体" w:hAnsi="宋体" w:eastAsia="宋体"/>
                              <w:sz w:val="28"/>
                              <w:szCs w:val="28"/>
                              <w:lang w:val="en-US" w:eastAsia="zh-CN"/>
                            </w:rPr>
                            <w:instrText xml:space="preserve"> PAGE  \* MERGEFORMAT </w:instrText>
                          </w:r>
                          <w:r>
                            <w:rPr>
                              <w:rFonts w:hint="eastAsia" w:ascii="宋体" w:hAnsi="宋体" w:eastAsia="宋体"/>
                              <w:sz w:val="28"/>
                              <w:szCs w:val="28"/>
                              <w:lang w:val="en-US" w:eastAsia="zh-CN"/>
                            </w:rPr>
                            <w:fldChar w:fldCharType="separate"/>
                          </w:r>
                          <w:r>
                            <w:rPr>
                              <w:rFonts w:hint="eastAsia" w:ascii="宋体" w:hAnsi="宋体" w:eastAsia="宋体"/>
                              <w:sz w:val="28"/>
                              <w:szCs w:val="28"/>
                              <w:lang w:val="en-US" w:eastAsia="zh-CN"/>
                            </w:rPr>
                            <w:t>1</w:t>
                          </w:r>
                          <w:r>
                            <w:rPr>
                              <w:rFonts w:hint="eastAsia" w:ascii="宋体" w:hAnsi="宋体" w:eastAsia="宋体"/>
                              <w:sz w:val="28"/>
                              <w:szCs w:val="28"/>
                              <w:lang w:val="en-US" w:eastAsia="zh-CN"/>
                            </w:rPr>
                            <w:fldChar w:fldCharType="end"/>
                          </w:r>
                          <w:r>
                            <w:rPr>
                              <w:rFonts w:hint="eastAsia" w:ascii="宋体" w:hAnsi="宋体" w:eastAsia="宋体"/>
                              <w:sz w:val="24"/>
                              <w:szCs w:val="28"/>
                              <w:lang w:val="en-US" w:eastAsia="zh-CN"/>
                            </w:rPr>
                            <w:t>　</w:t>
                          </w:r>
                          <w:r>
                            <w:rPr>
                              <w:rFonts w:hint="eastAsia" w:ascii="宋体" w:hAnsi="宋体" w:eastAsia="宋体"/>
                              <w:sz w:val="28"/>
                              <w:szCs w:val="28"/>
                              <w:lang w:val="en-US" w:eastAsia="zh-CN"/>
                            </w:rPr>
                            <w:t>—</w:t>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8.15pt;width:63pt;mso-position-horizontal:outside;mso-position-horizontal-relative:margin;mso-wrap-style:none;z-index:251659264;mso-width-relative:page;mso-height-relative:page;" filled="f" stroked="f" coordsize="21600,21600" o:gfxdata="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DmT5LXAAAABAEAAA8AAAAAAAAAAQAgAAAAIgAAAGRycy9kb3du&#10;cmV2LnhtbFBLAQIUABQAAAAIAIdO4kAwP3oSAAIAAPQDAAAOAAAAAAAAAAEAIAAAACYBAABkcnMv&#10;ZTJvRG9jLnhtbFBLBQYAAAAABgAGAFkBAACYBQAAAAA=&#10;">
              <v:fill on="f" focussize="0,0"/>
              <v:stroke on="f" weight="0.5pt" joinstyle="round"/>
              <v:imagedata o:title=""/>
              <o:lock v:ext="edit" aspectratio="f"/>
              <v:textbox inset="0mm,0mm,0mm,0mm" style="mso-fit-shape-to-text:t;">
                <w:txbxContent>
                  <w:p w14:paraId="56B6A75D">
                    <w:pPr>
                      <w:pStyle w:val="5"/>
                      <w:rPr>
                        <w:rFonts w:hint="eastAsia" w:ascii="宋体" w:hAnsi="宋体" w:eastAsia="宋体"/>
                        <w:sz w:val="28"/>
                        <w:szCs w:val="28"/>
                        <w:lang w:val="en-US" w:eastAsia="zh-CN"/>
                      </w:rPr>
                    </w:pPr>
                    <w:r>
                      <w:rPr>
                        <w:rFonts w:hint="eastAsia" w:ascii="宋体" w:hAnsi="宋体" w:eastAsia="宋体"/>
                        <w:sz w:val="28"/>
                        <w:szCs w:val="28"/>
                        <w:lang w:val="en-US" w:eastAsia="zh-CN"/>
                      </w:rPr>
                      <w:t>—</w:t>
                    </w:r>
                    <w:r>
                      <w:rPr>
                        <w:rFonts w:hint="eastAsia" w:ascii="宋体" w:hAnsi="宋体" w:eastAsia="宋体"/>
                        <w:sz w:val="24"/>
                        <w:szCs w:val="28"/>
                        <w:lang w:val="en-US" w:eastAsia="zh-CN"/>
                      </w:rPr>
                      <w:t>　</w:t>
                    </w:r>
                    <w:r>
                      <w:rPr>
                        <w:rFonts w:hint="eastAsia" w:ascii="宋体" w:hAnsi="宋体" w:eastAsia="宋体"/>
                        <w:sz w:val="28"/>
                        <w:szCs w:val="28"/>
                        <w:lang w:val="en-US" w:eastAsia="zh-CN"/>
                      </w:rPr>
                      <w:fldChar w:fldCharType="begin"/>
                    </w:r>
                    <w:r>
                      <w:rPr>
                        <w:rFonts w:hint="eastAsia" w:ascii="宋体" w:hAnsi="宋体" w:eastAsia="宋体"/>
                        <w:sz w:val="28"/>
                        <w:szCs w:val="28"/>
                        <w:lang w:val="en-US" w:eastAsia="zh-CN"/>
                      </w:rPr>
                      <w:instrText xml:space="preserve"> PAGE  \* MERGEFORMAT </w:instrText>
                    </w:r>
                    <w:r>
                      <w:rPr>
                        <w:rFonts w:hint="eastAsia" w:ascii="宋体" w:hAnsi="宋体" w:eastAsia="宋体"/>
                        <w:sz w:val="28"/>
                        <w:szCs w:val="28"/>
                        <w:lang w:val="en-US" w:eastAsia="zh-CN"/>
                      </w:rPr>
                      <w:fldChar w:fldCharType="separate"/>
                    </w:r>
                    <w:r>
                      <w:rPr>
                        <w:rFonts w:hint="eastAsia" w:ascii="宋体" w:hAnsi="宋体" w:eastAsia="宋体"/>
                        <w:sz w:val="28"/>
                        <w:szCs w:val="28"/>
                        <w:lang w:val="en-US" w:eastAsia="zh-CN"/>
                      </w:rPr>
                      <w:t>1</w:t>
                    </w:r>
                    <w:r>
                      <w:rPr>
                        <w:rFonts w:hint="eastAsia" w:ascii="宋体" w:hAnsi="宋体" w:eastAsia="宋体"/>
                        <w:sz w:val="28"/>
                        <w:szCs w:val="28"/>
                        <w:lang w:val="en-US" w:eastAsia="zh-CN"/>
                      </w:rPr>
                      <w:fldChar w:fldCharType="end"/>
                    </w:r>
                    <w:r>
                      <w:rPr>
                        <w:rFonts w:hint="eastAsia" w:ascii="宋体" w:hAnsi="宋体" w:eastAsia="宋体"/>
                        <w:sz w:val="24"/>
                        <w:szCs w:val="28"/>
                        <w:lang w:val="en-US" w:eastAsia="zh-CN"/>
                      </w:rPr>
                      <w:t>　</w:t>
                    </w:r>
                    <w:r>
                      <w:rPr>
                        <w:rFonts w:hint="eastAsia" w:ascii="宋体" w:hAnsi="宋体" w:eastAsia="宋体"/>
                        <w:sz w:val="28"/>
                        <w:szCs w:val="28"/>
                        <w:lang w:val="en-US" w:eastAsia="zh-CN"/>
                      </w:rPr>
                      <w:t>—</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43630">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18B7A">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4818B7A">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noLineBreaksAfter w:lang="zh-CN" w:val="$([{£¥·‘“〈《「『【〔〖〝﹙﹛﹝＄（．［｛￡￥"/>
  <w:noLineBreaksBefore w:lang="zh-CN" w:val="!%),.:;&gt;?]}¢¨°·ˇˉ―‖’”…‰′″›℃∶、。〃〉》」』】〕〗〞︶︺︾﹀﹄﹚﹜﹞！＂％＇），．：；？］｀｜｝～￠"/>
  <w:compat>
    <w:spaceForUL/>
    <w:balanceSingleByteDoubleByteWidth/>
    <w:ulTrailSpace/>
    <w:doNotExpandShiftReturn/>
    <w:adjustLineHeightInTable/>
    <w:doNotWrapTextWithPunct/>
    <w:doNotUseEastAsianBreakRules/>
    <w:useFELayout/>
    <w:compatSetting w:name="compatibilityMode" w:uri="http://schemas.microsoft.com/office/word" w:val="15"/>
  </w:compat>
  <w:rsids>
    <w:rsidRoot w:val="00000000"/>
    <w:rsid w:val="26FBA658"/>
    <w:rsid w:val="37FEEB90"/>
    <w:rsid w:val="3CDF6374"/>
    <w:rsid w:val="3D3F1D8B"/>
    <w:rsid w:val="3F7FF770"/>
    <w:rsid w:val="3FD70571"/>
    <w:rsid w:val="3FFF0233"/>
    <w:rsid w:val="4E9F7E67"/>
    <w:rsid w:val="4EEF55A9"/>
    <w:rsid w:val="58BECFD3"/>
    <w:rsid w:val="6BF6A5CF"/>
    <w:rsid w:val="7BF7D421"/>
    <w:rsid w:val="7F765F3E"/>
    <w:rsid w:val="7FBB206E"/>
    <w:rsid w:val="9FFF9202"/>
    <w:rsid w:val="B5FFFBB8"/>
    <w:rsid w:val="B7FD36C2"/>
    <w:rsid w:val="BBFFEB8D"/>
    <w:rsid w:val="C6EFE2D6"/>
    <w:rsid w:val="CFFF0049"/>
    <w:rsid w:val="D37F898B"/>
    <w:rsid w:val="DF6AA904"/>
    <w:rsid w:val="DF7DF612"/>
    <w:rsid w:val="EB6E84F2"/>
    <w:rsid w:val="EFEBCD2E"/>
    <w:rsid w:val="F175270C"/>
    <w:rsid w:val="F7EFFAC3"/>
    <w:rsid w:val="FD7B69E8"/>
    <w:rsid w:val="FDFC0A44"/>
    <w:rsid w:val="FDFF7119"/>
    <w:rsid w:val="FF2FA28E"/>
    <w:rsid w:val="FFBD3492"/>
    <w:rsid w:val="FFD55153"/>
    <w:rsid w:val="FFE91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link w:val="1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4"/>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5"/>
    <w:qFormat/>
    <w:uiPriority w:val="0"/>
    <w:pPr>
      <w:keepNext/>
      <w:keepLines/>
      <w:spacing w:before="260" w:after="260" w:line="415" w:lineRule="auto"/>
      <w:outlineLvl w:val="2"/>
    </w:pPr>
    <w:rPr>
      <w:b/>
      <w:bCs/>
      <w:sz w:val="32"/>
      <w:szCs w:val="32"/>
    </w:rPr>
  </w:style>
  <w:style w:type="character" w:default="1" w:styleId="10">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customStyle="1" w:styleId="13">
    <w:name w:val="heading 1 Char"/>
    <w:basedOn w:val="10"/>
    <w:link w:val="2"/>
    <w:qFormat/>
    <w:uiPriority w:val="0"/>
    <w:rPr>
      <w:rFonts w:ascii="Calibri" w:hAnsi="Calibri" w:eastAsia="宋体" w:cs="Arial"/>
      <w:b/>
      <w:bCs/>
      <w:kern w:val="44"/>
      <w:sz w:val="44"/>
      <w:szCs w:val="44"/>
      <w:lang w:val="en-US" w:eastAsia="zh-CN" w:bidi="ar-SA"/>
    </w:rPr>
  </w:style>
  <w:style w:type="character" w:customStyle="1" w:styleId="14">
    <w:name w:val="heading 2 Char"/>
    <w:basedOn w:val="10"/>
    <w:link w:val="3"/>
    <w:qFormat/>
    <w:uiPriority w:val="0"/>
    <w:rPr>
      <w:rFonts w:ascii="Times New Roman" w:hAnsi="Times New Roman" w:eastAsia="黑体" w:cs="Arial"/>
      <w:b/>
      <w:bCs/>
      <w:kern w:val="2"/>
      <w:sz w:val="32"/>
      <w:szCs w:val="32"/>
      <w:lang w:val="en-US" w:eastAsia="zh-CN" w:bidi="ar-SA"/>
    </w:rPr>
  </w:style>
  <w:style w:type="character" w:customStyle="1" w:styleId="15">
    <w:name w:val="heading 3 Char"/>
    <w:basedOn w:val="10"/>
    <w:link w:val="4"/>
    <w:qFormat/>
    <w:uiPriority w:val="0"/>
    <w:rPr>
      <w:rFonts w:ascii="Calibri" w:hAnsi="Calibri" w:eastAsia="宋体" w:cs="Arial"/>
      <w:b/>
      <w:bCs/>
      <w:kern w:val="2"/>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26650 1 1 1 1 1"/>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95444B-D279-4DBE-9FC3-2F6FB9169380}">
  <ds:schemaRefs/>
</ds:datastoreItem>
</file>

<file path=docProps/app.xml><?xml version="1.0" encoding="utf-8"?>
<Properties xmlns="http://schemas.openxmlformats.org/officeDocument/2006/extended-properties" xmlns:vt="http://schemas.openxmlformats.org/officeDocument/2006/docPropsVTypes">
  <Template>Normal.eit</Template>
  <Company>Yozosoft</Company>
  <Pages>15</Pages>
  <Words>0</Words>
  <Characters>0</Characters>
  <Lines>0</Lines>
  <Paragraphs>1</Paragraphs>
  <TotalTime>7</TotalTime>
  <ScaleCrop>false</ScaleCrop>
  <LinksUpToDate>false</LinksUpToDate>
  <CharactersWithSpaces>1</CharactersWithSpaces>
  <Application>WPS Office_12.1.2.25882_F1E327BC-269C-435d-A152-05C5408002CA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2021-05-18T07:28:00Z</dcterms:created>
  <dc:creator>User274</dc:creator>
  <cp:lastModifiedBy>陈彤</cp:lastModifiedBy>
  <dcterms:modified xsi:type="dcterms:W3CDTF">2026-09-29T10:04:21Z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528A1824DEC6E0250517BB6A8392DFBA_43</vt:lpwstr>
  </property>
</Properties>
</file>