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97E55F">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通海县紧密型医共体总医院2025年度部门决算</w:t>
      </w:r>
    </w:p>
    <w:p w14:paraId="6AB43F5B">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小标宋_GBK" w:hAnsi="方正小标宋_GBK" w:eastAsia="方正小标宋_GBK" w:cs="方正小标宋_GBK"/>
          <w:sz w:val="44"/>
          <w:szCs w:val="44"/>
          <w:lang w:val="en-US" w:eastAsia="zh-CN"/>
        </w:rPr>
      </w:pPr>
    </w:p>
    <w:p w14:paraId="4A46147F">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目录</w:t>
      </w:r>
    </w:p>
    <w:p w14:paraId="50CD5C1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3CB2F392">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第一部分  单位概况</w:t>
      </w:r>
    </w:p>
    <w:p w14:paraId="6ED0D499">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一、主要职责</w:t>
      </w:r>
    </w:p>
    <w:p w14:paraId="472A2FCF">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二、基本情况</w:t>
      </w:r>
    </w:p>
    <w:p w14:paraId="7A48B0D2">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三、重点工作概述</w:t>
      </w:r>
    </w:p>
    <w:p w14:paraId="000D6182">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第二部分  2025年度部门决算表</w:t>
      </w:r>
    </w:p>
    <w:p w14:paraId="56AEACB2">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一、收入支出决算表</w:t>
      </w:r>
    </w:p>
    <w:p w14:paraId="5367E08E">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二、收入决算表</w:t>
      </w:r>
    </w:p>
    <w:p w14:paraId="2FE3266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三、支出决算表</w:t>
      </w:r>
    </w:p>
    <w:p w14:paraId="5EB2FCFC">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四、财政拨款收入支出决算表</w:t>
      </w:r>
    </w:p>
    <w:p w14:paraId="0B60956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五、一般公共预算财政拨款收入支出决算表</w:t>
      </w:r>
    </w:p>
    <w:p w14:paraId="1D5DE465">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六、一般公共预算财政拨款基本支出决算表</w:t>
      </w:r>
    </w:p>
    <w:p w14:paraId="2CEB83E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七、一般公共预算财政拨款项目支出决算表</w:t>
      </w:r>
    </w:p>
    <w:p w14:paraId="229B700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八、政府性基金预算财政拨款收入支出决算表</w:t>
      </w:r>
    </w:p>
    <w:p w14:paraId="5FF2C597">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九、国有资本经营预算财政拨款收入支出决算表</w:t>
      </w:r>
    </w:p>
    <w:p w14:paraId="2C3C2921">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十、财政拨款“三公”经费、行政参公单位机关运行经费情况表</w:t>
      </w:r>
    </w:p>
    <w:p w14:paraId="6FC6945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十一、一般公共预算财政拨款“三公”经费情况表</w:t>
      </w:r>
    </w:p>
    <w:p w14:paraId="234EB8E9">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第三部分  2025年度部门决算情况说明</w:t>
      </w:r>
    </w:p>
    <w:p w14:paraId="47090260">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一、收入决算情况说明</w:t>
      </w:r>
    </w:p>
    <w:p w14:paraId="371F35C0">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二、支出决算情况说明</w:t>
      </w:r>
    </w:p>
    <w:p w14:paraId="3D019CA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三、一般公共预算财政拨款支出决算情况说明</w:t>
      </w:r>
    </w:p>
    <w:p w14:paraId="037ED9D0">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四、财政拨款“三公”经费支出决算情况说明</w:t>
      </w:r>
    </w:p>
    <w:p w14:paraId="1BEE1103">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第四部分  其他重要事项及相关口径情况说明</w:t>
      </w:r>
    </w:p>
    <w:p w14:paraId="5180E1CB">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一、机关运行经费支出情况</w:t>
      </w:r>
    </w:p>
    <w:p w14:paraId="0AA7835E">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二、国有资产占用情况</w:t>
      </w:r>
    </w:p>
    <w:p w14:paraId="0008357A">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三、政府采购支出情况</w:t>
      </w:r>
    </w:p>
    <w:p w14:paraId="4B205E65">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四、单位绩效自评情况</w:t>
      </w:r>
    </w:p>
    <w:p w14:paraId="20350845">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五、其他重要事项情况说明</w:t>
      </w:r>
    </w:p>
    <w:p w14:paraId="0C400BC8">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六、相关口径说明</w:t>
      </w:r>
    </w:p>
    <w:p w14:paraId="4CC129C1">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第五部分  名词解释</w:t>
      </w:r>
    </w:p>
    <w:p w14:paraId="54A0446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6A9A067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0EB6671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2FCE7EB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132F08C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3158077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6709897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53B86E2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72A5BDD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4125EB80">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第一部分  单位概况</w:t>
      </w:r>
    </w:p>
    <w:p w14:paraId="530C911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一、主要职责</w:t>
      </w:r>
    </w:p>
    <w:p w14:paraId="791DB63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紧密型医共体总医院坚持以人民健康福祉为中心，为人民群众提供公平、可及、优质的基本医疗和公共卫生服务。优化整合县域医疗卫生资源，实行人、财、物、信息等集中统一管理，实现县级优质资源下沉基层，全面提升基层医疗服务能力，构建基层首诊、双向转诊、急慢分治、上下联动的分级诊疗格局，完善</w:t>
      </w:r>
      <w:r>
        <w:rPr>
          <w:rFonts w:hint="eastAsia" w:ascii="Times New Roman" w:hAnsi="Times New Roman" w:eastAsia="方正仿宋_GBK" w:cs="Times New Roman"/>
          <w:sz w:val="32"/>
          <w:szCs w:val="32"/>
          <w:lang w:val="en-US" w:eastAsia="zh-CN"/>
        </w:rPr>
        <w:t>县域</w:t>
      </w:r>
      <w:r>
        <w:rPr>
          <w:rFonts w:hint="default" w:ascii="Times New Roman" w:hAnsi="Times New Roman" w:eastAsia="方正仿宋_GBK" w:cs="Times New Roman"/>
          <w:sz w:val="32"/>
          <w:szCs w:val="32"/>
          <w:lang w:val="en-US" w:eastAsia="zh-CN"/>
        </w:rPr>
        <w:t>医疗卫生服务体系建设，满足人民群众日益增长的健康需求。</w:t>
      </w:r>
    </w:p>
    <w:p w14:paraId="0064D33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二、基本情况</w:t>
      </w:r>
    </w:p>
    <w:p w14:paraId="70F20F8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（一）机构设置情况</w:t>
      </w:r>
    </w:p>
    <w:p w14:paraId="6B50FDA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共设置12个内设机构，包括：通海县人民医院、通海县中医医院、通海县妇幼保健院、通海县杨广卫生院、通海县河西卫生院、通海县九龙卫生院、通海县四街卫生院、通海县高大卫生院、通海县里山卫生院、通海县兴蒙卫生院、通海县纳古卫生院、通海县秀山社区服务中心。</w:t>
      </w:r>
    </w:p>
    <w:p w14:paraId="5A7AB19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我单位为基层预算单位，无下属单位。</w:t>
      </w:r>
    </w:p>
    <w:p w14:paraId="2703A54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（二）决算单位构成</w:t>
      </w:r>
    </w:p>
    <w:p w14:paraId="7558BF1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我单位作为通海县卫生健康局的二级预算单位纳入2025年度部门决算编报范围。</w:t>
      </w:r>
    </w:p>
    <w:p w14:paraId="2D263C1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（三）单位人员和车辆的编制及实有情况</w:t>
      </w:r>
    </w:p>
    <w:p w14:paraId="11A1C55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我单位2025年末编制内实有人员633人。包括财政拨款开支经费的：公务员0人，参照公务员法管理人员0人，事业管理人员和专业技术人员245人，机关和事业工人9人；经费自理人员379人。</w:t>
      </w:r>
    </w:p>
    <w:p w14:paraId="1369E93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我单位2025年末其他人员665人。包括财政拨款开支经费的人员142人；经费自理人员523人。</w:t>
      </w:r>
    </w:p>
    <w:p w14:paraId="5FC5C6E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年末单位发放离退休费的离退休人员共计0人（离休0人，退休0人）。年末由养老保险基金发放养老金的离退休人员420人（离休0人，退休420人）。年末遗属11人。</w:t>
      </w:r>
    </w:p>
    <w:p w14:paraId="14CE46F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车辆编制27辆，在编实有车辆23辆，超编0辆。</w:t>
      </w:r>
    </w:p>
    <w:p w14:paraId="3046CF5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三、重点工作概述</w:t>
      </w:r>
    </w:p>
    <w:p w14:paraId="0597BF9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2025年，总医院在医院党委、院领导班子的领导下，紧扣“高质量发展”核心目标，通过数据驱动、精准施策、部门协同，较</w:t>
      </w:r>
      <w:r>
        <w:rPr>
          <w:rFonts w:hint="eastAsia" w:ascii="Times New Roman" w:hAnsi="Times New Roman" w:eastAsia="方正仿宋_GBK" w:cs="Times New Roman"/>
          <w:sz w:val="32"/>
          <w:szCs w:val="32"/>
          <w:lang w:val="en-US" w:eastAsia="zh-CN"/>
        </w:rPr>
        <w:t>好地完成了各项</w:t>
      </w:r>
      <w:r>
        <w:rPr>
          <w:rFonts w:hint="default" w:ascii="Times New Roman" w:hAnsi="Times New Roman" w:eastAsia="方正仿宋_GBK" w:cs="Times New Roman"/>
          <w:sz w:val="32"/>
          <w:szCs w:val="32"/>
          <w:lang w:val="en-US" w:eastAsia="zh-CN"/>
        </w:rPr>
        <w:t>工作任务。综合院区通过了等级医院复审，三个院区接受玉溪市卫健委组织的医院巡查，“云医院”全部成功上线，各院区运行平稳。</w:t>
      </w:r>
    </w:p>
    <w:p w14:paraId="4D29425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08CF2601">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第二部分  2025年度部门决算表</w:t>
      </w:r>
    </w:p>
    <w:p w14:paraId="446BA6A5">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（详见附件）</w:t>
      </w:r>
    </w:p>
    <w:p w14:paraId="6FFE18A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通海县紧密型医共体总医院2025年没有国有资本经营预算财政拨款收入，也没有使用国有资本经营预算财政拨款安排的支出，《国有资本经营预算财政拨款收入支出决算表》为空表。</w:t>
      </w:r>
    </w:p>
    <w:p w14:paraId="3F7600B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4CB73AE1">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第三部分  2025年度部门决算情况说明</w:t>
      </w:r>
    </w:p>
    <w:p w14:paraId="713FFC4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一、收入决算情况说明</w:t>
      </w:r>
    </w:p>
    <w:p w14:paraId="091C62B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紧密型医共体总医院2025年度收入合计390,992,918.05元。其中：财政拨款收入93,111,901.28元，占总收入的23.81%；无上级补助收入；事业收入293,971,184.82元（含教育收费0.00元），占总收入的75.19%；无经营收入；无附属单位上缴收入；其他收入3,909,831.95元，占总收入的1.00%。</w:t>
      </w:r>
    </w:p>
    <w:p w14:paraId="63A1D3A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与上年相比，收入合计减少33,677,754.37元，下降7.93%。其中：财政拨款收入增加34,159,118.80元，增长57.94%；事业收入减少17,146,167.73元，下降5.51%；其他收入减少50,690,705.44元，下降92.84%。主要原因是2025年总收入减少是因为收入中未包含县医院、中医院贷款收入，而2024年包含此数字，故总收入减少；财政预算拨款收入增加是因为2025年年末为调整县医院收支平衡，增加了财政拨款，故导致财政拨款增加。</w:t>
      </w:r>
    </w:p>
    <w:p w14:paraId="69F21AE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二、支出决算情况说明</w:t>
      </w:r>
    </w:p>
    <w:p w14:paraId="45718E3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通海县紧密型医共体总医院2025年度支出合计368,873,498.75元。其中：基本支出326,806,360.59元，占总支出的88.60％；项目支出42,067,138.16元，占总支出的11.40％；无上缴上级支出；无经营支出；无对附属单位补助支出。</w:t>
      </w:r>
    </w:p>
    <w:p w14:paraId="7D62E13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与上年相比，支出合计减少76,452,581.34元，下降17.17%。其中：基本支出减少64,506,283.09元，下降16.48%；项目支出减少11,946,298.25元，下降22.12%；主要原因是支出中减少了县医院、中医院贷款的支出，而2024年包含此数字，故总支出减少。</w:t>
      </w:r>
    </w:p>
    <w:p w14:paraId="02DB8EA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（一）基本支出情况</w:t>
      </w:r>
    </w:p>
    <w:p w14:paraId="30FB1A2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用于保障通海县紧密型医共体总医院机构正常运转的日常支出326,806,360.59元。其中：基本工资、津贴补贴等人员经费支出157,092,405.99元，占基本支出的48.07％；办公费、印刷费、水电费、办公设备购置等公用经费169,713,954.60元，占基本支出的51.93％。</w:t>
      </w:r>
    </w:p>
    <w:p w14:paraId="6C8E4A1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（二）项目支出情况</w:t>
      </w:r>
    </w:p>
    <w:p w14:paraId="3EC0044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2025年度用于保障通海县紧密型医共体总医院为完成特定的行政工作任务或事业发展目标，用于专项业务工作的经费支出42,067,138.16元。其中：基本建设类项目支出9,154,095.20元。</w:t>
      </w:r>
    </w:p>
    <w:p w14:paraId="23372E5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通海县紧密型医共体总医院基本公共卫生服务项目补助资金项目经费19,016,000.001元，</w:t>
      </w:r>
      <w:r>
        <w:rPr>
          <w:rFonts w:hint="eastAsia" w:ascii="Times New Roman" w:hAnsi="Times New Roman" w:eastAsia="方正仿宋_GBK" w:cs="Times New Roman"/>
          <w:sz w:val="32"/>
          <w:szCs w:val="32"/>
          <w:lang w:val="en-US" w:eastAsia="zh-CN"/>
        </w:rPr>
        <w:t>主要用于</w:t>
      </w:r>
      <w:r>
        <w:rPr>
          <w:rFonts w:hint="default" w:ascii="Times New Roman" w:hAnsi="Times New Roman" w:eastAsia="方正仿宋_GBK" w:cs="Times New Roman"/>
          <w:sz w:val="32"/>
          <w:szCs w:val="32"/>
          <w:lang w:val="en-US" w:eastAsia="zh-CN"/>
        </w:rPr>
        <w:t>基本公共卫生服务项目的人员经费及相关支出，项目已完成。</w:t>
      </w:r>
    </w:p>
    <w:p w14:paraId="5FAEC67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基本药物制度补助资金项目经费1,470,000.00元，主要用于基本药物制度的人员经费及相关支出，项目已完成。</w:t>
      </w:r>
    </w:p>
    <w:p w14:paraId="24457C1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2025年重大公共卫生服务结算补助资金项目经费226，600.00元，主要用于传染病监测预警及应急指挥能力提升，项目已完成。</w:t>
      </w:r>
    </w:p>
    <w:p w14:paraId="4029D22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三、一般公共预算财政拨款支出决算情况说明</w:t>
      </w:r>
    </w:p>
    <w:p w14:paraId="02FE318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（一）一般公共预算财政拨款支出决算总体情况</w:t>
      </w:r>
    </w:p>
    <w:p w14:paraId="4DAA101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通海县紧密型医共体总医院2025年度一般公共预算财政拨款支出77,537,101.28元</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占本年支出合计的21.02%。与上年相比增加18,534,418.80元，增长31.41%</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完成年初预算的130.29%。</w:t>
      </w:r>
    </w:p>
    <w:p w14:paraId="60226EF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（二）一般公共预算财政拨款支出决算分功能分类科目情况</w:t>
      </w:r>
    </w:p>
    <w:p w14:paraId="1662F4C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1.一般公共服务（类）支出0.00元，占一般公共预算财政拨款总支出的0.00%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02D2FA9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2.外交（类）支出0.00元，占一般公共预算财政拨款总支出的0.00%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完成年初预算的%，年初无此项预算。</w:t>
      </w:r>
    </w:p>
    <w:p w14:paraId="5BD85C3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3.国防（类）支出0.00元，占一般公共预算财政拨款总支出的0.00%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27D311F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4.公共安全（类）支出0.00元，占一般公共预算财政拨款总支出的0.00%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130404D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5.教育（类）支出0.00元，占一般公共预算财政拨款总支出的0.00%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20CDAE8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6.科学技术（类）支出0.00元，占一般公共预算财政拨款总支出的0.00%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54DC036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7.文化旅游体育与传媒（类）支出0.00元，占一般公共预算财政拨款总支出的0.00%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5187350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8.社会保障和就业（类）支出4,681,970.00元，占一般公共预算财政拨款总支出的6.04%</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完成年初预算的41.85%。主要用于基本养老保险缴费及职业年金的支出；造成预决算差异的主要原因是年初预算包含离退休人员的生活补助，但是2025年实际未发放，故形成此差异。</w:t>
      </w:r>
    </w:p>
    <w:p w14:paraId="2C3CCAD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9.卫生健康（类）支出66,793,490.28元，占一般公共预算财政拨款总支出的86.14%</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完成年初预算的149.65%。主要用于财政供养单位人员经费、医疗保险及财政拨款项目的支出；造成预决算差异的主要原因是年初预算不包括财政拨款项目的预算。</w:t>
      </w:r>
    </w:p>
    <w:p w14:paraId="50CFF97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10.节能环保（类）支出0.00元，占一般公共预算财政拨款总支出的0.00%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6208234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11.城乡社区（类）支出0.00元，占一般公共预算财政拨款总支出的0.00%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75FFDAE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12.农林水（类）支出0.00元，占一般公共预算财政拨款总支出的0.00%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0C24BA6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13.交通运输（类）支出0.00元，占一般公共预算财政拨款总支出的0.00%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178AD94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14.资源勘探工业信息等（类）支出0.00元，占一般公共预算财政拨款总支出的0.00%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11196BF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15.商业服务业等（类）支出0.00元，占一般公共预算财政拨款总支出的0.00%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496929E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16.金融（类）支出0.00元，占一般公共预算财政拨款总支出的0.00%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54F276F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17.援助其他地区（类）支出0.00元，占一般公共预算财政拨款总支出的0.00%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4E2DD63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18.自然资源海洋气象等（类）支出0.00元，占一般公共预算财政拨款总支出的0.00%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18DB556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19.住房保障（类）支出6,061,641.00元，占一般公共预算财政拨款总支出的7.82%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完成年初预算的164.35%。主要用于住房公积金的支出；造成预决算差异的主要原因是2024年住房公积金存在欠缴，2025年进行了补缴，导致与预算存在差异。</w:t>
      </w:r>
    </w:p>
    <w:p w14:paraId="490A237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20.粮油物资储备（类）支出0.00元，占一般公共预算财政拨款总支出的0.00%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479DAB3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21.国有资本经营预算（类）支出0.00元，占一般公共预算财政拨款总支出的0.00%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4D63019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22.灾害防治及应急管理（类）支出0.00元，占一般公共预算财政拨款总支出的0.00%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0A36FF3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23.其他（类）支出0.00元，占一般公共预算财政拨款总支出的0.00%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7F2BFC1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24.债务还本（类）支出0.00元，占一般公共预算财政拨款总支出的0.00%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6CFF60B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25.债务付息（类）支出0.00元，占一般公共预算财政拨款总支出的0.00%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291D00A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26.抗疫特别国债安排（类）支出0.00元，占一般公共预算财政拨款总支出的0.00%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年初无此项预算。</w:t>
      </w:r>
    </w:p>
    <w:p w14:paraId="76C898F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四、财政拨款“三公”经费支出决算情况说明</w:t>
      </w:r>
    </w:p>
    <w:p w14:paraId="0488C20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（一）总体情况</w:t>
      </w:r>
    </w:p>
    <w:p w14:paraId="3576DAC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2025年度财政拨款“三公”经费支出决算中，财政拨款“三公”经费支出年初预算为0.00元，决算为0.00元，年初无预算安排。</w:t>
      </w:r>
    </w:p>
    <w:p w14:paraId="7A9E407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因公出国（境）</w:t>
      </w:r>
      <w:r>
        <w:rPr>
          <w:rFonts w:hint="eastAsia" w:ascii="Times New Roman" w:hAnsi="Times New Roman" w:eastAsia="方正仿宋_GBK" w:cs="Times New Roman"/>
          <w:sz w:val="32"/>
          <w:szCs w:val="32"/>
          <w:lang w:val="en-US" w:eastAsia="zh-CN"/>
        </w:rPr>
        <w:t>费用</w:t>
      </w:r>
      <w:r>
        <w:rPr>
          <w:rFonts w:hint="default" w:ascii="Times New Roman" w:hAnsi="Times New Roman" w:eastAsia="方正仿宋_GBK" w:cs="Times New Roman"/>
          <w:sz w:val="32"/>
          <w:szCs w:val="32"/>
          <w:lang w:val="en-US" w:eastAsia="zh-CN"/>
        </w:rPr>
        <w:t>支出年初预算为0.00元，决算为0.00元，占财政拨款“三公”经费总支出决算的%；公务用车购置费支出年初预算为0.00元，决算为0.00元，占财政拨款“三公”经费总支出决算的0.00%；公务</w:t>
      </w:r>
      <w:bookmarkStart w:id="0" w:name="_GoBack"/>
      <w:bookmarkEnd w:id="0"/>
      <w:r>
        <w:rPr>
          <w:rFonts w:hint="default" w:ascii="Times New Roman" w:hAnsi="Times New Roman" w:eastAsia="方正仿宋_GBK" w:cs="Times New Roman"/>
          <w:sz w:val="32"/>
          <w:szCs w:val="32"/>
          <w:lang w:val="en-US" w:eastAsia="zh-CN"/>
        </w:rPr>
        <w:t>用车运行维护费支出年初预算为0.00元，决算为0.00元，占财政拨款“三公”经费总支出决算的0.00%；公务接待费支出年初预算为0.00元，决算为0.00元，占财政拨款“三公”经费总支出决算的0.00%。</w:t>
      </w:r>
    </w:p>
    <w:p w14:paraId="6AACD34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因公出国（境）费用支出决算较上年增加0.00元，上年无此项支出；公务用车购置费支出决算较上年增加0.00元，上年无此项支出；公务用车运行维护费支出决算较上年增加0.00元，上年无此项支出；公务接待费支出决算较上年增加/减少0.00元，上年无此项支出；具体是国内接待费支出决算0.00元（其中：外事接待费支出决算0.00元），较上年增加0.00元，上年无此项支出；国（境）外接待费支出决算0.00元较上年增加0.00元，上年无此项支出。</w:t>
      </w:r>
    </w:p>
    <w:p w14:paraId="313D70B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（二）一般公共预算财政拨款“三公”经费支出决算情况说明</w:t>
      </w:r>
    </w:p>
    <w:p w14:paraId="39192A7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2025年度一般公共预算财政拨款“三公”经费支出年初预算为0.00元，支出决算为0.00元</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支出决算较上年减少26,122.57.00元，下降261.23%。</w:t>
      </w:r>
    </w:p>
    <w:p w14:paraId="414A3F5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公共预算财政拨款“三公”经费支出中：因公出国（境）费用支出年初预算为0.00元，决算为0.00元；公务用车购置费支出年初预算为0.00元，决算为0.00元；公务用车运行维护费支出年初预算为0.00元，决算为0.00元；公务接待费支出年初预算为0.00元，决算为0.00元。</w:t>
      </w:r>
    </w:p>
    <w:p w14:paraId="3482628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公共预算财政拨款“三公”经费支出中：因公出国（境）费用支出决算增加0.00元，上年无此项支出；公务用车购置费支出决算增加0.00元，上年无此项支出；公务用车运行维护费支出决算增加0.00元，上年无此项支出；公务接待费支出决算增加0.00元，上年无此项支出，具体是国内接待费支出决算0.00元（其中：外事接待费支出决算0.00元），上年无此项支出；国（境）外接待费支出决算0.00元较上年增加0.00元，上年无此项支出。</w:t>
      </w:r>
    </w:p>
    <w:p w14:paraId="44B2869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一般公共预算财政拨款“三公”经费支出实物量的具体情况：</w:t>
      </w:r>
    </w:p>
    <w:p w14:paraId="1E631CE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1.安排因公出国（境）团组0个，累计0人次。</w:t>
      </w:r>
    </w:p>
    <w:p w14:paraId="40E32E9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2.购置车辆0辆。</w:t>
      </w:r>
    </w:p>
    <w:p w14:paraId="566756C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3.安排国内公务接待0批次（其中：外事接待0批次），接待人次0人（其中：外事接待人次0人）。</w:t>
      </w:r>
    </w:p>
    <w:p w14:paraId="7A4878C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（三）需要说明的事项</w:t>
      </w:r>
    </w:p>
    <w:p w14:paraId="6F55764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不存在需要说明的事项。</w:t>
      </w:r>
    </w:p>
    <w:p w14:paraId="508B1DB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6AF7BF73">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第四部分  其他重要事项及相关口径情况说明</w:t>
      </w:r>
    </w:p>
    <w:p w14:paraId="2B659A5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一、机关运行经费支出情况</w:t>
      </w:r>
    </w:p>
    <w:p w14:paraId="5C644A7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通海县紧密型医共体总医院2025年机关运行经费支出0.00元，比上年增加0.00元，增长0.00%。</w:t>
      </w:r>
    </w:p>
    <w:p w14:paraId="4B06C05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二、国有资产占用情况</w:t>
      </w:r>
    </w:p>
    <w:p w14:paraId="6FCEA0A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截至2025年末，通海县紧密型医共体总医院资产总额858,022,652.70元，其中，流动资产171,563,725.53元，固定资产560,621,191.24元（净值），对外投资及有价证券0.00元，在建工程82,675,205.66元，无形资产42,464,959.27元（净值），其他资产697,571.00元（净值）（具体内容详见附表）。与上年相比，本年资产总额减少17,427,296.49元，其中固定资产增加69,753,052.13元。处置房屋建筑物416.46平方米，账面原值419,400.00元；处置车辆1辆，账面原值4,320.00元；报废报损资产82项，账面原值2,681,260.00元，实现资产处置收入38,671.00元；出租房屋2,685.42平方米，账面原值10,255,932.18元，实现资产使用收入862,809.51元。</w:t>
      </w:r>
    </w:p>
    <w:p w14:paraId="11407DD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（国有资产占有使用情况表详见附表）</w:t>
      </w:r>
    </w:p>
    <w:p w14:paraId="08D32EB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三、政府采购支出情况</w:t>
      </w:r>
    </w:p>
    <w:p w14:paraId="276D21F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单位政府采购支出总额7,039,139.93元，其中：政府采购货物支出1,437,923.25元；政府采购工程支出0.00元；政府采购服务支出5,601,216.68元。授予中小企业合同金额7,039,139.93元，其中：授予小微企业合同金额7,039,139.93元。</w:t>
      </w:r>
    </w:p>
    <w:p w14:paraId="5EC1CBE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四、单位绩效自评情况</w:t>
      </w:r>
    </w:p>
    <w:p w14:paraId="6463679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单位绩效自评情况详见附表。</w:t>
      </w:r>
    </w:p>
    <w:p w14:paraId="0038C44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五、其他重要事项情况说明</w:t>
      </w:r>
    </w:p>
    <w:p w14:paraId="4181D95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无</w:t>
      </w:r>
    </w:p>
    <w:p w14:paraId="545610A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六、相关口径说明</w:t>
      </w:r>
    </w:p>
    <w:p w14:paraId="58EA591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（一）基本支出中人员经费包括工资福利支出和对个人和家庭的补助，公用经费包括商品和服务支出、资本性支出等人员经费以外的支出。</w:t>
      </w:r>
    </w:p>
    <w:p w14:paraId="28C7FA3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（二）机关运行经费指行政单位和参照公务员法管理的事业单位使用一般公共预算财政拨款安排的基本支出中的公用经费支出。</w:t>
      </w:r>
    </w:p>
    <w:p w14:paraId="45E7617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35C7620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四）本文所称财政拨款“三公”经费决算数是指各部门（含下属单位）或单位当年通过本级财政拨款和以前年度财政拨款结转结余资金安排的因公出国（境）费用、公务用车购置及运行维护费和公务接待费支出数（包括基本支出和项目支出）。</w:t>
      </w:r>
    </w:p>
    <w:p w14:paraId="1D70250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13F424C2">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第五部分  名词解释</w:t>
      </w:r>
    </w:p>
    <w:p w14:paraId="58E9BCF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28DB866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情况说明</w:t>
      </w:r>
      <w:r>
        <w:rPr>
          <w:rFonts w:hint="eastAsia" w:ascii="Times New Roman" w:hAnsi="Times New Roman" w:eastAsia="方正仿宋_GBK" w:cs="Times New Roman"/>
          <w:sz w:val="32"/>
          <w:szCs w:val="32"/>
          <w:lang w:val="en-US" w:eastAsia="zh-CN"/>
        </w:rPr>
        <w:t>中涉及</w:t>
      </w:r>
      <w:r>
        <w:rPr>
          <w:rFonts w:hint="default" w:ascii="Times New Roman" w:hAnsi="Times New Roman" w:eastAsia="方正仿宋_GBK" w:cs="Times New Roman"/>
          <w:sz w:val="32"/>
          <w:szCs w:val="32"/>
          <w:lang w:val="en-US" w:eastAsia="zh-CN"/>
        </w:rPr>
        <w:t>需要解释说明的决算相关专用名词，在此进行说明解释。若没有涉及专用名词，应至少公开一条与决算相关的财务专业名词解释，或请直接保留模板提供专用名词。</w:t>
      </w:r>
    </w:p>
    <w:p w14:paraId="689B6FF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sectPr>
      <w:footerReference r:id="rId3" w:type="default"/>
      <w:footerReference r:id="rId4" w:type="even"/>
      <w:pgSz w:w="11906" w:h="16838"/>
      <w:pgMar w:top="2041" w:right="1417" w:bottom="1587" w:left="1644" w:header="1361" w:footer="119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182D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00100" cy="230505"/>
              <wp:effectExtent l="0" t="0" r="0" b="0"/>
              <wp:wrapNone/>
              <wp:docPr id="1" name="文本框 1"/>
              <wp:cNvGraphicFramePr/>
              <a:graphic xmlns:a="http://schemas.openxmlformats.org/drawingml/2006/main">
                <a:graphicData uri="http://schemas.microsoft.com/office/word/2010/wordprocessingShape">
                  <wps:wsp>
                    <wps:cNvSpPr/>
                    <wps:spPr>
                      <a:xfrm>
                        <a:off x="0" y="0"/>
                        <a:ext cx="800100" cy="230584"/>
                      </a:xfrm>
                      <a:prstGeom prst="rect">
                        <a:avLst/>
                      </a:prstGeom>
                      <a:noFill/>
                      <a:ln w="6350" cap="flat" cmpd="sng">
                        <a:noFill/>
                        <a:prstDash val="solid"/>
                        <a:round/>
                      </a:ln>
                    </wps:spPr>
                    <wps:txbx>
                      <w:txbxContent>
                        <w:p w14:paraId="56B6A75D">
                          <w:pPr>
                            <w:pStyle w:val="5"/>
                            <w:rPr>
                              <w:rFonts w:hint="eastAsia" w:ascii="宋体" w:hAnsi="宋体" w:eastAsia="宋体"/>
                              <w:sz w:val="28"/>
                              <w:szCs w:val="28"/>
                              <w:lang w:val="en-US" w:eastAsia="zh-CN"/>
                            </w:rPr>
                          </w:pPr>
                          <w:r>
                            <w:rPr>
                              <w:rFonts w:hint="eastAsia" w:ascii="宋体" w:hAnsi="宋体" w:eastAsia="宋体"/>
                              <w:sz w:val="28"/>
                              <w:szCs w:val="28"/>
                              <w:lang w:val="en-US" w:eastAsia="zh-CN"/>
                            </w:rPr>
                            <w:t>—</w:t>
                          </w:r>
                          <w:r>
                            <w:rPr>
                              <w:rFonts w:hint="eastAsia" w:ascii="宋体" w:hAnsi="宋体" w:eastAsia="宋体"/>
                              <w:sz w:val="24"/>
                              <w:szCs w:val="28"/>
                              <w:lang w:val="en-US" w:eastAsia="zh-CN"/>
                            </w:rPr>
                            <w:t>　</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PAGE  \* MERGEFORMAT </w:instrText>
                          </w:r>
                          <w:r>
                            <w:rPr>
                              <w:rFonts w:hint="eastAsia" w:ascii="宋体" w:hAnsi="宋体" w:eastAsia="宋体"/>
                              <w:sz w:val="28"/>
                              <w:szCs w:val="28"/>
                              <w:lang w:val="en-US" w:eastAsia="zh-CN"/>
                            </w:rPr>
                            <w:fldChar w:fldCharType="separate"/>
                          </w:r>
                          <w:r>
                            <w:rPr>
                              <w:rFonts w:hint="eastAsia" w:ascii="宋体" w:hAnsi="宋体" w:eastAsia="宋体"/>
                              <w:sz w:val="28"/>
                              <w:szCs w:val="28"/>
                              <w:lang w:val="en-US" w:eastAsia="zh-CN"/>
                            </w:rPr>
                            <w:t>1</w:t>
                          </w:r>
                          <w:r>
                            <w:rPr>
                              <w:rFonts w:hint="eastAsia" w:ascii="宋体" w:hAnsi="宋体" w:eastAsia="宋体"/>
                              <w:sz w:val="28"/>
                              <w:szCs w:val="28"/>
                              <w:lang w:val="en-US" w:eastAsia="zh-CN"/>
                            </w:rPr>
                            <w:fldChar w:fldCharType="end"/>
                          </w:r>
                          <w:r>
                            <w:rPr>
                              <w:rFonts w:hint="eastAsia" w:ascii="宋体" w:hAnsi="宋体" w:eastAsia="宋体"/>
                              <w:sz w:val="24"/>
                              <w:szCs w:val="28"/>
                              <w:lang w:val="en-US" w:eastAsia="zh-CN"/>
                            </w:rPr>
                            <w:t>　</w:t>
                          </w:r>
                          <w:r>
                            <w:rPr>
                              <w:rFonts w:hint="eastAsia" w:ascii="宋体" w:hAnsi="宋体" w:eastAsia="宋体"/>
                              <w:sz w:val="28"/>
                              <w:szCs w:val="28"/>
                              <w:lang w:val="en-US" w:eastAsia="zh-CN"/>
                            </w:rPr>
                            <w:t>—</w:t>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5pt;width:63pt;mso-position-horizontal:outside;mso-position-horizontal-relative:margin;mso-wrap-style:none;z-index:251659264;mso-width-relative:page;mso-height-relative:page;" filled="f" stroked="f" coordsize="21600,21600" o:gfxdata="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DmT5LXAAAABAEAAA8AAAAAAAAAAQAgAAAAIgAAAGRycy9kb3du&#10;cmV2LnhtbFBLAQIUABQAAAAIAIdO4kAwP3oSAAIAAPQDAAAOAAAAAAAAAAEAIAAAACYBAABkcnMv&#10;ZTJvRG9jLnhtbFBLBQYAAAAABgAGAFkBAACYBQAAAAA=&#10;">
              <v:fill on="f" focussize="0,0"/>
              <v:stroke on="f" weight="0.5pt" joinstyle="round"/>
              <v:imagedata o:title=""/>
              <o:lock v:ext="edit" aspectratio="f"/>
              <v:textbox inset="0mm,0mm,0mm,0mm" style="mso-fit-shape-to-text:t;">
                <w:txbxContent>
                  <w:p w14:paraId="56B6A75D">
                    <w:pPr>
                      <w:pStyle w:val="5"/>
                      <w:rPr>
                        <w:rFonts w:hint="eastAsia" w:ascii="宋体" w:hAnsi="宋体" w:eastAsia="宋体"/>
                        <w:sz w:val="28"/>
                        <w:szCs w:val="28"/>
                        <w:lang w:val="en-US" w:eastAsia="zh-CN"/>
                      </w:rPr>
                    </w:pPr>
                    <w:r>
                      <w:rPr>
                        <w:rFonts w:hint="eastAsia" w:ascii="宋体" w:hAnsi="宋体" w:eastAsia="宋体"/>
                        <w:sz w:val="28"/>
                        <w:szCs w:val="28"/>
                        <w:lang w:val="en-US" w:eastAsia="zh-CN"/>
                      </w:rPr>
                      <w:t>—</w:t>
                    </w:r>
                    <w:r>
                      <w:rPr>
                        <w:rFonts w:hint="eastAsia" w:ascii="宋体" w:hAnsi="宋体" w:eastAsia="宋体"/>
                        <w:sz w:val="24"/>
                        <w:szCs w:val="28"/>
                        <w:lang w:val="en-US" w:eastAsia="zh-CN"/>
                      </w:rPr>
                      <w:t>　</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PAGE  \* MERGEFORMAT </w:instrText>
                    </w:r>
                    <w:r>
                      <w:rPr>
                        <w:rFonts w:hint="eastAsia" w:ascii="宋体" w:hAnsi="宋体" w:eastAsia="宋体"/>
                        <w:sz w:val="28"/>
                        <w:szCs w:val="28"/>
                        <w:lang w:val="en-US" w:eastAsia="zh-CN"/>
                      </w:rPr>
                      <w:fldChar w:fldCharType="separate"/>
                    </w:r>
                    <w:r>
                      <w:rPr>
                        <w:rFonts w:hint="eastAsia" w:ascii="宋体" w:hAnsi="宋体" w:eastAsia="宋体"/>
                        <w:sz w:val="28"/>
                        <w:szCs w:val="28"/>
                        <w:lang w:val="en-US" w:eastAsia="zh-CN"/>
                      </w:rPr>
                      <w:t>1</w:t>
                    </w:r>
                    <w:r>
                      <w:rPr>
                        <w:rFonts w:hint="eastAsia" w:ascii="宋体" w:hAnsi="宋体" w:eastAsia="宋体"/>
                        <w:sz w:val="28"/>
                        <w:szCs w:val="28"/>
                        <w:lang w:val="en-US" w:eastAsia="zh-CN"/>
                      </w:rPr>
                      <w:fldChar w:fldCharType="end"/>
                    </w:r>
                    <w:r>
                      <w:rPr>
                        <w:rFonts w:hint="eastAsia" w:ascii="宋体" w:hAnsi="宋体" w:eastAsia="宋体"/>
                        <w:sz w:val="24"/>
                        <w:szCs w:val="28"/>
                        <w:lang w:val="en-US" w:eastAsia="zh-CN"/>
                      </w:rPr>
                      <w:t>　</w:t>
                    </w:r>
                    <w:r>
                      <w:rPr>
                        <w:rFonts w:hint="eastAsia" w:ascii="宋体" w:hAnsi="宋体" w:eastAsia="宋体"/>
                        <w:sz w:val="28"/>
                        <w:szCs w:val="28"/>
                        <w:lang w:val="en-US" w:eastAsia="zh-CN"/>
                      </w:rPr>
                      <w:t>—</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4363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18B7A">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818B7A">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noLineBreaksAfter w:lang="zh-CN" w:val="$([{£¥·‘“〈《「『【〔〖〝﹙﹛﹝＄（．［｛￡￥"/>
  <w:noLineBreaksBefore w:lang="zh-CN" w:val="!%),.:;&gt;?]}¢¨°·ˇˉ―‖’”…‰′″›℃∶、。〃〉》」』】〕〗〞︶︺︾﹀﹄﹚﹜﹞！＂％＇），．：；？］｀｜｝～￠"/>
  <w:compat>
    <w:spaceForUL/>
    <w:balanceSingleByteDoubleByteWidth/>
    <w:ulTrailSpace/>
    <w:doNotExpandShiftReturn/>
    <w:adjustLineHeightInTable/>
    <w:doNotWrapTextWithPunct/>
    <w:doNotUseEastAsianBreakRules/>
    <w:useFELayout/>
    <w:compatSetting w:name="compatibilityMode" w:uri="http://schemas.microsoft.com/office/word" w:val="15"/>
  </w:compat>
  <w:rsids>
    <w:rsidRoot w:val="00000000"/>
    <w:rsid w:val="26FBA658"/>
    <w:rsid w:val="3CDF6374"/>
    <w:rsid w:val="3D3F1D8B"/>
    <w:rsid w:val="3F7FF770"/>
    <w:rsid w:val="3FD70571"/>
    <w:rsid w:val="4E9F7E67"/>
    <w:rsid w:val="58BECFD3"/>
    <w:rsid w:val="6BF6A5CF"/>
    <w:rsid w:val="7BF7D421"/>
    <w:rsid w:val="7DEBABC2"/>
    <w:rsid w:val="7F765F3E"/>
    <w:rsid w:val="7FBB206E"/>
    <w:rsid w:val="9FFF9202"/>
    <w:rsid w:val="B5FFFBB8"/>
    <w:rsid w:val="BBFFEB8D"/>
    <w:rsid w:val="BFBD49BF"/>
    <w:rsid w:val="C6EFE2D6"/>
    <w:rsid w:val="CFFF0049"/>
    <w:rsid w:val="D37F898B"/>
    <w:rsid w:val="DF6AA904"/>
    <w:rsid w:val="DF7DF612"/>
    <w:rsid w:val="EB6E84F2"/>
    <w:rsid w:val="EFEBCD2E"/>
    <w:rsid w:val="F175270C"/>
    <w:rsid w:val="F7EFFAC3"/>
    <w:rsid w:val="FDFC0A44"/>
    <w:rsid w:val="FDFF7119"/>
    <w:rsid w:val="FF2FA28E"/>
    <w:rsid w:val="FF5FC2D8"/>
    <w:rsid w:val="FFBD3492"/>
    <w:rsid w:val="FFD55153"/>
    <w:rsid w:val="FFE91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5"/>
    <w:qFormat/>
    <w:uiPriority w:val="0"/>
    <w:pPr>
      <w:keepNext/>
      <w:keepLines/>
      <w:spacing w:before="260" w:after="260" w:line="415" w:lineRule="auto"/>
      <w:outlineLvl w:val="2"/>
    </w:pPr>
    <w:rPr>
      <w:b/>
      <w:bCs/>
      <w:sz w:val="32"/>
      <w:szCs w:val="32"/>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heading 1 Char"/>
    <w:basedOn w:val="10"/>
    <w:link w:val="2"/>
    <w:qFormat/>
    <w:uiPriority w:val="0"/>
    <w:rPr>
      <w:rFonts w:ascii="Calibri" w:hAnsi="Calibri" w:eastAsia="宋体" w:cs="Arial"/>
      <w:b/>
      <w:bCs/>
      <w:kern w:val="44"/>
      <w:sz w:val="44"/>
      <w:szCs w:val="44"/>
      <w:lang w:val="en-US" w:eastAsia="zh-CN" w:bidi="ar-SA"/>
    </w:rPr>
  </w:style>
  <w:style w:type="character" w:customStyle="1" w:styleId="14">
    <w:name w:val="heading 2 Char"/>
    <w:basedOn w:val="10"/>
    <w:link w:val="3"/>
    <w:qFormat/>
    <w:uiPriority w:val="0"/>
    <w:rPr>
      <w:rFonts w:ascii="Times New Roman" w:hAnsi="Times New Roman" w:eastAsia="黑体" w:cs="Arial"/>
      <w:b/>
      <w:bCs/>
      <w:kern w:val="2"/>
      <w:sz w:val="32"/>
      <w:szCs w:val="32"/>
      <w:lang w:val="en-US" w:eastAsia="zh-CN" w:bidi="ar-SA"/>
    </w:rPr>
  </w:style>
  <w:style w:type="character" w:customStyle="1" w:styleId="15">
    <w:name w:val="heading 3 Char"/>
    <w:basedOn w:val="10"/>
    <w:link w:val="4"/>
    <w:qFormat/>
    <w:uiPriority w:val="0"/>
    <w:rPr>
      <w:rFonts w:ascii="Calibri" w:hAnsi="Calibri" w:eastAsia="宋体" w:cs="Arial"/>
      <w:b/>
      <w:bCs/>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95444B-D279-4DBE-9FC3-2F6FB9169380}">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14</Pages>
  <Words>0</Words>
  <Characters>0</Characters>
  <Lines>0</Lines>
  <Paragraphs>1</Paragraphs>
  <TotalTime>7</TotalTime>
  <ScaleCrop>false</ScaleCrop>
  <LinksUpToDate>false</LinksUpToDate>
  <CharactersWithSpaces>1</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2021-05-17T23:28:00Z</dcterms:created>
  <dc:creator>User274</dc:creator>
  <cp:lastModifiedBy>陈彤</cp:lastModifiedBy>
  <dcterms:modified xsi:type="dcterms:W3CDTF">2026-09-29T10:18:01Z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3BF27958A1E44EADC01EBB6A200589E8_43</vt:lpwstr>
  </property>
</Properties>
</file>