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2363D">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通海县卫生健康局卫生监督局2025年度部门决算</w:t>
      </w:r>
    </w:p>
    <w:p w14:paraId="54C6023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26A95FB">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default" w:ascii="方正小标宋_GBK" w:hAnsi="方正小标宋_GBK" w:eastAsia="方正小标宋_GBK" w:cs="方正小标宋_GBK"/>
          <w:sz w:val="44"/>
          <w:szCs w:val="44"/>
          <w:lang w:val="en-US" w:eastAsia="zh-CN"/>
        </w:rPr>
      </w:pPr>
      <w:r>
        <w:rPr>
          <w:rFonts w:hint="default" w:ascii="方正小标宋_GBK" w:hAnsi="方正小标宋_GBK" w:eastAsia="方正小标宋_GBK" w:cs="方正小标宋_GBK"/>
          <w:sz w:val="44"/>
          <w:szCs w:val="44"/>
          <w:lang w:val="en-US" w:eastAsia="zh-CN"/>
        </w:rPr>
        <w:t>目录</w:t>
      </w:r>
    </w:p>
    <w:p w14:paraId="3237992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248E61C">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第一部分  单位概况</w:t>
      </w:r>
    </w:p>
    <w:p w14:paraId="28D4AFF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一、主要职责</w:t>
      </w:r>
    </w:p>
    <w:p w14:paraId="4A34C27A">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二、基本情况</w:t>
      </w:r>
    </w:p>
    <w:p w14:paraId="6AAE7CFF">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三、重点工作概述</w:t>
      </w:r>
    </w:p>
    <w:p w14:paraId="52B5493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第二部分  2025年度部门决算表</w:t>
      </w:r>
    </w:p>
    <w:p w14:paraId="490CDB0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一、收入支出决算表</w:t>
      </w:r>
    </w:p>
    <w:p w14:paraId="505D5253">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二、收入决算表</w:t>
      </w:r>
    </w:p>
    <w:p w14:paraId="4CA4DD57">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三、支出决算表</w:t>
      </w:r>
    </w:p>
    <w:p w14:paraId="43BEC99F">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四、财政拨款收入支出决算表</w:t>
      </w:r>
    </w:p>
    <w:p w14:paraId="303AC808">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五、一般公共预算财政拨款收入支出决算表</w:t>
      </w:r>
    </w:p>
    <w:p w14:paraId="79092F9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六、一般公共预算财政拨款基本支出决算表</w:t>
      </w:r>
    </w:p>
    <w:p w14:paraId="4780BD47">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七、一般公共预算财政拨款项目支出决算表</w:t>
      </w:r>
    </w:p>
    <w:p w14:paraId="098DA07F">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八、政府性基金预算财政拨款收入支出决算表</w:t>
      </w:r>
    </w:p>
    <w:p w14:paraId="20541971">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九、国有资本经营预算财政拨款收入支出决算表</w:t>
      </w:r>
    </w:p>
    <w:p w14:paraId="7F268FA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十、财政拨款“三公”经费、行政参公单位机关运行经费情况表</w:t>
      </w:r>
    </w:p>
    <w:p w14:paraId="020305D5">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十一、一般公共预算财政拨款“三公”经费情况表</w:t>
      </w:r>
    </w:p>
    <w:p w14:paraId="20D6B2CC">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第三部分  2025年度部门决算情况说明</w:t>
      </w:r>
    </w:p>
    <w:p w14:paraId="473003AF">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一、收入决算情况说明</w:t>
      </w:r>
    </w:p>
    <w:p w14:paraId="462F5B6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二、支出决算情况说明</w:t>
      </w:r>
    </w:p>
    <w:p w14:paraId="696158A9">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三、一般公共预算财政拨款支出决算情况说明</w:t>
      </w:r>
    </w:p>
    <w:p w14:paraId="0900788C">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四、财政拨款“三公”经费支出决算情况说明</w:t>
      </w:r>
    </w:p>
    <w:p w14:paraId="267B299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第四部分  其他重要事项及相关口径情况说明</w:t>
      </w:r>
    </w:p>
    <w:p w14:paraId="635B2C91">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一、机关运行经费支出情况</w:t>
      </w:r>
    </w:p>
    <w:p w14:paraId="715B9126">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二、国有资产占用情况</w:t>
      </w:r>
    </w:p>
    <w:p w14:paraId="5A59A863">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三、政府采购支出情况</w:t>
      </w:r>
    </w:p>
    <w:p w14:paraId="3B01B761">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四、单位绩效自评情况</w:t>
      </w:r>
    </w:p>
    <w:p w14:paraId="5F7C5480">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五、其他重要事项情况说明</w:t>
      </w:r>
    </w:p>
    <w:p w14:paraId="2D98A8AE">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六、相关口径说明</w:t>
      </w:r>
    </w:p>
    <w:p w14:paraId="5B9499A1">
      <w:pPr>
        <w:keepNext w:val="0"/>
        <w:keepLines w:val="0"/>
        <w:pageBreakBefore w:val="0"/>
        <w:widowControl w:val="0"/>
        <w:kinsoku/>
        <w:wordWrap w:val="0"/>
        <w:overflowPunct/>
        <w:topLinePunct w:val="0"/>
        <w:autoSpaceDE/>
        <w:autoSpaceDN/>
        <w:bidi w:val="0"/>
        <w:adjustRightInd/>
        <w:snapToGrid/>
        <w:spacing w:line="590" w:lineRule="exact"/>
        <w:ind w:firstLine="0" w:firstLineChars="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第五部分  名词解释</w:t>
      </w:r>
    </w:p>
    <w:p w14:paraId="22DBADD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2F0DD54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45FB2F3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3DFEAF7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C19ED4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2BC8B87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4119DE6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98FE51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742440D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8553759">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第一部分  单位概况</w:t>
      </w:r>
    </w:p>
    <w:p w14:paraId="49ADCB0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一、主要职责</w:t>
      </w:r>
    </w:p>
    <w:p w14:paraId="403BCF1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依照国家法律法规行使全县卫生健康监督执法职责；负责实施公共场所、饮用水及涉水产品、消毒产品、学校、放射、职业、餐饮具集中消毒、计划生育、医疗、采供血和传染病防治等日常监督及查处工作；承担业务指导、业务培训、稽查和综合监督信息化建设工作。</w:t>
      </w:r>
    </w:p>
    <w:p w14:paraId="7A40D5F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二、基本情况</w:t>
      </w:r>
    </w:p>
    <w:p w14:paraId="07DD272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（一）机构设置情况</w:t>
      </w:r>
    </w:p>
    <w:p w14:paraId="71F09CA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我单位共设置5个内设机构，包括：办公室、监督一室、监督二室、稽查室、卫生监督协管室。</w:t>
      </w:r>
    </w:p>
    <w:p w14:paraId="42350FB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我单位为基层预算单位，无下属单位。</w:t>
      </w:r>
    </w:p>
    <w:p w14:paraId="242A813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（二）决算单位构成</w:t>
      </w:r>
    </w:p>
    <w:p w14:paraId="7FA4B60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我单位作为通海县卫生健康局的二级预算单位纳入2025年度部门决算编报范围。</w:t>
      </w:r>
    </w:p>
    <w:p w14:paraId="1129BE1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（三）单位人员和车辆的编制及实有情况</w:t>
      </w:r>
    </w:p>
    <w:p w14:paraId="39C09D2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我单位2025年末编制内实有人员0人。包括财政拨款开支经费的：公务员0人，参照公务员法管理人员0人，事业管理人员和专业技术人员0人，机关和事业工人0人；经费自理人员0人。</w:t>
      </w:r>
    </w:p>
    <w:p w14:paraId="6F35E0D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我单位2025年末其他人员0人。包括财政拨款开支经费的人员0人；经费自理人员0人。</w:t>
      </w:r>
    </w:p>
    <w:p w14:paraId="15C5CB6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年末单位发放离退休费的离退休人员共计0人（离休0人，退休0人）。年末由养老保险基金发放养老金的离退休人员0人（离休0人，退休0人）。</w:t>
      </w:r>
    </w:p>
    <w:p w14:paraId="4CB84AC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车辆编制0辆，在编实有车辆0辆，超编0辆。</w:t>
      </w:r>
    </w:p>
    <w:p w14:paraId="4CF6BC3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三、重点工作概述</w:t>
      </w:r>
    </w:p>
    <w:p w14:paraId="574DF02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（一）加大卫生监督队伍培训力度，加强卫生监督信息建设和卫生监督机构能力建设，强化单位内部管理。</w:t>
      </w:r>
    </w:p>
    <w:p w14:paraId="2A2813A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加大医疗机构服务市场监管和整治力度，对新准入机构及许可证到期换证机构进行审查、发证，完成年审校验、变更工作；做好执业人员注册、登记工作；继续开展打击非法行医、非法从事医疗美容、非法采供血等各类专项整治活动，加大卫生监督执法宣传力度，整顿规范医疗服务市场秩序。</w:t>
      </w:r>
    </w:p>
    <w:p w14:paraId="1D5D8B7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（三）切实强化公共场所、生活饮用水、学校卫生监管工作，加强消毒产品监督检查，继续开展卫生监督协管服务、职业卫生、放射卫生监管，消毒餐具监督等工作。</w:t>
      </w:r>
    </w:p>
    <w:p w14:paraId="73A5746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（四）严格许可，促进卫生许可资料信息化管理。</w:t>
      </w:r>
    </w:p>
    <w:p w14:paraId="04BC28E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（五）认真完成“双随机”、巩固创卫成果等工作。</w:t>
      </w:r>
    </w:p>
    <w:p w14:paraId="600E2BC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（六）加强行政执法，做好案件的查处工作，努力提高办案质量和办案效率。</w:t>
      </w:r>
    </w:p>
    <w:p w14:paraId="3CC59C9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17CB7CD2">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第二部分  2025年度部门决算表</w:t>
      </w:r>
    </w:p>
    <w:p w14:paraId="107988C3">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（详见附件）</w:t>
      </w:r>
    </w:p>
    <w:p w14:paraId="7CADE0E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通海县卫生健康局卫生监督局2025年度没有政府性基金预算财政拨款收入，也没有使用政府性基金预算财政拨款安排的支出，《政府性基金预算财政拨款收入支出决算表》为空表。</w:t>
      </w:r>
    </w:p>
    <w:p w14:paraId="0698F8F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通海县卫生健康局卫生监督局2025年度没有国有资本经营预算财政拨款收入，也没有使用国有资本经营预算财政拨款安排的支出，《国有资本经营预算财政拨款收入支出决算表》为空表。</w:t>
      </w:r>
    </w:p>
    <w:p w14:paraId="60EC60C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通海县卫生健康局卫生监督局2025年度没有一般公共预算财政拨款“三公”经费收入，也没有使用一般公共预算财政拨款“三公”经费安排的支出，《一般公共预算财政拨款“三公”经费情况表》为空表。</w:t>
      </w:r>
    </w:p>
    <w:p w14:paraId="189A944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7B9867A7">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第三部分  2025年度部门决算情况说明</w:t>
      </w:r>
    </w:p>
    <w:p w14:paraId="3C90BE9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一、收入决算情况说明</w:t>
      </w:r>
    </w:p>
    <w:p w14:paraId="29789AC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通海县卫生健康局卫生监督局2025年度收入合计2,547,641.50元。其中：财政拨款收入2,547,641.50元，占总收入的100.00%；无上级补助收入；无事业收入；无经营收入；无附属单位上缴收入；无其他收入。</w:t>
      </w:r>
    </w:p>
    <w:p w14:paraId="5D59C54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与上年相比，收入合计增加416,754.99元，增长19.56%。其中：财政拨款收入增加416,754.99元，增长19.56%；无上级补助收入；无事业收入；无经营收入；无附属单位上缴收入；无其他收入。主要原因是工资福利支出的调整及下达了基本公共卫生服务项目补助资金。</w:t>
      </w:r>
    </w:p>
    <w:p w14:paraId="15B8F88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二、支出决算情况说明</w:t>
      </w:r>
    </w:p>
    <w:p w14:paraId="225DA4F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通海县卫生健康局卫生监督局2025年度支出合计2,547,641.50元。其中：基本支出1,901,360.50元，占总支出的74.63%；项目支出646,281.00元，占总支出的25.37%；无上缴上级支出；无经营支出；无对附属单位补助支出。</w:t>
      </w:r>
    </w:p>
    <w:p w14:paraId="08B06AC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与上年相比，支出合计增加416,754.99元，增长19.56%。其中：基本支出增加76,735.99元，增长4.21%；项目支出增加340,019.00元，增长111.02%；无上缴上级支出；无经营支出；无对附属单位补助支出。主要原因是工资福利支出的调整及下达了基本公共卫生服务项目补助资金。</w:t>
      </w:r>
    </w:p>
    <w:p w14:paraId="09241A0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（一）基本支出情况</w:t>
      </w:r>
    </w:p>
    <w:p w14:paraId="01E7A77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用于保障通海县卫生健康局卫生监督局机构正常运转的日常支出1,901,360.50元。其中：基本工资、津贴补贴等人员经费支出1,757,234.66元，占基本支出的92.42%；办公费、印刷费、水电费、办公设备购置等公用经费144,125.84元，占基本支出的7.58%。</w:t>
      </w:r>
    </w:p>
    <w:p w14:paraId="65A2BF7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（二）项目支出情况</w:t>
      </w:r>
    </w:p>
    <w:p w14:paraId="024A1D0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2025年度用于保障通海县卫生健康局卫生监督局为完成特定的行政工作任务或事业发展目标，用于专项业务工作的经费支出646,281.00元。其中：基本建设类项目支出0.00元。</w:t>
      </w:r>
    </w:p>
    <w:p w14:paraId="3C51DF8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基本公共卫生服务补助资金646,281.00元，主要用于开展卫生监督协管巡查和督导工作，及时上报并查处非法行医等卫生违法行为，解决基层卫生监督基础相对薄弱的问题，切实增强基层卫生监督服务能力，保障广大人民群众健康权益。</w:t>
      </w:r>
    </w:p>
    <w:p w14:paraId="2E3BB06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三、一般公共预算财政拨款支出决算情况说明</w:t>
      </w:r>
    </w:p>
    <w:p w14:paraId="1250BFA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（一）一般公共预算财政拨款支出决算总体情况</w:t>
      </w:r>
    </w:p>
    <w:p w14:paraId="6B2C545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通海县卫生健康局卫生监督局2025年度一般公共预算财政拨款支出2,547,641.50元，占本年支出合计的100.00%。与上年相比增加416,754.99元，增长19.56%，完成年初预算的129.32%。</w:t>
      </w:r>
    </w:p>
    <w:p w14:paraId="64E1057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（二）一般公共预算财政拨款支出决算分功能分类科目情况</w:t>
      </w:r>
    </w:p>
    <w:p w14:paraId="09243B0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1.一般公共服务（类）支出0.00元，占一般公共预算财政拨款总支出的0.00%，年初无此项预算。</w:t>
      </w:r>
    </w:p>
    <w:p w14:paraId="7B6C3373">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2.外交（类）支出0.00元，占一般公共预算财政拨款总支出的0.00%，年初无此项预算。</w:t>
      </w:r>
    </w:p>
    <w:p w14:paraId="6F3C408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3.国防（类）支出0.00元，占一般公共预算财政拨款总支出的0.00%，年初无此项预算。</w:t>
      </w:r>
    </w:p>
    <w:p w14:paraId="1FA5E13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4.公共安全（类）支出0.00元，占一般公共预算财政拨款总支出的0.00%，年初无此项预算。</w:t>
      </w:r>
    </w:p>
    <w:p w14:paraId="23796A8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5.教育（类）支出0.00元，占一般公共预算财政拨款总支出的0.00%，年初无此项预算。</w:t>
      </w:r>
    </w:p>
    <w:p w14:paraId="06206A3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6.科学技术（类）支出0.00元，占一般公共预算财政拨款总支出的0.00%，年初无此项预算。</w:t>
      </w:r>
    </w:p>
    <w:p w14:paraId="167BC3FE">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7.文化旅游体育与传媒（类）支出0.00元，占一般公共预算财政拨款总支出的0.00%，年初无此项预算。</w:t>
      </w:r>
    </w:p>
    <w:p w14:paraId="533DF8D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8.社会保障和就业（类）支出160,575.36元，占一般公共预算财政拨款总支出的6.30%，完成年初预算的94.19%。主要用于单位缴纳的基本养老保险费支出；造成预决算差异的主要原因是2025年度人员变动导致社保缴费有所减少。</w:t>
      </w:r>
    </w:p>
    <w:p w14:paraId="1164190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9.卫生健康（类）支出2,105,323.14元，占一般公共预算财政拨款总支出的82.64%，完成年初预算的127.61%。主要用于人员经费、日常公用经费支出、项目经费支出，人员经费用于2025年人员工资福利支出，日常公用经费用于保障单位正常工作运转，项目经费用于基本公共卫生服务项目支出；造成预决算差异的主要原因是下达了基本公共卫生服务项目资金。</w:t>
      </w:r>
    </w:p>
    <w:p w14:paraId="7FD61B1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10.节能环保（类）支出0.00元，占一般公共预算财政拨款总支出的0.00%，年初无此项预算。</w:t>
      </w:r>
    </w:p>
    <w:p w14:paraId="24EEE2C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11.城乡社区（类）支出0.00元，占一般公共预算财政拨款总支出的0.00%，年初无此项预算。</w:t>
      </w:r>
    </w:p>
    <w:p w14:paraId="0579BE3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12.农林水（类）支出0.00元，占一般公共预算财政拨款总支出的0.00%，年初无此项预算。</w:t>
      </w:r>
    </w:p>
    <w:p w14:paraId="0405E4C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13.交通运输（类）支出0.00元，占一般公共预算财政拨款总支出的0.00%，年初无此项预算。</w:t>
      </w:r>
    </w:p>
    <w:p w14:paraId="0D473B0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14.资源勘探工业信息等（类）支出0.00元，占一般公共预算财政拨款总支出的0.00%，年初无此项预算。</w:t>
      </w:r>
    </w:p>
    <w:p w14:paraId="3B7BD8E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15.商业服务业等（类）支出0.00元，占一般公共预算财政拨款总支出的0.00%，年初无此项预算。</w:t>
      </w:r>
    </w:p>
    <w:p w14:paraId="2BEB314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16.金融（类）支出0.00元，占一般公共预算财政拨款总支出的0.00%，年初无此项预算。</w:t>
      </w:r>
    </w:p>
    <w:p w14:paraId="741620D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17.援助其他地区（类）支出0.00元，占一般公共预算财政拨款总支出的0.00%，年初无此项预算。</w:t>
      </w:r>
    </w:p>
    <w:p w14:paraId="637CB842">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18.自然资源海洋气象等（类）支出0.00元，占一般公共预算财政拨款总支出的0.00%，年初无此项预算。</w:t>
      </w:r>
    </w:p>
    <w:p w14:paraId="7D72C32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19.住房保障（类）支出281,743.00元，占一般公共预算财政拨款总支出的11.06%，完成年初预算的188.16%。主要用于住房公积金支出；造成预决算差异的主要原因是2025年补缴了往年欠缴的公积金单位部分。</w:t>
      </w:r>
    </w:p>
    <w:p w14:paraId="59FE0E2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20.粮油物资储备（类）支出0.00元，占一般公共预算财政拨款总支出的0.00%，年初无此项预算。</w:t>
      </w:r>
    </w:p>
    <w:p w14:paraId="2AE4E07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21.国有资本经营预算（类）支出0.00元，占一般公共预算财政拨款总支出的0.00%，年初无此项预算。</w:t>
      </w:r>
    </w:p>
    <w:p w14:paraId="2CD9EDF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22.灾害防治及应急管理（类）支出0.00元，占一般公共预算财政拨款总支出的0.00%，年初无此项预算。</w:t>
      </w:r>
    </w:p>
    <w:p w14:paraId="7103B31A">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23.其他（类）支出0.00元，占一般公共预算财政拨款总支出的0.00%，年初无此项预算。</w:t>
      </w:r>
    </w:p>
    <w:p w14:paraId="367D821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24.债务还本（类）支出0.00元，占一般公共预算财政拨款总支出的0.00%，年初无此项预算。</w:t>
      </w:r>
    </w:p>
    <w:p w14:paraId="6F2E22B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25.债务付息（类）支出0.00元，占一般公共预算财政拨款总支出的0.00%，年初无此项预算。</w:t>
      </w:r>
    </w:p>
    <w:p w14:paraId="2863B21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26.抗疫特别国债安排（类）支出0.00元，占一般公共预算财政拨款总支出的0.00%，年初无此项预算。</w:t>
      </w:r>
    </w:p>
    <w:p w14:paraId="737E880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四、财政拨款“三公”经费支出决算情况说明</w:t>
      </w:r>
    </w:p>
    <w:p w14:paraId="3861DEB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（一）总体情况</w:t>
      </w:r>
    </w:p>
    <w:p w14:paraId="3328F60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2025年度财政拨款“三公”经费支出决算中，财政拨款“三公”经费支出年初预算为0.00元，决算为0.00元；上年无此项支出。</w:t>
      </w:r>
    </w:p>
    <w:p w14:paraId="076AE5F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因公出国（境）</w:t>
      </w:r>
      <w:r>
        <w:rPr>
          <w:rFonts w:hint="eastAsia" w:ascii="Times New Roman" w:hAnsi="Times New Roman" w:eastAsia="方正仿宋_GBK" w:cs="Times New Roman"/>
          <w:sz w:val="32"/>
          <w:szCs w:val="32"/>
          <w:lang w:val="en-US" w:eastAsia="zh-CN"/>
        </w:rPr>
        <w:t>费用</w:t>
      </w:r>
      <w:r>
        <w:rPr>
          <w:rFonts w:hint="default" w:ascii="Times New Roman" w:hAnsi="Times New Roman" w:eastAsia="方正仿宋_GBK" w:cs="Times New Roman"/>
          <w:sz w:val="32"/>
          <w:szCs w:val="32"/>
          <w:lang w:val="en-US" w:eastAsia="zh-CN"/>
        </w:rPr>
        <w:t>支出年初预算为0.00元，决算为0.00元，占财政拨款“三公”经费总支出决算的0.00%；公务用车购置费支出年初预算为0.00元，决算为0.00元，占财政拨款“三公”经费总支出决算的0.00%；公务用车运行维护费支出年初预算为0.00元，决算为0.00元，占财政拨款“三公”经费总支出决算的0.00%；公务接待费支出年初预算为0.00元，决算为0.00元，占财政拨款“三公”经费总支出决算的0.00%。</w:t>
      </w:r>
    </w:p>
    <w:p w14:paraId="0B356CD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因公出国（境）费用支出决算较上年增加0.00元，上年无此项支出；公务用车购置费支出决算较上年增加0.00元，上年无此项支出；公务用车运行维护费支出决算较上年增加0.00元，上年无此项支出；公务接待费支出决算较上年增加0.00元，上年无此项支出；具体是国内接待费支出决算0.00元（其中：外事接待费支出决算0.00元），较上年增加0.00元，上年无此项支出；国（境）外接待费支出决算0.00元，较上年增加0.00元，上年无此项支出。</w:t>
      </w:r>
    </w:p>
    <w:p w14:paraId="6AAF8B2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（二）一般公共预算财政拨款“三公”经费支出决算情况说明</w:t>
      </w:r>
    </w:p>
    <w:p w14:paraId="15D6368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2025年度一般公共预算财政拨款“三公”经费支出年初预算为0.00元，支出决算为0.00元，支出决算较上年增加0.00元，上年无此项支出。</w:t>
      </w:r>
    </w:p>
    <w:p w14:paraId="55C01CB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中：因公出国（境）费用支出年初预算为0.00元，决算为0.00元；公务用车购置费支出年初预算为0.00元，决算为0.00元；公务用车运行维护费支出年初预算为0.00元，决算为0.00元；公务接待费支出年初预算为0.00元，决算为0.00元。</w:t>
      </w:r>
    </w:p>
    <w:p w14:paraId="0938AC8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中：因公出国（境）费用支出决算增加0.00元，上年无此项支出；公务用车购置费支出决算增加0.00元，上年无此项支出；公务用车运行维护费支出决算增加0.00元，上年无此项支出；公务接待费支出决算增加0.00元，上年无此项支出，具体是国内接待费支出决算0.00元（其中：外事接待费支出决算0.00元），较上年增加0.00元，上年无此项支出；国（境）外接待费支出决算0.00元，上年无此项支出。</w:t>
      </w:r>
    </w:p>
    <w:p w14:paraId="531DAB9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一般公共预算财政拨款“三公”经费支出实物量的具体情况：</w:t>
      </w:r>
    </w:p>
    <w:p w14:paraId="11B0AFF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1.安排因公出国（境）团组0个，累计0人次。</w:t>
      </w:r>
    </w:p>
    <w:p w14:paraId="54E0BE7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2.购置车辆0辆。开支一般公共预算财政拨款的公务用车保有量为0辆。</w:t>
      </w:r>
    </w:p>
    <w:p w14:paraId="03BDF2E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3.安排国内公务接待0批次（其中：外事接待0批次），接待人次0人（其中：外事接待人次0人）。安排国（境）外公务接待0批次，接待人次0人。</w:t>
      </w:r>
    </w:p>
    <w:p w14:paraId="30D55E3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（三）需要说明的事项</w:t>
      </w:r>
    </w:p>
    <w:p w14:paraId="12E076CF">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不存在需要说明的事项。</w:t>
      </w:r>
    </w:p>
    <w:p w14:paraId="2D3FF891">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225AA5FB">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第四部分  其他重要事项及相关口径情况说明</w:t>
      </w:r>
    </w:p>
    <w:p w14:paraId="42165C4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一、机关运行经费支出情况</w:t>
      </w:r>
    </w:p>
    <w:p w14:paraId="476D4AE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通海县卫生健康局卫生监督局2025年机关运行经费支出144,125.84元，比上年增加10,415.85元，增长7.79%，主要原因是委托业务费、工会经费等支出比上年增加。单位机关运行经费主要用于单位正常运转所需的商品和服务支出，其中：办公费17,371.23元、手续费25.00元、水费1,799.52元、电费4,478.82元、邮电费2,940.00元、物业管理费612.00元、差旅费4,600.00元、委托业务费2,500.00元、工会经费6,000.00元、其他交通费用101,400.00元、其他商品和服务支出2,399.27元。</w:t>
      </w:r>
    </w:p>
    <w:p w14:paraId="155D3035">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二、国有资产占用情况</w:t>
      </w:r>
    </w:p>
    <w:p w14:paraId="07D5FF36">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截至2025年末，通海县卫生健康局卫生监督局资产总额1,394,228.36元，其中，流动资产0.00元，固定资产1,394,227.36元（净值），对外投资及有价证券0.00元，在建工程0.00元，无形资产1.00元（净值），其他资产0.00元（净值）（具体内容详见附表）。与上年相比，本年资产总额减少181,928.82元，其中固定资产减少142,928.82元。处置房屋建筑物0.00平方米，账面原值0.00元；处置车辆0辆，账面原值0.00元；报废报损资产0项，账面原值0.00元，实现资产处置收入0.00元；出租房屋0.00平方米，账面原值0.00元，实现资产使用收入0.00元。</w:t>
      </w:r>
    </w:p>
    <w:p w14:paraId="0EFD3AD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（国有资产占有使用情况表详见附表）</w:t>
      </w:r>
    </w:p>
    <w:p w14:paraId="74AD840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三、政府采购支出情况</w:t>
      </w:r>
    </w:p>
    <w:p w14:paraId="02B02F8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2025年度，单位政府采购支出总额0.00元，其中：政府采购货物支出0.00元；政府采购工程支出0.00元；政府采购服务支出0.00元。授予中小企业合同金额0.00元，其中：授予小微企业合同金额0.00元。</w:t>
      </w:r>
    </w:p>
    <w:p w14:paraId="5EE88930">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四、单位绩效自评情况</w:t>
      </w:r>
    </w:p>
    <w:p w14:paraId="45923D2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单位绩效自评情况详见附表。</w:t>
      </w:r>
    </w:p>
    <w:p w14:paraId="463F148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五、其他重要事项情况说明</w:t>
      </w:r>
    </w:p>
    <w:p w14:paraId="3E2A1DBD">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由于机构改革，通海县卫生健康局卫生监督局在编在职人员已于2025年11月全部调出，因此年末实有人员0人。</w:t>
      </w:r>
    </w:p>
    <w:p w14:paraId="596CB33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六、相关口径说明</w:t>
      </w:r>
    </w:p>
    <w:p w14:paraId="1A307A5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（一）基本支出中人员经费包括工资福利支出和对个人和家庭的补助，公用经费包括商品和服务支出、资本性支出等人员经费以外的支出。</w:t>
      </w:r>
    </w:p>
    <w:p w14:paraId="172C5AB4">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（二）机关运行经费指行政单位和参照公务员法管理的事业单位使用一般公共预算财政拨款安排的基本支出中的公用经费支出。</w:t>
      </w:r>
    </w:p>
    <w:p w14:paraId="24DBB037">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三）按照党中央、国务院有关文件及部门预算管理有关规定，“三公”经费包括因公出国（境）费用、公务用车购置及运行维护费、公务接待费。其中：因公出国（境）费用，指单位公务出国（境）的国际旅费、国外城市间交通费、住宿费、伙食费、培训费、公杂费等支出；公务用车购置费，指公务用车购置支出（含车辆购置税、牌照费）；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本文中公开的财政拨款“三公”经费相关数据是一般公共预算、政府性基金及国有资本经营预算财政拨款支出的相关经费，不含非财政拨款部分。</w:t>
      </w:r>
    </w:p>
    <w:p w14:paraId="38216908">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四）本文所称财政拨款“三公”经费决算数是指各部门（含下属单位）或单位当年通过本级财政拨款和以前年度财政拨款结转结余资金安排的因公出国（境）费用、公务用车购置及运行维护费和公务接待费支出数（包括基本支出和项目支出）。</w:t>
      </w:r>
    </w:p>
    <w:p w14:paraId="5D97BE89">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p w14:paraId="489E1F03">
      <w:pPr>
        <w:keepNext w:val="0"/>
        <w:keepLines w:val="0"/>
        <w:pageBreakBefore w:val="0"/>
        <w:widowControl w:val="0"/>
        <w:kinsoku/>
        <w:wordWrap w:val="0"/>
        <w:overflowPunct/>
        <w:topLinePunct w:val="0"/>
        <w:autoSpaceDE/>
        <w:autoSpaceDN/>
        <w:bidi w:val="0"/>
        <w:adjustRightInd/>
        <w:snapToGrid/>
        <w:spacing w:line="590" w:lineRule="exact"/>
        <w:ind w:left="0" w:leftChars="0" w:right="0" w:rightChars="0" w:firstLine="0" w:firstLineChars="0"/>
        <w:jc w:val="center"/>
        <w:textAlignment w:val="auto"/>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val="en-US" w:eastAsia="zh-CN"/>
        </w:rPr>
        <w:t xml:space="preserve">第五部分  </w:t>
      </w:r>
      <w:bookmarkStart w:id="0" w:name="_GoBack"/>
      <w:bookmarkEnd w:id="0"/>
      <w:r>
        <w:rPr>
          <w:rFonts w:hint="eastAsia" w:ascii="方正黑体_GBK" w:hAnsi="方正黑体_GBK" w:eastAsia="方正黑体_GBK" w:cs="方正黑体_GBK"/>
          <w:sz w:val="32"/>
          <w:szCs w:val="32"/>
          <w:lang w:val="en-US" w:eastAsia="zh-CN"/>
        </w:rPr>
        <w:t>名词解释</w:t>
      </w:r>
    </w:p>
    <w:p w14:paraId="5CF4291C">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部门决算：各部门依据国家有关法律法规规定及其履行职能情况编制，反映部门和单位所有预算收支和结余执行结果及绩效等情况的综合性年度报告，是改进部门预算执行以及编制后续年度部门预算的参考和依据。</w:t>
      </w:r>
    </w:p>
    <w:p w14:paraId="689B6FFB">
      <w:pPr>
        <w:keepNext w:val="0"/>
        <w:keepLines w:val="0"/>
        <w:pageBreakBefore w:val="0"/>
        <w:widowControl w:val="0"/>
        <w:kinsoku/>
        <w:wordWrap w:val="0"/>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sz w:val="32"/>
          <w:szCs w:val="32"/>
          <w:lang w:val="en-US" w:eastAsia="zh-CN"/>
        </w:rPr>
      </w:pPr>
    </w:p>
    <w:sectPr>
      <w:footerReference r:id="rId3" w:type="default"/>
      <w:footerReference r:id="rId4" w:type="even"/>
      <w:pgSz w:w="11906" w:h="16838"/>
      <w:pgMar w:top="2041" w:right="1417" w:bottom="1587" w:left="1644" w:header="1361" w:footer="1191"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182DC">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800100" cy="230505"/>
              <wp:effectExtent l="0" t="0" r="0" b="0"/>
              <wp:wrapNone/>
              <wp:docPr id="1" name="文本框 1"/>
              <wp:cNvGraphicFramePr/>
              <a:graphic xmlns:a="http://schemas.openxmlformats.org/drawingml/2006/main">
                <a:graphicData uri="http://schemas.microsoft.com/office/word/2010/wordprocessingShape">
                  <wps:wsp>
                    <wps:cNvSpPr/>
                    <wps:spPr>
                      <a:xfrm>
                        <a:off x="0" y="0"/>
                        <a:ext cx="800100" cy="230584"/>
                      </a:xfrm>
                      <a:prstGeom prst="rect">
                        <a:avLst/>
                      </a:prstGeom>
                      <a:noFill/>
                      <a:ln w="6350" cap="flat" cmpd="sng">
                        <a:noFill/>
                        <a:prstDash val="solid"/>
                        <a:round/>
                      </a:ln>
                    </wps:spPr>
                    <wps:txbx>
                      <w:txbxContent>
                        <w:p w14:paraId="56B6A75D">
                          <w:pPr>
                            <w:pStyle w:val="5"/>
                            <w:rPr>
                              <w:rFonts w:hint="eastAsia" w:ascii="宋体" w:hAnsi="宋体" w:eastAsia="宋体"/>
                              <w:sz w:val="28"/>
                              <w:szCs w:val="28"/>
                              <w:lang w:val="en-US" w:eastAsia="zh-CN"/>
                            </w:rPr>
                          </w:pPr>
                          <w:r>
                            <w:rPr>
                              <w:rFonts w:hint="eastAsia" w:ascii="宋体" w:hAnsi="宋体" w:eastAsia="宋体"/>
                              <w:sz w:val="28"/>
                              <w:szCs w:val="28"/>
                              <w:lang w:val="en-US" w:eastAsia="zh-CN"/>
                            </w:rPr>
                            <w:t>—</w:t>
                          </w:r>
                          <w:r>
                            <w:rPr>
                              <w:rFonts w:hint="eastAsia" w:ascii="宋体" w:hAnsi="宋体" w:eastAsia="宋体"/>
                              <w:sz w:val="24"/>
                              <w:szCs w:val="28"/>
                              <w:lang w:val="en-US" w:eastAsia="zh-CN"/>
                            </w:rPr>
                            <w:t>　</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PAGE  \* MERGEFORMAT </w:instrText>
                          </w:r>
                          <w:r>
                            <w:rPr>
                              <w:rFonts w:hint="eastAsia" w:ascii="宋体" w:hAnsi="宋体" w:eastAsia="宋体"/>
                              <w:sz w:val="28"/>
                              <w:szCs w:val="28"/>
                              <w:lang w:val="en-US" w:eastAsia="zh-CN"/>
                            </w:rPr>
                            <w:fldChar w:fldCharType="separate"/>
                          </w:r>
                          <w:r>
                            <w:rPr>
                              <w:rFonts w:hint="eastAsia" w:ascii="宋体" w:hAnsi="宋体" w:eastAsia="宋体"/>
                              <w:sz w:val="28"/>
                              <w:szCs w:val="28"/>
                              <w:lang w:val="en-US" w:eastAsia="zh-CN"/>
                            </w:rPr>
                            <w:t>1</w:t>
                          </w:r>
                          <w:r>
                            <w:rPr>
                              <w:rFonts w:hint="eastAsia" w:ascii="宋体" w:hAnsi="宋体" w:eastAsia="宋体"/>
                              <w:sz w:val="28"/>
                              <w:szCs w:val="28"/>
                              <w:lang w:val="en-US" w:eastAsia="zh-CN"/>
                            </w:rPr>
                            <w:fldChar w:fldCharType="end"/>
                          </w:r>
                          <w:r>
                            <w:rPr>
                              <w:rFonts w:hint="eastAsia" w:ascii="宋体" w:hAnsi="宋体" w:eastAsia="宋体"/>
                              <w:sz w:val="24"/>
                              <w:szCs w:val="28"/>
                              <w:lang w:val="en-US" w:eastAsia="zh-CN"/>
                            </w:rPr>
                            <w:t>　</w:t>
                          </w:r>
                          <w:r>
                            <w:rPr>
                              <w:rFonts w:hint="eastAsia" w:ascii="宋体" w:hAnsi="宋体" w:eastAsia="宋体"/>
                              <w:sz w:val="28"/>
                              <w:szCs w:val="28"/>
                              <w:lang w:val="en-US" w:eastAsia="zh-CN"/>
                            </w:rPr>
                            <w:t>—</w:t>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18.15pt;width:63pt;mso-position-horizontal:outside;mso-position-horizontal-relative:margin;mso-wrap-style:none;z-index:251659264;mso-width-relative:page;mso-height-relative:page;" filled="f" stroked="f" coordsize="21600,21600" o:gfxdata="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DmT5LXAAAABAEAAA8AAAAAAAAAAQAgAAAAIgAAAGRycy9kb3du&#10;cmV2LnhtbFBLAQIUABQAAAAIAIdO4kAwP3oSAAIAAPQDAAAOAAAAAAAAAAEAIAAAACYBAABkcnMv&#10;ZTJvRG9jLnhtbFBLBQYAAAAABgAGAFkBAACYBQAAAAA=&#10;">
              <v:fill on="f" focussize="0,0"/>
              <v:stroke on="f" weight="0.5pt" joinstyle="round"/>
              <v:imagedata o:title=""/>
              <o:lock v:ext="edit" aspectratio="f"/>
              <v:textbox inset="0mm,0mm,0mm,0mm" style="mso-fit-shape-to-text:t;">
                <w:txbxContent>
                  <w:p w14:paraId="56B6A75D">
                    <w:pPr>
                      <w:pStyle w:val="5"/>
                      <w:rPr>
                        <w:rFonts w:hint="eastAsia" w:ascii="宋体" w:hAnsi="宋体" w:eastAsia="宋体"/>
                        <w:sz w:val="28"/>
                        <w:szCs w:val="28"/>
                        <w:lang w:val="en-US" w:eastAsia="zh-CN"/>
                      </w:rPr>
                    </w:pPr>
                    <w:r>
                      <w:rPr>
                        <w:rFonts w:hint="eastAsia" w:ascii="宋体" w:hAnsi="宋体" w:eastAsia="宋体"/>
                        <w:sz w:val="28"/>
                        <w:szCs w:val="28"/>
                        <w:lang w:val="en-US" w:eastAsia="zh-CN"/>
                      </w:rPr>
                      <w:t>—</w:t>
                    </w:r>
                    <w:r>
                      <w:rPr>
                        <w:rFonts w:hint="eastAsia" w:ascii="宋体" w:hAnsi="宋体" w:eastAsia="宋体"/>
                        <w:sz w:val="24"/>
                        <w:szCs w:val="28"/>
                        <w:lang w:val="en-US" w:eastAsia="zh-CN"/>
                      </w:rPr>
                      <w:t>　</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PAGE  \* MERGEFORMAT </w:instrText>
                    </w:r>
                    <w:r>
                      <w:rPr>
                        <w:rFonts w:hint="eastAsia" w:ascii="宋体" w:hAnsi="宋体" w:eastAsia="宋体"/>
                        <w:sz w:val="28"/>
                        <w:szCs w:val="28"/>
                        <w:lang w:val="en-US" w:eastAsia="zh-CN"/>
                      </w:rPr>
                      <w:fldChar w:fldCharType="separate"/>
                    </w:r>
                    <w:r>
                      <w:rPr>
                        <w:rFonts w:hint="eastAsia" w:ascii="宋体" w:hAnsi="宋体" w:eastAsia="宋体"/>
                        <w:sz w:val="28"/>
                        <w:szCs w:val="28"/>
                        <w:lang w:val="en-US" w:eastAsia="zh-CN"/>
                      </w:rPr>
                      <w:t>1</w:t>
                    </w:r>
                    <w:r>
                      <w:rPr>
                        <w:rFonts w:hint="eastAsia" w:ascii="宋体" w:hAnsi="宋体" w:eastAsia="宋体"/>
                        <w:sz w:val="28"/>
                        <w:szCs w:val="28"/>
                        <w:lang w:val="en-US" w:eastAsia="zh-CN"/>
                      </w:rPr>
                      <w:fldChar w:fldCharType="end"/>
                    </w:r>
                    <w:r>
                      <w:rPr>
                        <w:rFonts w:hint="eastAsia" w:ascii="宋体" w:hAnsi="宋体" w:eastAsia="宋体"/>
                        <w:sz w:val="24"/>
                        <w:szCs w:val="28"/>
                        <w:lang w:val="en-US" w:eastAsia="zh-CN"/>
                      </w:rPr>
                      <w:t>　</w:t>
                    </w:r>
                    <w:r>
                      <w:rPr>
                        <w:rFonts w:hint="eastAsia" w:ascii="宋体" w:hAnsi="宋体" w:eastAsia="宋体"/>
                        <w:sz w:val="28"/>
                        <w:szCs w:val="28"/>
                        <w:lang w:val="en-US" w:eastAsia="zh-CN"/>
                      </w:rPr>
                      <w:t>—</w:t>
                    </w:r>
                  </w:p>
                </w:txbxContent>
              </v:textbox>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43630">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818B7A">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4818B7A">
                    <w:pPr>
                      <w:pStyle w:val="5"/>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2</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noLineBreaksAfter w:lang="zh-CN" w:val="$([{£¥·‘“〈《「『【〔〖〝﹙﹛﹝＄（．［｛￡￥"/>
  <w:noLineBreaksBefore w:lang="zh-CN" w:val="!%),.:;&gt;?]}¢¨°·ˇˉ―‖’”…‰′″›℃∶、。〃〉》」』】〕〗〞︶︺︾﹀﹄﹚﹜﹞！＂％＇），．：；？］｀｜｝～￠"/>
  <w:compat>
    <w:spaceForUL/>
    <w:balanceSingleByteDoubleByteWidth/>
    <w:ulTrailSpace/>
    <w:doNotExpandShiftReturn/>
    <w:adjustLineHeightInTable/>
    <w:doNotWrapTextWithPunct/>
    <w:doNotUseEastAsianBreakRules/>
    <w:useFELayout/>
    <w:compatSetting w:name="compatibilityMode" w:uri="http://schemas.microsoft.com/office/word" w:val="15"/>
  </w:compat>
  <w:rsids>
    <w:rsidRoot w:val="00000000"/>
    <w:rsid w:val="26FBA658"/>
    <w:rsid w:val="3CDF6374"/>
    <w:rsid w:val="3D3F1D8B"/>
    <w:rsid w:val="3F7FF770"/>
    <w:rsid w:val="3FD70571"/>
    <w:rsid w:val="4E9F7E67"/>
    <w:rsid w:val="543700DB"/>
    <w:rsid w:val="58BECFD3"/>
    <w:rsid w:val="5FB3AE58"/>
    <w:rsid w:val="6BF6A5CF"/>
    <w:rsid w:val="7BF7D421"/>
    <w:rsid w:val="7F765F3E"/>
    <w:rsid w:val="7FBB206E"/>
    <w:rsid w:val="7FDF8B59"/>
    <w:rsid w:val="7FFB52A9"/>
    <w:rsid w:val="9FFF9202"/>
    <w:rsid w:val="B5FFFBB8"/>
    <w:rsid w:val="BBFFEB8D"/>
    <w:rsid w:val="C6EFE2D6"/>
    <w:rsid w:val="CFFF0049"/>
    <w:rsid w:val="D37F898B"/>
    <w:rsid w:val="DF6AA904"/>
    <w:rsid w:val="DF7DF612"/>
    <w:rsid w:val="DFE3EF1E"/>
    <w:rsid w:val="EB6E84F2"/>
    <w:rsid w:val="EFEBCD2E"/>
    <w:rsid w:val="F175270C"/>
    <w:rsid w:val="F7EFFAC3"/>
    <w:rsid w:val="FDFC0A44"/>
    <w:rsid w:val="FDFF7119"/>
    <w:rsid w:val="FF2FA28E"/>
    <w:rsid w:val="FFBD3492"/>
    <w:rsid w:val="FFD55153"/>
    <w:rsid w:val="FFE91C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link w:val="1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4"/>
    <w:qFormat/>
    <w:uiPriority w:val="0"/>
    <w:pPr>
      <w:keepNext/>
      <w:keepLines/>
      <w:spacing w:before="260" w:after="260" w:line="415" w:lineRule="auto"/>
      <w:outlineLvl w:val="1"/>
    </w:pPr>
    <w:rPr>
      <w:rFonts w:ascii="Times New Roman" w:hAnsi="Times New Roman" w:eastAsia="黑体"/>
      <w:b/>
      <w:bCs/>
      <w:sz w:val="32"/>
      <w:szCs w:val="32"/>
    </w:rPr>
  </w:style>
  <w:style w:type="paragraph" w:styleId="4">
    <w:name w:val="heading 3"/>
    <w:basedOn w:val="1"/>
    <w:next w:val="1"/>
    <w:link w:val="15"/>
    <w:qFormat/>
    <w:uiPriority w:val="0"/>
    <w:pPr>
      <w:keepNext/>
      <w:keepLines/>
      <w:spacing w:before="260" w:after="260" w:line="415" w:lineRule="auto"/>
      <w:outlineLvl w:val="2"/>
    </w:pPr>
    <w:rPr>
      <w:b/>
      <w:bCs/>
      <w:sz w:val="32"/>
      <w:szCs w:val="32"/>
    </w:rPr>
  </w:style>
  <w:style w:type="character" w:default="1" w:styleId="10">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character" w:customStyle="1" w:styleId="13">
    <w:name w:val="heading 1 Char"/>
    <w:basedOn w:val="10"/>
    <w:link w:val="2"/>
    <w:qFormat/>
    <w:uiPriority w:val="0"/>
    <w:rPr>
      <w:rFonts w:ascii="Calibri" w:hAnsi="Calibri" w:eastAsia="宋体" w:cs="Arial"/>
      <w:b/>
      <w:bCs/>
      <w:kern w:val="44"/>
      <w:sz w:val="44"/>
      <w:szCs w:val="44"/>
      <w:lang w:val="en-US" w:eastAsia="zh-CN" w:bidi="ar-SA"/>
    </w:rPr>
  </w:style>
  <w:style w:type="character" w:customStyle="1" w:styleId="14">
    <w:name w:val="heading 2 Char"/>
    <w:basedOn w:val="10"/>
    <w:link w:val="3"/>
    <w:qFormat/>
    <w:uiPriority w:val="0"/>
    <w:rPr>
      <w:rFonts w:ascii="Times New Roman" w:hAnsi="Times New Roman" w:eastAsia="黑体" w:cs="Arial"/>
      <w:b/>
      <w:bCs/>
      <w:kern w:val="2"/>
      <w:sz w:val="32"/>
      <w:szCs w:val="32"/>
      <w:lang w:val="en-US" w:eastAsia="zh-CN" w:bidi="ar-SA"/>
    </w:rPr>
  </w:style>
  <w:style w:type="character" w:customStyle="1" w:styleId="15">
    <w:name w:val="heading 3 Char"/>
    <w:basedOn w:val="10"/>
    <w:link w:val="4"/>
    <w:qFormat/>
    <w:uiPriority w:val="0"/>
    <w:rPr>
      <w:rFonts w:ascii="Calibri" w:hAnsi="Calibri" w:eastAsia="宋体" w:cs="Arial"/>
      <w:b/>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主题">
      <a:majorFont>
        <a:latin typeface=""/>
        <a:ea typeface=""/>
        <a:cs typeface=""/>
      </a:majorFont>
      <a:minorFont>
        <a:latin typeface=""/>
        <a:ea typeface=""/>
        <a:cs typeface=""/>
      </a:minorFont>
    </a:fontScheme>
    <a:fmtScheme name="Office 主题">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ap="flat" cmpd="sng">
          <a:solidFill>
            <a:schemeClr val="phClr"/>
          </a:solidFill>
          <a:prstDash val="solid"/>
          <a:miter/>
        </a:ln>
        <a:ln w="12700" cap="flat" cmpd="sng">
          <a:solidFill>
            <a:schemeClr val="phClr"/>
          </a:solidFill>
          <a:prstDash val="solid"/>
          <a:miter/>
        </a:ln>
        <a:ln w="19050" cap="flat" cmpd="sng">
          <a:solidFill>
            <a:schemeClr val="phClr"/>
          </a:solidFill>
          <a:prstDash val="solid"/>
          <a:miter/>
        </a:ln>
      </a:lnStyleLst>
      <a:effectStyleLst>
        <a:effectStyle>
          <a:effectLst/>
        </a:effectStyle>
        <a:effectStyle>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xmlns="http://www.yozosoft.com.cn/officeDocument/2016/customData">
    <docPr xmlns="http://www.yozosoft.com.cn/officeDocument/2016/customData" revisions="3 0 5 0 0 0 1 0 0 0 26650 1 1 1 1 1"/>
    <sectPr xmlns="http://www.yozosoft.com.cn/officeDocument/2016/customData"/>
  </customProps>
</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D95444B-D279-4DBE-9FC3-2F6FB9169380}">
  <ds:schemaRefs/>
</ds:datastoreItem>
</file>

<file path=docProps/app.xml><?xml version="1.0" encoding="utf-8"?>
<Properties xmlns="http://schemas.openxmlformats.org/officeDocument/2006/extended-properties" xmlns:vt="http://schemas.openxmlformats.org/officeDocument/2006/docPropsVTypes">
  <Template>Normal.eit</Template>
  <Company>Yozosoft</Company>
  <Pages>15</Pages>
  <Words>5816</Words>
  <Characters>6718</Characters>
  <Lines>0</Lines>
  <Paragraphs>1</Paragraphs>
  <TotalTime>7</TotalTime>
  <ScaleCrop>false</ScaleCrop>
  <LinksUpToDate>false</LinksUpToDate>
  <CharactersWithSpaces>6736</CharactersWithSpaces>
  <Application>WPS Office_12.1.0.20784_F1E327BC-269C-435d-A152-05C5408002CA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2021-05-18T07:28:00Z</dcterms:created>
  <dc:creator>User274</dc:creator>
  <cp:lastModifiedBy>yueli</cp:lastModifiedBy>
  <dcterms:modified xsi:type="dcterms:W3CDTF">2026-09-29T07:16:18Z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D72FEFC725940867B415BB6AF4A92B0B_43</vt:lpwstr>
  </property>
  <property fmtid="{D5CDD505-2E9C-101B-9397-08002B2CF9AE}" pid="4" name="KSOTemplateDocerSaveRecord">
    <vt:lpwstr>eyJoZGlkIjoiZDY5MWQ2YmM0MDM2MjRlZGIwNWQxZDJkODg0NWI2NTEiLCJ1c2VySWQiOiI2OTM4Mzk0MTYifQ==</vt:lpwstr>
  </property>
</Properties>
</file>